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UI/UX Wireframes</w:t>
      </w:r>
    </w:p>
    <w:p>
      <w:pPr>
        <w:spacing w:before="10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  |  Prepared: July 31,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This document presents low-fidelity wireframes for the core MGAEMS screens, illustrating layout, navigation, and key components ahead of visual/UI design. These wireframes intentionally omit final colors, typography, and imagery; they focus on structure and content placement, consistent with the responsive, sidebar-navigated, card-based interface described in the SRS (Section 4.1).</w:t>
      </w:r>
    </w:p>
    <w:p>
      <w:pPr>
        <w:spacing w:after="150"/>
      </w:pPr>
      <w:r>
        <w:rPr>
          <w:b/>
          <w:bCs/>
        </w:rPr>
        <w:t xml:space="preserve">Common patterns used across all screens: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top bar with system name, notifications, and user profile menu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Collapsible sidebar navigation grouped by module (visible to authenticated staff roles)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Card-based summary widgets on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primary-action button styling (navy, bold) and secondary/outline buttons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Light/dark mode toggle available from the top bar or profile menu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Login Screen</w:t>
      </w:r>
    </w:p>
    <w:p>
      <w:pPr>
        <w:spacing w:after="150"/>
      </w:pPr>
      <w:r>
        <w:t xml:space="preserve">Entry point for all users; a single, role-agnostic login form that routes to the appropriate dashboard after authentication.</w:t>
      </w:r>
    </w:p>
    <w:p>
      <w:pPr>
        <w:jc w:val="center"/>
      </w:pPr>
      <w:r>
        <w:drawing>
          <wp:inline distT="0" distB="0" distL="0" distR="0">
            <wp:extent cx="9134475" cy="738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1 — Login Screen</w:t>
      </w:r>
    </w:p>
    <w:p>
      <w:pPr>
        <w:pStyle w:val="Heading1"/>
        <w:spacing w:after="200" w:before="400"/>
      </w:pPr>
      <w:r>
        <w:t xml:space="preserve">3. Role-Specific Dashboard</w:t>
      </w:r>
    </w:p>
    <w:p>
      <w:pPr>
        <w:spacing w:after="150"/>
      </w:pPr>
      <w:r>
        <w:t xml:space="preserve">Example shown for the Head Teacher role: sidebar navigation, key statistics, an attendance trend chart, recent activity, and quick shortcuts. Other roles see the same layout populated with role-relevant cards and a narrower sidebar (per the User Role Matrix).</w:t>
      </w:r>
    </w:p>
    <w:p>
      <w:pPr>
        <w:jc w:val="center"/>
      </w:pPr>
      <w:r>
        <w:drawing>
          <wp:inline distT="0" distB="0" distL="0" distR="0">
            <wp:extent cx="13573125" cy="902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312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2 — Role-Specific Dashboard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Register New Learner</w:t>
      </w:r>
    </w:p>
    <w:p>
      <w:pPr>
        <w:spacing w:after="150"/>
      </w:pPr>
      <w:r>
        <w:t xml:space="preserve">A multi-step form (Bio-Data → Guardians → Medical Info → Documents) used by administrators and Head Teacher/Deputy to register a new learner, with an auto-generated admission number.</w:t>
      </w:r>
    </w:p>
    <w:p>
      <w:pPr>
        <w:jc w:val="center"/>
      </w:pPr>
      <w:r>
        <w:drawing>
          <wp:inline distT="0" distB="0" distL="0" distR="0">
            <wp:extent cx="12458700" cy="958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0" cy="958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3 — Register New Learner</w:t>
      </w:r>
    </w:p>
    <w:p>
      <w:pPr>
        <w:pStyle w:val="Heading1"/>
        <w:spacing w:after="200" w:before="400"/>
      </w:pPr>
      <w:r>
        <w:t xml:space="preserve">5. Report Card View</w:t>
      </w:r>
    </w:p>
    <w:p>
      <w:pPr>
        <w:spacing w:after="150"/>
      </w:pPr>
      <w:r>
        <w:t xml:space="preserve">Displays a learner's per-subject CA/exam scores, CBC competency ratings, and remarks, with the overall Head Teacher remark and PDF download/print actions. Viewable by staff for their own classes, and by the relevant Parent/Guardian or Sponsor for their own learner only.</w:t>
      </w:r>
    </w:p>
    <w:p>
      <w:pPr>
        <w:jc w:val="center"/>
      </w:pPr>
      <w:r>
        <w:drawing>
          <wp:inline distT="0" distB="0" distL="0" distR="0">
            <wp:extent cx="10248900" cy="1178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0" cy="1178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4 — Report Card 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Parent Portal — My Child</w:t>
      </w:r>
    </w:p>
    <w:p>
      <w:pPr>
        <w:spacing w:after="150"/>
      </w:pPr>
      <w:r>
        <w:t xml:space="preserve">Self-service view for a parent/guardian, scoped strictly to their own child(ren), with tabs for Attendance, Report Cards, Academic Progress, and Announcements.</w:t>
      </w:r>
    </w:p>
    <w:p>
      <w:pPr>
        <w:jc w:val="center"/>
      </w:pPr>
      <w:r>
        <w:drawing>
          <wp:inline distT="0" distB="0" distL="0" distR="0">
            <wp:extent cx="12458700" cy="902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5 — Parent Portal</w:t>
      </w:r>
    </w:p>
    <w:p>
      <w:pPr>
        <w:pStyle w:val="Heading1"/>
        <w:spacing w:after="200" w:before="400"/>
      </w:pPr>
      <w:r>
        <w:t xml:space="preserve">7. Sponsor Portal — My Sponsorship</w:t>
      </w:r>
    </w:p>
    <w:p>
      <w:pPr>
        <w:spacing w:after="150"/>
      </w:pPr>
      <w:r>
        <w:t xml:space="preserve">Self-service view for a sponsor, scoped strictly to their sponsored learner(s) or program, with attendance summaries, academic reports, teacher comments, and appreciation messages.</w:t>
      </w:r>
    </w:p>
    <w:p>
      <w:pPr>
        <w:jc w:val="center"/>
      </w:pPr>
      <w:r>
        <w:drawing>
          <wp:inline distT="0" distB="0" distL="0" distR="0">
            <wp:extent cx="12458700" cy="902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70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Wireframe 6 — Sponsor Portal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Responsive Behavior Notes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Adaptation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Desktop (&gt;= 1200px)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sidebar visible; multi-column dashboard cards; side-by-side form fields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Tablet (768–1199px)</w:t>
            </w:r>
          </w:p>
        </w:tc>
        <w:tc>
          <w:tcPr>
            <w:tcW w:type="dxa" w:w="6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collapses to icons with labels on hover/tap; dashboard cards wrap to 2 columns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 (&lt; 768px)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becomes a slide-out drawer via a hamburger menu; cards and form fields stack to a single column; tables become horizontally scrollable or convert to stacked card lists</w:t>
            </w:r>
          </w:p>
        </w:tc>
      </w:tr>
    </w:tbl>
    <w:p>
      <w:pPr>
        <w:pStyle w:val="Heading1"/>
        <w:spacing w:after="200" w:before="400"/>
      </w:pPr>
      <w:r>
        <w:t xml:space="preserve">9. Accessibility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interactive elements (buttons, form fields) are keyboard-navigable and carry visible focus states.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 is never the sole indicator of status (e.g., attendance status uses both color and a text/icon label).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fields include visible labels (not placeholder-only) and inline validation messages.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contrast ratios follow WCAG 2.1 AA guidance for both light and dark modes.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UI/UX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1472872c5e6ee3da384dd04d5cbbcbbb014580.png"/><Relationship Id="rId10" Type="http://schemas.openxmlformats.org/officeDocument/2006/relationships/image" Target="media/57b14bcbd320615101391dbc2c26815450744c64.png"/><Relationship Id="rId11" Type="http://schemas.openxmlformats.org/officeDocument/2006/relationships/image" Target="media/a298a54ddae9f2fd46e37f4604fb501812fd6c38.png"/><Relationship Id="rId12" Type="http://schemas.openxmlformats.org/officeDocument/2006/relationships/image" Target="media/67a8beb1bbd7f189d33820912b22a2e83717c0e1.png"/><Relationship Id="rId13" Type="http://schemas.openxmlformats.org/officeDocument/2006/relationships/image" Target="media/8b506a2d532fa62eee3ef022ca104148ea08c1ec.png"/><Relationship Id="rId14" Type="http://schemas.openxmlformats.org/officeDocument/2006/relationships/image" Target="media/de65025748d5890694077b146d191cf05138af4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2026-07-31T19:40:40.520Z</dcterms:created>
  <dcterms:modified xsi:type="dcterms:W3CDTF">2026-07-31T19:40:40.522Z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