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07452F"/>
          <w:sz w:val="44"/>
          <w:szCs w:val="44"/>
        </w:rPr>
        <w:t xml:space="preserve">ShopLocal — Part 6</w:t>
      </w:r>
    </w:p>
    <w:p>
      <w:pPr>
        <w:spacing w:after="40"/>
      </w:pPr>
      <w:r>
        <w:rPr>
          <w:rFonts w:ascii="Inter" w:cs="Inter" w:eastAsia="Inter" w:hAnsi="Inter"/>
          <w:b/>
          <w:bCs/>
          <w:color w:val="0B6E4F"/>
          <w:sz w:val="32"/>
          <w:szCs w:val="32"/>
        </w:rPr>
        <w:t xml:space="preserve">Design System &amp; Design Plan</w:t>
      </w:r>
    </w:p>
    <w:p>
      <w:pPr>
        <w:spacing w:after="300"/>
      </w:pPr>
      <w:r>
        <w:rPr>
          <w:rFonts w:ascii="Inter" w:cs="Inter" w:eastAsia="Inter" w:hAnsi="Inter"/>
          <w:i/>
          <w:iCs/>
          <w:color w:val="555555"/>
          <w:sz w:val="22"/>
          <w:szCs w:val="22"/>
        </w:rPr>
        <w:t xml:space="preserve">Operated by StormGlide (stormglide.io) — July 2026</w:t>
      </w:r>
    </w:p>
    <w:p>
      <w:pPr>
        <w:spacing w:after="120"/>
      </w:pPr>
      <w:r>
        <w:rPr>
          <w:rFonts w:ascii="Inter" w:cs="Inter" w:eastAsia="Inter" w:hAnsi="Inter"/>
          <w:b w:val="false"/>
          <w:bCs w:val="false"/>
          <w:i w:val="false"/>
          <w:iCs w:val="false"/>
          <w:color w:val="1B1B1B"/>
          <w:sz w:val="22"/>
          <w:szCs w:val="22"/>
        </w:rPr>
        <w:t xml:space="preserve">Parts 1–5 assumed a design system without writing one down. This document is that system: the principles behind every screen, the brand and typography choices (updating Part 3's typography note), the token architecture that lets merchants theme their own storefront without breaking it, the component library, a spec for each of the four surfaces, and a design process timeline mapped to Part 5's build schedule. A companion visual reference — actual colour swatches, type specimens, and storefront/portal mockups — has been built alongside this document so the system can be seen, not just read.</w:t>
      </w:r>
    </w:p>
    <w:p>
      <w:pPr>
        <w:pStyle w:val="Heading1"/>
        <w:spacing w:after="200" w:before="400"/>
      </w:pPr>
      <w:r>
        <w:rPr>
          <w:rFonts w:ascii="Inter" w:cs="Inter" w:eastAsia="Inter" w:hAnsi="Inter"/>
          <w:b/>
          <w:bCs/>
          <w:color w:val="07452F"/>
          <w:sz w:val="32"/>
          <w:szCs w:val="32"/>
        </w:rPr>
        <w:t xml:space="preserve">1. Design Principles</w:t>
      </w:r>
    </w:p>
    <w:p>
      <w:pPr>
        <w:spacing w:after="120"/>
      </w:pPr>
      <w:r>
        <w:rPr>
          <w:rFonts w:ascii="Inter" w:cs="Inter" w:eastAsia="Inter" w:hAnsi="Inter"/>
          <w:b w:val="false"/>
          <w:bCs w:val="false"/>
          <w:i w:val="false"/>
          <w:iCs w:val="false"/>
          <w:color w:val="1B1B1B"/>
          <w:sz w:val="22"/>
          <w:szCs w:val="22"/>
        </w:rPr>
        <w:t xml:space="preserve">Six rules that should settle most design arguments before they start. Every choice in this document traces back to one of these.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B6E4F" w:val="clear"/>
            <w:tcMar>
              <w:top w:type="dxa" w:w="80"/>
              <w:left w:type="dxa" w:w="100"/>
              <w:bottom w:type="dxa" w:w="80"/>
              <w:right w:type="dxa" w:w="100"/>
            </w:tcMar>
          </w:tcPr>
          <w:p>
            <w:r>
              <w:rPr>
                <w:rFonts w:ascii="Inter" w:cs="Inter" w:eastAsia="Inter" w:hAnsi="Inter"/>
                <w:b/>
                <w:bCs/>
                <w:color w:val="FFFFFF"/>
                <w:sz w:val="20"/>
                <w:szCs w:val="20"/>
              </w:rPr>
              <w:t xml:space="preserve">Principle</w:t>
            </w:r>
          </w:p>
        </w:tc>
        <w:tc>
          <w:tcPr>
            <w:tcW w:type="dxa" w:w="6800"/>
            <w:shd w:fill="0B6E4F" w:val="clear"/>
            <w:tcMar>
              <w:top w:type="dxa" w:w="80"/>
              <w:left w:type="dxa" w:w="100"/>
              <w:bottom w:type="dxa" w:w="80"/>
              <w:right w:type="dxa" w:w="100"/>
            </w:tcMar>
          </w:tcPr>
          <w:p>
            <w:r>
              <w:rPr>
                <w:rFonts w:ascii="Inter" w:cs="Inter" w:eastAsia="Inter" w:hAnsi="Inter"/>
                <w:b/>
                <w:bCs/>
                <w:color w:val="FFFFFF"/>
                <w:sz w:val="20"/>
                <w:szCs w:val="20"/>
              </w:rPr>
              <w:t xml:space="preserve">What it means in practice</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Thumb-first</w:t>
            </w:r>
          </w:p>
        </w:tc>
        <w:tc>
          <w:tcPr>
            <w:tcW w:type="dxa" w:w="6800"/>
            <w:tcMar>
              <w:top w:type="dxa" w:w="80"/>
              <w:left w:type="dxa" w:w="100"/>
              <w:bottom w:type="dxa" w:w="80"/>
              <w:right w:type="dxa" w:w="100"/>
            </w:tcMar>
          </w:tcPr>
          <w:p>
            <w:r>
              <w:rPr>
                <w:rFonts w:ascii="Inter" w:cs="Inter" w:eastAsia="Inter" w:hAnsi="Inter"/>
                <w:b w:val="false"/>
                <w:bCs w:val="false"/>
                <w:color w:val="1B1B1B"/>
                <w:sz w:val="20"/>
                <w:szCs w:val="20"/>
              </w:rPr>
              <w:t xml:space="preserve">Every screen designed at 375–414px first, tested on a real low-end Android — not a desktop layout shrunk down.</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Fast beats pretty</w:t>
            </w:r>
          </w:p>
        </w:tc>
        <w:tc>
          <w:tcPr>
            <w:tcW w:type="dxa" w:w="6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Nothing ships that risks the sub-3-second load on 3G from Part 3 §5. Every added kilobyte is a decision, not a default.</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The category designs the store</w:t>
            </w:r>
          </w:p>
        </w:tc>
        <w:tc>
          <w:tcPr>
            <w:tcW w:type="dxa" w:w="6800"/>
            <w:tcMar>
              <w:top w:type="dxa" w:w="80"/>
              <w:left w:type="dxa" w:w="100"/>
              <w:bottom w:type="dxa" w:w="80"/>
              <w:right w:type="dxa" w:w="100"/>
            </w:tcMar>
          </w:tcPr>
          <w:p>
            <w:r>
              <w:rPr>
                <w:rFonts w:ascii="Inter" w:cs="Inter" w:eastAsia="Inter" w:hAnsi="Inter"/>
                <w:b w:val="false"/>
                <w:bCs w:val="false"/>
                <w:color w:val="1B1B1B"/>
                <w:sz w:val="20"/>
                <w:szCs w:val="20"/>
              </w:rPr>
              <w:t xml:space="preserve">Vertical templates are different information architectures — cart vs. booking vs. enquiry — not the same layout reskinned.</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Merchants can't break their own store</w:t>
            </w:r>
          </w:p>
        </w:tc>
        <w:tc>
          <w:tcPr>
            <w:tcW w:type="dxa" w:w="6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Token-driven theming (colour, logo, image slots, text blocks) only. Never a freeform page builder — this is a Part 2 §8 rule, restated as a design constraint.</w:t>
            </w:r>
          </w:p>
        </w:tc>
      </w:tr>
      <w:tr>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Trust is a design material</w:t>
            </w:r>
          </w:p>
        </w:tc>
        <w:tc>
          <w:tcPr>
            <w:tcW w:type="dxa" w:w="6800"/>
            <w:tcMar>
              <w:top w:type="dxa" w:w="80"/>
              <w:left w:type="dxa" w:w="100"/>
              <w:bottom w:type="dxa" w:w="80"/>
              <w:right w:type="dxa" w:w="100"/>
            </w:tcMar>
          </w:tcPr>
          <w:p>
            <w:r>
              <w:rPr>
                <w:rFonts w:ascii="Inter" w:cs="Inter" w:eastAsia="Inter" w:hAnsi="Inter"/>
                <w:b w:val="false"/>
                <w:bCs w:val="false"/>
                <w:color w:val="1B1B1B"/>
                <w:sz w:val="20"/>
                <w:szCs w:val="20"/>
              </w:rPr>
              <w:t xml:space="preserve">Payment logos, real photos, and order status get the same visual weight as the buy button — this audience's biggest objection is "will this be a scam."</w:t>
            </w:r>
          </w:p>
        </w:tc>
      </w:tr>
      <w:tr>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Plain over clever</w:t>
            </w:r>
          </w:p>
        </w:tc>
        <w:tc>
          <w:tcPr>
            <w:tcW w:type="dxa" w:w="6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Second person, zero jargon, icon always paired with text, never icon alone — literacy and English fluency vary across the merchant base.</w:t>
            </w:r>
          </w:p>
        </w:tc>
      </w:tr>
    </w:tbl>
    <w:p>
      <w:pPr>
        <w:pStyle w:val="Heading1"/>
        <w:spacing w:after="200" w:before="400"/>
      </w:pPr>
      <w:r>
        <w:rPr>
          <w:rFonts w:ascii="Inter" w:cs="Inter" w:eastAsia="Inter" w:hAnsi="Inter"/>
          <w:b/>
          <w:bCs/>
          <w:color w:val="07452F"/>
          <w:sz w:val="32"/>
          <w:szCs w:val="32"/>
        </w:rPr>
        <w:t xml:space="preserve">2. Brand Identity</w:t>
      </w:r>
    </w:p>
    <w:p>
      <w:pPr>
        <w:pStyle w:val="Heading2"/>
        <w:spacing w:after="150" w:before="300"/>
      </w:pPr>
      <w:r>
        <w:rPr>
          <w:rFonts w:ascii="Inter" w:cs="Inter" w:eastAsia="Inter" w:hAnsi="Inter"/>
          <w:b/>
          <w:bCs/>
          <w:color w:val="0B6E4F"/>
          <w:sz w:val="26"/>
          <w:szCs w:val="26"/>
        </w:rPr>
        <w:t xml:space="preserve">2.1 Typography — supersedes Part 3 §3</w:t>
      </w:r>
    </w:p>
    <w:p>
      <w:pPr>
        <w:spacing w:after="120"/>
      </w:pPr>
      <w:r>
        <w:rPr>
          <w:rFonts w:ascii="Inter" w:cs="Inter" w:eastAsia="Inter" w:hAnsi="Inter"/>
          <w:b w:val="false"/>
          <w:bCs w:val="false"/>
          <w:i w:val="false"/>
          <w:iCs w:val="false"/>
          <w:color w:val="1B1B1B"/>
          <w:sz w:val="22"/>
          <w:szCs w:val="22"/>
        </w:rPr>
        <w:t xml:space="preserve">Part 3 proposed a single free variable font (Inter or Plus Jakarta Sans) everywhere. This plan keeps Inter for exactly the reason Part 3 gave it — legible at small sizes on cheap screens, huge language coverage for Twi/Ga/Ewe, free and variable — but adds Satoshi as a second, display-only face for headlines, wordmarks, and section titles across the marketing site, portal, and Mission Control.</w:t>
      </w:r>
    </w:p>
    <w:p>
      <w:pPr>
        <w:pStyle w:val="ListParagraph"/>
        <w:numPr>
          <w:ilvl w:val="0"/>
          <w:numId w:val="1"/>
        </w:numPr>
        <w:spacing w:after="60"/>
      </w:pPr>
      <w:r>
        <w:rPr>
          <w:rFonts w:ascii="Inter" w:cs="Inter" w:eastAsia="Inter" w:hAnsi="Inter"/>
          <w:color w:val="1B1B1B"/>
          <w:sz w:val="22"/>
          <w:szCs w:val="22"/>
        </w:rPr>
        <w:t xml:space="preserve">Satoshi (weight 700–900) — headlines, hero copy, section titles, the wordmark. Distinct geometric personality; this is what makes ShopLocal feel like a considered product rather than a generic template. Used sparingly — never body text, never storefront product copy.</w:t>
      </w:r>
    </w:p>
    <w:p>
      <w:pPr>
        <w:pStyle w:val="ListParagraph"/>
        <w:numPr>
          <w:ilvl w:val="0"/>
          <w:numId w:val="1"/>
        </w:numPr>
        <w:spacing w:after="60"/>
      </w:pPr>
      <w:r>
        <w:rPr>
          <w:rFonts w:ascii="Inter" w:cs="Inter" w:eastAsia="Inter" w:hAnsi="Inter"/>
          <w:color w:val="1B1B1B"/>
          <w:sz w:val="22"/>
          <w:szCs w:val="22"/>
        </w:rPr>
        <w:t xml:space="preserve">Inter (variable, 400–700) — everything else: body text, UI labels, buttons, forms, all storefront copy. Does the actual reading work.</w:t>
      </w:r>
    </w:p>
    <w:p>
      <w:pPr>
        <w:pStyle w:val="ListParagraph"/>
        <w:numPr>
          <w:ilvl w:val="0"/>
          <w:numId w:val="1"/>
        </w:numPr>
        <w:spacing w:after="60"/>
      </w:pPr>
      <w:r>
        <w:rPr>
          <w:rFonts w:ascii="Inter" w:cs="Inter" w:eastAsia="Inter" w:hAnsi="Inter"/>
          <w:color w:val="1B1B1B"/>
          <w:sz w:val="22"/>
          <w:szCs w:val="22"/>
        </w:rPr>
        <w:t xml:space="preserve">Fallback stack: system-ui / -apple-system for both roles, with font-display: swap, so render is never blocked waiting on a font over a slow connection.</w:t>
      </w:r>
    </w:p>
    <w:p>
      <w:pPr>
        <w:pStyle w:val="ListParagraph"/>
        <w:numPr>
          <w:ilvl w:val="0"/>
          <w:numId w:val="1"/>
        </w:numPr>
        <w:spacing w:after="60"/>
      </w:pPr>
      <w:r>
        <w:rPr>
          <w:rFonts w:ascii="Inter" w:cs="Inter" w:eastAsia="Inter" w:hAnsi="Inter"/>
          <w:color w:val="1B1B1B"/>
          <w:sz w:val="22"/>
          <w:szCs w:val="22"/>
        </w:rPr>
        <w:t xml:space="preserve">A merchant can change their storefront's colours (Tier 2+). Nobody — merchant or staff — ever changes the font. This keeps every store fast and keeps the platform's typographic identity intact underneath merchant branding.</w:t>
      </w:r>
    </w:p>
    <w:p>
      <w:pPr>
        <w:spacing w:after="200" w:before="80"/>
      </w:pPr>
      <w:r>
        <w:rPr>
          <w:rFonts w:ascii="Inter" w:cs="Inter" w:eastAsia="Inter" w:hAnsi="Inter"/>
          <w:i/>
          <w:iCs/>
          <w:color w:val="555555"/>
          <w:sz w:val="20"/>
          <w:szCs w:val="20"/>
        </w:rPr>
        <w:t xml:space="preserve">Self-host both font files (Satoshi via Fontshare's free commercial licence, Inter via Google Fonts) rather than linking a CDN — consistent with the "public storefront traffic never touches a per-request billed or externally-dependent service" rule in Part 3 §2.</w:t>
      </w:r>
    </w:p>
    <w:p>
      <w:pPr>
        <w:pStyle w:val="Heading2"/>
        <w:spacing w:after="150" w:before="300"/>
      </w:pPr>
      <w:r>
        <w:rPr>
          <w:rFonts w:ascii="Inter" w:cs="Inter" w:eastAsia="Inter" w:hAnsi="Inter"/>
          <w:b/>
          <w:bCs/>
          <w:color w:val="0B6E4F"/>
          <w:sz w:val="26"/>
          <w:szCs w:val="26"/>
        </w:rPr>
        <w:t xml:space="preserve">2.2 Colour — Brand tokens (fixed, from Part 3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500"/>
      </w:tblGrid>
      <w:tr>
        <w:trPr>
          <w:tblHeader/>
        </w:trPr>
        <w:tc>
          <w:tcPr>
            <w:tcW w:type="dxa" w:w="900"/>
            <w:shd w:fill="0B6E4F" w:val="clear"/>
            <w:tcMar>
              <w:top w:type="dxa" w:w="80"/>
              <w:left w:type="dxa" w:w="100"/>
              <w:bottom w:type="dxa" w:w="80"/>
              <w:right w:type="dxa" w:w="100"/>
            </w:tcMar>
          </w:tcPr>
          <w:p>
            <w:r>
              <w:rPr>
                <w:rFonts w:ascii="Inter" w:cs="Inter" w:eastAsia="Inter" w:hAnsi="Inter"/>
                <w:b/>
                <w:bCs/>
                <w:color w:val="FFFFFF"/>
                <w:sz w:val="20"/>
                <w:szCs w:val="20"/>
              </w:rPr>
              <w:t xml:space="preserve"/>
            </w:r>
          </w:p>
        </w:tc>
        <w:tc>
          <w:tcPr>
            <w:tcW w:type="dxa" w:w="2200"/>
            <w:shd w:fill="0B6E4F" w:val="clear"/>
            <w:tcMar>
              <w:top w:type="dxa" w:w="80"/>
              <w:left w:type="dxa" w:w="100"/>
              <w:bottom w:type="dxa" w:w="80"/>
              <w:right w:type="dxa" w:w="100"/>
            </w:tcMar>
          </w:tcPr>
          <w:p>
            <w:r>
              <w:rPr>
                <w:rFonts w:ascii="Inter" w:cs="Inter" w:eastAsia="Inter" w:hAnsi="Inter"/>
                <w:b/>
                <w:bCs/>
                <w:color w:val="FFFFFF"/>
                <w:sz w:val="20"/>
                <w:szCs w:val="20"/>
              </w:rPr>
              <w:t xml:space="preserve">Token</w:t>
            </w:r>
          </w:p>
        </w:tc>
        <w:tc>
          <w:tcPr>
            <w:tcW w:type="dxa" w:w="1800"/>
            <w:shd w:fill="0B6E4F" w:val="clear"/>
            <w:tcMar>
              <w:top w:type="dxa" w:w="80"/>
              <w:left w:type="dxa" w:w="100"/>
              <w:bottom w:type="dxa" w:w="80"/>
              <w:right w:type="dxa" w:w="100"/>
            </w:tcMar>
          </w:tcPr>
          <w:p>
            <w:r>
              <w:rPr>
                <w:rFonts w:ascii="Inter" w:cs="Inter" w:eastAsia="Inter" w:hAnsi="Inter"/>
                <w:b/>
                <w:bCs/>
                <w:color w:val="FFFFFF"/>
                <w:sz w:val="20"/>
                <w:szCs w:val="20"/>
              </w:rPr>
              <w:t xml:space="preserve">Hex</w:t>
            </w:r>
          </w:p>
        </w:tc>
        <w:tc>
          <w:tcPr>
            <w:tcW w:type="dxa" w:w="4500"/>
            <w:shd w:fill="0B6E4F" w:val="clear"/>
            <w:tcMar>
              <w:top w:type="dxa" w:w="80"/>
              <w:left w:type="dxa" w:w="100"/>
              <w:bottom w:type="dxa" w:w="80"/>
              <w:right w:type="dxa" w:w="100"/>
            </w:tcMar>
          </w:tcPr>
          <w:p>
            <w:r>
              <w:rPr>
                <w:rFonts w:ascii="Inter" w:cs="Inter" w:eastAsia="Inter" w:hAnsi="Inter"/>
                <w:b/>
                <w:bCs/>
                <w:color w:val="FFFFFF"/>
                <w:sz w:val="20"/>
                <w:szCs w:val="20"/>
              </w:rPr>
              <w:t xml:space="preserve">Usage</w:t>
            </w:r>
          </w:p>
        </w:tc>
      </w:tr>
      <w:tr>
        <w:tc>
          <w:tcPr>
            <w:tcW w:type="dxa" w:w="900"/>
            <w:shd w:fill="0B6E4F"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Forest (primary)</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#0B6E4F</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Buttons, links, logo — the trust colour</w:t>
            </w:r>
          </w:p>
        </w:tc>
      </w:tr>
      <w:tr>
        <w:tc>
          <w:tcPr>
            <w:tcW w:type="dxa" w:w="900"/>
            <w:shd w:fill="07452F"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Ink green (primary dark)</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#07452F</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Footers, dark sections, hover states</w:t>
            </w:r>
          </w:p>
        </w:tc>
      </w:tr>
      <w:tr>
        <w:tc>
          <w:tcPr>
            <w:tcW w:type="dxa" w:w="900"/>
            <w:shd w:fill="F2A007"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Gold (accent)</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#F2A007</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CTAs and promo badges only — see contrast note below</w:t>
            </w:r>
          </w:p>
        </w:tc>
      </w:tr>
      <w:tr>
        <w:tc>
          <w:tcPr>
            <w:tcW w:type="dxa" w:w="900"/>
            <w:shd w:fill="FAF8F4"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Paper (background)</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#FAF8F4</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Page backgrounds — warmer than pure white</w:t>
            </w:r>
          </w:p>
        </w:tc>
      </w:tr>
      <w:tr>
        <w:tc>
          <w:tcPr>
            <w:tcW w:type="dxa" w:w="900"/>
            <w:shd w:fill="1B1B1B"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Ink (text)</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#1B1B1B</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Body text — maximum readability on cheap screens in sunlight</w:t>
            </w:r>
          </w:p>
        </w:tc>
      </w:tr>
      <w:tr>
        <w:tc>
          <w:tcPr>
            <w:tcW w:type="dxa" w:w="900"/>
            <w:shd w:fill="1E9E5A"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Success</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#1E9E5A</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Order confirmed, payment received</w:t>
            </w:r>
          </w:p>
        </w:tc>
      </w:tr>
      <w:tr>
        <w:tc>
          <w:tcPr>
            <w:tcW w:type="dxa" w:w="900"/>
            <w:shd w:fill="C0392B" w:val="clear"/>
            <w:tcMar>
              <w:top w:type="dxa" w:w="80"/>
              <w:left w:type="dxa" w:w="100"/>
              <w:bottom w:type="dxa" w:w="80"/>
              <w:right w:type="dxa" w:w="100"/>
            </w:tcMar>
          </w:tcPr>
          <w:p>
            <w:r>
              <w:rPr>
                <w:rFonts w:ascii="Inter" w:cs="Inter" w:eastAsia="Inter" w:hAnsi="Inter"/>
                <w:b w:val="false"/>
                <w:bCs w:val="false"/>
                <w:color w:val="1B1B1B"/>
                <w:sz w:val="20"/>
                <w:szCs w:val="20"/>
              </w:rPr>
              <w:t xml:space="preserve"> </w:t>
            </w:r>
          </w:p>
        </w:tc>
        <w:tc>
          <w:tcPr>
            <w:tcW w:type="dxa" w:w="2200"/>
            <w:tcMar>
              <w:top w:type="dxa" w:w="80"/>
              <w:left w:type="dxa" w:w="100"/>
              <w:bottom w:type="dxa" w:w="80"/>
              <w:right w:type="dxa" w:w="100"/>
            </w:tcMar>
          </w:tcPr>
          <w:p>
            <w:r>
              <w:rPr>
                <w:rFonts w:ascii="Inter" w:cs="Inter" w:eastAsia="Inter" w:hAnsi="Inter"/>
                <w:b/>
                <w:bCs/>
                <w:color w:val="1B1B1B"/>
                <w:sz w:val="20"/>
                <w:szCs w:val="20"/>
              </w:rPr>
              <w:t xml:space="preserve">Danger</w:t>
            </w:r>
          </w:p>
        </w:tc>
        <w:tc>
          <w:tcPr>
            <w:tcW w:type="dxa" w:w="1800"/>
            <w:tcMar>
              <w:top w:type="dxa" w:w="80"/>
              <w:left w:type="dxa" w:w="100"/>
              <w:bottom w:type="dxa" w:w="80"/>
              <w:right w:type="dxa" w:w="100"/>
            </w:tcMar>
          </w:tcPr>
          <w:p>
            <w:r>
              <w:rPr>
                <w:rFonts w:ascii="Inter" w:cs="Inter" w:eastAsia="Inter" w:hAnsi="Inter"/>
                <w:b w:val="false"/>
                <w:bCs w:val="false"/>
                <w:color w:val="1B1B1B"/>
                <w:sz w:val="20"/>
                <w:szCs w:val="20"/>
              </w:rPr>
              <w:t xml:space="preserve">#C0392B</w:t>
            </w:r>
          </w:p>
        </w:tc>
        <w:tc>
          <w:tcPr>
            <w:tcW w:type="dxa" w:w="4500"/>
            <w:tcMar>
              <w:top w:type="dxa" w:w="80"/>
              <w:left w:type="dxa" w:w="100"/>
              <w:bottom w:type="dxa" w:w="80"/>
              <w:right w:type="dxa" w:w="100"/>
            </w:tcMar>
          </w:tcPr>
          <w:p>
            <w:r>
              <w:rPr>
                <w:rFonts w:ascii="Inter" w:cs="Inter" w:eastAsia="Inter" w:hAnsi="Inter"/>
                <w:b w:val="false"/>
                <w:bCs w:val="false"/>
                <w:color w:val="1B1B1B"/>
                <w:sz w:val="20"/>
                <w:szCs w:val="20"/>
              </w:rPr>
              <w:t xml:space="preserve">Failures, disputes, overdue</w:t>
            </w:r>
          </w:p>
        </w:tc>
      </w:tr>
    </w:tbl>
    <w:p>
      <w:pPr>
        <w:spacing w:after="200" w:before="80"/>
      </w:pPr>
      <w:r>
        <w:rPr>
          <w:rFonts w:ascii="Inter" w:cs="Inter" w:eastAsia="Inter" w:hAnsi="Inter"/>
          <w:i/>
          <w:iCs/>
          <w:color w:val="555555"/>
          <w:sz w:val="20"/>
          <w:szCs w:val="20"/>
        </w:rPr>
        <w:t xml:space="preserve">Contrast gotcha to hold the line on: gold #F2A007 fails WCAG AA as a text colour on paper or white. It only ever appears as a filled button or badge background with dark ink text on top — never as text on a light ground, in brand or storefront use.</w:t>
      </w:r>
    </w:p>
    <w:p>
      <w:pPr>
        <w:pStyle w:val="Heading2"/>
        <w:spacing w:after="150" w:before="300"/>
      </w:pPr>
      <w:r>
        <w:rPr>
          <w:rFonts w:ascii="Inter" w:cs="Inter" w:eastAsia="Inter" w:hAnsi="Inter"/>
          <w:b/>
          <w:bCs/>
          <w:color w:val="0B6E4F"/>
          <w:sz w:val="26"/>
          <w:szCs w:val="26"/>
        </w:rPr>
        <w:t xml:space="preserve">2.3 Colour — Storefront theme tokens (merchant-editable, Tier 2+, per Part 2 §8)</w:t>
      </w:r>
    </w:p>
    <w:p>
      <w:pPr>
        <w:spacing w:after="120"/>
      </w:pPr>
      <w:r>
        <w:rPr>
          <w:rFonts w:ascii="Inter" w:cs="Inter" w:eastAsia="Inter" w:hAnsi="Inter"/>
          <w:b w:val="false"/>
          <w:bCs w:val="false"/>
          <w:i w:val="false"/>
          <w:iCs w:val="false"/>
          <w:color w:val="1B1B1B"/>
          <w:sz w:val="22"/>
          <w:szCs w:val="22"/>
        </w:rPr>
        <w:t xml:space="preserve">Exactly two tokens are exposed to merchants: a primary colour and an accent colour. Everything else — type, spacing, component shapes — is inherited from the fixed system. A contrast-safe text colour and hover state are auto-derived from whatever the merchant picks, so one bad colour choice can't produce unreadable text on their own store.</w:t>
      </w:r>
    </w:p>
    <w:p>
      <w:pPr>
        <w:pStyle w:val="Heading2"/>
        <w:spacing w:after="150" w:before="300"/>
      </w:pPr>
      <w:r>
        <w:rPr>
          <w:rFonts w:ascii="Inter" w:cs="Inter" w:eastAsia="Inter" w:hAnsi="Inter"/>
          <w:b/>
          <w:bCs/>
          <w:color w:val="0B6E4F"/>
          <w:sz w:val="26"/>
          <w:szCs w:val="26"/>
        </w:rPr>
        <w:t xml:space="preserve">2.4 Logo, imagery, iconography</w:t>
      </w:r>
    </w:p>
    <w:p>
      <w:pPr>
        <w:pStyle w:val="ListParagraph"/>
        <w:numPr>
          <w:ilvl w:val="0"/>
          <w:numId w:val="1"/>
        </w:numPr>
        <w:spacing w:after="60"/>
      </w:pPr>
      <w:r>
        <w:rPr>
          <w:rFonts w:ascii="Inter" w:cs="Inter" w:eastAsia="Inter" w:hAnsi="Inter"/>
          <w:color w:val="1B1B1B"/>
          <w:sz w:val="22"/>
          <w:szCs w:val="22"/>
        </w:rPr>
        <w:t xml:space="preserve">Wordmark only for now (no icon mark needed at launch). Brief for the contract designer: must read at 16px favicon size and reverse cleanly on green backgrounds; avoid the literal shopping-cart/bag cliché — direction is "many stores, one door." Evaluate 3 concepts by end of Phase 0 Week 2.</w:t>
      </w:r>
    </w:p>
    <w:p>
      <w:pPr>
        <w:pStyle w:val="ListParagraph"/>
        <w:numPr>
          <w:ilvl w:val="0"/>
          <w:numId w:val="1"/>
        </w:numPr>
        <w:spacing w:after="60"/>
      </w:pPr>
      <w:r>
        <w:rPr>
          <w:rFonts w:ascii="Inter" w:cs="Inter" w:eastAsia="Inter" w:hAnsi="Inter"/>
          <w:color w:val="1B1B1B"/>
          <w:sz w:val="22"/>
          <w:szCs w:val="22"/>
        </w:rPr>
        <w:t xml:space="preserve">Photography: real merchants, real shops, real product photos only, everywhere — no stock photography. This is already a Part 3 trust rule; extended here into a hard design-system constraint by shipping real-photo placeholder frames in the component kit instead of stock-photo placeholders, so nobody is tempted to ship stock under deadline pressure.</w:t>
      </w:r>
    </w:p>
    <w:p>
      <w:pPr>
        <w:pStyle w:val="ListParagraph"/>
        <w:numPr>
          <w:ilvl w:val="0"/>
          <w:numId w:val="1"/>
        </w:numPr>
        <w:spacing w:after="60"/>
      </w:pPr>
      <w:r>
        <w:rPr>
          <w:rFonts w:ascii="Inter" w:cs="Inter" w:eastAsia="Inter" w:hAnsi="Inter"/>
          <w:color w:val="1B1B1B"/>
          <w:sz w:val="22"/>
          <w:szCs w:val="22"/>
        </w:rPr>
        <w:t xml:space="preserve">Icons: one open-source set (Phosphor or Lucide), outline style, 1.5px stroke, picked once and never mixed with a second family.</w:t>
      </w:r>
    </w:p>
    <w:p>
      <w:pPr>
        <w:pageBreakBefore/>
      </w:pPr>
    </w:p>
    <w:p>
      <w:pPr>
        <w:pStyle w:val="Heading1"/>
        <w:spacing w:after="200" w:before="400"/>
      </w:pPr>
      <w:r>
        <w:rPr>
          <w:rFonts w:ascii="Inter" w:cs="Inter" w:eastAsia="Inter" w:hAnsi="Inter"/>
          <w:b/>
          <w:bCs/>
          <w:color w:val="07452F"/>
          <w:sz w:val="32"/>
          <w:szCs w:val="32"/>
        </w:rPr>
        <w:t xml:space="preserve">3. Design Token Architecture</w:t>
      </w:r>
    </w:p>
    <w:p>
      <w:pPr>
        <w:spacing w:after="120"/>
      </w:pPr>
      <w:r>
        <w:rPr>
          <w:rFonts w:ascii="Inter" w:cs="Inter" w:eastAsia="Inter" w:hAnsi="Inter"/>
          <w:b w:val="false"/>
          <w:bCs w:val="false"/>
          <w:i w:val="false"/>
          <w:iCs w:val="false"/>
          <w:color w:val="1B1B1B"/>
          <w:sz w:val="22"/>
          <w:szCs w:val="22"/>
        </w:rPr>
        <w:t xml:space="preserve">The technical backbone that makes "merchants can't break their own store" actually true, and lets one system power four different surfaces without four different design efforts.</w:t>
      </w:r>
    </w:p>
    <w:p>
      <w:pPr>
        <w:pStyle w:val="ListParagraph"/>
        <w:numPr>
          <w:ilvl w:val="0"/>
          <w:numId w:val="1"/>
        </w:numPr>
        <w:spacing w:after="60"/>
      </w:pPr>
      <w:r>
        <w:rPr>
          <w:rFonts w:ascii="Inter" w:cs="Inter" w:eastAsia="Inter" w:hAnsi="Inter"/>
          <w:color w:val="1B1B1B"/>
          <w:sz w:val="22"/>
          <w:szCs w:val="22"/>
        </w:rPr>
        <w:t xml:space="preserve">Tier A — brand tokens (fixed): power the marketing site, merchant-portal chrome, and Mission Control. Not themeable by anyone.</w:t>
      </w:r>
    </w:p>
    <w:p>
      <w:pPr>
        <w:pStyle w:val="ListParagraph"/>
        <w:numPr>
          <w:ilvl w:val="0"/>
          <w:numId w:val="1"/>
        </w:numPr>
        <w:spacing w:after="60"/>
      </w:pPr>
      <w:r>
        <w:rPr>
          <w:rFonts w:ascii="Inter" w:cs="Inter" w:eastAsia="Inter" w:hAnsi="Inter"/>
          <w:color w:val="1B1B1B"/>
          <w:sz w:val="22"/>
          <w:szCs w:val="22"/>
        </w:rPr>
        <w:t xml:space="preserve">Tier B — storefront theme tokens (merchant-editable, tier-gated): primary colour, accent colour, logo, hero image slots. Font stays fixed even when colours change.</w:t>
      </w:r>
    </w:p>
    <w:p>
      <w:pPr>
        <w:pStyle w:val="ListParagraph"/>
        <w:numPr>
          <w:ilvl w:val="0"/>
          <w:numId w:val="1"/>
        </w:numPr>
        <w:spacing w:after="60"/>
      </w:pPr>
      <w:r>
        <w:rPr>
          <w:rFonts w:ascii="Inter" w:cs="Inter" w:eastAsia="Inter" w:hAnsi="Inter"/>
          <w:color w:val="1B1B1B"/>
          <w:sz w:val="22"/>
          <w:szCs w:val="22"/>
        </w:rPr>
        <w:t xml:space="preserve">Implementation: CSS custom properties (--brand-primary, --store-primary, etc.) scoped per tenant at the layout root; the Tailwind config reads the same token names, so design and code share one source of truth instead of two documents that drift apart.</w:t>
      </w:r>
    </w:p>
    <w:p>
      <w:pPr>
        <w:spacing w:after="200" w:before="80"/>
      </w:pPr>
      <w:r>
        <w:rPr>
          <w:rFonts w:ascii="Inter" w:cs="Inter" w:eastAsia="Inter" w:hAnsi="Inter"/>
          <w:i/>
          <w:iCs/>
          <w:color w:val="555555"/>
          <w:sz w:val="20"/>
          <w:szCs w:val="20"/>
        </w:rPr>
        <w:t xml:space="preserve">Hand the token file directly to the two developers building this — it is the spec, not a reference for a separate spec.</w:t>
      </w:r>
    </w:p>
    <w:p>
      <w:pPr>
        <w:pStyle w:val="Heading1"/>
        <w:spacing w:after="200" w:before="400"/>
      </w:pPr>
      <w:r>
        <w:rPr>
          <w:rFonts w:ascii="Inter" w:cs="Inter" w:eastAsia="Inter" w:hAnsi="Inter"/>
          <w:b/>
          <w:bCs/>
          <w:color w:val="07452F"/>
          <w:sz w:val="32"/>
          <w:szCs w:val="32"/>
        </w:rPr>
        <w:t xml:space="preserve">4. Core Component System</w:t>
      </w:r>
    </w:p>
    <w:p>
      <w:pPr>
        <w:spacing w:after="120"/>
      </w:pPr>
      <w:r>
        <w:rPr>
          <w:rFonts w:ascii="Inter" w:cs="Inter" w:eastAsia="Inter" w:hAnsi="Inter"/>
          <w:b w:val="false"/>
          <w:bCs w:val="false"/>
          <w:i w:val="false"/>
          <w:iCs w:val="false"/>
          <w:color w:val="1B1B1B"/>
          <w:sz w:val="22"/>
          <w:szCs w:val="22"/>
        </w:rPr>
        <w:t xml:space="preserve">One library, shared across all four surfaces, built in Month 1–2 of the Part 5 execution plan — before any vertical template needs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00"/>
      </w:tblGrid>
      <w:tr>
        <w:trPr>
          <w:tblHeader/>
        </w:trPr>
        <w:tc>
          <w:tcPr>
            <w:tcW w:type="dxa" w:w="2800"/>
            <w:shd w:fill="0B6E4F" w:val="clear"/>
            <w:tcMar>
              <w:top w:type="dxa" w:w="80"/>
              <w:left w:type="dxa" w:w="100"/>
              <w:bottom w:type="dxa" w:w="80"/>
              <w:right w:type="dxa" w:w="100"/>
            </w:tcMar>
          </w:tcPr>
          <w:p>
            <w:r>
              <w:rPr>
                <w:rFonts w:ascii="Inter" w:cs="Inter" w:eastAsia="Inter" w:hAnsi="Inter"/>
                <w:b/>
                <w:bCs/>
                <w:color w:val="FFFFFF"/>
                <w:sz w:val="20"/>
                <w:szCs w:val="20"/>
              </w:rPr>
              <w:t xml:space="preserve">Component</w:t>
            </w:r>
          </w:p>
        </w:tc>
        <w:tc>
          <w:tcPr>
            <w:tcW w:type="dxa" w:w="3200"/>
            <w:shd w:fill="0B6E4F" w:val="clear"/>
            <w:tcMar>
              <w:top w:type="dxa" w:w="80"/>
              <w:left w:type="dxa" w:w="100"/>
              <w:bottom w:type="dxa" w:w="80"/>
              <w:right w:type="dxa" w:w="100"/>
            </w:tcMar>
          </w:tcPr>
          <w:p>
            <w:r>
              <w:rPr>
                <w:rFonts w:ascii="Inter" w:cs="Inter" w:eastAsia="Inter" w:hAnsi="Inter"/>
                <w:b/>
                <w:bCs/>
                <w:color w:val="FFFFFF"/>
                <w:sz w:val="20"/>
                <w:szCs w:val="20"/>
              </w:rPr>
              <w:t xml:space="preserve">States to design</w:t>
            </w:r>
          </w:p>
        </w:tc>
        <w:tc>
          <w:tcPr>
            <w:tcW w:type="dxa" w:w="3600"/>
            <w:shd w:fill="0B6E4F" w:val="clear"/>
            <w:tcMar>
              <w:top w:type="dxa" w:w="80"/>
              <w:left w:type="dxa" w:w="100"/>
              <w:bottom w:type="dxa" w:w="80"/>
              <w:right w:type="dxa" w:w="100"/>
            </w:tcMar>
          </w:tcPr>
          <w:p>
            <w:r>
              <w:rPr>
                <w:rFonts w:ascii="Inter" w:cs="Inter" w:eastAsia="Inter" w:hAnsi="Inter"/>
                <w:b/>
                <w:bCs/>
                <w:color w:val="FFFFFF"/>
                <w:sz w:val="20"/>
                <w:szCs w:val="20"/>
              </w:rPr>
              <w:t xml:space="preserve">Notes</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Buttons (primary / secondary / ghost / destructive)</w:t>
            </w:r>
          </w:p>
        </w:tc>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Default, hover, active, disabled, loading</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Primary uses gold fill; secondary uses forest fill — never gold text on light backgrounds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Form inputs (text, phone, price, photo upload)</w:t>
            </w:r>
          </w:p>
        </w:tc>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Default, focus, error, disabled</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Phone input pre-formatted for Ghanaian numbers</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Cards (product, order, tenant)</w:t>
            </w:r>
          </w:p>
        </w:tc>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Default, loading skeleton, empty</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Product card image uses a low-res blurred placeholder while the R2-resized image loads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Status badges</w:t>
            </w:r>
          </w:p>
        </w:tc>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Order state, trial/paid, KYC state</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Colour + label together, never colour alone</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Navigation</w:t>
            </w:r>
          </w:p>
        </w:tc>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Bottom tab bar (storefront/portal, mobile), sidebar (Mission Control, desktop)</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Same information architecture, two shells — not two designs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Alerts / toasts</w:t>
            </w:r>
          </w:p>
        </w:tc>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Success, error, info</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Match the WhatsApp-alert wording 1:1 so switching between channels feels like one product</w:t>
            </w:r>
          </w:p>
        </w:tc>
      </w:tr>
      <w:tr>
        <w:tc>
          <w:tcPr>
            <w:tcW w:type="dxa" w:w="2800"/>
            <w:tcMar>
              <w:top w:type="dxa" w:w="80"/>
              <w:left w:type="dxa" w:w="100"/>
              <w:bottom w:type="dxa" w:w="80"/>
              <w:right w:type="dxa" w:w="100"/>
            </w:tcMar>
          </w:tcPr>
          <w:p>
            <w:r>
              <w:rPr>
                <w:rFonts w:ascii="Inter" w:cs="Inter" w:eastAsia="Inter" w:hAnsi="Inter"/>
                <w:b w:val="false"/>
                <w:bCs w:val="false"/>
                <w:color w:val="1B1B1B"/>
                <w:sz w:val="20"/>
                <w:szCs w:val="20"/>
              </w:rPr>
              <w:t xml:space="preserve">Modal / sheet</w:t>
            </w:r>
          </w:p>
        </w:tc>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Bottom sheet (mobile default), centered modal (desktop only)</w:t>
            </w:r>
          </w:p>
        </w:tc>
        <w:tc>
          <w:tcPr>
            <w:tcW w:type="dxa" w:w="3600"/>
            <w:tcMar>
              <w:top w:type="dxa" w:w="80"/>
              <w:left w:type="dxa" w:w="100"/>
              <w:bottom w:type="dxa" w:w="80"/>
              <w:right w:type="dxa" w:w="100"/>
            </w:tcMar>
          </w:tcPr>
          <w:p>
            <w:r>
              <w:rPr>
                <w:rFonts w:ascii="Inter" w:cs="Inter" w:eastAsia="Inter" w:hAnsi="Inter"/>
                <w:b w:val="false"/>
                <w:bCs w:val="false"/>
                <w:color w:val="1B1B1B"/>
                <w:sz w:val="20"/>
                <w:szCs w:val="20"/>
              </w:rPr>
              <w:t xml:space="preserve">Mobile-first: sheets, not centered dialogs</w:t>
            </w:r>
          </w:p>
        </w:tc>
      </w:tr>
      <w:tr>
        <w:tc>
          <w:tcPr>
            <w:tcW w:type="dxa" w:w="28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Table (Mission Control)</w:t>
            </w:r>
          </w:p>
        </w:tc>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Default, sortable header, empty, loading row</w:t>
            </w:r>
          </w:p>
        </w:tc>
        <w:tc>
          <w:tcPr>
            <w:tcW w:type="dxa" w:w="3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Dense spacing here only — the one surface where clarity beats personality</w:t>
            </w:r>
          </w:p>
        </w:tc>
      </w:tr>
    </w:tbl>
    <w:p>
      <w:pPr>
        <w:pStyle w:val="Heading1"/>
        <w:spacing w:after="200" w:before="400"/>
      </w:pPr>
      <w:r>
        <w:rPr>
          <w:rFonts w:ascii="Inter" w:cs="Inter" w:eastAsia="Inter" w:hAnsi="Inter"/>
          <w:b/>
          <w:bCs/>
          <w:color w:val="07452F"/>
          <w:sz w:val="32"/>
          <w:szCs w:val="32"/>
        </w:rPr>
        <w:t xml:space="preserve">5. Surface-by-Surface Design Specs</w:t>
      </w:r>
    </w:p>
    <w:p>
      <w:pPr>
        <w:pStyle w:val="Heading2"/>
        <w:spacing w:after="150" w:before="300"/>
      </w:pPr>
      <w:r>
        <w:rPr>
          <w:rFonts w:ascii="Inter" w:cs="Inter" w:eastAsia="Inter" w:hAnsi="Inter"/>
          <w:b/>
          <w:bCs/>
          <w:color w:val="0B6E4F"/>
          <w:sz w:val="26"/>
          <w:szCs w:val="26"/>
        </w:rPr>
        <w:t xml:space="preserve">5.1 Marketing site</w:t>
      </w:r>
    </w:p>
    <w:p>
      <w:pPr>
        <w:spacing w:after="120"/>
      </w:pPr>
      <w:r>
        <w:rPr>
          <w:rFonts w:ascii="Inter" w:cs="Inter" w:eastAsia="Inter" w:hAnsi="Inter"/>
          <w:b w:val="false"/>
          <w:bCs w:val="false"/>
          <w:i w:val="false"/>
          <w:iCs w:val="false"/>
          <w:color w:val="1B1B1B"/>
          <w:sz w:val="22"/>
          <w:szCs w:val="22"/>
        </w:rPr>
        <w:t xml:space="preserve">Information architecture already specified in Part 3 §5 — this adds the layout discipline: single-column, mobile-first; hero CTA sits above the fold on a 375px viewport without scrolling; the live proof strip is a horizontally-scrollable card row, not a JS-heavy carousel, to protect the data-light budget.</w:t>
      </w:r>
    </w:p>
    <w:p>
      <w:pPr>
        <w:pStyle w:val="Heading2"/>
        <w:spacing w:after="150" w:before="300"/>
      </w:pPr>
      <w:r>
        <w:rPr>
          <w:rFonts w:ascii="Inter" w:cs="Inter" w:eastAsia="Inter" w:hAnsi="Inter"/>
          <w:b/>
          <w:bCs/>
          <w:color w:val="0B6E4F"/>
          <w:sz w:val="26"/>
          <w:szCs w:val="26"/>
        </w:rPr>
        <w:t xml:space="preserve">5.2 Merchant portal (my.shoplocal.app)</w:t>
      </w:r>
    </w:p>
    <w:p>
      <w:pPr>
        <w:spacing w:after="120"/>
      </w:pPr>
      <w:r>
        <w:rPr>
          <w:rFonts w:ascii="Inter" w:cs="Inter" w:eastAsia="Inter" w:hAnsi="Inter"/>
          <w:b w:val="false"/>
          <w:bCs w:val="false"/>
          <w:i w:val="false"/>
          <w:iCs w:val="false"/>
          <w:color w:val="1B1B1B"/>
          <w:sz w:val="22"/>
          <w:szCs w:val="22"/>
        </w:rPr>
        <w:t xml:space="preserve">Capability list per tier is already specified in Part 2 §8. Design it as a bottom-tab app shell on mobile: Home (the "visits this week" number from Part 4 §3.1), Orders, Products, Store, More. Desktop gets the same information architecture as a left sidebar — one IA, two shells.</w:t>
      </w:r>
    </w:p>
    <w:p>
      <w:pPr>
        <w:spacing w:after="120"/>
      </w:pPr>
      <w:r>
        <w:rPr>
          <w:rFonts w:ascii="Inter" w:cs="Inter" w:eastAsia="Inter" w:hAnsi="Inter"/>
          <w:b w:val="false"/>
          <w:bCs w:val="false"/>
          <w:i w:val="false"/>
          <w:iCs w:val="false"/>
          <w:color w:val="1B1B1B"/>
          <w:sz w:val="22"/>
          <w:szCs w:val="22"/>
        </w:rPr>
        <w:t xml:space="preserve">The order-handling screen is the single most-used screen in the product. Design it around the Part 4 §4 click budget: order card → Confirm / Assign rider / Delivered as large one-tap buttons, matching the WhatsApp equivalent exactly so switching between WhatsApp and the portal feels like the same product.</w:t>
      </w:r>
    </w:p>
    <w:p>
      <w:pPr>
        <w:pStyle w:val="Heading2"/>
        <w:spacing w:after="150" w:before="300"/>
      </w:pPr>
      <w:r>
        <w:rPr>
          <w:rFonts w:ascii="Inter" w:cs="Inter" w:eastAsia="Inter" w:hAnsi="Inter"/>
          <w:b/>
          <w:bCs/>
          <w:color w:val="0B6E4F"/>
          <w:sz w:val="26"/>
          <w:szCs w:val="26"/>
        </w:rPr>
        <w:t xml:space="preserve">5.3 Storefronts — the core design deliverable</w:t>
      </w:r>
    </w:p>
    <w:p>
      <w:pPr>
        <w:spacing w:after="120"/>
      </w:pPr>
      <w:r>
        <w:rPr>
          <w:rFonts w:ascii="Inter" w:cs="Inter" w:eastAsia="Inter" w:hAnsi="Inter"/>
          <w:b w:val="false"/>
          <w:bCs w:val="false"/>
          <w:i w:val="false"/>
          <w:iCs w:val="false"/>
          <w:color w:val="1B1B1B"/>
          <w:sz w:val="22"/>
          <w:szCs w:val="22"/>
        </w:rPr>
        <w:t xml:space="preserve">This gets the most design hours because it's the moat. For each of the first three launch verticals (General Retail, Fashion, Food — per Part 5's Month 2–3 build order), design: homepage layout, product/menu listing, product/item detail, cart/checkout flow, and the order confirmation + tracking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0B6E4F" w:val="clear"/>
            <w:tcMar>
              <w:top w:type="dxa" w:w="80"/>
              <w:left w:type="dxa" w:w="100"/>
              <w:bottom w:type="dxa" w:w="80"/>
              <w:right w:type="dxa" w:w="100"/>
            </w:tcMar>
          </w:tcPr>
          <w:p>
            <w:r>
              <w:rPr>
                <w:rFonts w:ascii="Inter" w:cs="Inter" w:eastAsia="Inter" w:hAnsi="Inter"/>
                <w:b/>
                <w:bCs/>
                <w:color w:val="FFFFFF"/>
                <w:sz w:val="20"/>
                <w:szCs w:val="20"/>
              </w:rPr>
              <w:t xml:space="preserve">Vertical</w:t>
            </w:r>
          </w:p>
        </w:tc>
        <w:tc>
          <w:tcPr>
            <w:tcW w:type="dxa" w:w="2600"/>
            <w:shd w:fill="0B6E4F" w:val="clear"/>
            <w:tcMar>
              <w:top w:type="dxa" w:w="80"/>
              <w:left w:type="dxa" w:w="100"/>
              <w:bottom w:type="dxa" w:w="80"/>
              <w:right w:type="dxa" w:w="100"/>
            </w:tcMar>
          </w:tcPr>
          <w:p>
            <w:r>
              <w:rPr>
                <w:rFonts w:ascii="Inter" w:cs="Inter" w:eastAsia="Inter" w:hAnsi="Inter"/>
                <w:b/>
                <w:bCs/>
                <w:color w:val="FFFFFF"/>
                <w:sz w:val="20"/>
                <w:szCs w:val="20"/>
              </w:rPr>
              <w:t xml:space="preserve">Buying flow</w:t>
            </w:r>
          </w:p>
        </w:tc>
        <w:tc>
          <w:tcPr>
            <w:tcW w:type="dxa" w:w="4600"/>
            <w:shd w:fill="0B6E4F" w:val="clear"/>
            <w:tcMar>
              <w:top w:type="dxa" w:w="80"/>
              <w:left w:type="dxa" w:w="100"/>
              <w:bottom w:type="dxa" w:w="80"/>
              <w:right w:type="dxa" w:w="100"/>
            </w:tcMar>
          </w:tcPr>
          <w:p>
            <w:r>
              <w:rPr>
                <w:rFonts w:ascii="Inter" w:cs="Inter" w:eastAsia="Inter" w:hAnsi="Inter"/>
                <w:b/>
                <w:bCs/>
                <w:color w:val="FFFFFF"/>
                <w:sz w:val="20"/>
                <w:szCs w:val="20"/>
              </w:rPr>
              <w:t xml:space="preserve">What the layout foregrounds</w:t>
            </w:r>
          </w:p>
        </w:tc>
      </w:tr>
      <w:tr>
        <w:tc>
          <w:tcPr>
            <w:tcW w:type="dxa" w:w="2400"/>
            <w:tcMar>
              <w:top w:type="dxa" w:w="80"/>
              <w:left w:type="dxa" w:w="100"/>
              <w:bottom w:type="dxa" w:w="80"/>
              <w:right w:type="dxa" w:w="100"/>
            </w:tcMar>
          </w:tcPr>
          <w:p>
            <w:r>
              <w:rPr>
                <w:rFonts w:ascii="Inter" w:cs="Inter" w:eastAsia="Inter" w:hAnsi="Inter"/>
                <w:b w:val="false"/>
                <w:bCs w:val="false"/>
                <w:color w:val="1B1B1B"/>
                <w:sz w:val="20"/>
                <w:szCs w:val="20"/>
              </w:rPr>
              <w:t xml:space="preserve">General Retail</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Standard cart &amp; checkout</w:t>
            </w:r>
          </w:p>
        </w:tc>
        <w:tc>
          <w:tcPr>
            <w:tcW w:type="dxa" w:w="4600"/>
            <w:tcMar>
              <w:top w:type="dxa" w:w="80"/>
              <w:left w:type="dxa" w:w="100"/>
              <w:bottom w:type="dxa" w:w="80"/>
              <w:right w:type="dxa" w:w="100"/>
            </w:tcMar>
          </w:tcPr>
          <w:p>
            <w:r>
              <w:rPr>
                <w:rFonts w:ascii="Inter" w:cs="Inter" w:eastAsia="Inter" w:hAnsi="Inter"/>
                <w:b w:val="false"/>
                <w:bCs w:val="false"/>
                <w:color w:val="1B1B1B"/>
                <w:sz w:val="20"/>
                <w:szCs w:val="20"/>
              </w:rPr>
              <w:t xml:space="preserve">Category grid, simple product cards, pickup-or-delivery toggle</w:t>
            </w:r>
          </w:p>
        </w:tc>
      </w:tr>
      <w:tr>
        <w:tc>
          <w:tcPr>
            <w:tcW w:type="dxa" w:w="2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Fashion &amp; Clothing</w:t>
            </w:r>
          </w:p>
        </w:tc>
        <w:tc>
          <w:tcPr>
            <w:tcW w:type="dxa" w:w="2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Cart with variants</w:t>
            </w:r>
          </w:p>
        </w:tc>
        <w:tc>
          <w:tcPr>
            <w:tcW w:type="dxa" w:w="46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Size/colour pickers, lookbook imagery, "new arrivals" rail</w:t>
            </w:r>
          </w:p>
        </w:tc>
      </w:tr>
      <w:tr>
        <w:tc>
          <w:tcPr>
            <w:tcW w:type="dxa" w:w="2400"/>
            <w:tcMar>
              <w:top w:type="dxa" w:w="80"/>
              <w:left w:type="dxa" w:w="100"/>
              <w:bottom w:type="dxa" w:w="80"/>
              <w:right w:type="dxa" w:w="100"/>
            </w:tcMar>
          </w:tcPr>
          <w:p>
            <w:r>
              <w:rPr>
                <w:rFonts w:ascii="Inter" w:cs="Inter" w:eastAsia="Inter" w:hAnsi="Inter"/>
                <w:b w:val="false"/>
                <w:bCs w:val="false"/>
                <w:color w:val="1B1B1B"/>
                <w:sz w:val="20"/>
                <w:szCs w:val="20"/>
              </w:rPr>
              <w:t xml:space="preserve">Food &amp; Restaurant</w:t>
            </w:r>
          </w:p>
        </w:tc>
        <w:tc>
          <w:tcPr>
            <w:tcW w:type="dxa" w:w="2600"/>
            <w:tcMar>
              <w:top w:type="dxa" w:w="80"/>
              <w:left w:type="dxa" w:w="100"/>
              <w:bottom w:type="dxa" w:w="80"/>
              <w:right w:type="dxa" w:w="100"/>
            </w:tcMar>
          </w:tcPr>
          <w:p>
            <w:r>
              <w:rPr>
                <w:rFonts w:ascii="Inter" w:cs="Inter" w:eastAsia="Inter" w:hAnsi="Inter"/>
                <w:b w:val="false"/>
                <w:bCs w:val="false"/>
                <w:color w:val="1B1B1B"/>
                <w:sz w:val="20"/>
                <w:szCs w:val="20"/>
              </w:rPr>
              <w:t xml:space="preserve">Order-ahead, short-lived cart</w:t>
            </w:r>
          </w:p>
        </w:tc>
        <w:tc>
          <w:tcPr>
            <w:tcW w:type="dxa" w:w="4600"/>
            <w:tcMar>
              <w:top w:type="dxa" w:w="80"/>
              <w:left w:type="dxa" w:w="100"/>
              <w:bottom w:type="dxa" w:w="80"/>
              <w:right w:type="dxa" w:w="100"/>
            </w:tcMar>
          </w:tcPr>
          <w:p>
            <w:r>
              <w:rPr>
                <w:rFonts w:ascii="Inter" w:cs="Inter" w:eastAsia="Inter" w:hAnsi="Inter"/>
                <w:b w:val="false"/>
                <w:bCs w:val="false"/>
                <w:color w:val="1B1B1B"/>
                <w:sz w:val="20"/>
                <w:szCs w:val="20"/>
              </w:rPr>
              <w:t xml:space="preserve">Menu sections, item availability by time, scheduled pickup slot picker</w:t>
            </w:r>
          </w:p>
        </w:tc>
      </w:tr>
    </w:tbl>
    <w:p>
      <w:pPr>
        <w:spacing w:after="120"/>
      </w:pPr>
      <w:r>
        <w:rPr>
          <w:rFonts w:ascii="Inter" w:cs="Inter" w:eastAsia="Inter" w:hAnsi="Inter"/>
          <w:b w:val="false"/>
          <w:bCs w:val="false"/>
          <w:i w:val="false"/>
          <w:iCs w:val="false"/>
          <w:color w:val="1B1B1B"/>
          <w:sz w:val="22"/>
          <w:szCs w:val="22"/>
        </w:rPr>
        <w:t xml:space="preserve">Buyer-side screens matter as much as merchant-side: guest checkout (Part 4 §4 click budget — 4 taps, 3 fields, MoMo PIN), the delivery tracking page (Part 4 §2), and the dispute/"report a problem" link. These are unauthenticated, public pages, and per Part 2 §6 are literally where trust is won or lost.</w:t>
      </w:r>
    </w:p>
    <w:p>
      <w:pPr>
        <w:pStyle w:val="Heading2"/>
        <w:spacing w:after="150" w:before="300"/>
      </w:pPr>
      <w:r>
        <w:rPr>
          <w:rFonts w:ascii="Inter" w:cs="Inter" w:eastAsia="Inter" w:hAnsi="Inter"/>
          <w:b/>
          <w:bCs/>
          <w:color w:val="0B6E4F"/>
          <w:sz w:val="26"/>
          <w:szCs w:val="26"/>
        </w:rPr>
        <w:t xml:space="preserve">5.4 Mission Control (internal)</w:t>
      </w:r>
    </w:p>
    <w:p>
      <w:pPr>
        <w:spacing w:after="120"/>
      </w:pPr>
      <w:r>
        <w:rPr>
          <w:rFonts w:ascii="Inter" w:cs="Inter" w:eastAsia="Inter" w:hAnsi="Inter"/>
          <w:b w:val="false"/>
          <w:bCs w:val="false"/>
          <w:i w:val="false"/>
          <w:iCs w:val="false"/>
          <w:color w:val="1B1B1B"/>
          <w:sz w:val="22"/>
          <w:szCs w:val="22"/>
        </w:rPr>
        <w:t xml:space="preserve">Desktop-first — staff use real computers. Information-dense, not "lively": this is the one surface where clarity beats personality. It reuses the same component library and brand tokens but with denser spacing and heavier table use. Design the KYC review queue and dispute queue first — per Part 3 §6, these are the two screens staff will live in — not the Overview dashboard, which is a nice-to-have.</w:t>
      </w:r>
    </w:p>
    <w:p>
      <w:pPr>
        <w:pageBreakBefore/>
      </w:pPr>
    </w:p>
    <w:p>
      <w:pPr>
        <w:pStyle w:val="Heading1"/>
        <w:spacing w:after="200" w:before="400"/>
      </w:pPr>
      <w:r>
        <w:rPr>
          <w:rFonts w:ascii="Inter" w:cs="Inter" w:eastAsia="Inter" w:hAnsi="Inter"/>
          <w:b/>
          <w:bCs/>
          <w:color w:val="07452F"/>
          <w:sz w:val="32"/>
          <w:szCs w:val="32"/>
        </w:rPr>
        <w:t xml:space="preserve">6. Responsive &amp; Performance Rules</w:t>
      </w:r>
    </w:p>
    <w:p>
      <w:pPr>
        <w:pStyle w:val="ListParagraph"/>
        <w:numPr>
          <w:ilvl w:val="0"/>
          <w:numId w:val="1"/>
        </w:numPr>
        <w:spacing w:after="60"/>
      </w:pPr>
      <w:r>
        <w:rPr>
          <w:rFonts w:ascii="Inter" w:cs="Inter" w:eastAsia="Inter" w:hAnsi="Inter"/>
          <w:color w:val="1B1B1B"/>
          <w:sz w:val="22"/>
          <w:szCs w:val="22"/>
        </w:rPr>
        <w:t xml:space="preserve">Breakpoints: mobile 375px (design base) → tablet 768px → desktop 1280px. Only the portal and Mission Control need real desktop layouts — storefronts and the marketing site are mobile designs that also work on desktop via max-width centering; don't spend design hours on desktop storefront layouts this market won't use much.</w:t>
      </w:r>
    </w:p>
    <w:p>
      <w:pPr>
        <w:pStyle w:val="ListParagraph"/>
        <w:numPr>
          <w:ilvl w:val="0"/>
          <w:numId w:val="1"/>
        </w:numPr>
        <w:spacing w:after="60"/>
      </w:pPr>
      <w:r>
        <w:rPr>
          <w:rFonts w:ascii="Inter" w:cs="Inter" w:eastAsia="Inter" w:hAnsi="Inter"/>
          <w:color w:val="1B1B1B"/>
          <w:sz w:val="22"/>
          <w:szCs w:val="22"/>
        </w:rPr>
        <w:t xml:space="preserve">Images route through Cloudflare R2 on-the-fly resizing (Part 3 stack) — every image slot in the spec states its target dimensions so developers request the right size, not the original file.</w:t>
      </w:r>
    </w:p>
    <w:p>
      <w:pPr>
        <w:pStyle w:val="ListParagraph"/>
        <w:numPr>
          <w:ilvl w:val="0"/>
          <w:numId w:val="1"/>
        </w:numPr>
        <w:spacing w:after="60"/>
      </w:pPr>
      <w:r>
        <w:rPr>
          <w:rFonts w:ascii="Inter" w:cs="Inter" w:eastAsia="Inter" w:hAnsi="Inter"/>
          <w:color w:val="1B1B1B"/>
          <w:sz w:val="22"/>
          <w:szCs w:val="22"/>
        </w:rPr>
        <w:t xml:space="preserve">No animation library. CSS transitions only; respect prefers-reduced-motion and prefers-reduced-data.</w:t>
      </w:r>
    </w:p>
    <w:p>
      <w:pPr>
        <w:pStyle w:val="Heading1"/>
        <w:spacing w:after="200" w:before="400"/>
      </w:pPr>
      <w:r>
        <w:rPr>
          <w:rFonts w:ascii="Inter" w:cs="Inter" w:eastAsia="Inter" w:hAnsi="Inter"/>
          <w:b/>
          <w:bCs/>
          <w:color w:val="07452F"/>
          <w:sz w:val="32"/>
          <w:szCs w:val="32"/>
        </w:rPr>
        <w:t xml:space="preserve">7. Accessibility &amp; Inclusive Design</w:t>
      </w:r>
    </w:p>
    <w:p>
      <w:pPr>
        <w:pStyle w:val="ListParagraph"/>
        <w:numPr>
          <w:ilvl w:val="0"/>
          <w:numId w:val="1"/>
        </w:numPr>
        <w:spacing w:after="60"/>
      </w:pPr>
      <w:r>
        <w:rPr>
          <w:rFonts w:ascii="Inter" w:cs="Inter" w:eastAsia="Inter" w:hAnsi="Inter"/>
          <w:color w:val="1B1B1B"/>
          <w:sz w:val="22"/>
          <w:szCs w:val="22"/>
        </w:rPr>
        <w:t xml:space="preserve">Every brand colour pairing validated at WCAG AA minimum before it ships — not after a complaint.</w:t>
      </w:r>
    </w:p>
    <w:p>
      <w:pPr>
        <w:pStyle w:val="ListParagraph"/>
        <w:numPr>
          <w:ilvl w:val="0"/>
          <w:numId w:val="1"/>
        </w:numPr>
        <w:spacing w:after="60"/>
      </w:pPr>
      <w:r>
        <w:rPr>
          <w:rFonts w:ascii="Inter" w:cs="Inter" w:eastAsia="Inter" w:hAnsi="Inter"/>
          <w:color w:val="1B1B1B"/>
          <w:sz w:val="22"/>
          <w:szCs w:val="22"/>
        </w:rPr>
        <w:t xml:space="preserve">Touch targets minimum 44×44px; extra padding on "add to cart," "confirm order," and rider-dispatch buttons specifically, since they're used one-handed, outdoors, often in a hurry.</w:t>
      </w:r>
    </w:p>
    <w:p>
      <w:pPr>
        <w:pStyle w:val="ListParagraph"/>
        <w:numPr>
          <w:ilvl w:val="0"/>
          <w:numId w:val="1"/>
        </w:numPr>
        <w:spacing w:after="60"/>
      </w:pPr>
      <w:r>
        <w:rPr>
          <w:rFonts w:ascii="Inter" w:cs="Inter" w:eastAsia="Inter" w:hAnsi="Inter"/>
          <w:color w:val="1B1B1B"/>
          <w:sz w:val="22"/>
          <w:szCs w:val="22"/>
        </w:rPr>
        <w:t xml:space="preserve">Icon and text always paired, never icon-only — for the same literacy/English-fluency reason behind Part 3's voice rules.</w:t>
      </w:r>
    </w:p>
    <w:p>
      <w:pPr>
        <w:pStyle w:val="Heading1"/>
        <w:spacing w:after="200" w:before="400"/>
      </w:pPr>
      <w:r>
        <w:rPr>
          <w:rFonts w:ascii="Inter" w:cs="Inter" w:eastAsia="Inter" w:hAnsi="Inter"/>
          <w:b/>
          <w:bCs/>
          <w:color w:val="07452F"/>
          <w:sz w:val="32"/>
          <w:szCs w:val="32"/>
        </w:rPr>
        <w:t xml:space="preserve">8. Design Deliverables &amp; Tooling</w:t>
      </w:r>
    </w:p>
    <w:p>
      <w:pPr>
        <w:pStyle w:val="ListParagraph"/>
        <w:numPr>
          <w:ilvl w:val="0"/>
          <w:numId w:val="1"/>
        </w:numPr>
        <w:spacing w:after="60"/>
      </w:pPr>
      <w:r>
        <w:rPr>
          <w:rFonts w:ascii="Inter" w:cs="Inter" w:eastAsia="Inter" w:hAnsi="Inter"/>
          <w:color w:val="1B1B1B"/>
          <w:sz w:val="22"/>
          <w:szCs w:val="22"/>
        </w:rPr>
        <w:t xml:space="preserve">Figma structure: one file, four pages — Brand &amp; Tokens, Component Library, Storefront Templates, Portal + Mission Control — not four separate files, so a token change is visible everywhere it's used.</w:t>
      </w:r>
    </w:p>
    <w:p>
      <w:pPr>
        <w:pStyle w:val="ListParagraph"/>
        <w:numPr>
          <w:ilvl w:val="0"/>
          <w:numId w:val="1"/>
        </w:numPr>
        <w:spacing w:after="60"/>
      </w:pPr>
      <w:r>
        <w:rPr>
          <w:rFonts w:ascii="Inter" w:cs="Inter" w:eastAsia="Inter" w:hAnsi="Inter"/>
          <w:color w:val="1B1B1B"/>
          <w:sz w:val="22"/>
          <w:szCs w:val="22"/>
        </w:rPr>
        <w:t xml:space="preserve">Tokens exported as a single JSON/CSS-variables file that developers consume directly, avoiding the classic design/dev drift.</w:t>
      </w:r>
    </w:p>
    <w:p>
      <w:pPr>
        <w:pStyle w:val="ListParagraph"/>
        <w:numPr>
          <w:ilvl w:val="0"/>
          <w:numId w:val="1"/>
        </w:numPr>
        <w:spacing w:after="60"/>
      </w:pPr>
      <w:r>
        <w:rPr>
          <w:rFonts w:ascii="Inter" w:cs="Inter" w:eastAsia="Inter" w:hAnsi="Inter"/>
          <w:color w:val="1B1B1B"/>
          <w:sz w:val="22"/>
          <w:szCs w:val="22"/>
        </w:rPr>
        <w:t xml:space="preserve">Handoff is Figma dev mode plus the token file — no separate written spec per screen, to keep design and build tight against a two-developer team.</w:t>
      </w:r>
    </w:p>
    <w:p>
      <w:pPr>
        <w:pStyle w:val="Heading1"/>
        <w:spacing w:after="200" w:before="400"/>
      </w:pPr>
      <w:r>
        <w:rPr>
          <w:rFonts w:ascii="Inter" w:cs="Inter" w:eastAsia="Inter" w:hAnsi="Inter"/>
          <w:b/>
          <w:bCs/>
          <w:color w:val="07452F"/>
          <w:sz w:val="32"/>
          <w:szCs w:val="32"/>
        </w:rPr>
        <w:t xml:space="preserve">9. Design Process Timeline</w:t>
      </w:r>
    </w:p>
    <w:p>
      <w:pPr>
        <w:spacing w:after="120"/>
      </w:pPr>
      <w:r>
        <w:rPr>
          <w:rFonts w:ascii="Inter" w:cs="Inter" w:eastAsia="Inter" w:hAnsi="Inter"/>
          <w:b w:val="false"/>
          <w:bCs w:val="false"/>
          <w:i w:val="false"/>
          <w:iCs w:val="false"/>
          <w:color w:val="1B1B1B"/>
          <w:sz w:val="22"/>
          <w:szCs w:val="22"/>
        </w:rPr>
        <w:t xml:space="preserve">Mapped to Part 5's Month 1–4 build schedule, so design is never the thing the developers are waiting 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B6E4F" w:val="clear"/>
            <w:tcMar>
              <w:top w:type="dxa" w:w="80"/>
              <w:left w:type="dxa" w:w="100"/>
              <w:bottom w:type="dxa" w:w="80"/>
              <w:right w:type="dxa" w:w="100"/>
            </w:tcMar>
          </w:tcPr>
          <w:p>
            <w:r>
              <w:rPr>
                <w:rFonts w:ascii="Inter" w:cs="Inter" w:eastAsia="Inter" w:hAnsi="Inter"/>
                <w:b/>
                <w:bCs/>
                <w:color w:val="FFFFFF"/>
                <w:sz w:val="20"/>
                <w:szCs w:val="20"/>
              </w:rPr>
              <w:t xml:space="preserve">When</w:t>
            </w:r>
          </w:p>
        </w:tc>
        <w:tc>
          <w:tcPr>
            <w:tcW w:type="dxa" w:w="6400"/>
            <w:shd w:fill="0B6E4F" w:val="clear"/>
            <w:tcMar>
              <w:top w:type="dxa" w:w="80"/>
              <w:left w:type="dxa" w:w="100"/>
              <w:bottom w:type="dxa" w:w="80"/>
              <w:right w:type="dxa" w:w="100"/>
            </w:tcMar>
          </w:tcPr>
          <w:p>
            <w:r>
              <w:rPr>
                <w:rFonts w:ascii="Inter" w:cs="Inter" w:eastAsia="Inter" w:hAnsi="Inter"/>
                <w:b/>
                <w:bCs/>
                <w:color w:val="FFFFFF"/>
                <w:sz w:val="20"/>
                <w:szCs w:val="20"/>
              </w:rPr>
              <w:t xml:space="preserve">Design milestone</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Phase 0, Weeks 1–2 (overlapping Month 1 start)</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Brand tokens finalised, wordmark chosen from 3 concepts, component library v1 (buttons/forms/cards) in Figma</w:t>
            </w:r>
          </w:p>
        </w:tc>
      </w:tr>
      <w:tr>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1</w:t>
            </w:r>
          </w:p>
        </w:tc>
        <w:tc>
          <w:tcPr>
            <w:tcW w:type="dxa" w:w="6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Portal shell and auth screens designed ahead of the dev build</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Month 2</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General Retail storefront template fully designed; marketing site v1 designed</w:t>
            </w:r>
          </w:p>
        </w:tc>
      </w:tr>
      <w:tr>
        <w:tc>
          <w:tcPr>
            <w:tcW w:type="dxa" w:w="32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Month 3</w:t>
            </w:r>
          </w:p>
        </w:tc>
        <w:tc>
          <w:tcPr>
            <w:tcW w:type="dxa" w:w="6400"/>
            <w:shd w:fill="E8F2ED" w:val="clear"/>
            <w:tcMar>
              <w:top w:type="dxa" w:w="80"/>
              <w:left w:type="dxa" w:w="100"/>
              <w:bottom w:type="dxa" w:w="80"/>
              <w:right w:type="dxa" w:w="100"/>
            </w:tcMar>
          </w:tcPr>
          <w:p>
            <w:r>
              <w:rPr>
                <w:rFonts w:ascii="Inter" w:cs="Inter" w:eastAsia="Inter" w:hAnsi="Inter"/>
                <w:b w:val="false"/>
                <w:bCs w:val="false"/>
                <w:color w:val="1B1B1B"/>
                <w:sz w:val="20"/>
                <w:szCs w:val="20"/>
              </w:rPr>
              <w:t xml:space="preserve">Fashion and Food storefront templates; checkout and delivery-tracking screens get two review passes — highest-stakes screens in the product</w:t>
            </w:r>
          </w:p>
        </w:tc>
      </w:tr>
      <w:tr>
        <w:tc>
          <w:tcPr>
            <w:tcW w:type="dxa" w:w="3200"/>
            <w:tcMar>
              <w:top w:type="dxa" w:w="80"/>
              <w:left w:type="dxa" w:w="100"/>
              <w:bottom w:type="dxa" w:w="80"/>
              <w:right w:type="dxa" w:w="100"/>
            </w:tcMar>
          </w:tcPr>
          <w:p>
            <w:r>
              <w:rPr>
                <w:rFonts w:ascii="Inter" w:cs="Inter" w:eastAsia="Inter" w:hAnsi="Inter"/>
                <w:b w:val="false"/>
                <w:bCs w:val="false"/>
                <w:color w:val="1B1B1B"/>
                <w:sz w:val="20"/>
                <w:szCs w:val="20"/>
              </w:rPr>
              <w:t xml:space="preserve">Month 4</w:t>
            </w:r>
          </w:p>
        </w:tc>
        <w:tc>
          <w:tcPr>
            <w:tcW w:type="dxa" w:w="6400"/>
            <w:tcMar>
              <w:top w:type="dxa" w:w="80"/>
              <w:left w:type="dxa" w:w="100"/>
              <w:bottom w:type="dxa" w:w="80"/>
              <w:right w:type="dxa" w:w="100"/>
            </w:tcMar>
          </w:tcPr>
          <w:p>
            <w:r>
              <w:rPr>
                <w:rFonts w:ascii="Inter" w:cs="Inter" w:eastAsia="Inter" w:hAnsi="Inter"/>
                <w:b w:val="false"/>
                <w:bCs w:val="false"/>
                <w:color w:val="1B1B1B"/>
                <w:sz w:val="20"/>
                <w:szCs w:val="20"/>
              </w:rPr>
              <w:t xml:space="preserve">Mission Control KYC and dispute-queue screens; a design QA pass across everything built so far, checked against the Part 4 §4 click-budget table</w:t>
            </w:r>
          </w:p>
        </w:tc>
      </w:tr>
    </w:tbl>
    <w:p>
      <w:pPr>
        <w:pStyle w:val="Heading1"/>
        <w:spacing w:after="200" w:before="400"/>
      </w:pPr>
      <w:r>
        <w:rPr>
          <w:rFonts w:ascii="Inter" w:cs="Inter" w:eastAsia="Inter" w:hAnsi="Inter"/>
          <w:b/>
          <w:bCs/>
          <w:color w:val="07452F"/>
          <w:sz w:val="32"/>
          <w:szCs w:val="32"/>
        </w:rPr>
        <w:t xml:space="preserve">10. Definition of Done (per screen)</w:t>
      </w:r>
    </w:p>
    <w:p>
      <w:pPr>
        <w:pStyle w:val="ListParagraph"/>
        <w:numPr>
          <w:ilvl w:val="0"/>
          <w:numId w:val="1"/>
        </w:numPr>
        <w:spacing w:after="60"/>
      </w:pPr>
      <w:r>
        <w:rPr>
          <w:rFonts w:ascii="Inter" w:cs="Inter" w:eastAsia="Inter" w:hAnsi="Inter"/>
          <w:color w:val="1B1B1B"/>
          <w:sz w:val="22"/>
          <w:szCs w:val="22"/>
        </w:rPr>
        <w:t xml:space="preserve">Matches the token file exactly — no off-palette colours.</w:t>
      </w:r>
    </w:p>
    <w:p>
      <w:pPr>
        <w:pStyle w:val="ListParagraph"/>
        <w:numPr>
          <w:ilvl w:val="0"/>
          <w:numId w:val="1"/>
        </w:numPr>
        <w:spacing w:after="60"/>
      </w:pPr>
      <w:r>
        <w:rPr>
          <w:rFonts w:ascii="Inter" w:cs="Inter" w:eastAsia="Inter" w:hAnsi="Inter"/>
          <w:color w:val="1B1B1B"/>
          <w:sz w:val="22"/>
          <w:szCs w:val="22"/>
        </w:rPr>
        <w:t xml:space="preserve">Meets its click/time budget from Part 4 §4, where one exists.</w:t>
      </w:r>
    </w:p>
    <w:p>
      <w:pPr>
        <w:pStyle w:val="ListParagraph"/>
        <w:numPr>
          <w:ilvl w:val="0"/>
          <w:numId w:val="1"/>
        </w:numPr>
        <w:spacing w:after="60"/>
      </w:pPr>
      <w:r>
        <w:rPr>
          <w:rFonts w:ascii="Inter" w:cs="Inter" w:eastAsia="Inter" w:hAnsi="Inter"/>
          <w:color w:val="1B1B1B"/>
          <w:sz w:val="22"/>
          <w:szCs w:val="22"/>
        </w:rPr>
        <w:t xml:space="preserve">Reviewed at 375px on a real low-end Android before sign-off, not just in Figma.</w:t>
      </w:r>
    </w:p>
    <w:p>
      <w:pPr>
        <w:pStyle w:val="ListParagraph"/>
        <w:numPr>
          <w:ilvl w:val="0"/>
          <w:numId w:val="1"/>
        </w:numPr>
        <w:spacing w:after="60"/>
      </w:pPr>
      <w:r>
        <w:rPr>
          <w:rFonts w:ascii="Inter" w:cs="Inter" w:eastAsia="Inter" w:hAnsi="Inter"/>
          <w:color w:val="1B1B1B"/>
          <w:sz w:val="22"/>
          <w:szCs w:val="22"/>
        </w:rPr>
        <w:t xml:space="preserve">Copy reviewed against the voice rules — plain, second person, icon and text together.</w:t>
      </w:r>
    </w:p>
    <w:p>
      <w:pPr>
        <w:pStyle w:val="ListParagraph"/>
        <w:numPr>
          <w:ilvl w:val="0"/>
          <w:numId w:val="1"/>
        </w:numPr>
        <w:spacing w:after="60"/>
      </w:pPr>
      <w:r>
        <w:rPr>
          <w:rFonts w:ascii="Inter" w:cs="Inter" w:eastAsia="Inter" w:hAnsi="Inter"/>
          <w:color w:val="1B1B1B"/>
          <w:sz w:val="22"/>
          <w:szCs w:val="22"/>
        </w:rPr>
        <w:t xml:space="preserve">Empty, loading, and error states designed — not just the happy path.</w:t>
      </w:r>
    </w:p>
    <w:p>
      <w:pPr>
        <w:spacing w:after="200" w:before="80"/>
      </w:pPr>
      <w:r>
        <w:rPr>
          <w:rFonts w:ascii="Inter" w:cs="Inter" w:eastAsia="Inter" w:hAnsi="Inter"/>
          <w:i/>
          <w:iCs/>
          <w:color w:val="555555"/>
          <w:sz w:val="20"/>
          <w:szCs w:val="20"/>
        </w:rPr>
        <w:t xml:space="preserve">This document assumes the Part 5 team shape (contract designer + 2 developers) and supersedes only Part 3 §3's typography line — every other brand and product decision in Parts 1–5 stands. A companion visual reference showing this system in use (colour swatches, live type specimens, and mockups of the three launch-vertical storefronts, the merchant portal, and the Mission Control KYC queue) accompanies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2026-07-09T16:06:28.986Z</dcterms:created>
  <dcterms:modified xsi:type="dcterms:W3CDTF">2026-07-09T16:06:28.989Z</dcterms:modified>
</cp:coreProperties>
</file>

<file path=docProps/custom.xml><?xml version="1.0" encoding="utf-8"?>
<Properties xmlns="http://schemas.openxmlformats.org/officeDocument/2006/custom-properties" xmlns:vt="http://schemas.openxmlformats.org/officeDocument/2006/docPropsVTypes"/>
</file>