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nter" w:cs="Inter" w:eastAsia="Inter" w:hAnsi="Inter"/>
          <w:b/>
          <w:bCs/>
          <w:color w:val="07452F"/>
          <w:sz w:val="44"/>
          <w:szCs w:val="44"/>
        </w:rPr>
        <w:t xml:space="preserve">ShopLocal — Part 5</w:t>
      </w:r>
    </w:p>
    <w:p>
      <w:pPr>
        <w:spacing w:after="40"/>
      </w:pPr>
      <w:r>
        <w:rPr>
          <w:rFonts w:ascii="Inter" w:cs="Inter" w:eastAsia="Inter" w:hAnsi="Inter"/>
          <w:b/>
          <w:bCs/>
          <w:color w:val="0B6E4F"/>
          <w:sz w:val="32"/>
          <w:szCs w:val="32"/>
        </w:rPr>
        <w:t xml:space="preserve">Execution Roadmap</w:t>
      </w:r>
    </w:p>
    <w:p>
      <w:pPr>
        <w:spacing w:after="300"/>
      </w:pPr>
      <w:r>
        <w:rPr>
          <w:rFonts w:ascii="Inter" w:cs="Inter" w:eastAsia="Inter" w:hAnsi="Inter"/>
          <w:i/>
          <w:iCs/>
          <w:color w:val="555555"/>
          <w:sz w:val="22"/>
          <w:szCs w:val="22"/>
        </w:rPr>
        <w:t xml:space="preserve">Operated by StormGlide (stormglide.io) — July 2026</w:t>
      </w:r>
    </w:p>
    <w:p>
      <w:pPr>
        <w:spacing w:after="120"/>
      </w:pPr>
      <w:r>
        <w:rPr>
          <w:rFonts w:ascii="Inter" w:cs="Inter" w:eastAsia="Inter" w:hAnsi="Inter"/>
          <w:b w:val="false"/>
          <w:bCs w:val="false"/>
          <w:i w:val="false"/>
          <w:iCs w:val="false"/>
          <w:color w:val="1B1B1B"/>
          <w:sz w:val="22"/>
          <w:szCs w:val="22"/>
        </w:rPr>
        <w:t xml:space="preserve">Parts 1–4 defined what ShopLocal is, how it operates, how it's priced and launched, and how the flagship delivery feature and the remaining gaps get closed. This document turns that into a sequenced, owned, dated plan: what happens first, who does it, what unblocks what, and how we'll know each phase is actually done. Working assumption carried from Part 4: a team of 2 senior full-stack developers + 1 contract designer + founder on ops — adjust Section 1 and the Month-1 dates if the real team differs.</w:t>
      </w:r>
    </w:p>
    <w:p>
      <w:pPr>
        <w:pStyle w:val="Heading1"/>
        <w:spacing w:after="200" w:before="400"/>
      </w:pPr>
      <w:r>
        <w:rPr>
          <w:rFonts w:ascii="Inter" w:cs="Inter" w:eastAsia="Inter" w:hAnsi="Inter"/>
          <w:b/>
          <w:bCs/>
          <w:color w:val="07452F"/>
          <w:sz w:val="32"/>
          <w:szCs w:val="32"/>
        </w:rPr>
        <w:t xml:space="preserve">1. Team &amp;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200"/>
      </w:tblGrid>
      <w:tr>
        <w:trPr>
          <w:tblHeader/>
        </w:trPr>
        <w:tc>
          <w:tcPr>
            <w:tcW w:type="dxa" w:w="2800"/>
            <w:shd w:fill="0B6E4F" w:val="clear"/>
            <w:tcMar>
              <w:top w:type="dxa" w:w="80"/>
              <w:left w:type="dxa" w:w="100"/>
              <w:bottom w:type="dxa" w:w="80"/>
              <w:right w:type="dxa" w:w="100"/>
            </w:tcMar>
          </w:tcPr>
          <w:p>
            <w:r>
              <w:rPr>
                <w:rFonts w:ascii="Inter" w:cs="Inter" w:eastAsia="Inter" w:hAnsi="Inter"/>
                <w:b/>
                <w:bCs/>
                <w:color w:val="FFFFFF"/>
                <w:sz w:val="20"/>
                <w:szCs w:val="20"/>
              </w:rPr>
              <w:t xml:space="preserve">Role</w:t>
            </w:r>
          </w:p>
        </w:tc>
        <w:tc>
          <w:tcPr>
            <w:tcW w:type="dxa" w:w="2600"/>
            <w:shd w:fill="0B6E4F" w:val="clear"/>
            <w:tcMar>
              <w:top w:type="dxa" w:w="80"/>
              <w:left w:type="dxa" w:w="100"/>
              <w:bottom w:type="dxa" w:w="80"/>
              <w:right w:type="dxa" w:w="100"/>
            </w:tcMar>
          </w:tcPr>
          <w:p>
            <w:r>
              <w:rPr>
                <w:rFonts w:ascii="Inter" w:cs="Inter" w:eastAsia="Inter" w:hAnsi="Inter"/>
                <w:b/>
                <w:bCs/>
                <w:color w:val="FFFFFF"/>
                <w:sz w:val="20"/>
                <w:szCs w:val="20"/>
              </w:rPr>
              <w:t xml:space="preserve">Who</w:t>
            </w:r>
          </w:p>
        </w:tc>
        <w:tc>
          <w:tcPr>
            <w:tcW w:type="dxa" w:w="4200"/>
            <w:shd w:fill="0B6E4F" w:val="clear"/>
            <w:tcMar>
              <w:top w:type="dxa" w:w="80"/>
              <w:left w:type="dxa" w:w="100"/>
              <w:bottom w:type="dxa" w:w="80"/>
              <w:right w:type="dxa" w:w="100"/>
            </w:tcMar>
          </w:tcPr>
          <w:p>
            <w:r>
              <w:rPr>
                <w:rFonts w:ascii="Inter" w:cs="Inter" w:eastAsia="Inter" w:hAnsi="Inter"/>
                <w:b/>
                <w:bCs/>
                <w:color w:val="FFFFFF"/>
                <w:sz w:val="20"/>
                <w:szCs w:val="20"/>
              </w:rPr>
              <w:t xml:space="preserve">Primary responsibility</w:t>
            </w:r>
          </w:p>
        </w:tc>
      </w:tr>
      <w:tr>
        <w:tc>
          <w:tcPr>
            <w:tcW w:type="dxa" w:w="2800"/>
            <w:tcMar>
              <w:top w:type="dxa" w:w="80"/>
              <w:left w:type="dxa" w:w="100"/>
              <w:bottom w:type="dxa" w:w="80"/>
              <w:right w:type="dxa" w:w="100"/>
            </w:tcMar>
          </w:tcPr>
          <w:p>
            <w:r>
              <w:rPr>
                <w:rFonts w:ascii="Inter" w:cs="Inter" w:eastAsia="Inter" w:hAnsi="Inter"/>
                <w:b w:val="false"/>
                <w:bCs w:val="false"/>
                <w:color w:val="1B1B1B"/>
                <w:sz w:val="20"/>
                <w:szCs w:val="20"/>
              </w:rPr>
              <w:t xml:space="preserve">Founder</w:t>
            </w:r>
          </w:p>
        </w:tc>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You</w:t>
            </w:r>
          </w:p>
        </w:tc>
        <w:tc>
          <w:tcPr>
            <w:tcW w:type="dxa" w:w="4200"/>
            <w:tcMar>
              <w:top w:type="dxa" w:w="80"/>
              <w:left w:type="dxa" w:w="100"/>
              <w:bottom w:type="dxa" w:w="80"/>
              <w:right w:type="dxa" w:w="100"/>
            </w:tcMar>
          </w:tcPr>
          <w:p>
            <w:r>
              <w:rPr>
                <w:rFonts w:ascii="Inter" w:cs="Inter" w:eastAsia="Inter" w:hAnsi="Inter"/>
                <w:b w:val="false"/>
                <w:bCs w:val="false"/>
                <w:color w:val="1B1B1B"/>
                <w:sz w:val="20"/>
                <w:szCs w:val="20"/>
              </w:rPr>
              <w:t xml:space="preserve">Entity/legal, merchant interviews, associations &amp; GTM, hiring, fundraising if needed, final call on scope cuts</w:t>
            </w:r>
          </w:p>
        </w:tc>
      </w:tr>
      <w:tr>
        <w:tc>
          <w:tcPr>
            <w:tcW w:type="dxa" w:w="2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Senior full-stack developer ×2</w:t>
            </w:r>
          </w:p>
        </w:tc>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To hire/assign</w:t>
            </w:r>
          </w:p>
        </w:tc>
        <w:tc>
          <w:tcPr>
            <w:tcW w:type="dxa" w:w="4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Next.js monolith, Postgres multi-tenant schema, Paystack integration, Mission Control</w:t>
            </w:r>
          </w:p>
        </w:tc>
      </w:tr>
      <w:tr>
        <w:tc>
          <w:tcPr>
            <w:tcW w:type="dxa" w:w="2800"/>
            <w:tcMar>
              <w:top w:type="dxa" w:w="80"/>
              <w:left w:type="dxa" w:w="100"/>
              <w:bottom w:type="dxa" w:w="80"/>
              <w:right w:type="dxa" w:w="100"/>
            </w:tcMar>
          </w:tcPr>
          <w:p>
            <w:r>
              <w:rPr>
                <w:rFonts w:ascii="Inter" w:cs="Inter" w:eastAsia="Inter" w:hAnsi="Inter"/>
                <w:b w:val="false"/>
                <w:bCs w:val="false"/>
                <w:color w:val="1B1B1B"/>
                <w:sz w:val="20"/>
                <w:szCs w:val="20"/>
              </w:rPr>
              <w:t xml:space="preserve">Designer (contract)</w:t>
            </w:r>
          </w:p>
        </w:tc>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To hire/assign</w:t>
            </w:r>
          </w:p>
        </w:tc>
        <w:tc>
          <w:tcPr>
            <w:tcW w:type="dxa" w:w="4200"/>
            <w:tcMar>
              <w:top w:type="dxa" w:w="80"/>
              <w:left w:type="dxa" w:w="100"/>
              <w:bottom w:type="dxa" w:w="80"/>
              <w:right w:type="dxa" w:w="100"/>
            </w:tcMar>
          </w:tcPr>
          <w:p>
            <w:r>
              <w:rPr>
                <w:rFonts w:ascii="Inter" w:cs="Inter" w:eastAsia="Inter" w:hAnsi="Inter"/>
                <w:b w:val="false"/>
                <w:bCs w:val="false"/>
                <w:color w:val="1B1B1B"/>
                <w:sz w:val="20"/>
                <w:szCs w:val="20"/>
              </w:rPr>
              <w:t xml:space="preserve">Brand system, storefront theme tokens, marketing site, vertical landing pages</w:t>
            </w:r>
          </w:p>
        </w:tc>
      </w:tr>
      <w:tr>
        <w:tc>
          <w:tcPr>
            <w:tcW w:type="dxa" w:w="2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KYC reviewer (part-time)</w:t>
            </w:r>
          </w:p>
        </w:tc>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Hire in Month 4</w:t>
            </w:r>
          </w:p>
        </w:tc>
        <w:tc>
          <w:tcPr>
            <w:tcW w:type="dxa" w:w="4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Mission Control KYC queue — one person handles 60–100 verifications/day (Part 3 §6)</w:t>
            </w:r>
          </w:p>
        </w:tc>
      </w:tr>
    </w:tbl>
    <w:p>
      <w:pPr>
        <w:spacing w:after="200" w:before="80"/>
      </w:pPr>
      <w:r>
        <w:rPr>
          <w:rFonts w:ascii="Inter" w:cs="Inter" w:eastAsia="Inter" w:hAnsi="Inter"/>
          <w:i/>
          <w:iCs/>
          <w:color w:val="555555"/>
          <w:sz w:val="20"/>
          <w:szCs w:val="20"/>
        </w:rPr>
        <w:t xml:space="preserve">If the team isn't in place yet, hiring/contracting the two developers and designer is the actual first task — it gates every date in Section 3.</w:t>
      </w:r>
    </w:p>
    <w:p>
      <w:pPr>
        <w:pStyle w:val="Heading1"/>
        <w:spacing w:after="200" w:before="400"/>
      </w:pPr>
      <w:r>
        <w:rPr>
          <w:rFonts w:ascii="Inter" w:cs="Inter" w:eastAsia="Inter" w:hAnsi="Inter"/>
          <w:b/>
          <w:bCs/>
          <w:color w:val="07452F"/>
          <w:sz w:val="32"/>
          <w:szCs w:val="32"/>
        </w:rPr>
        <w:t xml:space="preserve">2. Phase 0 — Legal, Entity &amp; Validation (Weeks 1–4)</w:t>
      </w:r>
    </w:p>
    <w:p>
      <w:pPr>
        <w:spacing w:after="120"/>
      </w:pPr>
      <w:r>
        <w:rPr>
          <w:rFonts w:ascii="Inter" w:cs="Inter" w:eastAsia="Inter" w:hAnsi="Inter"/>
          <w:b w:val="false"/>
          <w:bCs w:val="false"/>
          <w:i w:val="false"/>
          <w:iCs w:val="false"/>
          <w:color w:val="1B1B1B"/>
          <w:sz w:val="22"/>
          <w:szCs w:val="22"/>
        </w:rPr>
        <w:t xml:space="preserve">Runs before and slightly overlapping the build. Nothing here needs code. This is the punch list from Part 3 §7, sequenced with owners and dependencies.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600"/>
      </w:tblGrid>
      <w:tr>
        <w:trPr>
          <w:tblHeader/>
        </w:trPr>
        <w:tc>
          <w:tcPr>
            <w:tcW w:type="dxa" w:w="4800"/>
            <w:shd w:fill="0B6E4F" w:val="clear"/>
            <w:tcMar>
              <w:top w:type="dxa" w:w="80"/>
              <w:left w:type="dxa" w:w="100"/>
              <w:bottom w:type="dxa" w:w="80"/>
              <w:right w:type="dxa" w:w="100"/>
            </w:tcMar>
          </w:tcPr>
          <w:p>
            <w:r>
              <w:rPr>
                <w:rFonts w:ascii="Inter" w:cs="Inter" w:eastAsia="Inter" w:hAnsi="Inter"/>
                <w:b/>
                <w:bCs/>
                <w:color w:val="FFFFFF"/>
                <w:sz w:val="20"/>
                <w:szCs w:val="20"/>
              </w:rPr>
              <w:t xml:space="preserve">Task</w:t>
            </w:r>
          </w:p>
        </w:tc>
        <w:tc>
          <w:tcPr>
            <w:tcW w:type="dxa" w:w="2200"/>
            <w:shd w:fill="0B6E4F" w:val="clear"/>
            <w:tcMar>
              <w:top w:type="dxa" w:w="80"/>
              <w:left w:type="dxa" w:w="100"/>
              <w:bottom w:type="dxa" w:w="80"/>
              <w:right w:type="dxa" w:w="100"/>
            </w:tcMar>
          </w:tcPr>
          <w:p>
            <w:r>
              <w:rPr>
                <w:rFonts w:ascii="Inter" w:cs="Inter" w:eastAsia="Inter" w:hAnsi="Inter"/>
                <w:b/>
                <w:bCs/>
                <w:color w:val="FFFFFF"/>
                <w:sz w:val="20"/>
                <w:szCs w:val="20"/>
              </w:rPr>
              <w:t xml:space="preserve">Depends on</w:t>
            </w:r>
          </w:p>
        </w:tc>
        <w:tc>
          <w:tcPr>
            <w:tcW w:type="dxa" w:w="2600"/>
            <w:shd w:fill="0B6E4F" w:val="clear"/>
            <w:tcMar>
              <w:top w:type="dxa" w:w="80"/>
              <w:left w:type="dxa" w:w="100"/>
              <w:bottom w:type="dxa" w:w="80"/>
              <w:right w:type="dxa" w:w="100"/>
            </w:tcMar>
          </w:tcPr>
          <w:p>
            <w:r>
              <w:rPr>
                <w:rFonts w:ascii="Inter" w:cs="Inter" w:eastAsia="Inter" w:hAnsi="Inter"/>
                <w:b/>
                <w:bCs/>
                <w:color w:val="FFFFFF"/>
                <w:sz w:val="20"/>
                <w:szCs w:val="20"/>
              </w:rPr>
              <w:t xml:space="preserve">Exit criteria</w:t>
            </w:r>
          </w:p>
        </w:tc>
      </w:tr>
      <w:tr>
        <w:tc>
          <w:tcPr>
            <w:tcW w:type="dxa" w:w="4800"/>
            <w:tcMar>
              <w:top w:type="dxa" w:w="80"/>
              <w:left w:type="dxa" w:w="100"/>
              <w:bottom w:type="dxa" w:w="80"/>
              <w:right w:type="dxa" w:w="100"/>
            </w:tcMar>
          </w:tcPr>
          <w:p>
            <w:r>
              <w:rPr>
                <w:rFonts w:ascii="Inter" w:cs="Inter" w:eastAsia="Inter" w:hAnsi="Inter"/>
                <w:b w:val="false"/>
                <w:bCs w:val="false"/>
                <w:color w:val="1B1B1B"/>
                <w:sz w:val="20"/>
                <w:szCs w:val="20"/>
              </w:rPr>
              <w:t xml:space="preserve">Trademark / name-availability check on "ShopLocal" (registry, .app/.com, socials)</w:t>
            </w:r>
          </w:p>
        </w:tc>
        <w:tc>
          <w:tcPr>
            <w:tcW w:type="dxa" w:w="2200"/>
            <w:tcMar>
              <w:top w:type="dxa" w:w="80"/>
              <w:left w:type="dxa" w:w="100"/>
              <w:bottom w:type="dxa" w:w="80"/>
              <w:right w:type="dxa" w:w="100"/>
            </w:tcMar>
          </w:tcPr>
          <w:p>
            <w:r>
              <w:rPr>
                <w:rFonts w:ascii="Inter" w:cs="Inter" w:eastAsia="Inter" w:hAnsi="Inter"/>
                <w:b w:val="false"/>
                <w:bCs w:val="false"/>
                <w:color w:val="1B1B1B"/>
                <w:sz w:val="20"/>
                <w:szCs w:val="20"/>
              </w:rPr>
              <w:t xml:space="preserve">—</w:t>
            </w:r>
          </w:p>
        </w:tc>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Name cleared, or fallback name chosen before any brand asset is built</w:t>
            </w:r>
          </w:p>
        </w:tc>
      </w:tr>
      <w:tr>
        <w:tc>
          <w:tcPr>
            <w:tcW w:type="dxa" w:w="4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Register StormGlide's Ghana entity</w:t>
            </w:r>
          </w:p>
        </w:tc>
        <w:tc>
          <w:tcPr>
            <w:tcW w:type="dxa" w:w="2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w:t>
            </w:r>
          </w:p>
        </w:tc>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Certificate of incorporation in hand</w:t>
            </w:r>
          </w:p>
        </w:tc>
      </w:tr>
      <w:tr>
        <w:tc>
          <w:tcPr>
            <w:tcW w:type="dxa" w:w="4800"/>
            <w:tcMar>
              <w:top w:type="dxa" w:w="80"/>
              <w:left w:type="dxa" w:w="100"/>
              <w:bottom w:type="dxa" w:w="80"/>
              <w:right w:type="dxa" w:w="100"/>
            </w:tcMar>
          </w:tcPr>
          <w:p>
            <w:r>
              <w:rPr>
                <w:rFonts w:ascii="Inter" w:cs="Inter" w:eastAsia="Inter" w:hAnsi="Inter"/>
                <w:b w:val="false"/>
                <w:bCs w:val="false"/>
                <w:color w:val="1B1B1B"/>
                <w:sz w:val="20"/>
                <w:szCs w:val="20"/>
              </w:rPr>
              <w:t xml:space="preserve">Apply for Paystack business account</w:t>
            </w:r>
          </w:p>
        </w:tc>
        <w:tc>
          <w:tcPr>
            <w:tcW w:type="dxa" w:w="2200"/>
            <w:tcMar>
              <w:top w:type="dxa" w:w="80"/>
              <w:left w:type="dxa" w:w="100"/>
              <w:bottom w:type="dxa" w:w="80"/>
              <w:right w:type="dxa" w:w="100"/>
            </w:tcMar>
          </w:tcPr>
          <w:p>
            <w:r>
              <w:rPr>
                <w:rFonts w:ascii="Inter" w:cs="Inter" w:eastAsia="Inter" w:hAnsi="Inter"/>
                <w:b w:val="false"/>
                <w:bCs w:val="false"/>
                <w:color w:val="1B1B1B"/>
                <w:sz w:val="20"/>
                <w:szCs w:val="20"/>
              </w:rPr>
              <w:t xml:space="preserve">Entity registered</w:t>
            </w:r>
          </w:p>
        </w:tc>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Paystack account approved, subaccount/split API access confirmed</w:t>
            </w:r>
          </w:p>
        </w:tc>
      </w:tr>
      <w:tr>
        <w:tc>
          <w:tcPr>
            <w:tcW w:type="dxa" w:w="4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Register with Ghana Data Protection Commission (Act 843)</w:t>
            </w:r>
          </w:p>
        </w:tc>
        <w:tc>
          <w:tcPr>
            <w:tcW w:type="dxa" w:w="2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Entity registered</w:t>
            </w:r>
          </w:p>
        </w:tc>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Registration number obtained; data protection contact named</w:t>
            </w:r>
          </w:p>
        </w:tc>
      </w:tr>
      <w:tr>
        <w:tc>
          <w:tcPr>
            <w:tcW w:type="dxa" w:w="4800"/>
            <w:tcMar>
              <w:top w:type="dxa" w:w="80"/>
              <w:left w:type="dxa" w:w="100"/>
              <w:bottom w:type="dxa" w:w="80"/>
              <w:right w:type="dxa" w:w="100"/>
            </w:tcMar>
          </w:tcPr>
          <w:p>
            <w:r>
              <w:rPr>
                <w:rFonts w:ascii="Inter" w:cs="Inter" w:eastAsia="Inter" w:hAnsi="Inter"/>
                <w:b w:val="false"/>
                <w:bCs w:val="false"/>
                <w:color w:val="1B1B1B"/>
                <w:sz w:val="20"/>
                <w:szCs w:val="20"/>
              </w:rPr>
              <w:t xml:space="preserve">Accountant ruling on VAT treatment of GHS 466 pricing</w:t>
            </w:r>
          </w:p>
        </w:tc>
        <w:tc>
          <w:tcPr>
            <w:tcW w:type="dxa" w:w="2200"/>
            <w:tcMar>
              <w:top w:type="dxa" w:w="80"/>
              <w:left w:type="dxa" w:w="100"/>
              <w:bottom w:type="dxa" w:w="80"/>
              <w:right w:type="dxa" w:w="100"/>
            </w:tcMar>
          </w:tcPr>
          <w:p>
            <w:r>
              <w:rPr>
                <w:rFonts w:ascii="Inter" w:cs="Inter" w:eastAsia="Inter" w:hAnsi="Inter"/>
                <w:b w:val="false"/>
                <w:bCs w:val="false"/>
                <w:color w:val="1B1B1B"/>
                <w:sz w:val="20"/>
                <w:szCs w:val="20"/>
              </w:rPr>
              <w:t xml:space="preserve">Entity registered</w:t>
            </w:r>
          </w:p>
        </w:tc>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Final price confirmed as VAT-inclusive or exclusive</w:t>
            </w:r>
          </w:p>
        </w:tc>
      </w:tr>
      <w:tr>
        <w:tc>
          <w:tcPr>
            <w:tcW w:type="dxa" w:w="4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Draft Terms of Service, Privacy Policy, merchant agreement, refund policy</w:t>
            </w:r>
          </w:p>
        </w:tc>
        <w:tc>
          <w:tcPr>
            <w:tcW w:type="dxa" w:w="2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Name cleared</w:t>
            </w:r>
          </w:p>
        </w:tc>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Reviewed by counsel (or vetted template), ready to publish at launch</w:t>
            </w:r>
          </w:p>
        </w:tc>
      </w:tr>
      <w:tr>
        <w:tc>
          <w:tcPr>
            <w:tcW w:type="dxa" w:w="4800"/>
            <w:tcMar>
              <w:top w:type="dxa" w:w="80"/>
              <w:left w:type="dxa" w:w="100"/>
              <w:bottom w:type="dxa" w:w="80"/>
              <w:right w:type="dxa" w:w="100"/>
            </w:tcMar>
          </w:tcPr>
          <w:p>
            <w:r>
              <w:rPr>
                <w:rFonts w:ascii="Inter" w:cs="Inter" w:eastAsia="Inter" w:hAnsi="Inter"/>
                <w:b w:val="false"/>
                <w:bCs w:val="false"/>
                <w:color w:val="1B1B1B"/>
                <w:sz w:val="20"/>
                <w:szCs w:val="20"/>
              </w:rPr>
              <w:t xml:space="preserve">20 merchant interviews — fashion, food, general retail</w:t>
            </w:r>
          </w:p>
        </w:tc>
        <w:tc>
          <w:tcPr>
            <w:tcW w:type="dxa" w:w="2200"/>
            <w:tcMar>
              <w:top w:type="dxa" w:w="80"/>
              <w:left w:type="dxa" w:w="100"/>
              <w:bottom w:type="dxa" w:w="80"/>
              <w:right w:type="dxa" w:w="100"/>
            </w:tcMar>
          </w:tcPr>
          <w:p>
            <w:r>
              <w:rPr>
                <w:rFonts w:ascii="Inter" w:cs="Inter" w:eastAsia="Inter" w:hAnsi="Inter"/>
                <w:b w:val="false"/>
                <w:bCs w:val="false"/>
                <w:color w:val="1B1B1B"/>
                <w:sz w:val="20"/>
                <w:szCs w:val="20"/>
              </w:rPr>
              <w:t xml:space="preserve">—</w:t>
            </w:r>
          </w:p>
        </w:tc>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Willingness-to-pay validated at GHS 466 promo price; interview notes logged</w:t>
            </w:r>
          </w:p>
        </w:tc>
      </w:tr>
      <w:tr>
        <w:tc>
          <w:tcPr>
            <w:tcW w:type="dxa" w:w="4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Soft-commit the "Founding 100" list from interview contacts</w:t>
            </w:r>
          </w:p>
        </w:tc>
        <w:tc>
          <w:tcPr>
            <w:tcW w:type="dxa" w:w="2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Interviews underway</w:t>
            </w:r>
          </w:p>
        </w:tc>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Running list of named, contactable merchants who said yes</w:t>
            </w:r>
          </w:p>
        </w:tc>
      </w:tr>
      <w:tr>
        <w:tc>
          <w:tcPr>
            <w:tcW w:type="dxa" w:w="4800"/>
            <w:tcMar>
              <w:top w:type="dxa" w:w="80"/>
              <w:left w:type="dxa" w:w="100"/>
              <w:bottom w:type="dxa" w:w="80"/>
              <w:right w:type="dxa" w:w="100"/>
            </w:tcMar>
          </w:tcPr>
          <w:p>
            <w:r>
              <w:rPr>
                <w:rFonts w:ascii="Inter" w:cs="Inter" w:eastAsia="Inter" w:hAnsi="Inter"/>
                <w:b w:val="false"/>
                <w:bCs w:val="false"/>
                <w:color w:val="1B1B1B"/>
                <w:sz w:val="20"/>
                <w:szCs w:val="20"/>
              </w:rPr>
              <w:t xml:space="preserve">Buy domain(s) for the cleared name</w:t>
            </w:r>
          </w:p>
        </w:tc>
        <w:tc>
          <w:tcPr>
            <w:tcW w:type="dxa" w:w="2200"/>
            <w:tcMar>
              <w:top w:type="dxa" w:w="80"/>
              <w:left w:type="dxa" w:w="100"/>
              <w:bottom w:type="dxa" w:w="80"/>
              <w:right w:type="dxa" w:w="100"/>
            </w:tcMar>
          </w:tcPr>
          <w:p>
            <w:r>
              <w:rPr>
                <w:rFonts w:ascii="Inter" w:cs="Inter" w:eastAsia="Inter" w:hAnsi="Inter"/>
                <w:b w:val="false"/>
                <w:bCs w:val="false"/>
                <w:color w:val="1B1B1B"/>
                <w:sz w:val="20"/>
                <w:szCs w:val="20"/>
              </w:rPr>
              <w:t xml:space="preserve">Name cleared</w:t>
            </w:r>
          </w:p>
        </w:tc>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Domain live, DNS accessible for Month 1 Cloudflare setup</w:t>
            </w:r>
          </w:p>
        </w:tc>
      </w:tr>
    </w:tbl>
    <w:p>
      <w:pPr>
        <w:spacing w:after="200" w:before="80"/>
      </w:pPr>
      <w:r>
        <w:rPr>
          <w:rFonts w:ascii="Inter" w:cs="Inter" w:eastAsia="Inter" w:hAnsi="Inter"/>
          <w:i/>
          <w:iCs/>
          <w:color w:val="555555"/>
          <w:sz w:val="20"/>
          <w:szCs w:val="20"/>
        </w:rPr>
        <w:t xml:space="preserve">Phase 0 exit criteria: entity + Paystack account active, name locked, ToS/Privacy drafted, 20 interviews done, Founding 100 list started. Development can start in parallel once the name is locked — don't block Month 1 on the accountant or DPC registration.</w:t>
      </w:r>
    </w:p>
    <w:p>
      <w:pPr>
        <w:pageBreakBefore/>
      </w:pPr>
    </w:p>
    <w:p>
      <w:pPr>
        <w:pStyle w:val="Heading1"/>
        <w:spacing w:after="200" w:before="400"/>
      </w:pPr>
      <w:r>
        <w:rPr>
          <w:rFonts w:ascii="Inter" w:cs="Inter" w:eastAsia="Inter" w:hAnsi="Inter"/>
          <w:b/>
          <w:bCs/>
          <w:color w:val="07452F"/>
          <w:sz w:val="32"/>
          <w:szCs w:val="32"/>
        </w:rPr>
        <w:t xml:space="preserve">3. Phase 1 — MVP Build (Months 1–4)</w:t>
      </w:r>
    </w:p>
    <w:p>
      <w:pPr>
        <w:spacing w:after="120"/>
      </w:pPr>
      <w:r>
        <w:rPr>
          <w:rFonts w:ascii="Inter" w:cs="Inter" w:eastAsia="Inter" w:hAnsi="Inter"/>
          <w:b w:val="false"/>
          <w:bCs w:val="false"/>
          <w:i w:val="false"/>
          <w:iCs w:val="false"/>
          <w:color w:val="1B1B1B"/>
          <w:sz w:val="22"/>
          <w:szCs w:val="22"/>
        </w:rPr>
        <w:t xml:space="preserve">Sequenced from Part 4 §5's v1 cut and Part 3's stack. Each month ends with something a merchant could actually use, not just infrastructure.</w:t>
      </w:r>
    </w:p>
    <w:p>
      <w:pPr>
        <w:pStyle w:val="Heading2"/>
        <w:spacing w:after="150" w:before="300"/>
      </w:pPr>
      <w:r>
        <w:rPr>
          <w:rFonts w:ascii="Inter" w:cs="Inter" w:eastAsia="Inter" w:hAnsi="Inter"/>
          <w:b/>
          <w:bCs/>
          <w:color w:val="0B6E4F"/>
          <w:sz w:val="26"/>
          <w:szCs w:val="26"/>
        </w:rPr>
        <w:t xml:space="preserve">Month 1 — Foundation</w:t>
      </w:r>
    </w:p>
    <w:p>
      <w:pPr>
        <w:pStyle w:val="ListParagraph"/>
        <w:numPr>
          <w:ilvl w:val="0"/>
          <w:numId w:val="1"/>
        </w:numPr>
        <w:spacing w:after="60"/>
      </w:pPr>
      <w:r>
        <w:rPr>
          <w:rFonts w:ascii="Inter" w:cs="Inter" w:eastAsia="Inter" w:hAnsi="Inter"/>
          <w:color w:val="1B1B1B"/>
          <w:sz w:val="22"/>
          <w:szCs w:val="22"/>
        </w:rPr>
        <w:t xml:space="preserve">Repo + infra: Next.js (TypeScript) monolith scaffold, Docker + Coolify on Hetzner/DigitalOcean VPS</w:t>
      </w:r>
    </w:p>
    <w:p>
      <w:pPr>
        <w:pStyle w:val="ListParagraph"/>
        <w:numPr>
          <w:ilvl w:val="0"/>
          <w:numId w:val="1"/>
        </w:numPr>
        <w:spacing w:after="60"/>
      </w:pPr>
      <w:r>
        <w:rPr>
          <w:rFonts w:ascii="Inter" w:cs="Inter" w:eastAsia="Inter" w:hAnsi="Inter"/>
          <w:color w:val="1B1B1B"/>
          <w:sz w:val="22"/>
          <w:szCs w:val="22"/>
        </w:rPr>
        <w:t xml:space="preserve">Postgres with tenant_id-on-every-row multi-tenant pattern; Cloudflare wildcard DNS + wildcard SSL</w:t>
      </w:r>
    </w:p>
    <w:p>
      <w:pPr>
        <w:pStyle w:val="ListParagraph"/>
        <w:numPr>
          <w:ilvl w:val="0"/>
          <w:numId w:val="1"/>
        </w:numPr>
        <w:spacing w:after="60"/>
      </w:pPr>
      <w:r>
        <w:rPr>
          <w:rFonts w:ascii="Inter" w:cs="Inter" w:eastAsia="Inter" w:hAnsi="Inter"/>
          <w:color w:val="1B1B1B"/>
          <w:sz w:val="22"/>
          <w:szCs w:val="22"/>
        </w:rPr>
        <w:t xml:space="preserve">Subdomain resolution: businessname.shoplocal.app routes to the correct tenant</w:t>
      </w:r>
    </w:p>
    <w:p>
      <w:pPr>
        <w:pStyle w:val="ListParagraph"/>
        <w:numPr>
          <w:ilvl w:val="0"/>
          <w:numId w:val="1"/>
        </w:numPr>
        <w:spacing w:after="60"/>
      </w:pPr>
      <w:r>
        <w:rPr>
          <w:rFonts w:ascii="Inter" w:cs="Inter" w:eastAsia="Inter" w:hAnsi="Inter"/>
          <w:color w:val="1B1B1B"/>
          <w:sz w:val="22"/>
          <w:szCs w:val="22"/>
        </w:rPr>
        <w:t xml:space="preserve">Merchant auth: my.shoplocal.app portal, phone OTP (WhatsApp/SMS via Meta Cloud API + Arkesel/Hubtel fallback), password option, 2FA scaffold</w:t>
      </w:r>
    </w:p>
    <w:p>
      <w:pPr>
        <w:pStyle w:val="ListParagraph"/>
        <w:numPr>
          <w:ilvl w:val="0"/>
          <w:numId w:val="1"/>
        </w:numPr>
        <w:spacing w:after="60"/>
      </w:pPr>
      <w:r>
        <w:rPr>
          <w:rFonts w:ascii="Inter" w:cs="Inter" w:eastAsia="Inter" w:hAnsi="Inter"/>
          <w:color w:val="1B1B1B"/>
          <w:sz w:val="22"/>
          <w:szCs w:val="22"/>
        </w:rPr>
        <w:t xml:space="preserve">Store-creation flow: name + phone → OTP → category → store instantly provisioned</w:t>
      </w:r>
    </w:p>
    <w:p>
      <w:pPr>
        <w:spacing w:after="200" w:before="80"/>
      </w:pPr>
      <w:r>
        <w:rPr>
          <w:rFonts w:ascii="Inter" w:cs="Inter" w:eastAsia="Inter" w:hAnsi="Inter"/>
          <w:i/>
          <w:iCs/>
          <w:color w:val="555555"/>
          <w:sz w:val="20"/>
          <w:szCs w:val="20"/>
        </w:rPr>
        <w:t xml:space="preserve">Exit criteria: a phone number can create a tenant and log back into an empty portal.</w:t>
      </w:r>
    </w:p>
    <w:p>
      <w:pPr>
        <w:pStyle w:val="Heading2"/>
        <w:spacing w:after="150" w:before="300"/>
      </w:pPr>
      <w:r>
        <w:rPr>
          <w:rFonts w:ascii="Inter" w:cs="Inter" w:eastAsia="Inter" w:hAnsi="Inter"/>
          <w:b/>
          <w:bCs/>
          <w:color w:val="0B6E4F"/>
          <w:sz w:val="26"/>
          <w:szCs w:val="26"/>
        </w:rPr>
        <w:t xml:space="preserve">Month 2 — Storefront + first vertical</w:t>
      </w:r>
    </w:p>
    <w:p>
      <w:pPr>
        <w:pStyle w:val="ListParagraph"/>
        <w:numPr>
          <w:ilvl w:val="0"/>
          <w:numId w:val="1"/>
        </w:numPr>
        <w:spacing w:after="60"/>
      </w:pPr>
      <w:r>
        <w:rPr>
          <w:rFonts w:ascii="Inter" w:cs="Inter" w:eastAsia="Inter" w:hAnsi="Inter"/>
          <w:color w:val="1B1B1B"/>
          <w:sz w:val="22"/>
          <w:szCs w:val="22"/>
        </w:rPr>
        <w:t xml:space="preserve">General Retail vertical template — the simplest, ships first (catalogue, categories, pickup/delivery choice, order tracking)</w:t>
      </w:r>
    </w:p>
    <w:p>
      <w:pPr>
        <w:pStyle w:val="ListParagraph"/>
        <w:numPr>
          <w:ilvl w:val="0"/>
          <w:numId w:val="1"/>
        </w:numPr>
        <w:spacing w:after="60"/>
      </w:pPr>
      <w:r>
        <w:rPr>
          <w:rFonts w:ascii="Inter" w:cs="Inter" w:eastAsia="Inter" w:hAnsi="Inter"/>
          <w:color w:val="1B1B1B"/>
          <w:sz w:val="22"/>
          <w:szCs w:val="22"/>
        </w:rPr>
        <w:t xml:space="preserve">Merchant portal: add/edit products, photos, stock; basic branding (logo, colours from curated palette)</w:t>
      </w:r>
    </w:p>
    <w:p>
      <w:pPr>
        <w:pStyle w:val="ListParagraph"/>
        <w:numPr>
          <w:ilvl w:val="0"/>
          <w:numId w:val="1"/>
        </w:numPr>
        <w:spacing w:after="60"/>
      </w:pPr>
      <w:r>
        <w:rPr>
          <w:rFonts w:ascii="Inter" w:cs="Inter" w:eastAsia="Inter" w:hAnsi="Inter"/>
          <w:color w:val="1B1B1B"/>
          <w:sz w:val="22"/>
          <w:szCs w:val="22"/>
        </w:rPr>
        <w:t xml:space="preserve">Marketing site v1: hero, pricing page, signup entry point wired into the store-creation flow from Month 1</w:t>
      </w:r>
    </w:p>
    <w:p>
      <w:pPr>
        <w:spacing w:after="200" w:before="80"/>
      </w:pPr>
      <w:r>
        <w:rPr>
          <w:rFonts w:ascii="Inter" w:cs="Inter" w:eastAsia="Inter" w:hAnsi="Inter"/>
          <w:i/>
          <w:iCs/>
          <w:color w:val="555555"/>
          <w:sz w:val="20"/>
          <w:szCs w:val="20"/>
        </w:rPr>
        <w:t xml:space="preserve">Exit criteria: a merchant can sign up, pick General Retail, add 5 products, and see a live public storefront.</w:t>
      </w:r>
    </w:p>
    <w:p>
      <w:pPr>
        <w:pStyle w:val="Heading2"/>
        <w:spacing w:after="150" w:before="300"/>
      </w:pPr>
      <w:r>
        <w:rPr>
          <w:rFonts w:ascii="Inter" w:cs="Inter" w:eastAsia="Inter" w:hAnsi="Inter"/>
          <w:b/>
          <w:bCs/>
          <w:color w:val="0B6E4F"/>
          <w:sz w:val="26"/>
          <w:szCs w:val="26"/>
        </w:rPr>
        <w:t xml:space="preserve">Month 3 — Commerce + payments + delivery Phase 1</w:t>
      </w:r>
    </w:p>
    <w:p>
      <w:pPr>
        <w:pStyle w:val="ListParagraph"/>
        <w:numPr>
          <w:ilvl w:val="0"/>
          <w:numId w:val="1"/>
        </w:numPr>
        <w:spacing w:after="60"/>
      </w:pPr>
      <w:r>
        <w:rPr>
          <w:rFonts w:ascii="Inter" w:cs="Inter" w:eastAsia="Inter" w:hAnsi="Inter"/>
          <w:color w:val="1B1B1B"/>
          <w:sz w:val="22"/>
          <w:szCs w:val="22"/>
        </w:rPr>
        <w:t xml:space="preserve">Fashion &amp; Clothing and Food &amp; Restaurant vertical templates (variants; order-ahead/short-lived cart)</w:t>
      </w:r>
    </w:p>
    <w:p>
      <w:pPr>
        <w:pStyle w:val="ListParagraph"/>
        <w:numPr>
          <w:ilvl w:val="0"/>
          <w:numId w:val="1"/>
        </w:numPr>
        <w:spacing w:after="60"/>
      </w:pPr>
      <w:r>
        <w:rPr>
          <w:rFonts w:ascii="Inter" w:cs="Inter" w:eastAsia="Inter" w:hAnsi="Inter"/>
          <w:color w:val="1B1B1B"/>
          <w:sz w:val="22"/>
          <w:szCs w:val="22"/>
        </w:rPr>
        <w:t xml:space="preserve">Paystack integration: subaccounts, transaction splits, MoMo + card checkout, charge.success webhooks</w:t>
      </w:r>
    </w:p>
    <w:p>
      <w:pPr>
        <w:pStyle w:val="ListParagraph"/>
        <w:numPr>
          <w:ilvl w:val="0"/>
          <w:numId w:val="1"/>
        </w:numPr>
        <w:spacing w:after="60"/>
      </w:pPr>
      <w:r>
        <w:rPr>
          <w:rFonts w:ascii="Inter" w:cs="Inter" w:eastAsia="Inter" w:hAnsi="Inter"/>
          <w:color w:val="1B1B1B"/>
          <w:sz w:val="22"/>
          <w:szCs w:val="22"/>
        </w:rPr>
        <w:t xml:space="preserve">Guest checkout (no buyer accounts), order management, WhatsApp one-tap order handling (Confirm / Assign rider / Delivered)</w:t>
      </w:r>
    </w:p>
    <w:p>
      <w:pPr>
        <w:pStyle w:val="ListParagraph"/>
        <w:numPr>
          <w:ilvl w:val="0"/>
          <w:numId w:val="1"/>
        </w:numPr>
        <w:spacing w:after="60"/>
      </w:pPr>
      <w:r>
        <w:rPr>
          <w:rFonts w:ascii="Inter" w:cs="Inter" w:eastAsia="Inter" w:hAnsi="Inter"/>
          <w:color w:val="1B1B1B"/>
          <w:sz w:val="22"/>
          <w:szCs w:val="22"/>
        </w:rPr>
        <w:t xml:space="preserve">Delivery Phase 1: rider book, one-tap WhatsApp dispatch, landmark + GhanaPost GPS address capture, delivery OTP, buyer tracking link</w:t>
      </w:r>
    </w:p>
    <w:p>
      <w:pPr>
        <w:spacing w:after="200" w:before="80"/>
      </w:pPr>
      <w:r>
        <w:rPr>
          <w:rFonts w:ascii="Inter" w:cs="Inter" w:eastAsia="Inter" w:hAnsi="Inter"/>
          <w:i/>
          <w:iCs/>
          <w:color w:val="555555"/>
          <w:sz w:val="20"/>
          <w:szCs w:val="20"/>
        </w:rPr>
        <w:t xml:space="preserve">Exit criteria: a buyer can complete guest checkout with MoMo, and the merchant can dispatch and prove delivery — this is the flagship feature, don't let it slip.</w:t>
      </w:r>
    </w:p>
    <w:p>
      <w:pPr>
        <w:pStyle w:val="Heading2"/>
        <w:spacing w:after="150" w:before="300"/>
      </w:pPr>
      <w:r>
        <w:rPr>
          <w:rFonts w:ascii="Inter" w:cs="Inter" w:eastAsia="Inter" w:hAnsi="Inter"/>
          <w:b/>
          <w:bCs/>
          <w:color w:val="0B6E4F"/>
          <w:sz w:val="26"/>
          <w:szCs w:val="26"/>
        </w:rPr>
        <w:t xml:space="preserve">Month 4 — Verification, billing, Mission Control, hardening</w:t>
      </w:r>
    </w:p>
    <w:p>
      <w:pPr>
        <w:pStyle w:val="ListParagraph"/>
        <w:numPr>
          <w:ilvl w:val="0"/>
          <w:numId w:val="1"/>
        </w:numPr>
        <w:spacing w:after="60"/>
      </w:pPr>
      <w:r>
        <w:rPr>
          <w:rFonts w:ascii="Inter" w:cs="Inter" w:eastAsia="Inter" w:hAnsi="Inter"/>
          <w:color w:val="1B1B1B"/>
          <w:sz w:val="22"/>
          <w:szCs w:val="22"/>
        </w:rPr>
        <w:t xml:space="preserve">KYC flow: Ghana Card + selfie capture, MoMo wallet name-match; Mission Control KYC review queue</w:t>
      </w:r>
    </w:p>
    <w:p>
      <w:pPr>
        <w:pStyle w:val="ListParagraph"/>
        <w:numPr>
          <w:ilvl w:val="0"/>
          <w:numId w:val="1"/>
        </w:numPr>
        <w:spacing w:after="60"/>
      </w:pPr>
      <w:r>
        <w:rPr>
          <w:rFonts w:ascii="Inter" w:cs="Inter" w:eastAsia="Inter" w:hAnsi="Inter"/>
          <w:color w:val="1B1B1B"/>
          <w:sz w:val="22"/>
          <w:szCs w:val="22"/>
        </w:rPr>
        <w:t xml:space="preserve">Subscription billing: 30-day free trial (no card/MoMo required), MoMo recurring billing, retry ladder (days 32/35/38), 7-day grace period, pause-not-delete</w:t>
      </w:r>
    </w:p>
    <w:p>
      <w:pPr>
        <w:pStyle w:val="ListParagraph"/>
        <w:numPr>
          <w:ilvl w:val="0"/>
          <w:numId w:val="1"/>
        </w:numPr>
        <w:spacing w:after="60"/>
      </w:pPr>
      <w:r>
        <w:rPr>
          <w:rFonts w:ascii="Inter" w:cs="Inter" w:eastAsia="Inter" w:hAnsi="Inter"/>
          <w:color w:val="1B1B1B"/>
          <w:sz w:val="22"/>
          <w:szCs w:val="22"/>
        </w:rPr>
        <w:t xml:space="preserve">Mission Control MVP: tenants list, KYC queue, billing states, basic dispute log</w:t>
      </w:r>
    </w:p>
    <w:p>
      <w:pPr>
        <w:pStyle w:val="ListParagraph"/>
        <w:numPr>
          <w:ilvl w:val="0"/>
          <w:numId w:val="1"/>
        </w:numPr>
        <w:spacing w:after="60"/>
      </w:pPr>
      <w:r>
        <w:rPr>
          <w:rFonts w:ascii="Inter" w:cs="Inter" w:eastAsia="Inter" w:hAnsi="Inter"/>
          <w:color w:val="1B1B1B"/>
          <w:sz w:val="22"/>
          <w:szCs w:val="22"/>
        </w:rPr>
        <w:t xml:space="preserve">Backups (nightly pg_dump → R2), monitoring (Sentry + Uptime Kuma + status page), analytics (self-hosted Plausible/Umami)</w:t>
      </w:r>
    </w:p>
    <w:p>
      <w:pPr>
        <w:pStyle w:val="ListParagraph"/>
        <w:numPr>
          <w:ilvl w:val="0"/>
          <w:numId w:val="1"/>
        </w:numPr>
        <w:spacing w:after="60"/>
      </w:pPr>
      <w:r>
        <w:rPr>
          <w:rFonts w:ascii="Inter" w:cs="Inter" w:eastAsia="Inter" w:hAnsi="Inter"/>
          <w:color w:val="1B1B1B"/>
          <w:sz w:val="22"/>
          <w:szCs w:val="22"/>
        </w:rPr>
        <w:t xml:space="preserve">Dogfood with 5–10 friendly merchants; fix what breaks before public launch</w:t>
      </w:r>
    </w:p>
    <w:p>
      <w:pPr>
        <w:spacing w:after="200" w:before="80"/>
      </w:pPr>
      <w:r>
        <w:rPr>
          <w:rFonts w:ascii="Inter" w:cs="Inter" w:eastAsia="Inter" w:hAnsi="Inter"/>
          <w:i/>
          <w:iCs/>
          <w:color w:val="555555"/>
          <w:sz w:val="20"/>
          <w:szCs w:val="20"/>
        </w:rPr>
        <w:t xml:space="preserve">Phase 1 exit criteria — Part 4's own bar: "one merchant in Accra can sell one item to one buyer, get it delivered with proof, and pay GHS 466 the next month."</w:t>
      </w:r>
    </w:p>
    <w:p>
      <w:pPr>
        <w:pStyle w:val="Heading1"/>
        <w:spacing w:after="200" w:before="400"/>
      </w:pPr>
      <w:r>
        <w:rPr>
          <w:rFonts w:ascii="Inter" w:cs="Inter" w:eastAsia="Inter" w:hAnsi="Inter"/>
          <w:b/>
          <w:bCs/>
          <w:color w:val="07452F"/>
          <w:sz w:val="32"/>
          <w:szCs w:val="32"/>
        </w:rPr>
        <w:t xml:space="preserve">4. Phase 1.5 — Post-Launch Hardening (Months 5–8)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0B6E4F" w:val="clear"/>
            <w:tcMar>
              <w:top w:type="dxa" w:w="80"/>
              <w:left w:type="dxa" w:w="100"/>
              <w:bottom w:type="dxa" w:w="80"/>
              <w:right w:type="dxa" w:w="100"/>
            </w:tcMar>
          </w:tcPr>
          <w:p>
            <w:r>
              <w:rPr>
                <w:rFonts w:ascii="Inter" w:cs="Inter" w:eastAsia="Inter" w:hAnsi="Inter"/>
                <w:b/>
                <w:bCs/>
                <w:color w:val="FFFFFF"/>
                <w:sz w:val="20"/>
                <w:szCs w:val="20"/>
              </w:rPr>
              <w:t xml:space="preserve">Workstream</w:t>
            </w:r>
          </w:p>
        </w:tc>
        <w:tc>
          <w:tcPr>
            <w:tcW w:type="dxa" w:w="6400"/>
            <w:shd w:fill="0B6E4F" w:val="clear"/>
            <w:tcMar>
              <w:top w:type="dxa" w:w="80"/>
              <w:left w:type="dxa" w:w="100"/>
              <w:bottom w:type="dxa" w:w="80"/>
              <w:right w:type="dxa" w:w="100"/>
            </w:tcMar>
          </w:tcPr>
          <w:p>
            <w:r>
              <w:rPr>
                <w:rFonts w:ascii="Inter" w:cs="Inter" w:eastAsia="Inter" w:hAnsi="Inter"/>
                <w:b/>
                <w:bCs/>
                <w:color w:val="FFFFFF"/>
                <w:sz w:val="20"/>
                <w:szCs w:val="20"/>
              </w:rPr>
              <w:t xml:space="preserve">What ships</w:t>
            </w:r>
          </w:p>
        </w:tc>
      </w:tr>
      <w:tr>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Verticals</w:t>
            </w:r>
          </w:p>
        </w:tc>
        <w:tc>
          <w:tcPr>
            <w:tcW w:type="dxa" w:w="6400"/>
            <w:tcMar>
              <w:top w:type="dxa" w:w="80"/>
              <w:left w:type="dxa" w:w="100"/>
              <w:bottom w:type="dxa" w:w="80"/>
              <w:right w:type="dxa" w:w="100"/>
            </w:tcMar>
          </w:tcPr>
          <w:p>
            <w:r>
              <w:rPr>
                <w:rFonts w:ascii="Inter" w:cs="Inter" w:eastAsia="Inter" w:hAnsi="Inter"/>
                <w:b w:val="false"/>
                <w:bCs w:val="false"/>
                <w:color w:val="1B1B1B"/>
                <w:sz w:val="20"/>
                <w:szCs w:val="20"/>
              </w:rPr>
              <w:t xml:space="preserve">Laundry/Home Services + Automobile templates</w:t>
            </w:r>
          </w:p>
        </w:tc>
      </w:tr>
      <w:tr>
        <w:tc>
          <w:tcPr>
            <w:tcW w:type="dxa" w:w="3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Pricing</w:t>
            </w:r>
          </w:p>
        </w:tc>
        <w:tc>
          <w:tcPr>
            <w:tcW w:type="dxa" w:w="64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Tier 2 &amp; Tier 3 unlocked, annual prepay (2 months free)</w:t>
            </w:r>
          </w:p>
        </w:tc>
      </w:tr>
      <w:tr>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Domains</w:t>
            </w:r>
          </w:p>
        </w:tc>
        <w:tc>
          <w:tcPr>
            <w:tcW w:type="dxa" w:w="6400"/>
            <w:tcMar>
              <w:top w:type="dxa" w:w="80"/>
              <w:left w:type="dxa" w:w="100"/>
              <w:bottom w:type="dxa" w:w="80"/>
              <w:right w:type="dxa" w:w="100"/>
            </w:tcMar>
          </w:tcPr>
          <w:p>
            <w:r>
              <w:rPr>
                <w:rFonts w:ascii="Inter" w:cs="Inter" w:eastAsia="Inter" w:hAnsi="Inter"/>
                <w:b w:val="false"/>
                <w:bCs w:val="false"/>
                <w:color w:val="1B1B1B"/>
                <w:sz w:val="20"/>
                <w:szCs w:val="20"/>
              </w:rPr>
              <w:t xml:space="preserve">Custom domains + "buy your domain through us" registrar service</w:t>
            </w:r>
          </w:p>
        </w:tc>
      </w:tr>
      <w:tr>
        <w:tc>
          <w:tcPr>
            <w:tcW w:type="dxa" w:w="3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Delivery Phase 2</w:t>
            </w:r>
          </w:p>
        </w:tc>
        <w:tc>
          <w:tcPr>
            <w:tcW w:type="dxa" w:w="64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Swoove aggregator integration ("Request a rider"), second courier provider for redundancy</w:t>
            </w:r>
          </w:p>
        </w:tc>
      </w:tr>
      <w:tr>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Catalogue</w:t>
            </w:r>
          </w:p>
        </w:tc>
        <w:tc>
          <w:tcPr>
            <w:tcW w:type="dxa" w:w="6400"/>
            <w:tcMar>
              <w:top w:type="dxa" w:w="80"/>
              <w:left w:type="dxa" w:w="100"/>
              <w:bottom w:type="dxa" w:w="80"/>
              <w:right w:type="dxa" w:w="100"/>
            </w:tcMar>
          </w:tcPr>
          <w:p>
            <w:r>
              <w:rPr>
                <w:rFonts w:ascii="Inter" w:cs="Inter" w:eastAsia="Inter" w:hAnsi="Inter"/>
                <w:b w:val="false"/>
                <w:bCs w:val="false"/>
                <w:color w:val="1B1B1B"/>
                <w:sz w:val="20"/>
                <w:szCs w:val="20"/>
              </w:rPr>
              <w:t xml:space="preserve">Instagram import (paste handle → pull posts/photos), CSV/Excel bulk import</w:t>
            </w:r>
          </w:p>
        </w:tc>
      </w:tr>
      <w:tr>
        <w:tc>
          <w:tcPr>
            <w:tcW w:type="dxa" w:w="3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Trust</w:t>
            </w:r>
          </w:p>
        </w:tc>
        <w:tc>
          <w:tcPr>
            <w:tcW w:type="dxa" w:w="64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Full dispute centre with SLA timers and merchant trust scores</w:t>
            </w:r>
          </w:p>
        </w:tc>
      </w:tr>
      <w:tr>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Growth</w:t>
            </w:r>
          </w:p>
        </w:tc>
        <w:tc>
          <w:tcPr>
            <w:tcW w:type="dxa" w:w="6400"/>
            <w:tcMar>
              <w:top w:type="dxa" w:w="80"/>
              <w:left w:type="dxa" w:w="100"/>
              <w:bottom w:type="dxa" w:w="80"/>
              <w:right w:type="dxa" w:w="100"/>
            </w:tcMar>
          </w:tcPr>
          <w:p>
            <w:r>
              <w:rPr>
                <w:rFonts w:ascii="Inter" w:cs="Inter" w:eastAsia="Inter" w:hAnsi="Inter"/>
                <w:b w:val="false"/>
                <w:bCs w:val="false"/>
                <w:color w:val="1B1B1B"/>
                <w:sz w:val="20"/>
                <w:szCs w:val="20"/>
              </w:rPr>
              <w:t xml:space="preserve">Referral programme, colour/hero customisation for Tier 2+, staff roles &amp; permissions</w:t>
            </w:r>
          </w:p>
        </w:tc>
      </w:tr>
    </w:tbl>
    <w:p>
      <w:pPr>
        <w:pageBreakBefore/>
      </w:pPr>
    </w:p>
    <w:p>
      <w:pPr>
        <w:pStyle w:val="Heading1"/>
        <w:spacing w:after="200" w:before="400"/>
      </w:pPr>
      <w:r>
        <w:rPr>
          <w:rFonts w:ascii="Inter" w:cs="Inter" w:eastAsia="Inter" w:hAnsi="Inter"/>
          <w:b/>
          <w:bCs/>
          <w:color w:val="07452F"/>
          <w:sz w:val="32"/>
          <w:szCs w:val="32"/>
        </w:rPr>
        <w:t xml:space="preserve">5. Go-to-Market Execution</w:t>
      </w:r>
    </w:p>
    <w:p>
      <w:pPr>
        <w:spacing w:after="120"/>
      </w:pPr>
      <w:r>
        <w:rPr>
          <w:rFonts w:ascii="Inter" w:cs="Inter" w:eastAsia="Inter" w:hAnsi="Inter"/>
          <w:b w:val="false"/>
          <w:bCs w:val="false"/>
          <w:i w:val="false"/>
          <w:iCs w:val="false"/>
          <w:color w:val="1B1B1B"/>
          <w:sz w:val="22"/>
          <w:szCs w:val="22"/>
        </w:rPr>
        <w:t xml:space="preserve">Runs in parallel with the build, not after it. Content and relationships take months to compound — start them in Month 2, not at launch.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tblHeader/>
        </w:trPr>
        <w:tc>
          <w:tcPr>
            <w:tcW w:type="dxa" w:w="2600"/>
            <w:shd w:fill="0B6E4F" w:val="clear"/>
            <w:tcMar>
              <w:top w:type="dxa" w:w="80"/>
              <w:left w:type="dxa" w:w="100"/>
              <w:bottom w:type="dxa" w:w="80"/>
              <w:right w:type="dxa" w:w="100"/>
            </w:tcMar>
          </w:tcPr>
          <w:p>
            <w:r>
              <w:rPr>
                <w:rFonts w:ascii="Inter" w:cs="Inter" w:eastAsia="Inter" w:hAnsi="Inter"/>
                <w:b/>
                <w:bCs/>
                <w:color w:val="FFFFFF"/>
                <w:sz w:val="20"/>
                <w:szCs w:val="20"/>
              </w:rPr>
              <w:t xml:space="preserve">Activity</w:t>
            </w:r>
          </w:p>
        </w:tc>
        <w:tc>
          <w:tcPr>
            <w:tcW w:type="dxa" w:w="1800"/>
            <w:shd w:fill="0B6E4F" w:val="clear"/>
            <w:tcMar>
              <w:top w:type="dxa" w:w="80"/>
              <w:left w:type="dxa" w:w="100"/>
              <w:bottom w:type="dxa" w:w="80"/>
              <w:right w:type="dxa" w:w="100"/>
            </w:tcMar>
          </w:tcPr>
          <w:p>
            <w:r>
              <w:rPr>
                <w:rFonts w:ascii="Inter" w:cs="Inter" w:eastAsia="Inter" w:hAnsi="Inter"/>
                <w:b/>
                <w:bCs/>
                <w:color w:val="FFFFFF"/>
                <w:sz w:val="20"/>
                <w:szCs w:val="20"/>
              </w:rPr>
              <w:t xml:space="preserve">Starts</w:t>
            </w:r>
          </w:p>
        </w:tc>
        <w:tc>
          <w:tcPr>
            <w:tcW w:type="dxa" w:w="4400"/>
            <w:shd w:fill="0B6E4F" w:val="clear"/>
            <w:tcMar>
              <w:top w:type="dxa" w:w="80"/>
              <w:left w:type="dxa" w:w="100"/>
              <w:bottom w:type="dxa" w:w="80"/>
              <w:right w:type="dxa" w:w="100"/>
            </w:tcMar>
          </w:tcPr>
          <w:p>
            <w:r>
              <w:rPr>
                <w:rFonts w:ascii="Inter" w:cs="Inter" w:eastAsia="Inter" w:hAnsi="Inter"/>
                <w:b/>
                <w:bCs/>
                <w:color w:val="FFFFFF"/>
                <w:sz w:val="20"/>
                <w:szCs w:val="20"/>
              </w:rPr>
              <w:t xml:space="preserve">Notes</w:t>
            </w:r>
          </w:p>
        </w:tc>
      </w:tr>
      <w:tr>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Founding 100 recruitment</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Phase 0 (interviews)</w:t>
            </w:r>
          </w:p>
        </w:tc>
        <w:tc>
          <w:tcPr>
            <w:tcW w:type="dxa" w:w="4400"/>
            <w:tcMar>
              <w:top w:type="dxa" w:w="80"/>
              <w:left w:type="dxa" w:w="100"/>
              <w:bottom w:type="dxa" w:w="80"/>
              <w:right w:type="dxa" w:w="100"/>
            </w:tcMar>
          </w:tcPr>
          <w:p>
            <w:r>
              <w:rPr>
                <w:rFonts w:ascii="Inter" w:cs="Inter" w:eastAsia="Inter" w:hAnsi="Inter"/>
                <w:b w:val="false"/>
                <w:bCs w:val="false"/>
                <w:color w:val="1B1B1B"/>
                <w:sz w:val="20"/>
                <w:szCs w:val="20"/>
              </w:rPr>
              <w:t xml:space="preserve">Convert interview contacts into a named, contactable pipeline; they lock the GHS 466 promo price for life/24 months</w:t>
            </w:r>
          </w:p>
        </w:tc>
      </w:tr>
      <w:tr>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Vertical short-video content</w:t>
            </w:r>
          </w:p>
        </w:tc>
        <w:tc>
          <w:tcPr>
            <w:tcW w:type="dxa" w:w="1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Month 2</w:t>
            </w:r>
          </w:p>
        </w:tc>
        <w:tc>
          <w:tcPr>
            <w:tcW w:type="dxa" w:w="44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30-second "watch me build a store for X" screen-recordings, one per vertical — start before the product is finished so there's an audience at launch</w:t>
            </w:r>
          </w:p>
        </w:tc>
      </w:tr>
      <w:tr>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Association outreach</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Month 3</w:t>
            </w:r>
          </w:p>
        </w:tc>
        <w:tc>
          <w:tcPr>
            <w:tcW w:type="dxa" w:w="4400"/>
            <w:tcMar>
              <w:top w:type="dxa" w:w="80"/>
              <w:left w:type="dxa" w:w="100"/>
              <w:bottom w:type="dxa" w:w="80"/>
              <w:right w:type="dxa" w:w="100"/>
            </w:tcMar>
          </w:tcPr>
          <w:p>
            <w:r>
              <w:rPr>
                <w:rFonts w:ascii="Inter" w:cs="Inter" w:eastAsia="Inter" w:hAnsi="Inter"/>
                <w:b w:val="false"/>
                <w:bCs w:val="false"/>
                <w:color w:val="1B1B1B"/>
                <w:sz w:val="20"/>
                <w:szCs w:val="20"/>
              </w:rPr>
              <w:t xml:space="preserve">Book demo evenings for launch week: restaurant/caterers associations, tailors' unions, Abossey Okai spare-parts dealers</w:t>
            </w:r>
          </w:p>
        </w:tc>
      </w:tr>
      <w:tr>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Proof pipeline</w:t>
            </w:r>
          </w:p>
        </w:tc>
        <w:tc>
          <w:tcPr>
            <w:tcW w:type="dxa" w:w="1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Month 4 (first paying merchants)</w:t>
            </w:r>
          </w:p>
        </w:tc>
        <w:tc>
          <w:tcPr>
            <w:tcW w:type="dxa" w:w="44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Film every happy merchant — 30–60s phone video, shop, real numbers; feeds ads by month 3 post-launch</w:t>
            </w:r>
          </w:p>
        </w:tc>
      </w:tr>
      <w:tr>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Meta/Instagram ads</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Public launch</w:t>
            </w:r>
          </w:p>
        </w:tc>
        <w:tc>
          <w:tcPr>
            <w:tcW w:type="dxa" w:w="4400"/>
            <w:tcMar>
              <w:top w:type="dxa" w:w="80"/>
              <w:left w:type="dxa" w:w="100"/>
              <w:bottom w:type="dxa" w:w="80"/>
              <w:right w:type="dxa" w:w="100"/>
            </w:tcMar>
          </w:tcPr>
          <w:p>
            <w:r>
              <w:rPr>
                <w:rFonts w:ascii="Inter" w:cs="Inter" w:eastAsia="Inter" w:hAnsi="Inter"/>
                <w:b w:val="false"/>
                <w:bCs w:val="false"/>
                <w:color w:val="1B1B1B"/>
                <w:sz w:val="20"/>
                <w:szCs w:val="20"/>
              </w:rPr>
              <w:t xml:space="preserve">GHS 50–150/day to start; target boutique/laundry/etc. pages and followers in Accra; scale what converts</w:t>
            </w:r>
          </w:p>
        </w:tc>
      </w:tr>
      <w:tr>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Geography</w:t>
            </w:r>
          </w:p>
        </w:tc>
        <w:tc>
          <w:tcPr>
            <w:tcW w:type="dxa" w:w="1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Launch: Accra only</w:t>
            </w:r>
          </w:p>
        </w:tc>
        <w:tc>
          <w:tcPr>
            <w:tcW w:type="dxa" w:w="44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Density before breadth — Kumasi second, once Accra proves the playbook</w:t>
            </w:r>
          </w:p>
        </w:tc>
      </w:tr>
    </w:tbl>
    <w:p>
      <w:pPr>
        <w:pStyle w:val="Heading1"/>
        <w:spacing w:after="200" w:before="400"/>
      </w:pPr>
      <w:r>
        <w:rPr>
          <w:rFonts w:ascii="Inter" w:cs="Inter" w:eastAsia="Inter" w:hAnsi="Inter"/>
          <w:b/>
          <w:bCs/>
          <w:color w:val="07452F"/>
          <w:sz w:val="32"/>
          <w:szCs w:val="32"/>
        </w:rPr>
        <w:t xml:space="preserve">6. Metrics &amp; Instrumentation</w:t>
      </w:r>
    </w:p>
    <w:p>
      <w:pPr>
        <w:spacing w:after="120"/>
      </w:pPr>
      <w:r>
        <w:rPr>
          <w:rFonts w:ascii="Inter" w:cs="Inter" w:eastAsia="Inter" w:hAnsi="Inter"/>
          <w:b w:val="false"/>
          <w:bCs w:val="false"/>
          <w:i w:val="false"/>
          <w:iCs w:val="false"/>
          <w:color w:val="1B1B1B"/>
          <w:sz w:val="22"/>
          <w:szCs w:val="22"/>
        </w:rPr>
        <w:t xml:space="preserve">Instrument the full funnel from day one of Month 2 (the marketing site v1), not retrofitted after launch:</w:t>
      </w:r>
    </w:p>
    <w:p>
      <w:pPr>
        <w:pStyle w:val="ListParagraph"/>
        <w:numPr>
          <w:ilvl w:val="0"/>
          <w:numId w:val="1"/>
        </w:numPr>
        <w:spacing w:after="60"/>
      </w:pPr>
      <w:r>
        <w:rPr>
          <w:rFonts w:ascii="Inter" w:cs="Inter" w:eastAsia="Inter" w:hAnsi="Inter"/>
          <w:color w:val="1B1B1B"/>
          <w:sz w:val="22"/>
          <w:szCs w:val="22"/>
        </w:rPr>
        <w:t xml:space="preserve">view → phone entered → OTP passed → category → first product → live → shared → first order → paid</w:t>
      </w:r>
    </w:p>
    <w:p>
      <w:pPr>
        <w:pStyle w:val="ListParagraph"/>
        <w:numPr>
          <w:ilvl w:val="0"/>
          <w:numId w:val="1"/>
        </w:numPr>
        <w:spacing w:after="60"/>
      </w:pPr>
      <w:r>
        <w:rPr>
          <w:rFonts w:ascii="Inter" w:cs="Inter" w:eastAsia="Inter" w:hAnsi="Inter"/>
          <w:color w:val="1B1B1B"/>
          <w:sz w:val="22"/>
          <w:szCs w:val="22"/>
        </w:rPr>
        <w:t xml:space="preserve">Weekly cohort report in Mission Control tracking each stage</w:t>
      </w:r>
    </w:p>
    <w:p>
      <w:pPr>
        <w:pStyle w:val="ListParagraph"/>
        <w:numPr>
          <w:ilvl w:val="0"/>
          <w:numId w:val="1"/>
        </w:numPr>
        <w:spacing w:after="60"/>
      </w:pPr>
      <w:r>
        <w:rPr>
          <w:rFonts w:ascii="Inter" w:cs="Inter" w:eastAsia="Inter" w:hAnsi="Inter"/>
          <w:color w:val="1B1B1B"/>
          <w:sz w:val="22"/>
          <w:szCs w:val="22"/>
        </w:rPr>
        <w:t xml:space="preserve">Click budgets (Part 4 §4) enforced as regression gates — e.g. buyer checkout ≤ 4 taps + 3 fields + MoMo PIN, merchant "add a product" ≤ ~45 seconds. A release that blows a budget is treated as a bug, not a trade-off.</w:t>
      </w:r>
    </w:p>
    <w:p>
      <w:pPr>
        <w:spacing w:after="120"/>
      </w:pPr>
      <w:r>
        <w:rPr>
          <w:rFonts w:ascii="Inter" w:cs="Inter" w:eastAsia="Inter" w:hAnsi="Inter"/>
          <w:b/>
          <w:bCs/>
          <w:i w:val="false"/>
          <w:iCs w:val="false"/>
          <w:color w:val="1B1B1B"/>
          <w:sz w:val="22"/>
          <w:szCs w:val="22"/>
        </w:rPr>
        <w:t xml:space="preserve">The one number that governs everything else: trial → paid conversion rate.</w:t>
      </w:r>
    </w:p>
    <w:p>
      <w:pPr>
        <w:pStyle w:val="ListParagraph"/>
        <w:numPr>
          <w:ilvl w:val="0"/>
          <w:numId w:val="1"/>
        </w:numPr>
        <w:spacing w:after="60"/>
      </w:pPr>
      <w:r>
        <w:rPr>
          <w:rFonts w:ascii="Inter" w:cs="Inter" w:eastAsia="Inter" w:hAnsi="Inter"/>
          <w:color w:val="1B1B1B"/>
          <w:sz w:val="22"/>
          <w:szCs w:val="22"/>
        </w:rPr>
        <w:t xml:space="preserve">Above ~30–40%: safe to scale ad spend</w:t>
      </w:r>
    </w:p>
    <w:p>
      <w:pPr>
        <w:pStyle w:val="ListParagraph"/>
        <w:numPr>
          <w:ilvl w:val="0"/>
          <w:numId w:val="1"/>
        </w:numPr>
        <w:spacing w:after="60"/>
      </w:pPr>
      <w:r>
        <w:rPr>
          <w:rFonts w:ascii="Inter" w:cs="Inter" w:eastAsia="Inter" w:hAnsi="Inter"/>
          <w:color w:val="1B1B1B"/>
          <w:sz w:val="22"/>
          <w:szCs w:val="22"/>
        </w:rPr>
        <w:t xml:space="preserve">Below that: fix onboarding and delivery before spending another cedi on ads</w:t>
      </w:r>
    </w:p>
    <w:p>
      <w:pPr>
        <w:pStyle w:val="Heading1"/>
        <w:spacing w:after="200" w:before="400"/>
      </w:pPr>
      <w:r>
        <w:rPr>
          <w:rFonts w:ascii="Inter" w:cs="Inter" w:eastAsia="Inter" w:hAnsi="Inter"/>
          <w:b/>
          <w:bCs/>
          <w:color w:val="07452F"/>
          <w:sz w:val="32"/>
          <w:szCs w:val="32"/>
        </w:rPr>
        <w:t xml:space="preserve">7. Risk Register &amp; Open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rPr>
          <w:tblHeader/>
        </w:trPr>
        <w:tc>
          <w:tcPr>
            <w:tcW w:type="dxa" w:w="3600"/>
            <w:shd w:fill="0B6E4F" w:val="clear"/>
            <w:tcMar>
              <w:top w:type="dxa" w:w="80"/>
              <w:left w:type="dxa" w:w="100"/>
              <w:bottom w:type="dxa" w:w="80"/>
              <w:right w:type="dxa" w:w="100"/>
            </w:tcMar>
          </w:tcPr>
          <w:p>
            <w:r>
              <w:rPr>
                <w:rFonts w:ascii="Inter" w:cs="Inter" w:eastAsia="Inter" w:hAnsi="Inter"/>
                <w:b/>
                <w:bCs/>
                <w:color w:val="FFFFFF"/>
                <w:sz w:val="20"/>
                <w:szCs w:val="20"/>
              </w:rPr>
              <w:t xml:space="preserve">Gap</w:t>
            </w:r>
          </w:p>
        </w:tc>
        <w:tc>
          <w:tcPr>
            <w:tcW w:type="dxa" w:w="1800"/>
            <w:shd w:fill="0B6E4F" w:val="clear"/>
            <w:tcMar>
              <w:top w:type="dxa" w:w="80"/>
              <w:left w:type="dxa" w:w="100"/>
              <w:bottom w:type="dxa" w:w="80"/>
              <w:right w:type="dxa" w:w="100"/>
            </w:tcMar>
          </w:tcPr>
          <w:p>
            <w:r>
              <w:rPr>
                <w:rFonts w:ascii="Inter" w:cs="Inter" w:eastAsia="Inter" w:hAnsi="Inter"/>
                <w:b/>
                <w:bCs/>
                <w:color w:val="FFFFFF"/>
                <w:sz w:val="20"/>
                <w:szCs w:val="20"/>
              </w:rPr>
              <w:t xml:space="preserve">Must close by</w:t>
            </w:r>
          </w:p>
        </w:tc>
        <w:tc>
          <w:tcPr>
            <w:tcW w:type="dxa" w:w="3600"/>
            <w:shd w:fill="0B6E4F" w:val="clear"/>
            <w:tcMar>
              <w:top w:type="dxa" w:w="80"/>
              <w:left w:type="dxa" w:w="100"/>
              <w:bottom w:type="dxa" w:w="80"/>
              <w:right w:type="dxa" w:w="100"/>
            </w:tcMar>
          </w:tcPr>
          <w:p>
            <w:r>
              <w:rPr>
                <w:rFonts w:ascii="Inter" w:cs="Inter" w:eastAsia="Inter" w:hAnsi="Inter"/>
                <w:b/>
                <w:bCs/>
                <w:color w:val="FFFFFF"/>
                <w:sz w:val="20"/>
                <w:szCs w:val="20"/>
              </w:rPr>
              <w:t xml:space="preserve">Owner / mitigation</w:t>
            </w:r>
          </w:p>
        </w:tc>
      </w:tr>
      <w:tr>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Name/trademark risk on "ShopLocal"</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Phase 0</w:t>
            </w:r>
          </w:p>
        </w:tc>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Founder — check registry + socials before any brand spend</w:t>
            </w:r>
          </w:p>
        </w:tc>
      </w:tr>
      <w:tr>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No legal entity yet blocks Paystack account</w:t>
            </w:r>
          </w:p>
        </w:tc>
        <w:tc>
          <w:tcPr>
            <w:tcW w:type="dxa" w:w="1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Phase 0</w:t>
            </w:r>
          </w:p>
        </w:tc>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Founder — entity registration is the critical path for Month 3 payments work</w:t>
            </w:r>
          </w:p>
        </w:tc>
      </w:tr>
      <w:tr>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Data Protection Commission registration (Act 843)</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Before public launch</w:t>
            </w:r>
          </w:p>
        </w:tc>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Founder — required for any entity processing personal data</w:t>
            </w:r>
          </w:p>
        </w:tc>
      </w:tr>
      <w:tr>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Empty-store / trial-to-paid drop-off</w:t>
            </w:r>
          </w:p>
        </w:tc>
        <w:tc>
          <w:tcPr>
            <w:tcW w:type="dxa" w:w="1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Month 4 build</w:t>
            </w:r>
          </w:p>
        </w:tc>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Launch ritual (share-to-complete-onboarding), earn-more-trial, day-7 human WhatsApp check-in</w:t>
            </w:r>
          </w:p>
        </w:tc>
      </w:tr>
      <w:tr>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MoMo billing failures read as churn</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Month 4 build</w:t>
            </w:r>
          </w:p>
        </w:tc>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Retry ladder + billing-date-of-choice + pause-not-delete</w:t>
            </w:r>
          </w:p>
        </w:tc>
      </w:tr>
      <w:tr>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Rider no-shows / COD cash handling</w:t>
            </w:r>
          </w:p>
        </w:tc>
        <w:tc>
          <w:tcPr>
            <w:tcW w:type="dxa" w:w="1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Month 3 build</w:t>
            </w:r>
          </w:p>
        </w:tc>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Phase 1 delivery keeps merchant's own riders as default; delivery OTP + recorded amounts</w:t>
            </w:r>
          </w:p>
        </w:tc>
      </w:tr>
      <w:tr>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Aggregator dependency (delivery Phase 2)</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Month 5–8</w:t>
            </w:r>
          </w:p>
        </w:tc>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Two providers (Swoove + backup) behind an internal delivery interface from day one</w:t>
            </w:r>
          </w:p>
        </w:tc>
      </w:tr>
      <w:tr>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Support quality at launch</w:t>
            </w:r>
          </w:p>
        </w:tc>
        <w:tc>
          <w:tcPr>
            <w:tcW w:type="dxa" w:w="1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Before public launch</w:t>
            </w:r>
          </w:p>
        </w:tc>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Define who answers WhatsApp, hours, escalation; help-centre articles in English + Twi</w:t>
            </w:r>
          </w:p>
        </w:tc>
      </w:tr>
      <w:tr>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Buyer-side trust (scam perception)</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Month 4 build</w:t>
            </w:r>
          </w:p>
        </w:tc>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Receipts, order-tracking page, and the dispute link must exist at launch — this is reputational, not optional</w:t>
            </w:r>
          </w:p>
        </w:tc>
      </w:tr>
    </w:tbl>
    <w:p>
      <w:pPr>
        <w:pageBreakBefore/>
      </w:pPr>
    </w:p>
    <w:p>
      <w:pPr>
        <w:pStyle w:val="Heading1"/>
        <w:spacing w:after="200" w:before="400"/>
      </w:pPr>
      <w:r>
        <w:rPr>
          <w:rFonts w:ascii="Inter" w:cs="Inter" w:eastAsia="Inter" w:hAnsi="Inter"/>
          <w:b/>
          <w:bCs/>
          <w:color w:val="07452F"/>
          <w:sz w:val="32"/>
          <w:szCs w:val="32"/>
        </w:rPr>
        <w:t xml:space="preserve">8. Financial Checkpoints</w:t>
      </w:r>
    </w:p>
    <w:p>
      <w:pPr>
        <w:pStyle w:val="ListParagraph"/>
        <w:numPr>
          <w:ilvl w:val="0"/>
          <w:numId w:val="1"/>
        </w:numPr>
        <w:spacing w:after="60"/>
      </w:pPr>
      <w:r>
        <w:rPr>
          <w:rFonts w:ascii="Inter" w:cs="Inter" w:eastAsia="Inter" w:hAnsi="Inter"/>
          <w:color w:val="1B1B1B"/>
          <w:sz w:val="22"/>
          <w:szCs w:val="22"/>
        </w:rPr>
        <w:t xml:space="preserve">Breakeven target: 50–100 paying merchants (≈ GHS 23,300–46,600 MRR) against an estimated GHS 15,000–25,000/month burn (small team + infra + ads)</w:t>
      </w:r>
    </w:p>
    <w:p>
      <w:pPr>
        <w:pStyle w:val="ListParagraph"/>
        <w:numPr>
          <w:ilvl w:val="0"/>
          <w:numId w:val="1"/>
        </w:numPr>
        <w:spacing w:after="60"/>
      </w:pPr>
      <w:r>
        <w:rPr>
          <w:rFonts w:ascii="Inter" w:cs="Inter" w:eastAsia="Inter" w:hAnsi="Inter"/>
          <w:color w:val="1B1B1B"/>
          <w:sz w:val="22"/>
          <w:szCs w:val="22"/>
        </w:rPr>
        <w:t xml:space="preserve">Infra budget ceiling: stay under ~2% of revenue — roughly USD 40–80/month at launch, under USD 200–300/month at 500 paying merchants</w:t>
      </w:r>
    </w:p>
    <w:p>
      <w:pPr>
        <w:pStyle w:val="ListParagraph"/>
        <w:numPr>
          <w:ilvl w:val="0"/>
          <w:numId w:val="1"/>
        </w:numPr>
        <w:spacing w:after="60"/>
      </w:pPr>
      <w:r>
        <w:rPr>
          <w:rFonts w:ascii="Inter" w:cs="Inter" w:eastAsia="Inter" w:hAnsi="Inter"/>
          <w:color w:val="1B1B1B"/>
          <w:sz w:val="22"/>
          <w:szCs w:val="22"/>
        </w:rPr>
        <w:t xml:space="preserve">Indicative build cost: GHS 150,000–250,000 in salaries across the 4-month MVP window (adjust to actual hiring reality)</w:t>
      </w:r>
    </w:p>
    <w:p>
      <w:pPr>
        <w:pStyle w:val="ListParagraph"/>
        <w:numPr>
          <w:ilvl w:val="0"/>
          <w:numId w:val="1"/>
        </w:numPr>
        <w:spacing w:after="60"/>
      </w:pPr>
      <w:r>
        <w:rPr>
          <w:rFonts w:ascii="Inter" w:cs="Inter" w:eastAsia="Inter" w:hAnsi="Inter"/>
          <w:color w:val="1B1B1B"/>
          <w:sz w:val="22"/>
          <w:szCs w:val="22"/>
        </w:rPr>
        <w:t xml:space="preserve">Revenue check: 100 paying merchants ≈ GHS 46,600/month; 500 ≈ GHS 233,000–250,000/month</w:t>
      </w:r>
    </w:p>
    <w:p>
      <w:pPr>
        <w:pStyle w:val="Heading1"/>
        <w:spacing w:after="200" w:before="400"/>
      </w:pPr>
      <w:r>
        <w:rPr>
          <w:rFonts w:ascii="Inter" w:cs="Inter" w:eastAsia="Inter" w:hAnsi="Inter"/>
          <w:b/>
          <w:bCs/>
          <w:color w:val="07452F"/>
          <w:sz w:val="32"/>
          <w:szCs w:val="32"/>
        </w:rPr>
        <w:t xml:space="preserve">9. Immediate Next Actions (This Week)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00"/>
      </w:tblGrid>
      <w:tr>
        <w:trPr>
          <w:tblHeader/>
        </w:trPr>
        <w:tc>
          <w:tcPr>
            <w:tcW w:type="dxa" w:w="500"/>
            <w:shd w:fill="0B6E4F" w:val="clear"/>
            <w:tcMar>
              <w:top w:type="dxa" w:w="80"/>
              <w:left w:type="dxa" w:w="100"/>
              <w:bottom w:type="dxa" w:w="80"/>
              <w:right w:type="dxa" w:w="100"/>
            </w:tcMar>
          </w:tcPr>
          <w:p>
            <w:r>
              <w:rPr>
                <w:rFonts w:ascii="Inter" w:cs="Inter" w:eastAsia="Inter" w:hAnsi="Inter"/>
                <w:b/>
                <w:bCs/>
                <w:color w:val="FFFFFF"/>
                <w:sz w:val="20"/>
                <w:szCs w:val="20"/>
              </w:rPr>
              <w:t xml:space="preserve">#</w:t>
            </w:r>
          </w:p>
        </w:tc>
        <w:tc>
          <w:tcPr>
            <w:tcW w:type="dxa" w:w="4700"/>
            <w:shd w:fill="0B6E4F" w:val="clear"/>
            <w:tcMar>
              <w:top w:type="dxa" w:w="80"/>
              <w:left w:type="dxa" w:w="100"/>
              <w:bottom w:type="dxa" w:w="80"/>
              <w:right w:type="dxa" w:w="100"/>
            </w:tcMar>
          </w:tcPr>
          <w:p>
            <w:r>
              <w:rPr>
                <w:rFonts w:ascii="Inter" w:cs="Inter" w:eastAsia="Inter" w:hAnsi="Inter"/>
                <w:b/>
                <w:bCs/>
                <w:color w:val="FFFFFF"/>
                <w:sz w:val="20"/>
                <w:szCs w:val="20"/>
              </w:rPr>
              <w:t xml:space="preserve">Action</w:t>
            </w:r>
          </w:p>
        </w:tc>
        <w:tc>
          <w:tcPr>
            <w:tcW w:type="dxa" w:w="3800"/>
            <w:shd w:fill="0B6E4F" w:val="clear"/>
            <w:tcMar>
              <w:top w:type="dxa" w:w="80"/>
              <w:left w:type="dxa" w:w="100"/>
              <w:bottom w:type="dxa" w:w="80"/>
              <w:right w:type="dxa" w:w="100"/>
            </w:tcMar>
          </w:tcPr>
          <w:p>
            <w:r>
              <w:rPr>
                <w:rFonts w:ascii="Inter" w:cs="Inter" w:eastAsia="Inter" w:hAnsi="Inter"/>
                <w:b/>
                <w:bCs/>
                <w:color w:val="FFFFFF"/>
                <w:sz w:val="20"/>
                <w:szCs w:val="20"/>
              </w:rPr>
              <w:t xml:space="preserve">Why it's first</w:t>
            </w:r>
          </w:p>
        </w:tc>
      </w:tr>
      <w:tr>
        <w:tc>
          <w:tcPr>
            <w:tcW w:type="dxa" w:w="500"/>
            <w:tcMar>
              <w:top w:type="dxa" w:w="80"/>
              <w:left w:type="dxa" w:w="100"/>
              <w:bottom w:type="dxa" w:w="80"/>
              <w:right w:type="dxa" w:w="100"/>
            </w:tcMar>
          </w:tcPr>
          <w:p>
            <w:r>
              <w:rPr>
                <w:rFonts w:ascii="Inter" w:cs="Inter" w:eastAsia="Inter" w:hAnsi="Inter"/>
                <w:b w:val="false"/>
                <w:bCs w:val="false"/>
                <w:color w:val="1B1B1B"/>
                <w:sz w:val="20"/>
                <w:szCs w:val="20"/>
              </w:rPr>
              <w:t xml:space="preserve">1</w:t>
            </w:r>
          </w:p>
        </w:tc>
        <w:tc>
          <w:tcPr>
            <w:tcW w:type="dxa" w:w="4700"/>
            <w:tcMar>
              <w:top w:type="dxa" w:w="80"/>
              <w:left w:type="dxa" w:w="100"/>
              <w:bottom w:type="dxa" w:w="80"/>
              <w:right w:type="dxa" w:w="100"/>
            </w:tcMar>
          </w:tcPr>
          <w:p>
            <w:r>
              <w:rPr>
                <w:rFonts w:ascii="Inter" w:cs="Inter" w:eastAsia="Inter" w:hAnsi="Inter"/>
                <w:b w:val="false"/>
                <w:bCs w:val="false"/>
                <w:color w:val="1B1B1B"/>
                <w:sz w:val="20"/>
                <w:szCs w:val="20"/>
              </w:rPr>
              <w:t xml:space="preserve">Confirm the real team: hire/contract the 2 developers + designer, or decide the founder is building solo</w:t>
            </w:r>
          </w:p>
        </w:tc>
        <w:tc>
          <w:tcPr>
            <w:tcW w:type="dxa" w:w="3800"/>
            <w:tcMar>
              <w:top w:type="dxa" w:w="80"/>
              <w:left w:type="dxa" w:w="100"/>
              <w:bottom w:type="dxa" w:w="80"/>
              <w:right w:type="dxa" w:w="100"/>
            </w:tcMar>
          </w:tcPr>
          <w:p>
            <w:r>
              <w:rPr>
                <w:rFonts w:ascii="Inter" w:cs="Inter" w:eastAsia="Inter" w:hAnsi="Inter"/>
                <w:b w:val="false"/>
                <w:bCs w:val="false"/>
                <w:color w:val="1B1B1B"/>
                <w:sz w:val="20"/>
                <w:szCs w:val="20"/>
              </w:rPr>
              <w:t xml:space="preserve">Every Month-1 date in Section 3 assumes this team exists — it's the actual blocker</w:t>
            </w:r>
          </w:p>
        </w:tc>
      </w:tr>
      <w:tr>
        <w:tc>
          <w:tcPr>
            <w:tcW w:type="dxa" w:w="5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2</w:t>
            </w:r>
          </w:p>
        </w:tc>
        <w:tc>
          <w:tcPr>
            <w:tcW w:type="dxa" w:w="47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Start the "ShopLocal" trademark/name-availability check</w:t>
            </w:r>
          </w:p>
        </w:tc>
        <w:tc>
          <w:tcPr>
            <w:tcW w:type="dxa" w:w="3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Cheapest thing to get wrong late — blocks domain purchase and brand work</w:t>
            </w:r>
          </w:p>
        </w:tc>
      </w:tr>
      <w:tr>
        <w:tc>
          <w:tcPr>
            <w:tcW w:type="dxa" w:w="500"/>
            <w:tcMar>
              <w:top w:type="dxa" w:w="80"/>
              <w:left w:type="dxa" w:w="100"/>
              <w:bottom w:type="dxa" w:w="80"/>
              <w:right w:type="dxa" w:w="100"/>
            </w:tcMar>
          </w:tcPr>
          <w:p>
            <w:r>
              <w:rPr>
                <w:rFonts w:ascii="Inter" w:cs="Inter" w:eastAsia="Inter" w:hAnsi="Inter"/>
                <w:b w:val="false"/>
                <w:bCs w:val="false"/>
                <w:color w:val="1B1B1B"/>
                <w:sz w:val="20"/>
                <w:szCs w:val="20"/>
              </w:rPr>
              <w:t xml:space="preserve">3</w:t>
            </w:r>
          </w:p>
        </w:tc>
        <w:tc>
          <w:tcPr>
            <w:tcW w:type="dxa" w:w="4700"/>
            <w:tcMar>
              <w:top w:type="dxa" w:w="80"/>
              <w:left w:type="dxa" w:w="100"/>
              <w:bottom w:type="dxa" w:w="80"/>
              <w:right w:type="dxa" w:w="100"/>
            </w:tcMar>
          </w:tcPr>
          <w:p>
            <w:r>
              <w:rPr>
                <w:rFonts w:ascii="Inter" w:cs="Inter" w:eastAsia="Inter" w:hAnsi="Inter"/>
                <w:b w:val="false"/>
                <w:bCs w:val="false"/>
                <w:color w:val="1B1B1B"/>
                <w:sz w:val="20"/>
                <w:szCs w:val="20"/>
              </w:rPr>
              <w:t xml:space="preserve">Begin scheduling the 20 merchant interviews</w:t>
            </w:r>
          </w:p>
        </w:tc>
        <w:tc>
          <w:tcPr>
            <w:tcW w:type="dxa" w:w="3800"/>
            <w:tcMar>
              <w:top w:type="dxa" w:w="80"/>
              <w:left w:type="dxa" w:w="100"/>
              <w:bottom w:type="dxa" w:w="80"/>
              <w:right w:type="dxa" w:w="100"/>
            </w:tcMar>
          </w:tcPr>
          <w:p>
            <w:r>
              <w:rPr>
                <w:rFonts w:ascii="Inter" w:cs="Inter" w:eastAsia="Inter" w:hAnsi="Inter"/>
                <w:b w:val="false"/>
                <w:bCs w:val="false"/>
                <w:color w:val="1B1B1B"/>
                <w:sz w:val="20"/>
                <w:szCs w:val="20"/>
              </w:rPr>
              <w:t xml:space="preserve">Validates the GHS 466 pricing pivot before a line of code is spent building for it</w:t>
            </w:r>
          </w:p>
        </w:tc>
      </w:tr>
      <w:tr>
        <w:tc>
          <w:tcPr>
            <w:tcW w:type="dxa" w:w="5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4</w:t>
            </w:r>
          </w:p>
        </w:tc>
        <w:tc>
          <w:tcPr>
            <w:tcW w:type="dxa" w:w="47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Kick off Ghana entity registration</w:t>
            </w:r>
          </w:p>
        </w:tc>
        <w:tc>
          <w:tcPr>
            <w:tcW w:type="dxa" w:w="3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Gates the Paystack business account, which gates all of Month 3's payment work</w:t>
            </w:r>
          </w:p>
        </w:tc>
      </w:tr>
      <w:tr>
        <w:tc>
          <w:tcPr>
            <w:tcW w:type="dxa" w:w="500"/>
            <w:tcMar>
              <w:top w:type="dxa" w:w="80"/>
              <w:left w:type="dxa" w:w="100"/>
              <w:bottom w:type="dxa" w:w="80"/>
              <w:right w:type="dxa" w:w="100"/>
            </w:tcMar>
          </w:tcPr>
          <w:p>
            <w:r>
              <w:rPr>
                <w:rFonts w:ascii="Inter" w:cs="Inter" w:eastAsia="Inter" w:hAnsi="Inter"/>
                <w:b w:val="false"/>
                <w:bCs w:val="false"/>
                <w:color w:val="1B1B1B"/>
                <w:sz w:val="20"/>
                <w:szCs w:val="20"/>
              </w:rPr>
              <w:t xml:space="preserve">5</w:t>
            </w:r>
          </w:p>
        </w:tc>
        <w:tc>
          <w:tcPr>
            <w:tcW w:type="dxa" w:w="4700"/>
            <w:tcMar>
              <w:top w:type="dxa" w:w="80"/>
              <w:left w:type="dxa" w:w="100"/>
              <w:bottom w:type="dxa" w:w="80"/>
              <w:right w:type="dxa" w:w="100"/>
            </w:tcMar>
          </w:tcPr>
          <w:p>
            <w:r>
              <w:rPr>
                <w:rFonts w:ascii="Inter" w:cs="Inter" w:eastAsia="Inter" w:hAnsi="Inter"/>
                <w:b w:val="false"/>
                <w:bCs w:val="false"/>
                <w:color w:val="1B1B1B"/>
                <w:sz w:val="20"/>
                <w:szCs w:val="20"/>
              </w:rPr>
              <w:t xml:space="preserve">Draft a one-page Founding 100 pitch to use in the interviews</w:t>
            </w:r>
          </w:p>
        </w:tc>
        <w:tc>
          <w:tcPr>
            <w:tcW w:type="dxa" w:w="3800"/>
            <w:tcMar>
              <w:top w:type="dxa" w:w="80"/>
              <w:left w:type="dxa" w:w="100"/>
              <w:bottom w:type="dxa" w:w="80"/>
              <w:right w:type="dxa" w:w="100"/>
            </w:tcMar>
          </w:tcPr>
          <w:p>
            <w:r>
              <w:rPr>
                <w:rFonts w:ascii="Inter" w:cs="Inter" w:eastAsia="Inter" w:hAnsi="Inter"/>
                <w:b w:val="false"/>
                <w:bCs w:val="false"/>
                <w:color w:val="1B1B1B"/>
                <w:sz w:val="20"/>
                <w:szCs w:val="20"/>
              </w:rPr>
              <w:t xml:space="preserve">Turns validation calls into pipeline instead of one-off conversations</w:t>
            </w:r>
          </w:p>
        </w:tc>
      </w:tr>
    </w:tbl>
    <w:p>
      <w:pPr>
        <w:spacing w:after="200" w:before="80"/>
      </w:pPr>
      <w:r>
        <w:rPr>
          <w:rFonts w:ascii="Inter" w:cs="Inter" w:eastAsia="Inter" w:hAnsi="Inter"/>
          <w:i/>
          <w:iCs/>
          <w:color w:val="555555"/>
          <w:sz w:val="20"/>
          <w:szCs w:val="20"/>
        </w:rPr>
        <w:t xml:space="preserve">This roadmap assumes the Part 4 team shape (2 devs + 1 designer + founder) and the Part 3 pricing (GHS 466/933/1,866, 30-day trial, 0% transaction fee). If either changes, Sections 1, 3, and 8 need to be re-cut together — they're load-bearing on each other.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2026-07-09T15:50:54.299Z</dcterms:created>
  <dcterms:modified xsi:type="dcterms:W3CDTF">2026-07-09T15:50:54.302Z</dcterms:modified>
</cp:coreProperties>
</file>

<file path=docProps/custom.xml><?xml version="1.0" encoding="utf-8"?>
<Properties xmlns="http://schemas.openxmlformats.org/officeDocument/2006/custom-properties" xmlns:vt="http://schemas.openxmlformats.org/officeDocument/2006/docPropsVTypes"/>
</file>