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2D91D" w14:textId="77777777" w:rsidR="00F12954" w:rsidRPr="003D5544" w:rsidRDefault="008E32F7">
      <w:pPr>
        <w:pStyle w:val="Heading1"/>
        <w:rPr>
          <w:lang w:val="en-GB"/>
        </w:rPr>
      </w:pPr>
      <w:r w:rsidRPr="003D5544">
        <w:rPr>
          <w:lang w:val="en-GB"/>
        </w:rPr>
        <w:t>Summary</w:t>
      </w:r>
    </w:p>
    <w:p w14:paraId="02100129" w14:textId="77777777" w:rsidR="00F12954" w:rsidRPr="003D5544" w:rsidRDefault="008E32F7">
      <w:pPr>
        <w:rPr>
          <w:lang w:val="en-GB"/>
        </w:rPr>
      </w:pPr>
      <w:r w:rsidRPr="003D5544">
        <w:rPr>
          <w:lang w:val="en-GB"/>
        </w:rPr>
        <w:t xml:space="preserve">In this year's Export Report, we provide a status and update on the export year 2023. This is a continuation from the three preceding Export Reports. In addition to the usual chapters in the export report, this year's edition also contains </w:t>
      </w:r>
      <w:r w:rsidRPr="003D5544">
        <w:rPr>
          <w:lang w:val="en-GB"/>
        </w:rPr>
        <w:t>three special chapters. The first addresses Norway's green exports today and the export opportunities that exist. The second highlights the importance of Norwegian service exports and the third focuses on the significance of cornerstone companies.</w:t>
      </w:r>
    </w:p>
    <w:p w14:paraId="3B092A48" w14:textId="12A34E1F" w:rsidR="00F12954" w:rsidRPr="003D5544" w:rsidRDefault="008E32F7">
      <w:pPr>
        <w:rPr>
          <w:b/>
          <w:bCs/>
          <w:color w:val="D77F16" w:themeColor="accent2"/>
          <w:sz w:val="26"/>
          <w:szCs w:val="26"/>
          <w:lang w:val="en-GB"/>
        </w:rPr>
      </w:pPr>
      <w:r w:rsidRPr="003D5544">
        <w:rPr>
          <w:b/>
          <w:bCs/>
          <w:color w:val="D77F16" w:themeColor="accent2"/>
          <w:sz w:val="26"/>
          <w:szCs w:val="26"/>
          <w:lang w:val="en-GB"/>
        </w:rPr>
        <w:t>A reduction in the export of oil and gas, but historically high levels of goods and service exports</w:t>
      </w:r>
    </w:p>
    <w:p w14:paraId="69A7E253" w14:textId="77777777" w:rsidR="00F12954" w:rsidRPr="003D5544" w:rsidRDefault="008E32F7">
      <w:pPr>
        <w:rPr>
          <w:lang w:val="en-GB"/>
        </w:rPr>
      </w:pPr>
      <w:r w:rsidRPr="003D5544">
        <w:rPr>
          <w:lang w:val="en-GB"/>
        </w:rPr>
        <w:t>In 2023, Norwegian companies exported goods worth 2,400 billion kroner, a decrease of about 24 percent from the record year 2022. This was primarily driven by reduced gas prices. Historically, however, oil and gas exports remain at a high level. Exports of goods and services excluding oil and gas ended up at 1,225 billion kroner in 2023 – the highest level ever. Approximately half of this increase can be explained by higher prices and a falling exchange rate, and the remaining half of the growth can be just</w:t>
      </w:r>
      <w:r w:rsidRPr="003D5544">
        <w:rPr>
          <w:lang w:val="en-GB"/>
        </w:rPr>
        <w:t>ified by increased sales volumes abroad.</w:t>
      </w:r>
    </w:p>
    <w:p w14:paraId="68A276A5" w14:textId="77777777" w:rsidR="00F12954" w:rsidRPr="003D5544" w:rsidRDefault="008E32F7">
      <w:pPr>
        <w:rPr>
          <w:lang w:val="en-GB"/>
        </w:rPr>
      </w:pPr>
      <w:r w:rsidRPr="003D5544">
        <w:rPr>
          <w:lang w:val="en-GB"/>
        </w:rPr>
        <w:t>Regarding exports excluding oil and gas, the maritime sector was the largest export industry in 2023, with an export value of 230 billion kroner in 2023. This was a 2 percent growth from 2022 and was primarily driven by high freight rates and an increased level of activity among shipping companies operating in international waters. The energy-intensive industry exported just over 190 billion kroner. This represents a decline of about 8 percent from 2022, mainly due to a decrease in raw material prices, part</w:t>
      </w:r>
      <w:r w:rsidRPr="003D5544">
        <w:rPr>
          <w:lang w:val="en-GB"/>
        </w:rPr>
        <w:t>icularly the prices of fertiliser and aluminium. The seafood industry exported for 165 billion kroner, an increase from 2022. This is the highest level ever and was driven by increased prices for seafood; measured in volume, there was a slight reduction from 2022.</w:t>
      </w:r>
    </w:p>
    <w:p w14:paraId="3BAE98BE" w14:textId="77777777" w:rsidR="00F12954" w:rsidRPr="003D5544" w:rsidRDefault="008E32F7">
      <w:pPr>
        <w:rPr>
          <w:lang w:val="en-GB"/>
        </w:rPr>
      </w:pPr>
      <w:r w:rsidRPr="003D5544">
        <w:rPr>
          <w:lang w:val="en-GB"/>
        </w:rPr>
        <w:t>Looking ahead, our forecasts indicate that the value of total Norwegian export is expected to continue to decline in 2024. However, exports will still be among the highest levels ever and generate substantial export revenues for Norway. The decrease in exports will primarily be driven by the oil and gas exports which are expected to fall to just below 1 trillion kroner for the first time since 2020. For the export industries other than oil and gas, we are anticipating a combined growth of just over 4 percen</w:t>
      </w:r>
      <w:r w:rsidRPr="003D5544">
        <w:rPr>
          <w:lang w:val="en-GB"/>
        </w:rPr>
        <w:t>t in 2024. The growth outlook for 2025 is expected to be somewhat more stable, with growth anticipated in all sectors except for the seafood industry. Nonetheless, these forecasts are subject to significant uncertainty due to the war in Ukraine, potential escalation of conflicts in the Middle East, and the continued high levels of inflation and interest rates globally.</w:t>
      </w:r>
    </w:p>
    <w:p w14:paraId="34269414" w14:textId="7E4E085A" w:rsidR="00F12954" w:rsidRPr="003D5544" w:rsidRDefault="008E32F7">
      <w:pPr>
        <w:rPr>
          <w:b/>
          <w:bCs/>
          <w:color w:val="D77F16" w:themeColor="accent2"/>
          <w:sz w:val="26"/>
          <w:szCs w:val="26"/>
          <w:lang w:val="en-GB"/>
        </w:rPr>
      </w:pPr>
      <w:r w:rsidRPr="003D5544">
        <w:rPr>
          <w:b/>
          <w:bCs/>
          <w:color w:val="D77F16" w:themeColor="accent2"/>
          <w:sz w:val="26"/>
          <w:szCs w:val="26"/>
          <w:lang w:val="en-GB"/>
        </w:rPr>
        <w:t>Compared to our neighbouring countries, exports are still lower and growing more slowly</w:t>
      </w:r>
    </w:p>
    <w:p w14:paraId="470BA20D" w14:textId="77777777" w:rsidR="00F12954" w:rsidRPr="003D5544" w:rsidRDefault="008E32F7">
      <w:pPr>
        <w:rPr>
          <w:lang w:val="en-GB"/>
        </w:rPr>
      </w:pPr>
      <w:r w:rsidRPr="003D5544">
        <w:rPr>
          <w:lang w:val="en-GB"/>
        </w:rPr>
        <w:lastRenderedPageBreak/>
        <w:t>In 2023, Norwegian businesses primarily exported to Europe, especially to EU/EEA countries. In 2023, EU/EEA countries accounted for 70 percent of oil and gas exports and 50 percent of Norwegian exports excluding oil and gas. Including the United Kingdom, these countries accounted for 95 percent of oil and gas exports. The most important continents outside Europe were Asia followed by North and Central America. In 2023, Sweden was the largest importer of Norwegian goods (excluding oil and gas), followed by t</w:t>
      </w:r>
      <w:r w:rsidRPr="003D5544">
        <w:rPr>
          <w:lang w:val="en-GB"/>
        </w:rPr>
        <w:t>he Netherlands. Germany was the largest importer of oil and gas, followed by the United Kingdom.</w:t>
      </w:r>
    </w:p>
    <w:p w14:paraId="24549DF2" w14:textId="77777777" w:rsidR="00F12954" w:rsidRPr="003D5544" w:rsidRDefault="008E32F7">
      <w:pPr>
        <w:rPr>
          <w:lang w:val="en-GB"/>
        </w:rPr>
      </w:pPr>
      <w:r w:rsidRPr="003D5544">
        <w:rPr>
          <w:lang w:val="en-GB"/>
        </w:rPr>
        <w:t xml:space="preserve">Similar to previous Export Reports, we have analysed Norwegian exports in an international context. Generally, the picture is the same as we have seen since 2020, where Norway fares worse than most comparable countries. In relation to total value creation, Norway, for example, exports little compared to several other European countries. Norwegian exports of goods and services as a percentage of GDP were at 47 percent in 2023. This is higher than the Norwegian average over the past ten years. Although it is </w:t>
      </w:r>
      <w:r w:rsidRPr="003D5544">
        <w:rPr>
          <w:lang w:val="en-GB"/>
        </w:rPr>
        <w:t>a good year in a Norwegian context, exports as a percentage of GDP are still lower than the EU average of 53 percent, and lower than Sweden (54 percent) and Denmark (68 percent). If we look at Norwegian exports excluding oil and gas, the export share falls to 32 percent, which is at a lower level than the other comparable countries. This illustrates both how low the export excluding oil and gas is relative to GDP and how dependent Norwegian exports are on the oil and gas sector.</w:t>
      </w:r>
    </w:p>
    <w:p w14:paraId="5D3C22DB" w14:textId="77777777" w:rsidR="00F12954" w:rsidRPr="003D5544" w:rsidRDefault="008E32F7">
      <w:pPr>
        <w:rPr>
          <w:lang w:val="en-GB"/>
        </w:rPr>
      </w:pPr>
      <w:r w:rsidRPr="003D5544">
        <w:rPr>
          <w:lang w:val="en-GB"/>
        </w:rPr>
        <w:t>The low relative export is due to low growth over the last 20 years, where we see that export growth measured in constant prices has been rather weak compared to other countries. This is illustrated in the figure below.</w:t>
      </w:r>
    </w:p>
    <w:p w14:paraId="67121282" w14:textId="77777777" w:rsidR="00F12954" w:rsidRPr="003D5544" w:rsidRDefault="008E32F7">
      <w:pPr>
        <w:pStyle w:val="Caption"/>
        <w:rPr>
          <w:lang w:val="en-GB"/>
        </w:rPr>
      </w:pPr>
      <w:r w:rsidRPr="003D5544">
        <w:rPr>
          <w:lang w:val="en-GB"/>
        </w:rPr>
        <w:t>Figure A: Annual export growth over the last 10 and 20 years, measured in constant prices. Norway updated with 2023 figures, other countries are 2022 figures. Source: IMF</w:t>
      </w:r>
    </w:p>
    <w:p w14:paraId="3B5CF518" w14:textId="3DA11319" w:rsidR="00F12954" w:rsidRPr="003D5544" w:rsidRDefault="00A20979">
      <w:pPr>
        <w:rPr>
          <w:lang w:val="en-GB"/>
        </w:rPr>
      </w:pPr>
      <w:r w:rsidRPr="003D5544">
        <w:rPr>
          <w:noProof/>
          <w:lang w:val="en-GB"/>
        </w:rPr>
        <w:drawing>
          <wp:inline distT="0" distB="0" distL="0" distR="0" wp14:anchorId="67667FD8" wp14:editId="6D211F44">
            <wp:extent cx="5486400" cy="2726263"/>
            <wp:effectExtent l="0" t="0" r="0" b="0"/>
            <wp:docPr id="716793386" name="Chart 1">
              <a:extLst xmlns:a="http://schemas.openxmlformats.org/drawingml/2006/main">
                <a:ext uri="{FF2B5EF4-FFF2-40B4-BE49-F238E27FC236}">
                  <a16:creationId xmlns:a16="http://schemas.microsoft.com/office/drawing/2014/main" id="{7573C94B-E791-08FA-E8A5-4063D0319B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8337AD3" w14:textId="77777777" w:rsidR="00F12954" w:rsidRPr="003D5544" w:rsidRDefault="00F12954">
      <w:pPr>
        <w:rPr>
          <w:lang w:val="en-GB"/>
        </w:rPr>
      </w:pPr>
    </w:p>
    <w:p w14:paraId="69FBDA13" w14:textId="77777777" w:rsidR="00F12954" w:rsidRPr="003D5544" w:rsidRDefault="008E32F7">
      <w:pPr>
        <w:rPr>
          <w:lang w:val="en-GB"/>
        </w:rPr>
      </w:pPr>
      <w:r w:rsidRPr="003D5544">
        <w:rPr>
          <w:lang w:val="en-GB"/>
        </w:rPr>
        <w:lastRenderedPageBreak/>
        <w:t xml:space="preserve">The rationale for the relatively low growth is multifaceted. One of the reasons is that the growth in oil and gas exports measured by volume has been low. This is decisive as it is by far the most important export industry in Norway. Another reason is that the oil and gas sector accounts for a large proportion of the capital and labour in society. This can limit growth in other export industries. Furthermore, Norway has higher labour costs than comparable countries. This means that export industries, where </w:t>
      </w:r>
      <w:r w:rsidRPr="003D5544">
        <w:rPr>
          <w:lang w:val="en-GB"/>
        </w:rPr>
        <w:t>labour is a significant input factor, may become less competitive to establish in Norway. However, this is not an exhaustive list. A more detailed review of potential reasons can be found in the Export Report 2023.</w:t>
      </w:r>
    </w:p>
    <w:p w14:paraId="7DE9FA9E" w14:textId="1DF8C49E" w:rsidR="00F12954" w:rsidRPr="003D5544" w:rsidRDefault="008E32F7">
      <w:pPr>
        <w:rPr>
          <w:b/>
          <w:bCs/>
          <w:color w:val="D77F16" w:themeColor="accent2"/>
          <w:sz w:val="26"/>
          <w:szCs w:val="26"/>
          <w:lang w:val="en-GB"/>
        </w:rPr>
      </w:pPr>
      <w:r w:rsidRPr="003D5544">
        <w:rPr>
          <w:b/>
          <w:bCs/>
          <w:color w:val="D77F16" w:themeColor="accent2"/>
          <w:sz w:val="26"/>
          <w:szCs w:val="26"/>
          <w:lang w:val="en-GB"/>
        </w:rPr>
        <w:t>The Western Region exports the most, and the district municipalities have the highest export intensity</w:t>
      </w:r>
    </w:p>
    <w:p w14:paraId="144078EF" w14:textId="77777777" w:rsidR="00F12954" w:rsidRPr="003D5544" w:rsidRDefault="008E32F7">
      <w:pPr>
        <w:rPr>
          <w:lang w:val="en-GB"/>
        </w:rPr>
      </w:pPr>
      <w:r w:rsidRPr="003D5544">
        <w:rPr>
          <w:lang w:val="en-GB"/>
        </w:rPr>
        <w:t>In the report, we allocate non-oil and gas exports across Norwegian counties and municipalities. As in previous years, we see that Norwegian export is concentrated in Western Norway, with Vestland county as the clearly largest export county. In 2023, businesses in Western Norway exported goods and services totalling 232 billion Norwegian kroner. The analysis also finds that three of Norway's five largest export counties are located in Western Norway. In addition to Vestland, these are Rogaland and Møre og R</w:t>
      </w:r>
      <w:r w:rsidRPr="003D5544">
        <w:rPr>
          <w:lang w:val="en-GB"/>
        </w:rPr>
        <w:t>omsdal, and together these counties account for 40 percent of the total mainland exports.</w:t>
      </w:r>
    </w:p>
    <w:p w14:paraId="086C3448" w14:textId="77777777" w:rsidR="00F12954" w:rsidRPr="003D5544" w:rsidRDefault="008E32F7">
      <w:pPr>
        <w:rPr>
          <w:lang w:val="en-GB"/>
        </w:rPr>
      </w:pPr>
      <w:r w:rsidRPr="003D5544">
        <w:rPr>
          <w:lang w:val="en-GB"/>
        </w:rPr>
        <w:t>Total exports are not the most accurate indicator of a region's dependency on exports. A better measure is export intensity, which we define as exports per employed person in the region. This is shown below for Norwegian counties.</w:t>
      </w:r>
    </w:p>
    <w:p w14:paraId="3A1E5E43" w14:textId="0CC3CAE3" w:rsidR="00F12954" w:rsidRPr="003D5544" w:rsidRDefault="008E32F7">
      <w:pPr>
        <w:pStyle w:val="Caption"/>
        <w:rPr>
          <w:lang w:val="en-GB"/>
        </w:rPr>
      </w:pPr>
      <w:r w:rsidRPr="003D5544">
        <w:rPr>
          <w:lang w:val="en-GB"/>
        </w:rPr>
        <w:t>Figure B: Export per employed person, excluding oil and gas, by counties in 2023. Source: SSB and Menon Economics</w:t>
      </w:r>
      <w:r w:rsidR="009210F1" w:rsidRPr="003D5544">
        <w:rPr>
          <w:rStyle w:val="FootnoteReference"/>
          <w:lang w:val="en-GB"/>
        </w:rPr>
        <w:footnoteReference w:id="1"/>
      </w:r>
    </w:p>
    <w:p w14:paraId="054131FE" w14:textId="700D9E7F" w:rsidR="00F12954" w:rsidRPr="003D5544" w:rsidRDefault="005003CE">
      <w:pPr>
        <w:rPr>
          <w:lang w:val="en-GB"/>
        </w:rPr>
      </w:pPr>
      <w:r w:rsidRPr="003D5544">
        <w:rPr>
          <w:noProof/>
          <w:lang w:val="en-GB"/>
        </w:rPr>
        <w:lastRenderedPageBreak/>
        <w:drawing>
          <wp:inline distT="0" distB="0" distL="0" distR="0" wp14:anchorId="7AFB77BE" wp14:editId="516BBA4F">
            <wp:extent cx="5486400" cy="3096484"/>
            <wp:effectExtent l="0" t="0" r="0" b="8890"/>
            <wp:docPr id="1495153111" name="Chart 1">
              <a:extLst xmlns:a="http://schemas.openxmlformats.org/drawingml/2006/main">
                <a:ext uri="{FF2B5EF4-FFF2-40B4-BE49-F238E27FC236}">
                  <a16:creationId xmlns:a16="http://schemas.microsoft.com/office/drawing/2014/main" id="{3ABB483D-F66D-D61E-398A-CE99604DF8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1279AA4" w14:textId="77777777" w:rsidR="00F12954" w:rsidRPr="003D5544" w:rsidRDefault="008E32F7">
      <w:pPr>
        <w:rPr>
          <w:lang w:val="en-GB"/>
        </w:rPr>
      </w:pPr>
      <w:r w:rsidRPr="003D5544">
        <w:rPr>
          <w:lang w:val="en-GB"/>
        </w:rPr>
        <w:t>The three most export-intensive counties in 2023 are Møre og Romsdal, Vestland, and Nordland. Møre og Romsdal had an export value of nearly 750,000 kroner per employed person and has been the most export-intensive county since the first edition of the Export Report in 2021. The high export intensity is driven by significant exports from actors within the maritime sector, seafood industry, and energy-intensive industry based in the county. Vestland county is closely behind Møre og Romsdal with an export inte</w:t>
      </w:r>
      <w:r w:rsidRPr="003D5544">
        <w:rPr>
          <w:lang w:val="en-GB"/>
        </w:rPr>
        <w:t>nsity of 708,000 kroner. Energy-intensive industry, the seafood industry, and the maritime sector are also the largest export industries in this county. Nordland is the third most export-intensive county with 604,000 kroner per employed person. Here primarily exports of seafood, as well as the industry, contribute to the high export intensity.</w:t>
      </w:r>
    </w:p>
    <w:p w14:paraId="5764565A" w14:textId="77777777" w:rsidR="00F12954" w:rsidRPr="003D5544" w:rsidRDefault="008E32F7">
      <w:pPr>
        <w:rPr>
          <w:b/>
          <w:bCs/>
          <w:color w:val="D77F16" w:themeColor="accent2"/>
          <w:sz w:val="26"/>
          <w:szCs w:val="26"/>
          <w:lang w:val="en-GB"/>
        </w:rPr>
      </w:pPr>
      <w:r w:rsidRPr="003D5544">
        <w:rPr>
          <w:b/>
          <w:bCs/>
          <w:color w:val="D77F16" w:themeColor="accent2"/>
          <w:sz w:val="26"/>
          <w:szCs w:val="26"/>
          <w:lang w:val="en-GB"/>
        </w:rPr>
        <w:t>Exports underpin 640,000 jobs – one in every five jobs</w:t>
      </w:r>
    </w:p>
    <w:p w14:paraId="3F518D31" w14:textId="77777777" w:rsidR="00F12954" w:rsidRPr="003D5544" w:rsidRDefault="008E32F7">
      <w:pPr>
        <w:rPr>
          <w:lang w:val="en-GB"/>
        </w:rPr>
      </w:pPr>
      <w:r w:rsidRPr="003D5544">
        <w:rPr>
          <w:lang w:val="en-GB"/>
        </w:rPr>
        <w:t>Exports support employment across the country, both in the export industries themselves and among their suppliers and subcontractors. In 2023, we estimate that exports laid the foundation for 640,000 jobs. This corresponds to around one in five Norwegian jobs. Based on the mapping of geographic exports, we estimate jobs supported by exports in each county.</w:t>
      </w:r>
    </w:p>
    <w:p w14:paraId="36A26A1E" w14:textId="77777777" w:rsidR="00F12954" w:rsidRPr="003D5544" w:rsidRDefault="008E32F7">
      <w:pPr>
        <w:pStyle w:val="Caption"/>
        <w:rPr>
          <w:lang w:val="en-GB"/>
        </w:rPr>
      </w:pPr>
      <w:r w:rsidRPr="003D5544">
        <w:rPr>
          <w:lang w:val="en-GB"/>
        </w:rPr>
        <w:t>Figure C: Employment effects (knock-on effects) of exports excluding oil and gas, distributed by counties. Source: Menon Economics</w:t>
      </w:r>
    </w:p>
    <w:p w14:paraId="64847667" w14:textId="314D06E3" w:rsidR="00F12954" w:rsidRPr="003D5544" w:rsidRDefault="003054FF">
      <w:pPr>
        <w:rPr>
          <w:lang w:val="en-GB"/>
        </w:rPr>
      </w:pPr>
      <w:r w:rsidRPr="003D5544">
        <w:rPr>
          <w:noProof/>
          <w:lang w:val="en-GB"/>
        </w:rPr>
        <w:lastRenderedPageBreak/>
        <w:drawing>
          <wp:inline distT="0" distB="0" distL="0" distR="0" wp14:anchorId="388692B2" wp14:editId="071AEED5">
            <wp:extent cx="5486400" cy="2836959"/>
            <wp:effectExtent l="0" t="0" r="0" b="1905"/>
            <wp:docPr id="125429738" name="Chart 1">
              <a:extLst xmlns:a="http://schemas.openxmlformats.org/drawingml/2006/main">
                <a:ext uri="{FF2B5EF4-FFF2-40B4-BE49-F238E27FC236}">
                  <a16:creationId xmlns:a16="http://schemas.microsoft.com/office/drawing/2014/main" id="{F9F7624B-70CC-8AC2-46CB-2D2A8D86D3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8BF3F62" w14:textId="77777777" w:rsidR="00F12954" w:rsidRPr="003D5544" w:rsidRDefault="008E32F7">
      <w:pPr>
        <w:rPr>
          <w:lang w:val="en-GB"/>
        </w:rPr>
      </w:pPr>
      <w:r w:rsidRPr="003D5544">
        <w:rPr>
          <w:lang w:val="en-GB"/>
        </w:rPr>
        <w:t>As shown in the figure above, the employment effects are largest in Oslo, where nearly 80,000 jobs are supported by the export. The indirect effects constitute a larger share in the large counties such as Oslo and Akershus, while smaller (and more export-intensive) counties, such as Møre og Romsdal, Nordland, Troms, and Finnmark, have a higher proportion of direct effects. In the report, we also look at the relative importance of export jobs in each county. Here we find that Møre og Romsdal is the county wh</w:t>
      </w:r>
      <w:r w:rsidRPr="003D5544">
        <w:rPr>
          <w:lang w:val="en-GB"/>
        </w:rPr>
        <w:t>ere export is most significant relative to the overall business sector, with one in four jobs in the business sector being directly or indirectly associated with non-oil and gas exports. In the remaining counties, the employment effects account for between 13 and 18 percent of the total overall employment.</w:t>
      </w:r>
    </w:p>
    <w:p w14:paraId="6BEF7701" w14:textId="77777777" w:rsidR="00F12954" w:rsidRPr="003D5544" w:rsidRDefault="008E32F7">
      <w:pPr>
        <w:rPr>
          <w:b/>
          <w:bCs/>
          <w:color w:val="D77F16" w:themeColor="accent2"/>
          <w:sz w:val="26"/>
          <w:szCs w:val="26"/>
          <w:lang w:val="en-GB"/>
        </w:rPr>
      </w:pPr>
      <w:r w:rsidRPr="003D5544">
        <w:rPr>
          <w:b/>
          <w:bCs/>
          <w:color w:val="D77F16" w:themeColor="accent2"/>
          <w:sz w:val="26"/>
          <w:szCs w:val="26"/>
          <w:lang w:val="en-GB"/>
        </w:rPr>
        <w:t>Green Export: Norway Lags Behind but Has Great Potential</w:t>
      </w:r>
    </w:p>
    <w:p w14:paraId="5CB54A7C" w14:textId="77777777" w:rsidR="00F12954" w:rsidRPr="003D5544" w:rsidRDefault="008E32F7">
      <w:pPr>
        <w:rPr>
          <w:lang w:val="en-GB"/>
        </w:rPr>
      </w:pPr>
      <w:r w:rsidRPr="003D5544">
        <w:rPr>
          <w:lang w:val="en-GB"/>
        </w:rPr>
        <w:t>The first special chapter of this report deals with Norway's green export. In the period from 2018 to 2022, Norwegian renewable exports have doubled, from 9.1 to 18.6 billion Norwegian kroner, as shown in the figure below to the left. This is based on an analysis conducted by Multiconsult that covers the value chains related to offshore wind, solar energy, onshore wind, hydropower, bioenergy, and hydrogen. Suppliers to offshore wind exported for around 12 billion Norwegian kroner in 2022, thus accounting fo</w:t>
      </w:r>
      <w:r w:rsidRPr="003D5544">
        <w:rPr>
          <w:lang w:val="en-GB"/>
        </w:rPr>
        <w:t>r about two-thirds of the exports in the renewable industry.</w:t>
      </w:r>
    </w:p>
    <w:p w14:paraId="31F77142" w14:textId="6E7B5AD7" w:rsidR="00F12954" w:rsidRPr="003D5544" w:rsidRDefault="008E32F7">
      <w:pPr>
        <w:rPr>
          <w:lang w:val="en-GB"/>
        </w:rPr>
      </w:pPr>
      <w:r w:rsidRPr="003D5544">
        <w:rPr>
          <w:lang w:val="en-GB"/>
        </w:rPr>
        <w:t xml:space="preserve">In the report, we have also examined the size relationship between the renewable energy sector at home and in key trading partners. Despite the fact that Norway's renewable </w:t>
      </w:r>
      <w:r w:rsidRPr="003D5544">
        <w:rPr>
          <w:lang w:val="en-GB"/>
        </w:rPr>
        <w:t xml:space="preserve">exports have doubled in the last five years, Norway has, relatively speaking, a significantly lower green export than other comparable countries. This has been demonstrated in previous Export </w:t>
      </w:r>
      <w:r>
        <w:rPr>
          <w:lang w:val="en-GB"/>
        </w:rPr>
        <w:t>Report</w:t>
      </w:r>
      <w:r w:rsidRPr="003D5544">
        <w:rPr>
          <w:lang w:val="en-GB"/>
        </w:rPr>
        <w:t>s, and is indicated in the figure to the right below, which shows renewable jobs as a proportion of the total workforce in comparable countries. Although renewable jobs are not exclusively linked to exports, it is an indicator of the industry's competitiveness and size.</w:t>
      </w:r>
    </w:p>
    <w:p w14:paraId="7CC0AE44" w14:textId="77777777" w:rsidR="00F12954" w:rsidRPr="003D5544" w:rsidRDefault="008E32F7">
      <w:pPr>
        <w:pStyle w:val="Caption"/>
        <w:rPr>
          <w:lang w:val="en-GB"/>
        </w:rPr>
      </w:pPr>
      <w:r w:rsidRPr="003D5544">
        <w:rPr>
          <w:lang w:val="en-GB"/>
        </w:rPr>
        <w:lastRenderedPageBreak/>
        <w:t>Figure D: Left: Norwegian export from renewable industries over time. Source: Multiconsult. Right: Share of jobs in renewable technologies of the country's total workforce in 2022, distributed among selected renewable technologies. Source: IRENA (2023) and Eurostat, processed by Menon Economics.</w:t>
      </w:r>
    </w:p>
    <w:p w14:paraId="06EA56E0" w14:textId="4761459D" w:rsidR="00F12954" w:rsidRPr="003D5544" w:rsidRDefault="00547AB1">
      <w:pPr>
        <w:rPr>
          <w:noProof/>
          <w:lang w:val="en-GB"/>
        </w:rPr>
      </w:pPr>
      <w:r w:rsidRPr="003D5544">
        <w:rPr>
          <w:noProof/>
          <w:lang w:val="en-GB"/>
        </w:rPr>
        <w:drawing>
          <wp:inline distT="0" distB="0" distL="0" distR="0" wp14:anchorId="5ABDC6C2" wp14:editId="6CAF3934">
            <wp:extent cx="2466975" cy="2940050"/>
            <wp:effectExtent l="0" t="0" r="0" b="0"/>
            <wp:docPr id="564610719" name="Diagram 1">
              <a:extLst xmlns:a="http://schemas.openxmlformats.org/drawingml/2006/main">
                <a:ext uri="{FF2B5EF4-FFF2-40B4-BE49-F238E27FC236}">
                  <a16:creationId xmlns:a16="http://schemas.microsoft.com/office/drawing/2014/main" id="{EB532E0D-AA74-BEB0-7A71-8C86C22DB3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3D5544">
        <w:rPr>
          <w:noProof/>
          <w:lang w:val="en-GB"/>
        </w:rPr>
        <w:drawing>
          <wp:inline distT="0" distB="0" distL="0" distR="0" wp14:anchorId="498F644F" wp14:editId="7E131DB2">
            <wp:extent cx="2800350" cy="2984500"/>
            <wp:effectExtent l="0" t="0" r="0" b="6350"/>
            <wp:docPr id="2019252109" name="Diagram 1">
              <a:extLst xmlns:a="http://schemas.openxmlformats.org/drawingml/2006/main">
                <a:ext uri="{FF2B5EF4-FFF2-40B4-BE49-F238E27FC236}">
                  <a16:creationId xmlns:a16="http://schemas.microsoft.com/office/drawing/2014/main" id="{10C733B5-CF46-4181-B266-82C5640D46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3D5544">
        <w:rPr>
          <w:noProof/>
          <w:lang w:val="en-GB"/>
        </w:rPr>
        <w:t xml:space="preserve"> </w:t>
      </w:r>
    </w:p>
    <w:p w14:paraId="7216FC4C" w14:textId="77777777" w:rsidR="00F12954" w:rsidRPr="003D5544" w:rsidRDefault="008E32F7">
      <w:pPr>
        <w:rPr>
          <w:sz w:val="20"/>
          <w:szCs w:val="20"/>
          <w:lang w:val="en-GB"/>
        </w:rPr>
      </w:pPr>
      <w:r w:rsidRPr="003D5544">
        <w:rPr>
          <w:sz w:val="20"/>
          <w:szCs w:val="20"/>
          <w:lang w:val="en-GB"/>
        </w:rPr>
        <w:t>0.72 percent of Norway’s workforce is associated with the renewable industry. This represents nearly 20,000 jobs in 2022. However, more than half work within hydropower, where the proportion of exports is somewhat lower than the other industries shown in the figure. By comparison, other European trading partners such as Denmark, Sweden, and Poland have a much higher share of renewable jobs at over 1 percent of the workforce. These are also more export-oriented than the Norwegian renewable industry.</w:t>
      </w:r>
    </w:p>
    <w:p w14:paraId="61CEA206" w14:textId="77777777" w:rsidR="0040131E" w:rsidRPr="003D5544" w:rsidRDefault="008E32F7" w:rsidP="0040131E">
      <w:pPr>
        <w:rPr>
          <w:sz w:val="20"/>
          <w:szCs w:val="20"/>
          <w:lang w:val="en-GB"/>
        </w:rPr>
      </w:pPr>
      <w:r w:rsidRPr="003D5544">
        <w:rPr>
          <w:sz w:val="20"/>
          <w:szCs w:val="20"/>
          <w:lang w:val="en-GB"/>
        </w:rPr>
        <w:t xml:space="preserve">Although Norway currently </w:t>
      </w:r>
      <w:r w:rsidRPr="003D5544">
        <w:rPr>
          <w:sz w:val="20"/>
          <w:szCs w:val="20"/>
          <w:lang w:val="en-GB"/>
        </w:rPr>
        <w:t>lags behind</w:t>
      </w:r>
      <w:r w:rsidRPr="003D5544">
        <w:rPr>
          <w:sz w:val="20"/>
          <w:szCs w:val="20"/>
          <w:lang w:val="en-GB"/>
        </w:rPr>
        <w:t xml:space="preserve"> several of its neighbouring countries, significant market opportunities exist within key green value chains in Europe. In the report, we examine the potential for three of the most important green export industries: suppliers to the offshore wind market, production of low and zero-emission hydrogen, as well as the value chain for battery production.</w:t>
      </w:r>
    </w:p>
    <w:p w14:paraId="5919D5AB" w14:textId="77777777" w:rsidR="0040131E" w:rsidRPr="003D5544" w:rsidRDefault="008E32F7" w:rsidP="00201E41">
      <w:pPr>
        <w:pStyle w:val="ListParagraph"/>
        <w:numPr>
          <w:ilvl w:val="0"/>
          <w:numId w:val="11"/>
        </w:numPr>
        <w:rPr>
          <w:sz w:val="20"/>
          <w:szCs w:val="20"/>
          <w:lang w:val="en-GB"/>
        </w:rPr>
      </w:pPr>
      <w:r w:rsidRPr="003D5544">
        <w:rPr>
          <w:sz w:val="20"/>
          <w:szCs w:val="20"/>
          <w:lang w:val="en-GB"/>
        </w:rPr>
        <w:t xml:space="preserve">Regarding </w:t>
      </w:r>
      <w:r w:rsidRPr="003D5544">
        <w:rPr>
          <w:b/>
          <w:bCs/>
          <w:sz w:val="20"/>
          <w:szCs w:val="20"/>
          <w:lang w:val="en-GB"/>
        </w:rPr>
        <w:t>the offshore wind market</w:t>
      </w:r>
      <w:r w:rsidRPr="003D5544">
        <w:rPr>
          <w:sz w:val="20"/>
          <w:szCs w:val="20"/>
          <w:lang w:val="en-GB"/>
        </w:rPr>
        <w:t>, Norwegian suppliers' opportunities are particularly significant in markets heavily investing in floating offshore wind, such as the United Kingdom, Ireland, and France. Norway's competitive advantage in offshore expertise, topography, and short geographical distance to European markets will be important in the export drive for offshore wind.</w:t>
      </w:r>
    </w:p>
    <w:p w14:paraId="1DBFEBA1" w14:textId="74640415" w:rsidR="0040131E" w:rsidRPr="003D5544" w:rsidRDefault="008E32F7" w:rsidP="00201E41">
      <w:pPr>
        <w:pStyle w:val="ListParagraph"/>
        <w:numPr>
          <w:ilvl w:val="0"/>
          <w:numId w:val="11"/>
        </w:numPr>
        <w:rPr>
          <w:sz w:val="20"/>
          <w:szCs w:val="20"/>
          <w:lang w:val="en-GB"/>
        </w:rPr>
      </w:pPr>
      <w:r w:rsidRPr="003D5544">
        <w:rPr>
          <w:sz w:val="20"/>
          <w:szCs w:val="20"/>
          <w:lang w:val="en-GB"/>
        </w:rPr>
        <w:t xml:space="preserve">For </w:t>
      </w:r>
      <w:r w:rsidRPr="003D5544">
        <w:rPr>
          <w:b/>
          <w:bCs/>
          <w:sz w:val="20"/>
          <w:szCs w:val="20"/>
          <w:lang w:val="en-GB"/>
        </w:rPr>
        <w:t>low and zero-emission hydrogen</w:t>
      </w:r>
      <w:r w:rsidRPr="003D5544">
        <w:rPr>
          <w:sz w:val="20"/>
          <w:szCs w:val="20"/>
          <w:lang w:val="en-GB"/>
        </w:rPr>
        <w:t>, the export potential is linked both to equipment deliveries (electrolysers for green hydrogen) and the production of green and blue hydrogen for export. Access to renewable energy and natural gas, as well as technological expertise, are two of Norway's most significant competitive advantages in the hydrogen effort. Germany, with whom Norway has already entered</w:t>
      </w:r>
      <w:r w:rsidRPr="003D5544">
        <w:rPr>
          <w:sz w:val="20"/>
          <w:szCs w:val="20"/>
          <w:lang w:val="en-GB"/>
        </w:rPr>
        <w:t xml:space="preserve"> a cooperation on hydrogen, stands out with its considerable plans and a large end-user market in the country's industry.</w:t>
      </w:r>
    </w:p>
    <w:p w14:paraId="76328083" w14:textId="374CF0D5" w:rsidR="00F12954" w:rsidRPr="003D5544" w:rsidRDefault="008E32F7" w:rsidP="00201E41">
      <w:pPr>
        <w:pStyle w:val="ListParagraph"/>
        <w:numPr>
          <w:ilvl w:val="0"/>
          <w:numId w:val="11"/>
        </w:numPr>
        <w:rPr>
          <w:sz w:val="20"/>
          <w:szCs w:val="20"/>
          <w:lang w:val="en-GB"/>
        </w:rPr>
      </w:pPr>
      <w:r w:rsidRPr="003D5544">
        <w:rPr>
          <w:sz w:val="20"/>
          <w:szCs w:val="20"/>
          <w:lang w:val="en-GB"/>
        </w:rPr>
        <w:t xml:space="preserve">For the </w:t>
      </w:r>
      <w:r w:rsidRPr="003D5544">
        <w:rPr>
          <w:b/>
          <w:bCs/>
          <w:sz w:val="20"/>
          <w:szCs w:val="20"/>
          <w:lang w:val="en-GB"/>
        </w:rPr>
        <w:t>battery industry</w:t>
      </w:r>
      <w:r w:rsidRPr="003D5544">
        <w:rPr>
          <w:sz w:val="20"/>
          <w:szCs w:val="20"/>
          <w:lang w:val="en-GB"/>
        </w:rPr>
        <w:t>, Norway can play a significant role in making the EU/EEA self-sufficient in batteries. Access to minerals, inexpensive green power and high expertise in the chemical industry give Norway comparative advantages in the battery initiative.</w:t>
      </w:r>
    </w:p>
    <w:p w14:paraId="0A792325" w14:textId="77777777" w:rsidR="00F12954" w:rsidRPr="003D5544" w:rsidRDefault="008E32F7">
      <w:pPr>
        <w:rPr>
          <w:sz w:val="20"/>
          <w:szCs w:val="20"/>
          <w:lang w:val="en-GB"/>
        </w:rPr>
      </w:pPr>
      <w:r w:rsidRPr="003D5544">
        <w:rPr>
          <w:sz w:val="20"/>
          <w:szCs w:val="20"/>
          <w:lang w:val="en-GB"/>
        </w:rPr>
        <w:lastRenderedPageBreak/>
        <w:t>F</w:t>
      </w:r>
      <w:r w:rsidRPr="003D5544">
        <w:rPr>
          <w:sz w:val="20"/>
          <w:szCs w:val="20"/>
          <w:lang w:val="en-GB"/>
        </w:rPr>
        <w:t>inally, we point out that this market potential is not automatically realised. Businesses, organisations, and the support system should structure their initiatives and overseas networks towards these markets, to ensure that the market opportunities that exist are exploited. In the report, we provide an overview of Norway's overseas network in relevant European countries.</w:t>
      </w:r>
    </w:p>
    <w:p w14:paraId="6445F82A" w14:textId="6B9BB491" w:rsidR="00F12954" w:rsidRPr="003D5544" w:rsidRDefault="008E32F7">
      <w:pPr>
        <w:rPr>
          <w:b/>
          <w:bCs/>
          <w:color w:val="D77F16" w:themeColor="accent2"/>
          <w:sz w:val="26"/>
          <w:szCs w:val="26"/>
          <w:lang w:val="en-GB"/>
        </w:rPr>
      </w:pPr>
      <w:r w:rsidRPr="003D5544">
        <w:rPr>
          <w:b/>
          <w:bCs/>
          <w:color w:val="D77F16" w:themeColor="accent2"/>
          <w:sz w:val="26"/>
          <w:szCs w:val="26"/>
          <w:lang w:val="en-GB"/>
        </w:rPr>
        <w:t>Service exports are a more important part of Norwegian exports than pure export data suggest</w:t>
      </w:r>
    </w:p>
    <w:p w14:paraId="6B4E4629" w14:textId="77777777" w:rsidR="00F12954" w:rsidRPr="003D5544" w:rsidRDefault="008E32F7">
      <w:pPr>
        <w:rPr>
          <w:sz w:val="20"/>
          <w:szCs w:val="20"/>
          <w:lang w:val="en-GB"/>
        </w:rPr>
      </w:pPr>
      <w:r w:rsidRPr="003D5544">
        <w:rPr>
          <w:sz w:val="20"/>
          <w:szCs w:val="20"/>
          <w:lang w:val="en-GB"/>
        </w:rPr>
        <w:t>The second special chapter addresses the significance of Norwegian service exports. Both globally and in Norway, services account for just over 20 percent of total exports. However, this traditional measure of trade in goods and services underestimates the importance of service exports. Indirect exports are not captured by traditional measures of export because they are suppliers and subcontractors of goods and services to the companies that export. Nevertheless, they are important when considering value cr</w:t>
      </w:r>
      <w:r w:rsidRPr="003D5544">
        <w:rPr>
          <w:sz w:val="20"/>
          <w:szCs w:val="20"/>
          <w:lang w:val="en-GB"/>
        </w:rPr>
        <w:t>eation or employment enabled by Norwegian export. If we include indirect exports and measure the contribution of exports to GDP, the importance of service exports becomes far more apparent. We estimate that service exports, measured in this way, constitute 65 percent of Norwegian exports excluding oil and gas.</w:t>
      </w:r>
    </w:p>
    <w:p w14:paraId="34E68A1B" w14:textId="77777777" w:rsidR="00F12954" w:rsidRPr="003D5544" w:rsidRDefault="008E32F7">
      <w:pPr>
        <w:rPr>
          <w:sz w:val="20"/>
          <w:szCs w:val="20"/>
          <w:lang w:val="en-GB"/>
        </w:rPr>
      </w:pPr>
      <w:r w:rsidRPr="003D5544">
        <w:rPr>
          <w:sz w:val="20"/>
          <w:szCs w:val="20"/>
          <w:lang w:val="en-GB"/>
        </w:rPr>
        <w:t>The sector contributing the most to Norwegian service exports is the maritime industry. The industry exported services worth 190 billion Norwegian kroner in 2023. Following the maritime industry, business services, ICT, tourism, and offshore suppliers were the largest service exporters with values of 90 and 50, 50 and 45 billion Norwegian kroner, respectively. These services are primarily delivered as cross-border services. Norwegian service exports have experienced slower growth over the last 10 and 20 yea</w:t>
      </w:r>
      <w:r w:rsidRPr="003D5544">
        <w:rPr>
          <w:sz w:val="20"/>
          <w:szCs w:val="20"/>
          <w:lang w:val="en-GB"/>
        </w:rPr>
        <w:t>rs compared to other European countries. This may be due to Norway having stricter requirements for service trade than these countries. However, looking at the export value of Norwegian service exports per employed person, this is relatively similar to other comparable European countries.</w:t>
      </w:r>
    </w:p>
    <w:p w14:paraId="0B4D075A" w14:textId="4F6B1057" w:rsidR="00F12954" w:rsidRPr="003D5544" w:rsidRDefault="008E32F7">
      <w:pPr>
        <w:rPr>
          <w:b/>
          <w:bCs/>
          <w:color w:val="D77F16" w:themeColor="accent2"/>
          <w:sz w:val="26"/>
          <w:szCs w:val="26"/>
          <w:lang w:val="en-GB"/>
        </w:rPr>
      </w:pPr>
      <w:r w:rsidRPr="003D5544">
        <w:rPr>
          <w:b/>
          <w:bCs/>
          <w:color w:val="D77F16" w:themeColor="accent2"/>
          <w:sz w:val="26"/>
          <w:szCs w:val="26"/>
          <w:lang w:val="en-GB"/>
        </w:rPr>
        <w:t>Cornerstone enterprises are essential for many local communities and form the basis for indirect exports</w:t>
      </w:r>
    </w:p>
    <w:p w14:paraId="251FBD7F" w14:textId="77777777" w:rsidR="00F12954" w:rsidRPr="003D5544" w:rsidRDefault="008E32F7">
      <w:pPr>
        <w:rPr>
          <w:sz w:val="20"/>
          <w:szCs w:val="20"/>
          <w:lang w:val="en-GB"/>
        </w:rPr>
      </w:pPr>
      <w:r w:rsidRPr="003D5544">
        <w:rPr>
          <w:sz w:val="20"/>
          <w:szCs w:val="20"/>
          <w:lang w:val="en-GB"/>
        </w:rPr>
        <w:t>The third special chapter highlights the importance of cornerstone enterprises, which play a pivotal role in local communities and municipalities. We attempt to quantify this by examining the economic impact these companies have, both locally and nationally, through value creation, employment, tax revenues, and indirect exports. Based on our definition of cornerstone enterprises, we have identified 62 Norwegian cornerstone companies. In total, these cornerstone enterprises accounted for approximately 57 bil</w:t>
      </w:r>
      <w:r w:rsidRPr="003D5544">
        <w:rPr>
          <w:sz w:val="20"/>
          <w:szCs w:val="20"/>
          <w:lang w:val="en-GB"/>
        </w:rPr>
        <w:t xml:space="preserve">lion Norwegian kroner in value creation and there were around 25,000 people employed in the cornerstone enterprises in 2022. Cornerstone companies belong to a wide range of sectors, but energy-intensive industry is the largest sector in terms of value creation from cornerstone enterprises. In 2022, 21 billion (37 percent) kroner of the value creation from cornerstone enterprises was associated with the energy-intensive industry. The companies are also significant contributors in terms of tax intake for the </w:t>
      </w:r>
      <w:r w:rsidRPr="003D5544">
        <w:rPr>
          <w:sz w:val="20"/>
          <w:szCs w:val="20"/>
          <w:lang w:val="en-GB"/>
        </w:rPr>
        <w:t>state and municipalities. In 2022, the cornerstone enterprises contributed approximately 12 billion kroner in tax revenues. Around 10.3 billion kroner of this went directly to the state, while approximately 1.3 billion tax kroner went directly to the municipality through personal taxation.</w:t>
      </w:r>
    </w:p>
    <w:p w14:paraId="4DB574A6" w14:textId="77777777" w:rsidR="00F12954" w:rsidRPr="003D5544" w:rsidRDefault="008E32F7">
      <w:pPr>
        <w:rPr>
          <w:sz w:val="20"/>
          <w:szCs w:val="20"/>
          <w:lang w:val="en-GB"/>
        </w:rPr>
      </w:pPr>
      <w:r w:rsidRPr="003D5544">
        <w:rPr>
          <w:sz w:val="20"/>
          <w:szCs w:val="20"/>
          <w:lang w:val="en-GB"/>
        </w:rPr>
        <w:t xml:space="preserve">Based on interviews and analyses, we further find that Norwegian cornerstone companies also support vital export income through indirect exports. This occurs primarily through two channels. The first channel </w:t>
      </w:r>
      <w:r w:rsidRPr="003D5544">
        <w:rPr>
          <w:sz w:val="20"/>
          <w:szCs w:val="20"/>
          <w:lang w:val="en-GB"/>
        </w:rPr>
        <w:lastRenderedPageBreak/>
        <w:t>is through local procurement of goods and services, and the second channel is through competence development, leading to the cornerstone companies' suppliers themselves starting to sell goods and services in the international market. This means that the presence of cornerstone companies contributes to the development of new specialised exporting enterprises. In addition to the indirect exports, the cornerstone companies are also active members of their local community. We have prepared three cases that high</w:t>
      </w:r>
      <w:r w:rsidRPr="003D5544">
        <w:rPr>
          <w:sz w:val="20"/>
          <w:szCs w:val="20"/>
          <w:lang w:val="en-GB"/>
        </w:rPr>
        <w:t>light this theme.</w:t>
      </w:r>
    </w:p>
    <w:p w14:paraId="4548D108" w14:textId="77777777" w:rsidR="00F12954" w:rsidRPr="003D5544" w:rsidRDefault="00F12954">
      <w:pPr>
        <w:rPr>
          <w:lang w:val="en-GB"/>
        </w:rPr>
      </w:pPr>
    </w:p>
    <w:p w14:paraId="1587F9C0" w14:textId="77777777" w:rsidR="00F12954" w:rsidRPr="003D5544" w:rsidRDefault="00F12954">
      <w:pPr>
        <w:rPr>
          <w:lang w:val="en-GB"/>
        </w:rPr>
      </w:pPr>
    </w:p>
    <w:sectPr w:rsidR="00F12954" w:rsidRPr="003D554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49B90" w14:textId="77777777" w:rsidR="009210F1" w:rsidRDefault="009210F1" w:rsidP="009210F1">
      <w:pPr>
        <w:spacing w:after="0" w:line="240" w:lineRule="auto"/>
      </w:pPr>
      <w:r>
        <w:separator/>
      </w:r>
    </w:p>
  </w:endnote>
  <w:endnote w:type="continuationSeparator" w:id="0">
    <w:p w14:paraId="2ED3C1EF" w14:textId="77777777" w:rsidR="009210F1" w:rsidRDefault="009210F1" w:rsidP="00921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iryo">
    <w:altName w:val="メイリオ"/>
    <w:charset w:val="80"/>
    <w:family w:val="swiss"/>
    <w:pitch w:val="variable"/>
    <w:sig w:usb0="E00002FF" w:usb1="6AC7FFFF"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DBA5B" w14:textId="77777777" w:rsidR="009210F1" w:rsidRDefault="009210F1" w:rsidP="009210F1">
      <w:pPr>
        <w:spacing w:after="0" w:line="240" w:lineRule="auto"/>
      </w:pPr>
      <w:r>
        <w:separator/>
      </w:r>
    </w:p>
  </w:footnote>
  <w:footnote w:type="continuationSeparator" w:id="0">
    <w:p w14:paraId="5ADFD558" w14:textId="77777777" w:rsidR="009210F1" w:rsidRDefault="009210F1" w:rsidP="009210F1">
      <w:pPr>
        <w:spacing w:after="0" w:line="240" w:lineRule="auto"/>
      </w:pPr>
      <w:r>
        <w:continuationSeparator/>
      </w:r>
    </w:p>
  </w:footnote>
  <w:footnote w:id="1">
    <w:p w14:paraId="4E4B30DE" w14:textId="297103C8" w:rsidR="009210F1" w:rsidRPr="00780FC8" w:rsidRDefault="009210F1" w:rsidP="009210F1">
      <w:pPr>
        <w:pStyle w:val="FootnoteText"/>
        <w:rPr>
          <w:rFonts w:asciiTheme="majorHAnsi" w:hAnsiTheme="majorHAnsi" w:cstheme="majorHAnsi"/>
          <w:sz w:val="17"/>
          <w:szCs w:val="17"/>
        </w:rPr>
      </w:pPr>
      <w:r w:rsidRPr="00780FC8">
        <w:rPr>
          <w:rStyle w:val="FootnoteReference"/>
          <w:rFonts w:asciiTheme="majorHAnsi" w:hAnsiTheme="majorHAnsi" w:cstheme="majorHAnsi"/>
          <w:sz w:val="17"/>
          <w:szCs w:val="17"/>
        </w:rPr>
        <w:footnoteRef/>
      </w:r>
      <w:r w:rsidRPr="00D32CE2">
        <w:rPr>
          <w:rFonts w:asciiTheme="majorHAnsi" w:hAnsiTheme="majorHAnsi" w:cstheme="majorHAnsi"/>
          <w:sz w:val="17"/>
          <w:szCs w:val="17"/>
          <w:lang w:val="en-US"/>
        </w:rPr>
        <w:t xml:space="preserve"> </w:t>
      </w:r>
      <w:r w:rsidR="00D32CE2" w:rsidRPr="00D32CE2">
        <w:rPr>
          <w:rFonts w:asciiTheme="majorHAnsi" w:hAnsiTheme="majorHAnsi" w:cstheme="majorHAnsi"/>
          <w:sz w:val="17"/>
          <w:szCs w:val="17"/>
          <w:lang w:val="en-US"/>
        </w:rPr>
        <w:t xml:space="preserve">Export per employed in this report includes all employees in the municipality from Statistics Norway (SSB). </w:t>
      </w:r>
      <w:r w:rsidR="00D32CE2" w:rsidRPr="00D32CE2">
        <w:rPr>
          <w:rFonts w:asciiTheme="majorHAnsi" w:hAnsiTheme="majorHAnsi" w:cstheme="majorHAnsi"/>
          <w:sz w:val="17"/>
          <w:szCs w:val="17"/>
        </w:rPr>
        <w:t>This includes the private sector and public employees.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99B6686"/>
    <w:multiLevelType w:val="hybridMultilevel"/>
    <w:tmpl w:val="6FA8224C"/>
    <w:lvl w:ilvl="0" w:tplc="E0A46F12">
      <w:start w:val="1"/>
      <w:numFmt w:val="bullet"/>
      <w:lvlText w:val=""/>
      <w:lvlJc w:val="left"/>
      <w:pPr>
        <w:ind w:left="720" w:hanging="360"/>
      </w:pPr>
      <w:rPr>
        <w:rFonts w:ascii="Symbol" w:hAnsi="Symbol" w:hint="default"/>
        <w:color w:val="D77F16" w:themeColor="accen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D916671"/>
    <w:multiLevelType w:val="hybridMultilevel"/>
    <w:tmpl w:val="91AE412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623002691">
    <w:abstractNumId w:val="8"/>
  </w:num>
  <w:num w:numId="2" w16cid:durableId="910887521">
    <w:abstractNumId w:val="6"/>
  </w:num>
  <w:num w:numId="3" w16cid:durableId="1514148273">
    <w:abstractNumId w:val="5"/>
  </w:num>
  <w:num w:numId="4" w16cid:durableId="913666127">
    <w:abstractNumId w:val="4"/>
  </w:num>
  <w:num w:numId="5" w16cid:durableId="381101964">
    <w:abstractNumId w:val="7"/>
  </w:num>
  <w:num w:numId="6" w16cid:durableId="355424306">
    <w:abstractNumId w:val="3"/>
  </w:num>
  <w:num w:numId="7" w16cid:durableId="1760827234">
    <w:abstractNumId w:val="2"/>
  </w:num>
  <w:num w:numId="8" w16cid:durableId="1584952008">
    <w:abstractNumId w:val="1"/>
  </w:num>
  <w:num w:numId="9" w16cid:durableId="2102796361">
    <w:abstractNumId w:val="0"/>
  </w:num>
  <w:num w:numId="10" w16cid:durableId="255067028">
    <w:abstractNumId w:val="10"/>
  </w:num>
  <w:num w:numId="11" w16cid:durableId="15844085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1E41"/>
    <w:rsid w:val="0029639D"/>
    <w:rsid w:val="003054FF"/>
    <w:rsid w:val="00326F90"/>
    <w:rsid w:val="00366CF7"/>
    <w:rsid w:val="003D5544"/>
    <w:rsid w:val="0040131E"/>
    <w:rsid w:val="005003CE"/>
    <w:rsid w:val="00547AB1"/>
    <w:rsid w:val="006976D6"/>
    <w:rsid w:val="00723C93"/>
    <w:rsid w:val="0084317A"/>
    <w:rsid w:val="008E32F7"/>
    <w:rsid w:val="009210F1"/>
    <w:rsid w:val="00A20979"/>
    <w:rsid w:val="00AA1D8D"/>
    <w:rsid w:val="00B47730"/>
    <w:rsid w:val="00CB0664"/>
    <w:rsid w:val="00D32CE2"/>
    <w:rsid w:val="00D556C4"/>
    <w:rsid w:val="00F12954"/>
    <w:rsid w:val="00F868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AFEA6A28-C9CF-4400-A90D-C2940666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2A4057"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395775"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395775"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395775"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1C2B3A"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1C2B3A"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395775"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2A4057"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395775"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395775" w:themeColor="accent1"/>
    </w:rPr>
  </w:style>
  <w:style w:type="paragraph" w:styleId="Title">
    <w:name w:val="Title"/>
    <w:basedOn w:val="Normal"/>
    <w:next w:val="Normal"/>
    <w:link w:val="TitleChar"/>
    <w:uiPriority w:val="10"/>
    <w:qFormat/>
    <w:rsid w:val="00FC693F"/>
    <w:pPr>
      <w:pBdr>
        <w:bottom w:val="single" w:sz="8" w:space="4" w:color="395775" w:themeColor="accent1"/>
      </w:pBdr>
      <w:spacing w:after="300" w:line="240" w:lineRule="auto"/>
      <w:contextualSpacing/>
    </w:pPr>
    <w:rPr>
      <w:rFonts w:asciiTheme="majorHAnsi" w:eastAsiaTheme="majorEastAsia" w:hAnsiTheme="majorHAnsi" w:cstheme="majorBidi"/>
      <w:color w:val="8F918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8F918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395775"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395775"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395775"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1C2B3A"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1C2B3A"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395775"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395775"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395775" w:themeColor="accent1"/>
      </w:pBdr>
      <w:spacing w:before="200" w:after="280"/>
      <w:ind w:left="936" w:right="936"/>
    </w:pPr>
    <w:rPr>
      <w:b/>
      <w:bCs/>
      <w:i/>
      <w:iCs/>
      <w:color w:val="395775" w:themeColor="accent1"/>
    </w:rPr>
  </w:style>
  <w:style w:type="character" w:customStyle="1" w:styleId="IntenseQuoteChar">
    <w:name w:val="Intense Quote Char"/>
    <w:basedOn w:val="DefaultParagraphFont"/>
    <w:link w:val="IntenseQuote"/>
    <w:uiPriority w:val="30"/>
    <w:rsid w:val="00FC693F"/>
    <w:rPr>
      <w:b/>
      <w:bCs/>
      <w:i/>
      <w:iCs/>
      <w:color w:val="395775"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395775" w:themeColor="accent1"/>
    </w:rPr>
  </w:style>
  <w:style w:type="character" w:styleId="SubtleReference">
    <w:name w:val="Subtle Reference"/>
    <w:basedOn w:val="DefaultParagraphFont"/>
    <w:uiPriority w:val="31"/>
    <w:qFormat/>
    <w:rsid w:val="00FC693F"/>
    <w:rPr>
      <w:smallCaps/>
      <w:color w:val="D77F16" w:themeColor="accent2"/>
      <w:u w:val="single"/>
    </w:rPr>
  </w:style>
  <w:style w:type="character" w:styleId="IntenseReference">
    <w:name w:val="Intense Reference"/>
    <w:basedOn w:val="DefaultParagraphFont"/>
    <w:uiPriority w:val="32"/>
    <w:qFormat/>
    <w:rsid w:val="00FC693F"/>
    <w:rPr>
      <w:b/>
      <w:bCs/>
      <w:smallCaps/>
      <w:color w:val="D77F16"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2A4057" w:themeColor="accent1" w:themeShade="BF"/>
    </w:rPr>
    <w:tblPr>
      <w:tblStyleRowBandSize w:val="1"/>
      <w:tblStyleColBandSize w:val="1"/>
      <w:tblBorders>
        <w:top w:val="single" w:sz="8" w:space="0" w:color="395775" w:themeColor="accent1"/>
        <w:bottom w:val="single" w:sz="8" w:space="0" w:color="395775" w:themeColor="accent1"/>
      </w:tblBorders>
    </w:tblPr>
    <w:tblStylePr w:type="firstRow">
      <w:pPr>
        <w:spacing w:before="0" w:after="0" w:line="240" w:lineRule="auto"/>
      </w:pPr>
      <w:rPr>
        <w:b/>
        <w:bCs/>
      </w:rPr>
      <w:tblPr/>
      <w:tcPr>
        <w:tcBorders>
          <w:top w:val="single" w:sz="8" w:space="0" w:color="395775" w:themeColor="accent1"/>
          <w:left w:val="nil"/>
          <w:bottom w:val="single" w:sz="8" w:space="0" w:color="395775" w:themeColor="accent1"/>
          <w:right w:val="nil"/>
          <w:insideH w:val="nil"/>
          <w:insideV w:val="nil"/>
        </w:tcBorders>
      </w:tcPr>
    </w:tblStylePr>
    <w:tblStylePr w:type="lastRow">
      <w:pPr>
        <w:spacing w:before="0" w:after="0" w:line="240" w:lineRule="auto"/>
      </w:pPr>
      <w:rPr>
        <w:b/>
        <w:bCs/>
      </w:rPr>
      <w:tblPr/>
      <w:tcPr>
        <w:tcBorders>
          <w:top w:val="single" w:sz="8" w:space="0" w:color="395775" w:themeColor="accent1"/>
          <w:left w:val="nil"/>
          <w:bottom w:val="single" w:sz="8" w:space="0" w:color="39577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D5E3" w:themeFill="accent1" w:themeFillTint="3F"/>
      </w:tcPr>
    </w:tblStylePr>
    <w:tblStylePr w:type="band1Horz">
      <w:tblPr/>
      <w:tcPr>
        <w:tcBorders>
          <w:left w:val="nil"/>
          <w:right w:val="nil"/>
          <w:insideH w:val="nil"/>
          <w:insideV w:val="nil"/>
        </w:tcBorders>
        <w:shd w:val="clear" w:color="auto" w:fill="C6D5E3" w:themeFill="accent1" w:themeFillTint="3F"/>
      </w:tcPr>
    </w:tblStylePr>
  </w:style>
  <w:style w:type="table" w:styleId="LightShading-Accent2">
    <w:name w:val="Light Shading Accent 2"/>
    <w:basedOn w:val="TableNormal"/>
    <w:uiPriority w:val="60"/>
    <w:rsid w:val="00FC693F"/>
    <w:pPr>
      <w:spacing w:after="0" w:line="240" w:lineRule="auto"/>
    </w:pPr>
    <w:rPr>
      <w:color w:val="A05E10" w:themeColor="accent2" w:themeShade="BF"/>
    </w:rPr>
    <w:tblPr>
      <w:tblStyleRowBandSize w:val="1"/>
      <w:tblStyleColBandSize w:val="1"/>
      <w:tblBorders>
        <w:top w:val="single" w:sz="8" w:space="0" w:color="D77F16" w:themeColor="accent2"/>
        <w:bottom w:val="single" w:sz="8" w:space="0" w:color="D77F16" w:themeColor="accent2"/>
      </w:tblBorders>
    </w:tblPr>
    <w:tblStylePr w:type="firstRow">
      <w:pPr>
        <w:spacing w:before="0" w:after="0" w:line="240" w:lineRule="auto"/>
      </w:pPr>
      <w:rPr>
        <w:b/>
        <w:bCs/>
      </w:rPr>
      <w:tblPr/>
      <w:tcPr>
        <w:tcBorders>
          <w:top w:val="single" w:sz="8" w:space="0" w:color="D77F16" w:themeColor="accent2"/>
          <w:left w:val="nil"/>
          <w:bottom w:val="single" w:sz="8" w:space="0" w:color="D77F16" w:themeColor="accent2"/>
          <w:right w:val="nil"/>
          <w:insideH w:val="nil"/>
          <w:insideV w:val="nil"/>
        </w:tcBorders>
      </w:tcPr>
    </w:tblStylePr>
    <w:tblStylePr w:type="lastRow">
      <w:pPr>
        <w:spacing w:before="0" w:after="0" w:line="240" w:lineRule="auto"/>
      </w:pPr>
      <w:rPr>
        <w:b/>
        <w:bCs/>
      </w:rPr>
      <w:tblPr/>
      <w:tcPr>
        <w:tcBorders>
          <w:top w:val="single" w:sz="8" w:space="0" w:color="D77F16" w:themeColor="accent2"/>
          <w:left w:val="nil"/>
          <w:bottom w:val="single" w:sz="8" w:space="0" w:color="D77F1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FC1" w:themeFill="accent2" w:themeFillTint="3F"/>
      </w:tcPr>
    </w:tblStylePr>
    <w:tblStylePr w:type="band1Horz">
      <w:tblPr/>
      <w:tcPr>
        <w:tcBorders>
          <w:left w:val="nil"/>
          <w:right w:val="nil"/>
          <w:insideH w:val="nil"/>
          <w:insideV w:val="nil"/>
        </w:tcBorders>
        <w:shd w:val="clear" w:color="auto" w:fill="F8DFC1" w:themeFill="accent2" w:themeFillTint="3F"/>
      </w:tcPr>
    </w:tblStylePr>
  </w:style>
  <w:style w:type="table" w:styleId="LightShading-Accent3">
    <w:name w:val="Light Shading Accent 3"/>
    <w:basedOn w:val="TableNormal"/>
    <w:uiPriority w:val="60"/>
    <w:rsid w:val="00FC693F"/>
    <w:pPr>
      <w:spacing w:after="0" w:line="240" w:lineRule="auto"/>
    </w:pPr>
    <w:rPr>
      <w:color w:val="565C61" w:themeColor="accent3" w:themeShade="BF"/>
    </w:rPr>
    <w:tblPr>
      <w:tblStyleRowBandSize w:val="1"/>
      <w:tblStyleColBandSize w:val="1"/>
      <w:tblBorders>
        <w:top w:val="single" w:sz="8" w:space="0" w:color="737B82" w:themeColor="accent3"/>
        <w:bottom w:val="single" w:sz="8" w:space="0" w:color="737B82" w:themeColor="accent3"/>
      </w:tblBorders>
    </w:tblPr>
    <w:tblStylePr w:type="firstRow">
      <w:pPr>
        <w:spacing w:before="0" w:after="0" w:line="240" w:lineRule="auto"/>
      </w:pPr>
      <w:rPr>
        <w:b/>
        <w:bCs/>
      </w:rPr>
      <w:tblPr/>
      <w:tcPr>
        <w:tcBorders>
          <w:top w:val="single" w:sz="8" w:space="0" w:color="737B82" w:themeColor="accent3"/>
          <w:left w:val="nil"/>
          <w:bottom w:val="single" w:sz="8" w:space="0" w:color="737B82" w:themeColor="accent3"/>
          <w:right w:val="nil"/>
          <w:insideH w:val="nil"/>
          <w:insideV w:val="nil"/>
        </w:tcBorders>
      </w:tcPr>
    </w:tblStylePr>
    <w:tblStylePr w:type="lastRow">
      <w:pPr>
        <w:spacing w:before="0" w:after="0" w:line="240" w:lineRule="auto"/>
      </w:pPr>
      <w:rPr>
        <w:b/>
        <w:bCs/>
      </w:rPr>
      <w:tblPr/>
      <w:tcPr>
        <w:tcBorders>
          <w:top w:val="single" w:sz="8" w:space="0" w:color="737B82" w:themeColor="accent3"/>
          <w:left w:val="nil"/>
          <w:bottom w:val="single" w:sz="8" w:space="0" w:color="737B8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EE0" w:themeFill="accent3" w:themeFillTint="3F"/>
      </w:tcPr>
    </w:tblStylePr>
    <w:tblStylePr w:type="band1Horz">
      <w:tblPr/>
      <w:tcPr>
        <w:tcBorders>
          <w:left w:val="nil"/>
          <w:right w:val="nil"/>
          <w:insideH w:val="nil"/>
          <w:insideV w:val="nil"/>
        </w:tcBorders>
        <w:shd w:val="clear" w:color="auto" w:fill="DCDEE0" w:themeFill="accent3" w:themeFillTint="3F"/>
      </w:tcPr>
    </w:tblStylePr>
  </w:style>
  <w:style w:type="table" w:styleId="LightShading-Accent4">
    <w:name w:val="Light Shading Accent 4"/>
    <w:basedOn w:val="TableNormal"/>
    <w:uiPriority w:val="60"/>
    <w:rsid w:val="00FC693F"/>
    <w:pPr>
      <w:spacing w:after="0" w:line="240" w:lineRule="auto"/>
    </w:pPr>
    <w:rPr>
      <w:color w:val="7B868E" w:themeColor="accent4" w:themeShade="BF"/>
    </w:rPr>
    <w:tblPr>
      <w:tblStyleRowBandSize w:val="1"/>
      <w:tblStyleColBandSize w:val="1"/>
      <w:tblBorders>
        <w:top w:val="single" w:sz="8" w:space="0" w:color="ACB3B8" w:themeColor="accent4"/>
        <w:bottom w:val="single" w:sz="8" w:space="0" w:color="ACB3B8" w:themeColor="accent4"/>
      </w:tblBorders>
    </w:tblPr>
    <w:tblStylePr w:type="firstRow">
      <w:pPr>
        <w:spacing w:before="0" w:after="0" w:line="240" w:lineRule="auto"/>
      </w:pPr>
      <w:rPr>
        <w:b/>
        <w:bCs/>
      </w:rPr>
      <w:tblPr/>
      <w:tcPr>
        <w:tcBorders>
          <w:top w:val="single" w:sz="8" w:space="0" w:color="ACB3B8" w:themeColor="accent4"/>
          <w:left w:val="nil"/>
          <w:bottom w:val="single" w:sz="8" w:space="0" w:color="ACB3B8" w:themeColor="accent4"/>
          <w:right w:val="nil"/>
          <w:insideH w:val="nil"/>
          <w:insideV w:val="nil"/>
        </w:tcBorders>
      </w:tcPr>
    </w:tblStylePr>
    <w:tblStylePr w:type="lastRow">
      <w:pPr>
        <w:spacing w:before="0" w:after="0" w:line="240" w:lineRule="auto"/>
      </w:pPr>
      <w:rPr>
        <w:b/>
        <w:bCs/>
      </w:rPr>
      <w:tblPr/>
      <w:tcPr>
        <w:tcBorders>
          <w:top w:val="single" w:sz="8" w:space="0" w:color="ACB3B8" w:themeColor="accent4"/>
          <w:left w:val="nil"/>
          <w:bottom w:val="single" w:sz="8" w:space="0" w:color="ACB3B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CED" w:themeFill="accent4" w:themeFillTint="3F"/>
      </w:tcPr>
    </w:tblStylePr>
    <w:tblStylePr w:type="band1Horz">
      <w:tblPr/>
      <w:tcPr>
        <w:tcBorders>
          <w:left w:val="nil"/>
          <w:right w:val="nil"/>
          <w:insideH w:val="nil"/>
          <w:insideV w:val="nil"/>
        </w:tcBorders>
        <w:shd w:val="clear" w:color="auto" w:fill="EAECED" w:themeFill="accent4" w:themeFillTint="3F"/>
      </w:tcPr>
    </w:tblStylePr>
  </w:style>
  <w:style w:type="table" w:styleId="LightShading-Accent5">
    <w:name w:val="Light Shading Accent 5"/>
    <w:basedOn w:val="TableNormal"/>
    <w:uiPriority w:val="60"/>
    <w:rsid w:val="00FC693F"/>
    <w:pPr>
      <w:spacing w:after="0" w:line="240" w:lineRule="auto"/>
    </w:pPr>
    <w:rPr>
      <w:color w:val="7C8630" w:themeColor="accent5" w:themeShade="BF"/>
    </w:rPr>
    <w:tblPr>
      <w:tblStyleRowBandSize w:val="1"/>
      <w:tblStyleColBandSize w:val="1"/>
      <w:tblBorders>
        <w:top w:val="single" w:sz="8" w:space="0" w:color="A6B340" w:themeColor="accent5"/>
        <w:bottom w:val="single" w:sz="8" w:space="0" w:color="A6B340" w:themeColor="accent5"/>
      </w:tblBorders>
    </w:tblPr>
    <w:tblStylePr w:type="firstRow">
      <w:pPr>
        <w:spacing w:before="0" w:after="0" w:line="240" w:lineRule="auto"/>
      </w:pPr>
      <w:rPr>
        <w:b/>
        <w:bCs/>
      </w:rPr>
      <w:tblPr/>
      <w:tcPr>
        <w:tcBorders>
          <w:top w:val="single" w:sz="8" w:space="0" w:color="A6B340" w:themeColor="accent5"/>
          <w:left w:val="nil"/>
          <w:bottom w:val="single" w:sz="8" w:space="0" w:color="A6B340" w:themeColor="accent5"/>
          <w:right w:val="nil"/>
          <w:insideH w:val="nil"/>
          <w:insideV w:val="nil"/>
        </w:tcBorders>
      </w:tcPr>
    </w:tblStylePr>
    <w:tblStylePr w:type="lastRow">
      <w:pPr>
        <w:spacing w:before="0" w:after="0" w:line="240" w:lineRule="auto"/>
      </w:pPr>
      <w:rPr>
        <w:b/>
        <w:bCs/>
      </w:rPr>
      <w:tblPr/>
      <w:tcPr>
        <w:tcBorders>
          <w:top w:val="single" w:sz="8" w:space="0" w:color="A6B340" w:themeColor="accent5"/>
          <w:left w:val="nil"/>
          <w:bottom w:val="single" w:sz="8" w:space="0" w:color="A6B34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CE" w:themeFill="accent5" w:themeFillTint="3F"/>
      </w:tcPr>
    </w:tblStylePr>
    <w:tblStylePr w:type="band1Horz">
      <w:tblPr/>
      <w:tcPr>
        <w:tcBorders>
          <w:left w:val="nil"/>
          <w:right w:val="nil"/>
          <w:insideH w:val="nil"/>
          <w:insideV w:val="nil"/>
        </w:tcBorders>
        <w:shd w:val="clear" w:color="auto" w:fill="EAEDCE" w:themeFill="accent5" w:themeFillTint="3F"/>
      </w:tcPr>
    </w:tblStylePr>
  </w:style>
  <w:style w:type="table" w:styleId="LightShading-Accent6">
    <w:name w:val="Light Shading Accent 6"/>
    <w:basedOn w:val="TableNormal"/>
    <w:uiPriority w:val="60"/>
    <w:rsid w:val="00FC693F"/>
    <w:pPr>
      <w:spacing w:after="0" w:line="240" w:lineRule="auto"/>
    </w:pPr>
    <w:rPr>
      <w:color w:val="6E0C00" w:themeColor="accent6" w:themeShade="BF"/>
    </w:rPr>
    <w:tblPr>
      <w:tblStyleRowBandSize w:val="1"/>
      <w:tblStyleColBandSize w:val="1"/>
      <w:tblBorders>
        <w:top w:val="single" w:sz="8" w:space="0" w:color="941100" w:themeColor="accent6"/>
        <w:bottom w:val="single" w:sz="8" w:space="0" w:color="941100" w:themeColor="accent6"/>
      </w:tblBorders>
    </w:tblPr>
    <w:tblStylePr w:type="firstRow">
      <w:pPr>
        <w:spacing w:before="0" w:after="0" w:line="240" w:lineRule="auto"/>
      </w:pPr>
      <w:rPr>
        <w:b/>
        <w:bCs/>
      </w:rPr>
      <w:tblPr/>
      <w:tcPr>
        <w:tcBorders>
          <w:top w:val="single" w:sz="8" w:space="0" w:color="941100" w:themeColor="accent6"/>
          <w:left w:val="nil"/>
          <w:bottom w:val="single" w:sz="8" w:space="0" w:color="941100" w:themeColor="accent6"/>
          <w:right w:val="nil"/>
          <w:insideH w:val="nil"/>
          <w:insideV w:val="nil"/>
        </w:tcBorders>
      </w:tcPr>
    </w:tblStylePr>
    <w:tblStylePr w:type="lastRow">
      <w:pPr>
        <w:spacing w:before="0" w:after="0" w:line="240" w:lineRule="auto"/>
      </w:pPr>
      <w:rPr>
        <w:b/>
        <w:bCs/>
      </w:rPr>
      <w:tblPr/>
      <w:tcPr>
        <w:tcBorders>
          <w:top w:val="single" w:sz="8" w:space="0" w:color="941100" w:themeColor="accent6"/>
          <w:left w:val="nil"/>
          <w:bottom w:val="single" w:sz="8" w:space="0" w:color="9411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FA5" w:themeFill="accent6" w:themeFillTint="3F"/>
      </w:tcPr>
    </w:tblStylePr>
    <w:tblStylePr w:type="band1Horz">
      <w:tblPr/>
      <w:tcPr>
        <w:tcBorders>
          <w:left w:val="nil"/>
          <w:right w:val="nil"/>
          <w:insideH w:val="nil"/>
          <w:insideV w:val="nil"/>
        </w:tcBorders>
        <w:shd w:val="clear" w:color="auto" w:fill="FFAFA5"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395775" w:themeColor="accent1"/>
        <w:left w:val="single" w:sz="8" w:space="0" w:color="395775" w:themeColor="accent1"/>
        <w:bottom w:val="single" w:sz="8" w:space="0" w:color="395775" w:themeColor="accent1"/>
        <w:right w:val="single" w:sz="8" w:space="0" w:color="395775" w:themeColor="accent1"/>
      </w:tblBorders>
    </w:tblPr>
    <w:tblStylePr w:type="firstRow">
      <w:pPr>
        <w:spacing w:before="0" w:after="0" w:line="240" w:lineRule="auto"/>
      </w:pPr>
      <w:rPr>
        <w:b/>
        <w:bCs/>
        <w:color w:val="FFFFFF" w:themeColor="background1"/>
      </w:rPr>
      <w:tblPr/>
      <w:tcPr>
        <w:shd w:val="clear" w:color="auto" w:fill="395775" w:themeFill="accent1"/>
      </w:tcPr>
    </w:tblStylePr>
    <w:tblStylePr w:type="lastRow">
      <w:pPr>
        <w:spacing w:before="0" w:after="0" w:line="240" w:lineRule="auto"/>
      </w:pPr>
      <w:rPr>
        <w:b/>
        <w:bCs/>
      </w:rPr>
      <w:tblPr/>
      <w:tcPr>
        <w:tcBorders>
          <w:top w:val="double" w:sz="6" w:space="0" w:color="395775" w:themeColor="accent1"/>
          <w:left w:val="single" w:sz="8" w:space="0" w:color="395775" w:themeColor="accent1"/>
          <w:bottom w:val="single" w:sz="8" w:space="0" w:color="395775" w:themeColor="accent1"/>
          <w:right w:val="single" w:sz="8" w:space="0" w:color="395775" w:themeColor="accent1"/>
        </w:tcBorders>
      </w:tcPr>
    </w:tblStylePr>
    <w:tblStylePr w:type="firstCol">
      <w:rPr>
        <w:b/>
        <w:bCs/>
      </w:rPr>
    </w:tblStylePr>
    <w:tblStylePr w:type="lastCol">
      <w:rPr>
        <w:b/>
        <w:bCs/>
      </w:rPr>
    </w:tblStylePr>
    <w:tblStylePr w:type="band1Vert">
      <w:tblPr/>
      <w:tcPr>
        <w:tcBorders>
          <w:top w:val="single" w:sz="8" w:space="0" w:color="395775" w:themeColor="accent1"/>
          <w:left w:val="single" w:sz="8" w:space="0" w:color="395775" w:themeColor="accent1"/>
          <w:bottom w:val="single" w:sz="8" w:space="0" w:color="395775" w:themeColor="accent1"/>
          <w:right w:val="single" w:sz="8" w:space="0" w:color="395775" w:themeColor="accent1"/>
        </w:tcBorders>
      </w:tcPr>
    </w:tblStylePr>
    <w:tblStylePr w:type="band1Horz">
      <w:tblPr/>
      <w:tcPr>
        <w:tcBorders>
          <w:top w:val="single" w:sz="8" w:space="0" w:color="395775" w:themeColor="accent1"/>
          <w:left w:val="single" w:sz="8" w:space="0" w:color="395775" w:themeColor="accent1"/>
          <w:bottom w:val="single" w:sz="8" w:space="0" w:color="395775" w:themeColor="accent1"/>
          <w:right w:val="single" w:sz="8" w:space="0" w:color="395775"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D77F16" w:themeColor="accent2"/>
        <w:left w:val="single" w:sz="8" w:space="0" w:color="D77F16" w:themeColor="accent2"/>
        <w:bottom w:val="single" w:sz="8" w:space="0" w:color="D77F16" w:themeColor="accent2"/>
        <w:right w:val="single" w:sz="8" w:space="0" w:color="D77F16" w:themeColor="accent2"/>
      </w:tblBorders>
    </w:tblPr>
    <w:tblStylePr w:type="firstRow">
      <w:pPr>
        <w:spacing w:before="0" w:after="0" w:line="240" w:lineRule="auto"/>
      </w:pPr>
      <w:rPr>
        <w:b/>
        <w:bCs/>
        <w:color w:val="FFFFFF" w:themeColor="background1"/>
      </w:rPr>
      <w:tblPr/>
      <w:tcPr>
        <w:shd w:val="clear" w:color="auto" w:fill="D77F16" w:themeFill="accent2"/>
      </w:tcPr>
    </w:tblStylePr>
    <w:tblStylePr w:type="lastRow">
      <w:pPr>
        <w:spacing w:before="0" w:after="0" w:line="240" w:lineRule="auto"/>
      </w:pPr>
      <w:rPr>
        <w:b/>
        <w:bCs/>
      </w:rPr>
      <w:tblPr/>
      <w:tcPr>
        <w:tcBorders>
          <w:top w:val="double" w:sz="6" w:space="0" w:color="D77F16" w:themeColor="accent2"/>
          <w:left w:val="single" w:sz="8" w:space="0" w:color="D77F16" w:themeColor="accent2"/>
          <w:bottom w:val="single" w:sz="8" w:space="0" w:color="D77F16" w:themeColor="accent2"/>
          <w:right w:val="single" w:sz="8" w:space="0" w:color="D77F16" w:themeColor="accent2"/>
        </w:tcBorders>
      </w:tcPr>
    </w:tblStylePr>
    <w:tblStylePr w:type="firstCol">
      <w:rPr>
        <w:b/>
        <w:bCs/>
      </w:rPr>
    </w:tblStylePr>
    <w:tblStylePr w:type="lastCol">
      <w:rPr>
        <w:b/>
        <w:bCs/>
      </w:rPr>
    </w:tblStylePr>
    <w:tblStylePr w:type="band1Vert">
      <w:tblPr/>
      <w:tcPr>
        <w:tcBorders>
          <w:top w:val="single" w:sz="8" w:space="0" w:color="D77F16" w:themeColor="accent2"/>
          <w:left w:val="single" w:sz="8" w:space="0" w:color="D77F16" w:themeColor="accent2"/>
          <w:bottom w:val="single" w:sz="8" w:space="0" w:color="D77F16" w:themeColor="accent2"/>
          <w:right w:val="single" w:sz="8" w:space="0" w:color="D77F16" w:themeColor="accent2"/>
        </w:tcBorders>
      </w:tcPr>
    </w:tblStylePr>
    <w:tblStylePr w:type="band1Horz">
      <w:tblPr/>
      <w:tcPr>
        <w:tcBorders>
          <w:top w:val="single" w:sz="8" w:space="0" w:color="D77F16" w:themeColor="accent2"/>
          <w:left w:val="single" w:sz="8" w:space="0" w:color="D77F16" w:themeColor="accent2"/>
          <w:bottom w:val="single" w:sz="8" w:space="0" w:color="D77F16" w:themeColor="accent2"/>
          <w:right w:val="single" w:sz="8" w:space="0" w:color="D77F16"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737B82" w:themeColor="accent3"/>
        <w:left w:val="single" w:sz="8" w:space="0" w:color="737B82" w:themeColor="accent3"/>
        <w:bottom w:val="single" w:sz="8" w:space="0" w:color="737B82" w:themeColor="accent3"/>
        <w:right w:val="single" w:sz="8" w:space="0" w:color="737B82" w:themeColor="accent3"/>
      </w:tblBorders>
    </w:tblPr>
    <w:tblStylePr w:type="firstRow">
      <w:pPr>
        <w:spacing w:before="0" w:after="0" w:line="240" w:lineRule="auto"/>
      </w:pPr>
      <w:rPr>
        <w:b/>
        <w:bCs/>
        <w:color w:val="FFFFFF" w:themeColor="background1"/>
      </w:rPr>
      <w:tblPr/>
      <w:tcPr>
        <w:shd w:val="clear" w:color="auto" w:fill="737B82" w:themeFill="accent3"/>
      </w:tcPr>
    </w:tblStylePr>
    <w:tblStylePr w:type="lastRow">
      <w:pPr>
        <w:spacing w:before="0" w:after="0" w:line="240" w:lineRule="auto"/>
      </w:pPr>
      <w:rPr>
        <w:b/>
        <w:bCs/>
      </w:rPr>
      <w:tblPr/>
      <w:tcPr>
        <w:tcBorders>
          <w:top w:val="double" w:sz="6" w:space="0" w:color="737B82" w:themeColor="accent3"/>
          <w:left w:val="single" w:sz="8" w:space="0" w:color="737B82" w:themeColor="accent3"/>
          <w:bottom w:val="single" w:sz="8" w:space="0" w:color="737B82" w:themeColor="accent3"/>
          <w:right w:val="single" w:sz="8" w:space="0" w:color="737B82" w:themeColor="accent3"/>
        </w:tcBorders>
      </w:tcPr>
    </w:tblStylePr>
    <w:tblStylePr w:type="firstCol">
      <w:rPr>
        <w:b/>
        <w:bCs/>
      </w:rPr>
    </w:tblStylePr>
    <w:tblStylePr w:type="lastCol">
      <w:rPr>
        <w:b/>
        <w:bCs/>
      </w:rPr>
    </w:tblStylePr>
    <w:tblStylePr w:type="band1Vert">
      <w:tblPr/>
      <w:tcPr>
        <w:tcBorders>
          <w:top w:val="single" w:sz="8" w:space="0" w:color="737B82" w:themeColor="accent3"/>
          <w:left w:val="single" w:sz="8" w:space="0" w:color="737B82" w:themeColor="accent3"/>
          <w:bottom w:val="single" w:sz="8" w:space="0" w:color="737B82" w:themeColor="accent3"/>
          <w:right w:val="single" w:sz="8" w:space="0" w:color="737B82" w:themeColor="accent3"/>
        </w:tcBorders>
      </w:tcPr>
    </w:tblStylePr>
    <w:tblStylePr w:type="band1Horz">
      <w:tblPr/>
      <w:tcPr>
        <w:tcBorders>
          <w:top w:val="single" w:sz="8" w:space="0" w:color="737B82" w:themeColor="accent3"/>
          <w:left w:val="single" w:sz="8" w:space="0" w:color="737B82" w:themeColor="accent3"/>
          <w:bottom w:val="single" w:sz="8" w:space="0" w:color="737B82" w:themeColor="accent3"/>
          <w:right w:val="single" w:sz="8" w:space="0" w:color="737B82"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ACB3B8" w:themeColor="accent4"/>
        <w:left w:val="single" w:sz="8" w:space="0" w:color="ACB3B8" w:themeColor="accent4"/>
        <w:bottom w:val="single" w:sz="8" w:space="0" w:color="ACB3B8" w:themeColor="accent4"/>
        <w:right w:val="single" w:sz="8" w:space="0" w:color="ACB3B8" w:themeColor="accent4"/>
      </w:tblBorders>
    </w:tblPr>
    <w:tblStylePr w:type="firstRow">
      <w:pPr>
        <w:spacing w:before="0" w:after="0" w:line="240" w:lineRule="auto"/>
      </w:pPr>
      <w:rPr>
        <w:b/>
        <w:bCs/>
        <w:color w:val="FFFFFF" w:themeColor="background1"/>
      </w:rPr>
      <w:tblPr/>
      <w:tcPr>
        <w:shd w:val="clear" w:color="auto" w:fill="ACB3B8" w:themeFill="accent4"/>
      </w:tcPr>
    </w:tblStylePr>
    <w:tblStylePr w:type="lastRow">
      <w:pPr>
        <w:spacing w:before="0" w:after="0" w:line="240" w:lineRule="auto"/>
      </w:pPr>
      <w:rPr>
        <w:b/>
        <w:bCs/>
      </w:rPr>
      <w:tblPr/>
      <w:tcPr>
        <w:tcBorders>
          <w:top w:val="double" w:sz="6" w:space="0" w:color="ACB3B8" w:themeColor="accent4"/>
          <w:left w:val="single" w:sz="8" w:space="0" w:color="ACB3B8" w:themeColor="accent4"/>
          <w:bottom w:val="single" w:sz="8" w:space="0" w:color="ACB3B8" w:themeColor="accent4"/>
          <w:right w:val="single" w:sz="8" w:space="0" w:color="ACB3B8" w:themeColor="accent4"/>
        </w:tcBorders>
      </w:tcPr>
    </w:tblStylePr>
    <w:tblStylePr w:type="firstCol">
      <w:rPr>
        <w:b/>
        <w:bCs/>
      </w:rPr>
    </w:tblStylePr>
    <w:tblStylePr w:type="lastCol">
      <w:rPr>
        <w:b/>
        <w:bCs/>
      </w:rPr>
    </w:tblStylePr>
    <w:tblStylePr w:type="band1Vert">
      <w:tblPr/>
      <w:tcPr>
        <w:tcBorders>
          <w:top w:val="single" w:sz="8" w:space="0" w:color="ACB3B8" w:themeColor="accent4"/>
          <w:left w:val="single" w:sz="8" w:space="0" w:color="ACB3B8" w:themeColor="accent4"/>
          <w:bottom w:val="single" w:sz="8" w:space="0" w:color="ACB3B8" w:themeColor="accent4"/>
          <w:right w:val="single" w:sz="8" w:space="0" w:color="ACB3B8" w:themeColor="accent4"/>
        </w:tcBorders>
      </w:tcPr>
    </w:tblStylePr>
    <w:tblStylePr w:type="band1Horz">
      <w:tblPr/>
      <w:tcPr>
        <w:tcBorders>
          <w:top w:val="single" w:sz="8" w:space="0" w:color="ACB3B8" w:themeColor="accent4"/>
          <w:left w:val="single" w:sz="8" w:space="0" w:color="ACB3B8" w:themeColor="accent4"/>
          <w:bottom w:val="single" w:sz="8" w:space="0" w:color="ACB3B8" w:themeColor="accent4"/>
          <w:right w:val="single" w:sz="8" w:space="0" w:color="ACB3B8"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A6B340" w:themeColor="accent5"/>
        <w:left w:val="single" w:sz="8" w:space="0" w:color="A6B340" w:themeColor="accent5"/>
        <w:bottom w:val="single" w:sz="8" w:space="0" w:color="A6B340" w:themeColor="accent5"/>
        <w:right w:val="single" w:sz="8" w:space="0" w:color="A6B340" w:themeColor="accent5"/>
      </w:tblBorders>
    </w:tblPr>
    <w:tblStylePr w:type="firstRow">
      <w:pPr>
        <w:spacing w:before="0" w:after="0" w:line="240" w:lineRule="auto"/>
      </w:pPr>
      <w:rPr>
        <w:b/>
        <w:bCs/>
        <w:color w:val="FFFFFF" w:themeColor="background1"/>
      </w:rPr>
      <w:tblPr/>
      <w:tcPr>
        <w:shd w:val="clear" w:color="auto" w:fill="A6B340" w:themeFill="accent5"/>
      </w:tcPr>
    </w:tblStylePr>
    <w:tblStylePr w:type="lastRow">
      <w:pPr>
        <w:spacing w:before="0" w:after="0" w:line="240" w:lineRule="auto"/>
      </w:pPr>
      <w:rPr>
        <w:b/>
        <w:bCs/>
      </w:rPr>
      <w:tblPr/>
      <w:tcPr>
        <w:tcBorders>
          <w:top w:val="double" w:sz="6" w:space="0" w:color="A6B340" w:themeColor="accent5"/>
          <w:left w:val="single" w:sz="8" w:space="0" w:color="A6B340" w:themeColor="accent5"/>
          <w:bottom w:val="single" w:sz="8" w:space="0" w:color="A6B340" w:themeColor="accent5"/>
          <w:right w:val="single" w:sz="8" w:space="0" w:color="A6B340" w:themeColor="accent5"/>
        </w:tcBorders>
      </w:tcPr>
    </w:tblStylePr>
    <w:tblStylePr w:type="firstCol">
      <w:rPr>
        <w:b/>
        <w:bCs/>
      </w:rPr>
    </w:tblStylePr>
    <w:tblStylePr w:type="lastCol">
      <w:rPr>
        <w:b/>
        <w:bCs/>
      </w:rPr>
    </w:tblStylePr>
    <w:tblStylePr w:type="band1Vert">
      <w:tblPr/>
      <w:tcPr>
        <w:tcBorders>
          <w:top w:val="single" w:sz="8" w:space="0" w:color="A6B340" w:themeColor="accent5"/>
          <w:left w:val="single" w:sz="8" w:space="0" w:color="A6B340" w:themeColor="accent5"/>
          <w:bottom w:val="single" w:sz="8" w:space="0" w:color="A6B340" w:themeColor="accent5"/>
          <w:right w:val="single" w:sz="8" w:space="0" w:color="A6B340" w:themeColor="accent5"/>
        </w:tcBorders>
      </w:tcPr>
    </w:tblStylePr>
    <w:tblStylePr w:type="band1Horz">
      <w:tblPr/>
      <w:tcPr>
        <w:tcBorders>
          <w:top w:val="single" w:sz="8" w:space="0" w:color="A6B340" w:themeColor="accent5"/>
          <w:left w:val="single" w:sz="8" w:space="0" w:color="A6B340" w:themeColor="accent5"/>
          <w:bottom w:val="single" w:sz="8" w:space="0" w:color="A6B340" w:themeColor="accent5"/>
          <w:right w:val="single" w:sz="8" w:space="0" w:color="A6B340"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941100" w:themeColor="accent6"/>
        <w:left w:val="single" w:sz="8" w:space="0" w:color="941100" w:themeColor="accent6"/>
        <w:bottom w:val="single" w:sz="8" w:space="0" w:color="941100" w:themeColor="accent6"/>
        <w:right w:val="single" w:sz="8" w:space="0" w:color="941100" w:themeColor="accent6"/>
      </w:tblBorders>
    </w:tblPr>
    <w:tblStylePr w:type="firstRow">
      <w:pPr>
        <w:spacing w:before="0" w:after="0" w:line="240" w:lineRule="auto"/>
      </w:pPr>
      <w:rPr>
        <w:b/>
        <w:bCs/>
        <w:color w:val="FFFFFF" w:themeColor="background1"/>
      </w:rPr>
      <w:tblPr/>
      <w:tcPr>
        <w:shd w:val="clear" w:color="auto" w:fill="941100" w:themeFill="accent6"/>
      </w:tcPr>
    </w:tblStylePr>
    <w:tblStylePr w:type="lastRow">
      <w:pPr>
        <w:spacing w:before="0" w:after="0" w:line="240" w:lineRule="auto"/>
      </w:pPr>
      <w:rPr>
        <w:b/>
        <w:bCs/>
      </w:rPr>
      <w:tblPr/>
      <w:tcPr>
        <w:tcBorders>
          <w:top w:val="double" w:sz="6" w:space="0" w:color="941100" w:themeColor="accent6"/>
          <w:left w:val="single" w:sz="8" w:space="0" w:color="941100" w:themeColor="accent6"/>
          <w:bottom w:val="single" w:sz="8" w:space="0" w:color="941100" w:themeColor="accent6"/>
          <w:right w:val="single" w:sz="8" w:space="0" w:color="941100" w:themeColor="accent6"/>
        </w:tcBorders>
      </w:tcPr>
    </w:tblStylePr>
    <w:tblStylePr w:type="firstCol">
      <w:rPr>
        <w:b/>
        <w:bCs/>
      </w:rPr>
    </w:tblStylePr>
    <w:tblStylePr w:type="lastCol">
      <w:rPr>
        <w:b/>
        <w:bCs/>
      </w:rPr>
    </w:tblStylePr>
    <w:tblStylePr w:type="band1Vert">
      <w:tblPr/>
      <w:tcPr>
        <w:tcBorders>
          <w:top w:val="single" w:sz="8" w:space="0" w:color="941100" w:themeColor="accent6"/>
          <w:left w:val="single" w:sz="8" w:space="0" w:color="941100" w:themeColor="accent6"/>
          <w:bottom w:val="single" w:sz="8" w:space="0" w:color="941100" w:themeColor="accent6"/>
          <w:right w:val="single" w:sz="8" w:space="0" w:color="941100" w:themeColor="accent6"/>
        </w:tcBorders>
      </w:tcPr>
    </w:tblStylePr>
    <w:tblStylePr w:type="band1Horz">
      <w:tblPr/>
      <w:tcPr>
        <w:tcBorders>
          <w:top w:val="single" w:sz="8" w:space="0" w:color="941100" w:themeColor="accent6"/>
          <w:left w:val="single" w:sz="8" w:space="0" w:color="941100" w:themeColor="accent6"/>
          <w:bottom w:val="single" w:sz="8" w:space="0" w:color="941100" w:themeColor="accent6"/>
          <w:right w:val="single" w:sz="8" w:space="0" w:color="941100"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395775" w:themeColor="accent1"/>
        <w:left w:val="single" w:sz="8" w:space="0" w:color="395775" w:themeColor="accent1"/>
        <w:bottom w:val="single" w:sz="8" w:space="0" w:color="395775" w:themeColor="accent1"/>
        <w:right w:val="single" w:sz="8" w:space="0" w:color="395775" w:themeColor="accent1"/>
        <w:insideH w:val="single" w:sz="8" w:space="0" w:color="395775" w:themeColor="accent1"/>
        <w:insideV w:val="single" w:sz="8" w:space="0" w:color="39577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95775" w:themeColor="accent1"/>
          <w:left w:val="single" w:sz="8" w:space="0" w:color="395775" w:themeColor="accent1"/>
          <w:bottom w:val="single" w:sz="18" w:space="0" w:color="395775" w:themeColor="accent1"/>
          <w:right w:val="single" w:sz="8" w:space="0" w:color="395775" w:themeColor="accent1"/>
          <w:insideH w:val="nil"/>
          <w:insideV w:val="single" w:sz="8" w:space="0" w:color="39577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95775" w:themeColor="accent1"/>
          <w:left w:val="single" w:sz="8" w:space="0" w:color="395775" w:themeColor="accent1"/>
          <w:bottom w:val="single" w:sz="8" w:space="0" w:color="395775" w:themeColor="accent1"/>
          <w:right w:val="single" w:sz="8" w:space="0" w:color="395775" w:themeColor="accent1"/>
          <w:insideH w:val="nil"/>
          <w:insideV w:val="single" w:sz="8" w:space="0" w:color="39577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95775" w:themeColor="accent1"/>
          <w:left w:val="single" w:sz="8" w:space="0" w:color="395775" w:themeColor="accent1"/>
          <w:bottom w:val="single" w:sz="8" w:space="0" w:color="395775" w:themeColor="accent1"/>
          <w:right w:val="single" w:sz="8" w:space="0" w:color="395775" w:themeColor="accent1"/>
        </w:tcBorders>
      </w:tcPr>
    </w:tblStylePr>
    <w:tblStylePr w:type="band1Vert">
      <w:tblPr/>
      <w:tcPr>
        <w:tcBorders>
          <w:top w:val="single" w:sz="8" w:space="0" w:color="395775" w:themeColor="accent1"/>
          <w:left w:val="single" w:sz="8" w:space="0" w:color="395775" w:themeColor="accent1"/>
          <w:bottom w:val="single" w:sz="8" w:space="0" w:color="395775" w:themeColor="accent1"/>
          <w:right w:val="single" w:sz="8" w:space="0" w:color="395775" w:themeColor="accent1"/>
        </w:tcBorders>
        <w:shd w:val="clear" w:color="auto" w:fill="C6D5E3" w:themeFill="accent1" w:themeFillTint="3F"/>
      </w:tcPr>
    </w:tblStylePr>
    <w:tblStylePr w:type="band1Horz">
      <w:tblPr/>
      <w:tcPr>
        <w:tcBorders>
          <w:top w:val="single" w:sz="8" w:space="0" w:color="395775" w:themeColor="accent1"/>
          <w:left w:val="single" w:sz="8" w:space="0" w:color="395775" w:themeColor="accent1"/>
          <w:bottom w:val="single" w:sz="8" w:space="0" w:color="395775" w:themeColor="accent1"/>
          <w:right w:val="single" w:sz="8" w:space="0" w:color="395775" w:themeColor="accent1"/>
          <w:insideV w:val="single" w:sz="8" w:space="0" w:color="395775" w:themeColor="accent1"/>
        </w:tcBorders>
        <w:shd w:val="clear" w:color="auto" w:fill="C6D5E3" w:themeFill="accent1" w:themeFillTint="3F"/>
      </w:tcPr>
    </w:tblStylePr>
    <w:tblStylePr w:type="band2Horz">
      <w:tblPr/>
      <w:tcPr>
        <w:tcBorders>
          <w:top w:val="single" w:sz="8" w:space="0" w:color="395775" w:themeColor="accent1"/>
          <w:left w:val="single" w:sz="8" w:space="0" w:color="395775" w:themeColor="accent1"/>
          <w:bottom w:val="single" w:sz="8" w:space="0" w:color="395775" w:themeColor="accent1"/>
          <w:right w:val="single" w:sz="8" w:space="0" w:color="395775" w:themeColor="accent1"/>
          <w:insideV w:val="single" w:sz="8" w:space="0" w:color="395775"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D77F16" w:themeColor="accent2"/>
        <w:left w:val="single" w:sz="8" w:space="0" w:color="D77F16" w:themeColor="accent2"/>
        <w:bottom w:val="single" w:sz="8" w:space="0" w:color="D77F16" w:themeColor="accent2"/>
        <w:right w:val="single" w:sz="8" w:space="0" w:color="D77F16" w:themeColor="accent2"/>
        <w:insideH w:val="single" w:sz="8" w:space="0" w:color="D77F16" w:themeColor="accent2"/>
        <w:insideV w:val="single" w:sz="8" w:space="0" w:color="D77F1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77F16" w:themeColor="accent2"/>
          <w:left w:val="single" w:sz="8" w:space="0" w:color="D77F16" w:themeColor="accent2"/>
          <w:bottom w:val="single" w:sz="18" w:space="0" w:color="D77F16" w:themeColor="accent2"/>
          <w:right w:val="single" w:sz="8" w:space="0" w:color="D77F16" w:themeColor="accent2"/>
          <w:insideH w:val="nil"/>
          <w:insideV w:val="single" w:sz="8" w:space="0" w:color="D77F1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77F16" w:themeColor="accent2"/>
          <w:left w:val="single" w:sz="8" w:space="0" w:color="D77F16" w:themeColor="accent2"/>
          <w:bottom w:val="single" w:sz="8" w:space="0" w:color="D77F16" w:themeColor="accent2"/>
          <w:right w:val="single" w:sz="8" w:space="0" w:color="D77F16" w:themeColor="accent2"/>
          <w:insideH w:val="nil"/>
          <w:insideV w:val="single" w:sz="8" w:space="0" w:color="D77F1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77F16" w:themeColor="accent2"/>
          <w:left w:val="single" w:sz="8" w:space="0" w:color="D77F16" w:themeColor="accent2"/>
          <w:bottom w:val="single" w:sz="8" w:space="0" w:color="D77F16" w:themeColor="accent2"/>
          <w:right w:val="single" w:sz="8" w:space="0" w:color="D77F16" w:themeColor="accent2"/>
        </w:tcBorders>
      </w:tcPr>
    </w:tblStylePr>
    <w:tblStylePr w:type="band1Vert">
      <w:tblPr/>
      <w:tcPr>
        <w:tcBorders>
          <w:top w:val="single" w:sz="8" w:space="0" w:color="D77F16" w:themeColor="accent2"/>
          <w:left w:val="single" w:sz="8" w:space="0" w:color="D77F16" w:themeColor="accent2"/>
          <w:bottom w:val="single" w:sz="8" w:space="0" w:color="D77F16" w:themeColor="accent2"/>
          <w:right w:val="single" w:sz="8" w:space="0" w:color="D77F16" w:themeColor="accent2"/>
        </w:tcBorders>
        <w:shd w:val="clear" w:color="auto" w:fill="F8DFC1" w:themeFill="accent2" w:themeFillTint="3F"/>
      </w:tcPr>
    </w:tblStylePr>
    <w:tblStylePr w:type="band1Horz">
      <w:tblPr/>
      <w:tcPr>
        <w:tcBorders>
          <w:top w:val="single" w:sz="8" w:space="0" w:color="D77F16" w:themeColor="accent2"/>
          <w:left w:val="single" w:sz="8" w:space="0" w:color="D77F16" w:themeColor="accent2"/>
          <w:bottom w:val="single" w:sz="8" w:space="0" w:color="D77F16" w:themeColor="accent2"/>
          <w:right w:val="single" w:sz="8" w:space="0" w:color="D77F16" w:themeColor="accent2"/>
          <w:insideV w:val="single" w:sz="8" w:space="0" w:color="D77F16" w:themeColor="accent2"/>
        </w:tcBorders>
        <w:shd w:val="clear" w:color="auto" w:fill="F8DFC1" w:themeFill="accent2" w:themeFillTint="3F"/>
      </w:tcPr>
    </w:tblStylePr>
    <w:tblStylePr w:type="band2Horz">
      <w:tblPr/>
      <w:tcPr>
        <w:tcBorders>
          <w:top w:val="single" w:sz="8" w:space="0" w:color="D77F16" w:themeColor="accent2"/>
          <w:left w:val="single" w:sz="8" w:space="0" w:color="D77F16" w:themeColor="accent2"/>
          <w:bottom w:val="single" w:sz="8" w:space="0" w:color="D77F16" w:themeColor="accent2"/>
          <w:right w:val="single" w:sz="8" w:space="0" w:color="D77F16" w:themeColor="accent2"/>
          <w:insideV w:val="single" w:sz="8" w:space="0" w:color="D77F16"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737B82" w:themeColor="accent3"/>
        <w:left w:val="single" w:sz="8" w:space="0" w:color="737B82" w:themeColor="accent3"/>
        <w:bottom w:val="single" w:sz="8" w:space="0" w:color="737B82" w:themeColor="accent3"/>
        <w:right w:val="single" w:sz="8" w:space="0" w:color="737B82" w:themeColor="accent3"/>
        <w:insideH w:val="single" w:sz="8" w:space="0" w:color="737B82" w:themeColor="accent3"/>
        <w:insideV w:val="single" w:sz="8" w:space="0" w:color="737B8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7B82" w:themeColor="accent3"/>
          <w:left w:val="single" w:sz="8" w:space="0" w:color="737B82" w:themeColor="accent3"/>
          <w:bottom w:val="single" w:sz="18" w:space="0" w:color="737B82" w:themeColor="accent3"/>
          <w:right w:val="single" w:sz="8" w:space="0" w:color="737B82" w:themeColor="accent3"/>
          <w:insideH w:val="nil"/>
          <w:insideV w:val="single" w:sz="8" w:space="0" w:color="737B8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7B82" w:themeColor="accent3"/>
          <w:left w:val="single" w:sz="8" w:space="0" w:color="737B82" w:themeColor="accent3"/>
          <w:bottom w:val="single" w:sz="8" w:space="0" w:color="737B82" w:themeColor="accent3"/>
          <w:right w:val="single" w:sz="8" w:space="0" w:color="737B82" w:themeColor="accent3"/>
          <w:insideH w:val="nil"/>
          <w:insideV w:val="single" w:sz="8" w:space="0" w:color="737B8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7B82" w:themeColor="accent3"/>
          <w:left w:val="single" w:sz="8" w:space="0" w:color="737B82" w:themeColor="accent3"/>
          <w:bottom w:val="single" w:sz="8" w:space="0" w:color="737B82" w:themeColor="accent3"/>
          <w:right w:val="single" w:sz="8" w:space="0" w:color="737B82" w:themeColor="accent3"/>
        </w:tcBorders>
      </w:tcPr>
    </w:tblStylePr>
    <w:tblStylePr w:type="band1Vert">
      <w:tblPr/>
      <w:tcPr>
        <w:tcBorders>
          <w:top w:val="single" w:sz="8" w:space="0" w:color="737B82" w:themeColor="accent3"/>
          <w:left w:val="single" w:sz="8" w:space="0" w:color="737B82" w:themeColor="accent3"/>
          <w:bottom w:val="single" w:sz="8" w:space="0" w:color="737B82" w:themeColor="accent3"/>
          <w:right w:val="single" w:sz="8" w:space="0" w:color="737B82" w:themeColor="accent3"/>
        </w:tcBorders>
        <w:shd w:val="clear" w:color="auto" w:fill="DCDEE0" w:themeFill="accent3" w:themeFillTint="3F"/>
      </w:tcPr>
    </w:tblStylePr>
    <w:tblStylePr w:type="band1Horz">
      <w:tblPr/>
      <w:tcPr>
        <w:tcBorders>
          <w:top w:val="single" w:sz="8" w:space="0" w:color="737B82" w:themeColor="accent3"/>
          <w:left w:val="single" w:sz="8" w:space="0" w:color="737B82" w:themeColor="accent3"/>
          <w:bottom w:val="single" w:sz="8" w:space="0" w:color="737B82" w:themeColor="accent3"/>
          <w:right w:val="single" w:sz="8" w:space="0" w:color="737B82" w:themeColor="accent3"/>
          <w:insideV w:val="single" w:sz="8" w:space="0" w:color="737B82" w:themeColor="accent3"/>
        </w:tcBorders>
        <w:shd w:val="clear" w:color="auto" w:fill="DCDEE0" w:themeFill="accent3" w:themeFillTint="3F"/>
      </w:tcPr>
    </w:tblStylePr>
    <w:tblStylePr w:type="band2Horz">
      <w:tblPr/>
      <w:tcPr>
        <w:tcBorders>
          <w:top w:val="single" w:sz="8" w:space="0" w:color="737B82" w:themeColor="accent3"/>
          <w:left w:val="single" w:sz="8" w:space="0" w:color="737B82" w:themeColor="accent3"/>
          <w:bottom w:val="single" w:sz="8" w:space="0" w:color="737B82" w:themeColor="accent3"/>
          <w:right w:val="single" w:sz="8" w:space="0" w:color="737B82" w:themeColor="accent3"/>
          <w:insideV w:val="single" w:sz="8" w:space="0" w:color="737B82"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ACB3B8" w:themeColor="accent4"/>
        <w:left w:val="single" w:sz="8" w:space="0" w:color="ACB3B8" w:themeColor="accent4"/>
        <w:bottom w:val="single" w:sz="8" w:space="0" w:color="ACB3B8" w:themeColor="accent4"/>
        <w:right w:val="single" w:sz="8" w:space="0" w:color="ACB3B8" w:themeColor="accent4"/>
        <w:insideH w:val="single" w:sz="8" w:space="0" w:color="ACB3B8" w:themeColor="accent4"/>
        <w:insideV w:val="single" w:sz="8" w:space="0" w:color="ACB3B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CB3B8" w:themeColor="accent4"/>
          <w:left w:val="single" w:sz="8" w:space="0" w:color="ACB3B8" w:themeColor="accent4"/>
          <w:bottom w:val="single" w:sz="18" w:space="0" w:color="ACB3B8" w:themeColor="accent4"/>
          <w:right w:val="single" w:sz="8" w:space="0" w:color="ACB3B8" w:themeColor="accent4"/>
          <w:insideH w:val="nil"/>
          <w:insideV w:val="single" w:sz="8" w:space="0" w:color="ACB3B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CB3B8" w:themeColor="accent4"/>
          <w:left w:val="single" w:sz="8" w:space="0" w:color="ACB3B8" w:themeColor="accent4"/>
          <w:bottom w:val="single" w:sz="8" w:space="0" w:color="ACB3B8" w:themeColor="accent4"/>
          <w:right w:val="single" w:sz="8" w:space="0" w:color="ACB3B8" w:themeColor="accent4"/>
          <w:insideH w:val="nil"/>
          <w:insideV w:val="single" w:sz="8" w:space="0" w:color="ACB3B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CB3B8" w:themeColor="accent4"/>
          <w:left w:val="single" w:sz="8" w:space="0" w:color="ACB3B8" w:themeColor="accent4"/>
          <w:bottom w:val="single" w:sz="8" w:space="0" w:color="ACB3B8" w:themeColor="accent4"/>
          <w:right w:val="single" w:sz="8" w:space="0" w:color="ACB3B8" w:themeColor="accent4"/>
        </w:tcBorders>
      </w:tcPr>
    </w:tblStylePr>
    <w:tblStylePr w:type="band1Vert">
      <w:tblPr/>
      <w:tcPr>
        <w:tcBorders>
          <w:top w:val="single" w:sz="8" w:space="0" w:color="ACB3B8" w:themeColor="accent4"/>
          <w:left w:val="single" w:sz="8" w:space="0" w:color="ACB3B8" w:themeColor="accent4"/>
          <w:bottom w:val="single" w:sz="8" w:space="0" w:color="ACB3B8" w:themeColor="accent4"/>
          <w:right w:val="single" w:sz="8" w:space="0" w:color="ACB3B8" w:themeColor="accent4"/>
        </w:tcBorders>
        <w:shd w:val="clear" w:color="auto" w:fill="EAECED" w:themeFill="accent4" w:themeFillTint="3F"/>
      </w:tcPr>
    </w:tblStylePr>
    <w:tblStylePr w:type="band1Horz">
      <w:tblPr/>
      <w:tcPr>
        <w:tcBorders>
          <w:top w:val="single" w:sz="8" w:space="0" w:color="ACB3B8" w:themeColor="accent4"/>
          <w:left w:val="single" w:sz="8" w:space="0" w:color="ACB3B8" w:themeColor="accent4"/>
          <w:bottom w:val="single" w:sz="8" w:space="0" w:color="ACB3B8" w:themeColor="accent4"/>
          <w:right w:val="single" w:sz="8" w:space="0" w:color="ACB3B8" w:themeColor="accent4"/>
          <w:insideV w:val="single" w:sz="8" w:space="0" w:color="ACB3B8" w:themeColor="accent4"/>
        </w:tcBorders>
        <w:shd w:val="clear" w:color="auto" w:fill="EAECED" w:themeFill="accent4" w:themeFillTint="3F"/>
      </w:tcPr>
    </w:tblStylePr>
    <w:tblStylePr w:type="band2Horz">
      <w:tblPr/>
      <w:tcPr>
        <w:tcBorders>
          <w:top w:val="single" w:sz="8" w:space="0" w:color="ACB3B8" w:themeColor="accent4"/>
          <w:left w:val="single" w:sz="8" w:space="0" w:color="ACB3B8" w:themeColor="accent4"/>
          <w:bottom w:val="single" w:sz="8" w:space="0" w:color="ACB3B8" w:themeColor="accent4"/>
          <w:right w:val="single" w:sz="8" w:space="0" w:color="ACB3B8" w:themeColor="accent4"/>
          <w:insideV w:val="single" w:sz="8" w:space="0" w:color="ACB3B8"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A6B340" w:themeColor="accent5"/>
        <w:left w:val="single" w:sz="8" w:space="0" w:color="A6B340" w:themeColor="accent5"/>
        <w:bottom w:val="single" w:sz="8" w:space="0" w:color="A6B340" w:themeColor="accent5"/>
        <w:right w:val="single" w:sz="8" w:space="0" w:color="A6B340" w:themeColor="accent5"/>
        <w:insideH w:val="single" w:sz="8" w:space="0" w:color="A6B340" w:themeColor="accent5"/>
        <w:insideV w:val="single" w:sz="8" w:space="0" w:color="A6B34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6B340" w:themeColor="accent5"/>
          <w:left w:val="single" w:sz="8" w:space="0" w:color="A6B340" w:themeColor="accent5"/>
          <w:bottom w:val="single" w:sz="18" w:space="0" w:color="A6B340" w:themeColor="accent5"/>
          <w:right w:val="single" w:sz="8" w:space="0" w:color="A6B340" w:themeColor="accent5"/>
          <w:insideH w:val="nil"/>
          <w:insideV w:val="single" w:sz="8" w:space="0" w:color="A6B34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6B340" w:themeColor="accent5"/>
          <w:left w:val="single" w:sz="8" w:space="0" w:color="A6B340" w:themeColor="accent5"/>
          <w:bottom w:val="single" w:sz="8" w:space="0" w:color="A6B340" w:themeColor="accent5"/>
          <w:right w:val="single" w:sz="8" w:space="0" w:color="A6B340" w:themeColor="accent5"/>
          <w:insideH w:val="nil"/>
          <w:insideV w:val="single" w:sz="8" w:space="0" w:color="A6B34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6B340" w:themeColor="accent5"/>
          <w:left w:val="single" w:sz="8" w:space="0" w:color="A6B340" w:themeColor="accent5"/>
          <w:bottom w:val="single" w:sz="8" w:space="0" w:color="A6B340" w:themeColor="accent5"/>
          <w:right w:val="single" w:sz="8" w:space="0" w:color="A6B340" w:themeColor="accent5"/>
        </w:tcBorders>
      </w:tcPr>
    </w:tblStylePr>
    <w:tblStylePr w:type="band1Vert">
      <w:tblPr/>
      <w:tcPr>
        <w:tcBorders>
          <w:top w:val="single" w:sz="8" w:space="0" w:color="A6B340" w:themeColor="accent5"/>
          <w:left w:val="single" w:sz="8" w:space="0" w:color="A6B340" w:themeColor="accent5"/>
          <w:bottom w:val="single" w:sz="8" w:space="0" w:color="A6B340" w:themeColor="accent5"/>
          <w:right w:val="single" w:sz="8" w:space="0" w:color="A6B340" w:themeColor="accent5"/>
        </w:tcBorders>
        <w:shd w:val="clear" w:color="auto" w:fill="EAEDCE" w:themeFill="accent5" w:themeFillTint="3F"/>
      </w:tcPr>
    </w:tblStylePr>
    <w:tblStylePr w:type="band1Horz">
      <w:tblPr/>
      <w:tcPr>
        <w:tcBorders>
          <w:top w:val="single" w:sz="8" w:space="0" w:color="A6B340" w:themeColor="accent5"/>
          <w:left w:val="single" w:sz="8" w:space="0" w:color="A6B340" w:themeColor="accent5"/>
          <w:bottom w:val="single" w:sz="8" w:space="0" w:color="A6B340" w:themeColor="accent5"/>
          <w:right w:val="single" w:sz="8" w:space="0" w:color="A6B340" w:themeColor="accent5"/>
          <w:insideV w:val="single" w:sz="8" w:space="0" w:color="A6B340" w:themeColor="accent5"/>
        </w:tcBorders>
        <w:shd w:val="clear" w:color="auto" w:fill="EAEDCE" w:themeFill="accent5" w:themeFillTint="3F"/>
      </w:tcPr>
    </w:tblStylePr>
    <w:tblStylePr w:type="band2Horz">
      <w:tblPr/>
      <w:tcPr>
        <w:tcBorders>
          <w:top w:val="single" w:sz="8" w:space="0" w:color="A6B340" w:themeColor="accent5"/>
          <w:left w:val="single" w:sz="8" w:space="0" w:color="A6B340" w:themeColor="accent5"/>
          <w:bottom w:val="single" w:sz="8" w:space="0" w:color="A6B340" w:themeColor="accent5"/>
          <w:right w:val="single" w:sz="8" w:space="0" w:color="A6B340" w:themeColor="accent5"/>
          <w:insideV w:val="single" w:sz="8" w:space="0" w:color="A6B340"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941100" w:themeColor="accent6"/>
        <w:left w:val="single" w:sz="8" w:space="0" w:color="941100" w:themeColor="accent6"/>
        <w:bottom w:val="single" w:sz="8" w:space="0" w:color="941100" w:themeColor="accent6"/>
        <w:right w:val="single" w:sz="8" w:space="0" w:color="941100" w:themeColor="accent6"/>
        <w:insideH w:val="single" w:sz="8" w:space="0" w:color="941100" w:themeColor="accent6"/>
        <w:insideV w:val="single" w:sz="8" w:space="0" w:color="9411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1100" w:themeColor="accent6"/>
          <w:left w:val="single" w:sz="8" w:space="0" w:color="941100" w:themeColor="accent6"/>
          <w:bottom w:val="single" w:sz="18" w:space="0" w:color="941100" w:themeColor="accent6"/>
          <w:right w:val="single" w:sz="8" w:space="0" w:color="941100" w:themeColor="accent6"/>
          <w:insideH w:val="nil"/>
          <w:insideV w:val="single" w:sz="8" w:space="0" w:color="9411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1100" w:themeColor="accent6"/>
          <w:left w:val="single" w:sz="8" w:space="0" w:color="941100" w:themeColor="accent6"/>
          <w:bottom w:val="single" w:sz="8" w:space="0" w:color="941100" w:themeColor="accent6"/>
          <w:right w:val="single" w:sz="8" w:space="0" w:color="941100" w:themeColor="accent6"/>
          <w:insideH w:val="nil"/>
          <w:insideV w:val="single" w:sz="8" w:space="0" w:color="9411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1100" w:themeColor="accent6"/>
          <w:left w:val="single" w:sz="8" w:space="0" w:color="941100" w:themeColor="accent6"/>
          <w:bottom w:val="single" w:sz="8" w:space="0" w:color="941100" w:themeColor="accent6"/>
          <w:right w:val="single" w:sz="8" w:space="0" w:color="941100" w:themeColor="accent6"/>
        </w:tcBorders>
      </w:tcPr>
    </w:tblStylePr>
    <w:tblStylePr w:type="band1Vert">
      <w:tblPr/>
      <w:tcPr>
        <w:tcBorders>
          <w:top w:val="single" w:sz="8" w:space="0" w:color="941100" w:themeColor="accent6"/>
          <w:left w:val="single" w:sz="8" w:space="0" w:color="941100" w:themeColor="accent6"/>
          <w:bottom w:val="single" w:sz="8" w:space="0" w:color="941100" w:themeColor="accent6"/>
          <w:right w:val="single" w:sz="8" w:space="0" w:color="941100" w:themeColor="accent6"/>
        </w:tcBorders>
        <w:shd w:val="clear" w:color="auto" w:fill="FFAFA5" w:themeFill="accent6" w:themeFillTint="3F"/>
      </w:tcPr>
    </w:tblStylePr>
    <w:tblStylePr w:type="band1Horz">
      <w:tblPr/>
      <w:tcPr>
        <w:tcBorders>
          <w:top w:val="single" w:sz="8" w:space="0" w:color="941100" w:themeColor="accent6"/>
          <w:left w:val="single" w:sz="8" w:space="0" w:color="941100" w:themeColor="accent6"/>
          <w:bottom w:val="single" w:sz="8" w:space="0" w:color="941100" w:themeColor="accent6"/>
          <w:right w:val="single" w:sz="8" w:space="0" w:color="941100" w:themeColor="accent6"/>
          <w:insideV w:val="single" w:sz="8" w:space="0" w:color="941100" w:themeColor="accent6"/>
        </w:tcBorders>
        <w:shd w:val="clear" w:color="auto" w:fill="FFAFA5" w:themeFill="accent6" w:themeFillTint="3F"/>
      </w:tcPr>
    </w:tblStylePr>
    <w:tblStylePr w:type="band2Horz">
      <w:tblPr/>
      <w:tcPr>
        <w:tcBorders>
          <w:top w:val="single" w:sz="8" w:space="0" w:color="941100" w:themeColor="accent6"/>
          <w:left w:val="single" w:sz="8" w:space="0" w:color="941100" w:themeColor="accent6"/>
          <w:bottom w:val="single" w:sz="8" w:space="0" w:color="941100" w:themeColor="accent6"/>
          <w:right w:val="single" w:sz="8" w:space="0" w:color="941100" w:themeColor="accent6"/>
          <w:insideV w:val="single" w:sz="8" w:space="0" w:color="941100"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5580AC" w:themeColor="accent1" w:themeTint="BF"/>
        <w:left w:val="single" w:sz="8" w:space="0" w:color="5580AC" w:themeColor="accent1" w:themeTint="BF"/>
        <w:bottom w:val="single" w:sz="8" w:space="0" w:color="5580AC" w:themeColor="accent1" w:themeTint="BF"/>
        <w:right w:val="single" w:sz="8" w:space="0" w:color="5580AC" w:themeColor="accent1" w:themeTint="BF"/>
        <w:insideH w:val="single" w:sz="8" w:space="0" w:color="5580AC" w:themeColor="accent1" w:themeTint="BF"/>
      </w:tblBorders>
    </w:tblPr>
    <w:tblStylePr w:type="firstRow">
      <w:pPr>
        <w:spacing w:before="0" w:after="0" w:line="240" w:lineRule="auto"/>
      </w:pPr>
      <w:rPr>
        <w:b/>
        <w:bCs/>
        <w:color w:val="FFFFFF" w:themeColor="background1"/>
      </w:rPr>
      <w:tblPr/>
      <w:tcPr>
        <w:tcBorders>
          <w:top w:val="single" w:sz="8" w:space="0" w:color="5580AC" w:themeColor="accent1" w:themeTint="BF"/>
          <w:left w:val="single" w:sz="8" w:space="0" w:color="5580AC" w:themeColor="accent1" w:themeTint="BF"/>
          <w:bottom w:val="single" w:sz="8" w:space="0" w:color="5580AC" w:themeColor="accent1" w:themeTint="BF"/>
          <w:right w:val="single" w:sz="8" w:space="0" w:color="5580AC" w:themeColor="accent1" w:themeTint="BF"/>
          <w:insideH w:val="nil"/>
          <w:insideV w:val="nil"/>
        </w:tcBorders>
        <w:shd w:val="clear" w:color="auto" w:fill="395775" w:themeFill="accent1"/>
      </w:tcPr>
    </w:tblStylePr>
    <w:tblStylePr w:type="lastRow">
      <w:pPr>
        <w:spacing w:before="0" w:after="0" w:line="240" w:lineRule="auto"/>
      </w:pPr>
      <w:rPr>
        <w:b/>
        <w:bCs/>
      </w:rPr>
      <w:tblPr/>
      <w:tcPr>
        <w:tcBorders>
          <w:top w:val="double" w:sz="6" w:space="0" w:color="5580AC" w:themeColor="accent1" w:themeTint="BF"/>
          <w:left w:val="single" w:sz="8" w:space="0" w:color="5580AC" w:themeColor="accent1" w:themeTint="BF"/>
          <w:bottom w:val="single" w:sz="8" w:space="0" w:color="5580AC" w:themeColor="accent1" w:themeTint="BF"/>
          <w:right w:val="single" w:sz="8" w:space="0" w:color="5580A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D5E3" w:themeFill="accent1" w:themeFillTint="3F"/>
      </w:tcPr>
    </w:tblStylePr>
    <w:tblStylePr w:type="band1Horz">
      <w:tblPr/>
      <w:tcPr>
        <w:tcBorders>
          <w:insideH w:val="nil"/>
          <w:insideV w:val="nil"/>
        </w:tcBorders>
        <w:shd w:val="clear" w:color="auto" w:fill="C6D5E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EC9F45" w:themeColor="accent2" w:themeTint="BF"/>
        <w:left w:val="single" w:sz="8" w:space="0" w:color="EC9F45" w:themeColor="accent2" w:themeTint="BF"/>
        <w:bottom w:val="single" w:sz="8" w:space="0" w:color="EC9F45" w:themeColor="accent2" w:themeTint="BF"/>
        <w:right w:val="single" w:sz="8" w:space="0" w:color="EC9F45" w:themeColor="accent2" w:themeTint="BF"/>
        <w:insideH w:val="single" w:sz="8" w:space="0" w:color="EC9F45" w:themeColor="accent2" w:themeTint="BF"/>
      </w:tblBorders>
    </w:tblPr>
    <w:tblStylePr w:type="firstRow">
      <w:pPr>
        <w:spacing w:before="0" w:after="0" w:line="240" w:lineRule="auto"/>
      </w:pPr>
      <w:rPr>
        <w:b/>
        <w:bCs/>
        <w:color w:val="FFFFFF" w:themeColor="background1"/>
      </w:rPr>
      <w:tblPr/>
      <w:tcPr>
        <w:tcBorders>
          <w:top w:val="single" w:sz="8" w:space="0" w:color="EC9F45" w:themeColor="accent2" w:themeTint="BF"/>
          <w:left w:val="single" w:sz="8" w:space="0" w:color="EC9F45" w:themeColor="accent2" w:themeTint="BF"/>
          <w:bottom w:val="single" w:sz="8" w:space="0" w:color="EC9F45" w:themeColor="accent2" w:themeTint="BF"/>
          <w:right w:val="single" w:sz="8" w:space="0" w:color="EC9F45" w:themeColor="accent2" w:themeTint="BF"/>
          <w:insideH w:val="nil"/>
          <w:insideV w:val="nil"/>
        </w:tcBorders>
        <w:shd w:val="clear" w:color="auto" w:fill="D77F16" w:themeFill="accent2"/>
      </w:tcPr>
    </w:tblStylePr>
    <w:tblStylePr w:type="lastRow">
      <w:pPr>
        <w:spacing w:before="0" w:after="0" w:line="240" w:lineRule="auto"/>
      </w:pPr>
      <w:rPr>
        <w:b/>
        <w:bCs/>
      </w:rPr>
      <w:tblPr/>
      <w:tcPr>
        <w:tcBorders>
          <w:top w:val="double" w:sz="6" w:space="0" w:color="EC9F45" w:themeColor="accent2" w:themeTint="BF"/>
          <w:left w:val="single" w:sz="8" w:space="0" w:color="EC9F45" w:themeColor="accent2" w:themeTint="BF"/>
          <w:bottom w:val="single" w:sz="8" w:space="0" w:color="EC9F45" w:themeColor="accent2" w:themeTint="BF"/>
          <w:right w:val="single" w:sz="8" w:space="0" w:color="EC9F4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DFC1" w:themeFill="accent2" w:themeFillTint="3F"/>
      </w:tcPr>
    </w:tblStylePr>
    <w:tblStylePr w:type="band1Horz">
      <w:tblPr/>
      <w:tcPr>
        <w:tcBorders>
          <w:insideH w:val="nil"/>
          <w:insideV w:val="nil"/>
        </w:tcBorders>
        <w:shd w:val="clear" w:color="auto" w:fill="F8DFC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959CA1" w:themeColor="accent3" w:themeTint="BF"/>
        <w:left w:val="single" w:sz="8" w:space="0" w:color="959CA1" w:themeColor="accent3" w:themeTint="BF"/>
        <w:bottom w:val="single" w:sz="8" w:space="0" w:color="959CA1" w:themeColor="accent3" w:themeTint="BF"/>
        <w:right w:val="single" w:sz="8" w:space="0" w:color="959CA1" w:themeColor="accent3" w:themeTint="BF"/>
        <w:insideH w:val="single" w:sz="8" w:space="0" w:color="959CA1" w:themeColor="accent3" w:themeTint="BF"/>
      </w:tblBorders>
    </w:tblPr>
    <w:tblStylePr w:type="firstRow">
      <w:pPr>
        <w:spacing w:before="0" w:after="0" w:line="240" w:lineRule="auto"/>
      </w:pPr>
      <w:rPr>
        <w:b/>
        <w:bCs/>
        <w:color w:val="FFFFFF" w:themeColor="background1"/>
      </w:rPr>
      <w:tblPr/>
      <w:tcPr>
        <w:tcBorders>
          <w:top w:val="single" w:sz="8" w:space="0" w:color="959CA1" w:themeColor="accent3" w:themeTint="BF"/>
          <w:left w:val="single" w:sz="8" w:space="0" w:color="959CA1" w:themeColor="accent3" w:themeTint="BF"/>
          <w:bottom w:val="single" w:sz="8" w:space="0" w:color="959CA1" w:themeColor="accent3" w:themeTint="BF"/>
          <w:right w:val="single" w:sz="8" w:space="0" w:color="959CA1" w:themeColor="accent3" w:themeTint="BF"/>
          <w:insideH w:val="nil"/>
          <w:insideV w:val="nil"/>
        </w:tcBorders>
        <w:shd w:val="clear" w:color="auto" w:fill="737B82" w:themeFill="accent3"/>
      </w:tcPr>
    </w:tblStylePr>
    <w:tblStylePr w:type="lastRow">
      <w:pPr>
        <w:spacing w:before="0" w:after="0" w:line="240" w:lineRule="auto"/>
      </w:pPr>
      <w:rPr>
        <w:b/>
        <w:bCs/>
      </w:rPr>
      <w:tblPr/>
      <w:tcPr>
        <w:tcBorders>
          <w:top w:val="double" w:sz="6" w:space="0" w:color="959CA1" w:themeColor="accent3" w:themeTint="BF"/>
          <w:left w:val="single" w:sz="8" w:space="0" w:color="959CA1" w:themeColor="accent3" w:themeTint="BF"/>
          <w:bottom w:val="single" w:sz="8" w:space="0" w:color="959CA1" w:themeColor="accent3" w:themeTint="BF"/>
          <w:right w:val="single" w:sz="8" w:space="0" w:color="959CA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DEE0" w:themeFill="accent3" w:themeFillTint="3F"/>
      </w:tcPr>
    </w:tblStylePr>
    <w:tblStylePr w:type="band1Horz">
      <w:tblPr/>
      <w:tcPr>
        <w:tcBorders>
          <w:insideH w:val="nil"/>
          <w:insideV w:val="nil"/>
        </w:tcBorders>
        <w:shd w:val="clear" w:color="auto" w:fill="DCDEE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C0C5C9" w:themeColor="accent4" w:themeTint="BF"/>
        <w:left w:val="single" w:sz="8" w:space="0" w:color="C0C5C9" w:themeColor="accent4" w:themeTint="BF"/>
        <w:bottom w:val="single" w:sz="8" w:space="0" w:color="C0C5C9" w:themeColor="accent4" w:themeTint="BF"/>
        <w:right w:val="single" w:sz="8" w:space="0" w:color="C0C5C9" w:themeColor="accent4" w:themeTint="BF"/>
        <w:insideH w:val="single" w:sz="8" w:space="0" w:color="C0C5C9" w:themeColor="accent4" w:themeTint="BF"/>
      </w:tblBorders>
    </w:tblPr>
    <w:tblStylePr w:type="firstRow">
      <w:pPr>
        <w:spacing w:before="0" w:after="0" w:line="240" w:lineRule="auto"/>
      </w:pPr>
      <w:rPr>
        <w:b/>
        <w:bCs/>
        <w:color w:val="FFFFFF" w:themeColor="background1"/>
      </w:rPr>
      <w:tblPr/>
      <w:tcPr>
        <w:tcBorders>
          <w:top w:val="single" w:sz="8" w:space="0" w:color="C0C5C9" w:themeColor="accent4" w:themeTint="BF"/>
          <w:left w:val="single" w:sz="8" w:space="0" w:color="C0C5C9" w:themeColor="accent4" w:themeTint="BF"/>
          <w:bottom w:val="single" w:sz="8" w:space="0" w:color="C0C5C9" w:themeColor="accent4" w:themeTint="BF"/>
          <w:right w:val="single" w:sz="8" w:space="0" w:color="C0C5C9" w:themeColor="accent4" w:themeTint="BF"/>
          <w:insideH w:val="nil"/>
          <w:insideV w:val="nil"/>
        </w:tcBorders>
        <w:shd w:val="clear" w:color="auto" w:fill="ACB3B8" w:themeFill="accent4"/>
      </w:tcPr>
    </w:tblStylePr>
    <w:tblStylePr w:type="lastRow">
      <w:pPr>
        <w:spacing w:before="0" w:after="0" w:line="240" w:lineRule="auto"/>
      </w:pPr>
      <w:rPr>
        <w:b/>
        <w:bCs/>
      </w:rPr>
      <w:tblPr/>
      <w:tcPr>
        <w:tcBorders>
          <w:top w:val="double" w:sz="6" w:space="0" w:color="C0C5C9" w:themeColor="accent4" w:themeTint="BF"/>
          <w:left w:val="single" w:sz="8" w:space="0" w:color="C0C5C9" w:themeColor="accent4" w:themeTint="BF"/>
          <w:bottom w:val="single" w:sz="8" w:space="0" w:color="C0C5C9" w:themeColor="accent4" w:themeTint="BF"/>
          <w:right w:val="single" w:sz="8" w:space="0" w:color="C0C5C9" w:themeColor="accent4" w:themeTint="BF"/>
          <w:insideH w:val="nil"/>
          <w:insideV w:val="nil"/>
        </w:tcBorders>
      </w:tcPr>
    </w:tblStylePr>
    <w:tblStylePr w:type="firstCol">
      <w:rPr>
        <w:b/>
        <w:bCs/>
      </w:rPr>
    </w:tblStylePr>
    <w:tblStylePr w:type="lastCol">
      <w:rPr>
        <w:b/>
        <w:bCs/>
      </w:rPr>
    </w:tblStylePr>
    <w:tblStylePr w:type="band1Vert">
      <w:tblPr/>
      <w:tcPr>
        <w:shd w:val="clear" w:color="auto" w:fill="EAECED" w:themeFill="accent4" w:themeFillTint="3F"/>
      </w:tcPr>
    </w:tblStylePr>
    <w:tblStylePr w:type="band1Horz">
      <w:tblPr/>
      <w:tcPr>
        <w:tcBorders>
          <w:insideH w:val="nil"/>
          <w:insideV w:val="nil"/>
        </w:tcBorders>
        <w:shd w:val="clear" w:color="auto" w:fill="EAEC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BFCA6B" w:themeColor="accent5" w:themeTint="BF"/>
        <w:left w:val="single" w:sz="8" w:space="0" w:color="BFCA6B" w:themeColor="accent5" w:themeTint="BF"/>
        <w:bottom w:val="single" w:sz="8" w:space="0" w:color="BFCA6B" w:themeColor="accent5" w:themeTint="BF"/>
        <w:right w:val="single" w:sz="8" w:space="0" w:color="BFCA6B" w:themeColor="accent5" w:themeTint="BF"/>
        <w:insideH w:val="single" w:sz="8" w:space="0" w:color="BFCA6B" w:themeColor="accent5" w:themeTint="BF"/>
      </w:tblBorders>
    </w:tblPr>
    <w:tblStylePr w:type="firstRow">
      <w:pPr>
        <w:spacing w:before="0" w:after="0" w:line="240" w:lineRule="auto"/>
      </w:pPr>
      <w:rPr>
        <w:b/>
        <w:bCs/>
        <w:color w:val="FFFFFF" w:themeColor="background1"/>
      </w:rPr>
      <w:tblPr/>
      <w:tcPr>
        <w:tcBorders>
          <w:top w:val="single" w:sz="8" w:space="0" w:color="BFCA6B" w:themeColor="accent5" w:themeTint="BF"/>
          <w:left w:val="single" w:sz="8" w:space="0" w:color="BFCA6B" w:themeColor="accent5" w:themeTint="BF"/>
          <w:bottom w:val="single" w:sz="8" w:space="0" w:color="BFCA6B" w:themeColor="accent5" w:themeTint="BF"/>
          <w:right w:val="single" w:sz="8" w:space="0" w:color="BFCA6B" w:themeColor="accent5" w:themeTint="BF"/>
          <w:insideH w:val="nil"/>
          <w:insideV w:val="nil"/>
        </w:tcBorders>
        <w:shd w:val="clear" w:color="auto" w:fill="A6B340" w:themeFill="accent5"/>
      </w:tcPr>
    </w:tblStylePr>
    <w:tblStylePr w:type="lastRow">
      <w:pPr>
        <w:spacing w:before="0" w:after="0" w:line="240" w:lineRule="auto"/>
      </w:pPr>
      <w:rPr>
        <w:b/>
        <w:bCs/>
      </w:rPr>
      <w:tblPr/>
      <w:tcPr>
        <w:tcBorders>
          <w:top w:val="double" w:sz="6" w:space="0" w:color="BFCA6B" w:themeColor="accent5" w:themeTint="BF"/>
          <w:left w:val="single" w:sz="8" w:space="0" w:color="BFCA6B" w:themeColor="accent5" w:themeTint="BF"/>
          <w:bottom w:val="single" w:sz="8" w:space="0" w:color="BFCA6B" w:themeColor="accent5" w:themeTint="BF"/>
          <w:right w:val="single" w:sz="8" w:space="0" w:color="BFCA6B"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CE" w:themeFill="accent5" w:themeFillTint="3F"/>
      </w:tcPr>
    </w:tblStylePr>
    <w:tblStylePr w:type="band1Horz">
      <w:tblPr/>
      <w:tcPr>
        <w:tcBorders>
          <w:insideH w:val="nil"/>
          <w:insideV w:val="nil"/>
        </w:tcBorders>
        <w:shd w:val="clear" w:color="auto" w:fill="EAEDC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EE1B00" w:themeColor="accent6" w:themeTint="BF"/>
        <w:left w:val="single" w:sz="8" w:space="0" w:color="EE1B00" w:themeColor="accent6" w:themeTint="BF"/>
        <w:bottom w:val="single" w:sz="8" w:space="0" w:color="EE1B00" w:themeColor="accent6" w:themeTint="BF"/>
        <w:right w:val="single" w:sz="8" w:space="0" w:color="EE1B00" w:themeColor="accent6" w:themeTint="BF"/>
        <w:insideH w:val="single" w:sz="8" w:space="0" w:color="EE1B00" w:themeColor="accent6" w:themeTint="BF"/>
      </w:tblBorders>
    </w:tblPr>
    <w:tblStylePr w:type="firstRow">
      <w:pPr>
        <w:spacing w:before="0" w:after="0" w:line="240" w:lineRule="auto"/>
      </w:pPr>
      <w:rPr>
        <w:b/>
        <w:bCs/>
        <w:color w:val="FFFFFF" w:themeColor="background1"/>
      </w:rPr>
      <w:tblPr/>
      <w:tcPr>
        <w:tcBorders>
          <w:top w:val="single" w:sz="8" w:space="0" w:color="EE1B00" w:themeColor="accent6" w:themeTint="BF"/>
          <w:left w:val="single" w:sz="8" w:space="0" w:color="EE1B00" w:themeColor="accent6" w:themeTint="BF"/>
          <w:bottom w:val="single" w:sz="8" w:space="0" w:color="EE1B00" w:themeColor="accent6" w:themeTint="BF"/>
          <w:right w:val="single" w:sz="8" w:space="0" w:color="EE1B00" w:themeColor="accent6" w:themeTint="BF"/>
          <w:insideH w:val="nil"/>
          <w:insideV w:val="nil"/>
        </w:tcBorders>
        <w:shd w:val="clear" w:color="auto" w:fill="941100" w:themeFill="accent6"/>
      </w:tcPr>
    </w:tblStylePr>
    <w:tblStylePr w:type="lastRow">
      <w:pPr>
        <w:spacing w:before="0" w:after="0" w:line="240" w:lineRule="auto"/>
      </w:pPr>
      <w:rPr>
        <w:b/>
        <w:bCs/>
      </w:rPr>
      <w:tblPr/>
      <w:tcPr>
        <w:tcBorders>
          <w:top w:val="double" w:sz="6" w:space="0" w:color="EE1B00" w:themeColor="accent6" w:themeTint="BF"/>
          <w:left w:val="single" w:sz="8" w:space="0" w:color="EE1B00" w:themeColor="accent6" w:themeTint="BF"/>
          <w:bottom w:val="single" w:sz="8" w:space="0" w:color="EE1B00" w:themeColor="accent6" w:themeTint="BF"/>
          <w:right w:val="single" w:sz="8" w:space="0" w:color="EE1B0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AFA5" w:themeFill="accent6" w:themeFillTint="3F"/>
      </w:tcPr>
    </w:tblStylePr>
    <w:tblStylePr w:type="band1Horz">
      <w:tblPr/>
      <w:tcPr>
        <w:tcBorders>
          <w:insideH w:val="nil"/>
          <w:insideV w:val="nil"/>
        </w:tcBorders>
        <w:shd w:val="clear" w:color="auto" w:fill="FFAFA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9577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95775" w:themeFill="accent1"/>
      </w:tcPr>
    </w:tblStylePr>
    <w:tblStylePr w:type="lastCol">
      <w:rPr>
        <w:b/>
        <w:bCs/>
        <w:color w:val="FFFFFF" w:themeColor="background1"/>
      </w:rPr>
      <w:tblPr/>
      <w:tcPr>
        <w:tcBorders>
          <w:left w:val="nil"/>
          <w:right w:val="nil"/>
          <w:insideH w:val="nil"/>
          <w:insideV w:val="nil"/>
        </w:tcBorders>
        <w:shd w:val="clear" w:color="auto" w:fill="39577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77F1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77F16" w:themeFill="accent2"/>
      </w:tcPr>
    </w:tblStylePr>
    <w:tblStylePr w:type="lastCol">
      <w:rPr>
        <w:b/>
        <w:bCs/>
        <w:color w:val="FFFFFF" w:themeColor="background1"/>
      </w:rPr>
      <w:tblPr/>
      <w:tcPr>
        <w:tcBorders>
          <w:left w:val="nil"/>
          <w:right w:val="nil"/>
          <w:insideH w:val="nil"/>
          <w:insideV w:val="nil"/>
        </w:tcBorders>
        <w:shd w:val="clear" w:color="auto" w:fill="D77F1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7B8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7B82" w:themeFill="accent3"/>
      </w:tcPr>
    </w:tblStylePr>
    <w:tblStylePr w:type="lastCol">
      <w:rPr>
        <w:b/>
        <w:bCs/>
        <w:color w:val="FFFFFF" w:themeColor="background1"/>
      </w:rPr>
      <w:tblPr/>
      <w:tcPr>
        <w:tcBorders>
          <w:left w:val="nil"/>
          <w:right w:val="nil"/>
          <w:insideH w:val="nil"/>
          <w:insideV w:val="nil"/>
        </w:tcBorders>
        <w:shd w:val="clear" w:color="auto" w:fill="737B8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CB3B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CB3B8" w:themeFill="accent4"/>
      </w:tcPr>
    </w:tblStylePr>
    <w:tblStylePr w:type="lastCol">
      <w:rPr>
        <w:b/>
        <w:bCs/>
        <w:color w:val="FFFFFF" w:themeColor="background1"/>
      </w:rPr>
      <w:tblPr/>
      <w:tcPr>
        <w:tcBorders>
          <w:left w:val="nil"/>
          <w:right w:val="nil"/>
          <w:insideH w:val="nil"/>
          <w:insideV w:val="nil"/>
        </w:tcBorders>
        <w:shd w:val="clear" w:color="auto" w:fill="ACB3B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6B34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6B340" w:themeFill="accent5"/>
      </w:tcPr>
    </w:tblStylePr>
    <w:tblStylePr w:type="lastCol">
      <w:rPr>
        <w:b/>
        <w:bCs/>
        <w:color w:val="FFFFFF" w:themeColor="background1"/>
      </w:rPr>
      <w:tblPr/>
      <w:tcPr>
        <w:tcBorders>
          <w:left w:val="nil"/>
          <w:right w:val="nil"/>
          <w:insideH w:val="nil"/>
          <w:insideV w:val="nil"/>
        </w:tcBorders>
        <w:shd w:val="clear" w:color="auto" w:fill="A6B34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11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1100" w:themeFill="accent6"/>
      </w:tcPr>
    </w:tblStylePr>
    <w:tblStylePr w:type="lastCol">
      <w:rPr>
        <w:b/>
        <w:bCs/>
        <w:color w:val="FFFFFF" w:themeColor="background1"/>
      </w:rPr>
      <w:tblPr/>
      <w:tcPr>
        <w:tcBorders>
          <w:left w:val="nil"/>
          <w:right w:val="nil"/>
          <w:insideH w:val="nil"/>
          <w:insideV w:val="nil"/>
        </w:tcBorders>
        <w:shd w:val="clear" w:color="auto" w:fill="9411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0C1B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395775" w:themeColor="accent1"/>
        <w:bottom w:val="single" w:sz="8" w:space="0" w:color="395775" w:themeColor="accent1"/>
      </w:tblBorders>
    </w:tblPr>
    <w:tblStylePr w:type="firstRow">
      <w:rPr>
        <w:rFonts w:asciiTheme="majorHAnsi" w:eastAsiaTheme="majorEastAsia" w:hAnsiTheme="majorHAnsi" w:cstheme="majorBidi"/>
      </w:rPr>
      <w:tblPr/>
      <w:tcPr>
        <w:tcBorders>
          <w:top w:val="nil"/>
          <w:bottom w:val="single" w:sz="8" w:space="0" w:color="395775" w:themeColor="accent1"/>
        </w:tcBorders>
      </w:tcPr>
    </w:tblStylePr>
    <w:tblStylePr w:type="lastRow">
      <w:rPr>
        <w:b/>
        <w:bCs/>
        <w:color w:val="C0C1BF" w:themeColor="text2"/>
      </w:rPr>
      <w:tblPr/>
      <w:tcPr>
        <w:tcBorders>
          <w:top w:val="single" w:sz="8" w:space="0" w:color="395775" w:themeColor="accent1"/>
          <w:bottom w:val="single" w:sz="8" w:space="0" w:color="395775" w:themeColor="accent1"/>
        </w:tcBorders>
      </w:tcPr>
    </w:tblStylePr>
    <w:tblStylePr w:type="firstCol">
      <w:rPr>
        <w:b/>
        <w:bCs/>
      </w:rPr>
    </w:tblStylePr>
    <w:tblStylePr w:type="lastCol">
      <w:rPr>
        <w:b/>
        <w:bCs/>
      </w:rPr>
      <w:tblPr/>
      <w:tcPr>
        <w:tcBorders>
          <w:top w:val="single" w:sz="8" w:space="0" w:color="395775" w:themeColor="accent1"/>
          <w:bottom w:val="single" w:sz="8" w:space="0" w:color="395775" w:themeColor="accent1"/>
        </w:tcBorders>
      </w:tcPr>
    </w:tblStylePr>
    <w:tblStylePr w:type="band1Vert">
      <w:tblPr/>
      <w:tcPr>
        <w:shd w:val="clear" w:color="auto" w:fill="C6D5E3" w:themeFill="accent1" w:themeFillTint="3F"/>
      </w:tcPr>
    </w:tblStylePr>
    <w:tblStylePr w:type="band1Horz">
      <w:tblPr/>
      <w:tcPr>
        <w:shd w:val="clear" w:color="auto" w:fill="C6D5E3"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D77F16" w:themeColor="accent2"/>
        <w:bottom w:val="single" w:sz="8" w:space="0" w:color="D77F16" w:themeColor="accent2"/>
      </w:tblBorders>
    </w:tblPr>
    <w:tblStylePr w:type="firstRow">
      <w:rPr>
        <w:rFonts w:asciiTheme="majorHAnsi" w:eastAsiaTheme="majorEastAsia" w:hAnsiTheme="majorHAnsi" w:cstheme="majorBidi"/>
      </w:rPr>
      <w:tblPr/>
      <w:tcPr>
        <w:tcBorders>
          <w:top w:val="nil"/>
          <w:bottom w:val="single" w:sz="8" w:space="0" w:color="D77F16" w:themeColor="accent2"/>
        </w:tcBorders>
      </w:tcPr>
    </w:tblStylePr>
    <w:tblStylePr w:type="lastRow">
      <w:rPr>
        <w:b/>
        <w:bCs/>
        <w:color w:val="C0C1BF" w:themeColor="text2"/>
      </w:rPr>
      <w:tblPr/>
      <w:tcPr>
        <w:tcBorders>
          <w:top w:val="single" w:sz="8" w:space="0" w:color="D77F16" w:themeColor="accent2"/>
          <w:bottom w:val="single" w:sz="8" w:space="0" w:color="D77F16" w:themeColor="accent2"/>
        </w:tcBorders>
      </w:tcPr>
    </w:tblStylePr>
    <w:tblStylePr w:type="firstCol">
      <w:rPr>
        <w:b/>
        <w:bCs/>
      </w:rPr>
    </w:tblStylePr>
    <w:tblStylePr w:type="lastCol">
      <w:rPr>
        <w:b/>
        <w:bCs/>
      </w:rPr>
      <w:tblPr/>
      <w:tcPr>
        <w:tcBorders>
          <w:top w:val="single" w:sz="8" w:space="0" w:color="D77F16" w:themeColor="accent2"/>
          <w:bottom w:val="single" w:sz="8" w:space="0" w:color="D77F16" w:themeColor="accent2"/>
        </w:tcBorders>
      </w:tcPr>
    </w:tblStylePr>
    <w:tblStylePr w:type="band1Vert">
      <w:tblPr/>
      <w:tcPr>
        <w:shd w:val="clear" w:color="auto" w:fill="F8DFC1" w:themeFill="accent2" w:themeFillTint="3F"/>
      </w:tcPr>
    </w:tblStylePr>
    <w:tblStylePr w:type="band1Horz">
      <w:tblPr/>
      <w:tcPr>
        <w:shd w:val="clear" w:color="auto" w:fill="F8DFC1"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737B82" w:themeColor="accent3"/>
        <w:bottom w:val="single" w:sz="8" w:space="0" w:color="737B82" w:themeColor="accent3"/>
      </w:tblBorders>
    </w:tblPr>
    <w:tblStylePr w:type="firstRow">
      <w:rPr>
        <w:rFonts w:asciiTheme="majorHAnsi" w:eastAsiaTheme="majorEastAsia" w:hAnsiTheme="majorHAnsi" w:cstheme="majorBidi"/>
      </w:rPr>
      <w:tblPr/>
      <w:tcPr>
        <w:tcBorders>
          <w:top w:val="nil"/>
          <w:bottom w:val="single" w:sz="8" w:space="0" w:color="737B82" w:themeColor="accent3"/>
        </w:tcBorders>
      </w:tcPr>
    </w:tblStylePr>
    <w:tblStylePr w:type="lastRow">
      <w:rPr>
        <w:b/>
        <w:bCs/>
        <w:color w:val="C0C1BF" w:themeColor="text2"/>
      </w:rPr>
      <w:tblPr/>
      <w:tcPr>
        <w:tcBorders>
          <w:top w:val="single" w:sz="8" w:space="0" w:color="737B82" w:themeColor="accent3"/>
          <w:bottom w:val="single" w:sz="8" w:space="0" w:color="737B82" w:themeColor="accent3"/>
        </w:tcBorders>
      </w:tcPr>
    </w:tblStylePr>
    <w:tblStylePr w:type="firstCol">
      <w:rPr>
        <w:b/>
        <w:bCs/>
      </w:rPr>
    </w:tblStylePr>
    <w:tblStylePr w:type="lastCol">
      <w:rPr>
        <w:b/>
        <w:bCs/>
      </w:rPr>
      <w:tblPr/>
      <w:tcPr>
        <w:tcBorders>
          <w:top w:val="single" w:sz="8" w:space="0" w:color="737B82" w:themeColor="accent3"/>
          <w:bottom w:val="single" w:sz="8" w:space="0" w:color="737B82" w:themeColor="accent3"/>
        </w:tcBorders>
      </w:tcPr>
    </w:tblStylePr>
    <w:tblStylePr w:type="band1Vert">
      <w:tblPr/>
      <w:tcPr>
        <w:shd w:val="clear" w:color="auto" w:fill="DCDEE0" w:themeFill="accent3" w:themeFillTint="3F"/>
      </w:tcPr>
    </w:tblStylePr>
    <w:tblStylePr w:type="band1Horz">
      <w:tblPr/>
      <w:tcPr>
        <w:shd w:val="clear" w:color="auto" w:fill="DCDEE0"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ACB3B8" w:themeColor="accent4"/>
        <w:bottom w:val="single" w:sz="8" w:space="0" w:color="ACB3B8" w:themeColor="accent4"/>
      </w:tblBorders>
    </w:tblPr>
    <w:tblStylePr w:type="firstRow">
      <w:rPr>
        <w:rFonts w:asciiTheme="majorHAnsi" w:eastAsiaTheme="majorEastAsia" w:hAnsiTheme="majorHAnsi" w:cstheme="majorBidi"/>
      </w:rPr>
      <w:tblPr/>
      <w:tcPr>
        <w:tcBorders>
          <w:top w:val="nil"/>
          <w:bottom w:val="single" w:sz="8" w:space="0" w:color="ACB3B8" w:themeColor="accent4"/>
        </w:tcBorders>
      </w:tcPr>
    </w:tblStylePr>
    <w:tblStylePr w:type="lastRow">
      <w:rPr>
        <w:b/>
        <w:bCs/>
        <w:color w:val="C0C1BF" w:themeColor="text2"/>
      </w:rPr>
      <w:tblPr/>
      <w:tcPr>
        <w:tcBorders>
          <w:top w:val="single" w:sz="8" w:space="0" w:color="ACB3B8" w:themeColor="accent4"/>
          <w:bottom w:val="single" w:sz="8" w:space="0" w:color="ACB3B8" w:themeColor="accent4"/>
        </w:tcBorders>
      </w:tcPr>
    </w:tblStylePr>
    <w:tblStylePr w:type="firstCol">
      <w:rPr>
        <w:b/>
        <w:bCs/>
      </w:rPr>
    </w:tblStylePr>
    <w:tblStylePr w:type="lastCol">
      <w:rPr>
        <w:b/>
        <w:bCs/>
      </w:rPr>
      <w:tblPr/>
      <w:tcPr>
        <w:tcBorders>
          <w:top w:val="single" w:sz="8" w:space="0" w:color="ACB3B8" w:themeColor="accent4"/>
          <w:bottom w:val="single" w:sz="8" w:space="0" w:color="ACB3B8" w:themeColor="accent4"/>
        </w:tcBorders>
      </w:tcPr>
    </w:tblStylePr>
    <w:tblStylePr w:type="band1Vert">
      <w:tblPr/>
      <w:tcPr>
        <w:shd w:val="clear" w:color="auto" w:fill="EAECED" w:themeFill="accent4" w:themeFillTint="3F"/>
      </w:tcPr>
    </w:tblStylePr>
    <w:tblStylePr w:type="band1Horz">
      <w:tblPr/>
      <w:tcPr>
        <w:shd w:val="clear" w:color="auto" w:fill="EAECED"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A6B340" w:themeColor="accent5"/>
        <w:bottom w:val="single" w:sz="8" w:space="0" w:color="A6B340" w:themeColor="accent5"/>
      </w:tblBorders>
    </w:tblPr>
    <w:tblStylePr w:type="firstRow">
      <w:rPr>
        <w:rFonts w:asciiTheme="majorHAnsi" w:eastAsiaTheme="majorEastAsia" w:hAnsiTheme="majorHAnsi" w:cstheme="majorBidi"/>
      </w:rPr>
      <w:tblPr/>
      <w:tcPr>
        <w:tcBorders>
          <w:top w:val="nil"/>
          <w:bottom w:val="single" w:sz="8" w:space="0" w:color="A6B340" w:themeColor="accent5"/>
        </w:tcBorders>
      </w:tcPr>
    </w:tblStylePr>
    <w:tblStylePr w:type="lastRow">
      <w:rPr>
        <w:b/>
        <w:bCs/>
        <w:color w:val="C0C1BF" w:themeColor="text2"/>
      </w:rPr>
      <w:tblPr/>
      <w:tcPr>
        <w:tcBorders>
          <w:top w:val="single" w:sz="8" w:space="0" w:color="A6B340" w:themeColor="accent5"/>
          <w:bottom w:val="single" w:sz="8" w:space="0" w:color="A6B340" w:themeColor="accent5"/>
        </w:tcBorders>
      </w:tcPr>
    </w:tblStylePr>
    <w:tblStylePr w:type="firstCol">
      <w:rPr>
        <w:b/>
        <w:bCs/>
      </w:rPr>
    </w:tblStylePr>
    <w:tblStylePr w:type="lastCol">
      <w:rPr>
        <w:b/>
        <w:bCs/>
      </w:rPr>
      <w:tblPr/>
      <w:tcPr>
        <w:tcBorders>
          <w:top w:val="single" w:sz="8" w:space="0" w:color="A6B340" w:themeColor="accent5"/>
          <w:bottom w:val="single" w:sz="8" w:space="0" w:color="A6B340" w:themeColor="accent5"/>
        </w:tcBorders>
      </w:tcPr>
    </w:tblStylePr>
    <w:tblStylePr w:type="band1Vert">
      <w:tblPr/>
      <w:tcPr>
        <w:shd w:val="clear" w:color="auto" w:fill="EAEDCE" w:themeFill="accent5" w:themeFillTint="3F"/>
      </w:tcPr>
    </w:tblStylePr>
    <w:tblStylePr w:type="band1Horz">
      <w:tblPr/>
      <w:tcPr>
        <w:shd w:val="clear" w:color="auto" w:fill="EAEDCE"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941100" w:themeColor="accent6"/>
        <w:bottom w:val="single" w:sz="8" w:space="0" w:color="941100" w:themeColor="accent6"/>
      </w:tblBorders>
    </w:tblPr>
    <w:tblStylePr w:type="firstRow">
      <w:rPr>
        <w:rFonts w:asciiTheme="majorHAnsi" w:eastAsiaTheme="majorEastAsia" w:hAnsiTheme="majorHAnsi" w:cstheme="majorBidi"/>
      </w:rPr>
      <w:tblPr/>
      <w:tcPr>
        <w:tcBorders>
          <w:top w:val="nil"/>
          <w:bottom w:val="single" w:sz="8" w:space="0" w:color="941100" w:themeColor="accent6"/>
        </w:tcBorders>
      </w:tcPr>
    </w:tblStylePr>
    <w:tblStylePr w:type="lastRow">
      <w:rPr>
        <w:b/>
        <w:bCs/>
        <w:color w:val="C0C1BF" w:themeColor="text2"/>
      </w:rPr>
      <w:tblPr/>
      <w:tcPr>
        <w:tcBorders>
          <w:top w:val="single" w:sz="8" w:space="0" w:color="941100" w:themeColor="accent6"/>
          <w:bottom w:val="single" w:sz="8" w:space="0" w:color="941100" w:themeColor="accent6"/>
        </w:tcBorders>
      </w:tcPr>
    </w:tblStylePr>
    <w:tblStylePr w:type="firstCol">
      <w:rPr>
        <w:b/>
        <w:bCs/>
      </w:rPr>
    </w:tblStylePr>
    <w:tblStylePr w:type="lastCol">
      <w:rPr>
        <w:b/>
        <w:bCs/>
      </w:rPr>
      <w:tblPr/>
      <w:tcPr>
        <w:tcBorders>
          <w:top w:val="single" w:sz="8" w:space="0" w:color="941100" w:themeColor="accent6"/>
          <w:bottom w:val="single" w:sz="8" w:space="0" w:color="941100" w:themeColor="accent6"/>
        </w:tcBorders>
      </w:tcPr>
    </w:tblStylePr>
    <w:tblStylePr w:type="band1Vert">
      <w:tblPr/>
      <w:tcPr>
        <w:shd w:val="clear" w:color="auto" w:fill="FFAFA5" w:themeFill="accent6" w:themeFillTint="3F"/>
      </w:tcPr>
    </w:tblStylePr>
    <w:tblStylePr w:type="band1Horz">
      <w:tblPr/>
      <w:tcPr>
        <w:shd w:val="clear" w:color="auto" w:fill="FFAFA5"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95775" w:themeColor="accent1"/>
        <w:left w:val="single" w:sz="8" w:space="0" w:color="395775" w:themeColor="accent1"/>
        <w:bottom w:val="single" w:sz="8" w:space="0" w:color="395775" w:themeColor="accent1"/>
        <w:right w:val="single" w:sz="8" w:space="0" w:color="395775" w:themeColor="accent1"/>
      </w:tblBorders>
    </w:tblPr>
    <w:tblStylePr w:type="firstRow">
      <w:rPr>
        <w:sz w:val="24"/>
        <w:szCs w:val="24"/>
      </w:rPr>
      <w:tblPr/>
      <w:tcPr>
        <w:tcBorders>
          <w:top w:val="nil"/>
          <w:left w:val="nil"/>
          <w:bottom w:val="single" w:sz="24" w:space="0" w:color="395775" w:themeColor="accent1"/>
          <w:right w:val="nil"/>
          <w:insideH w:val="nil"/>
          <w:insideV w:val="nil"/>
        </w:tcBorders>
        <w:shd w:val="clear" w:color="auto" w:fill="FFFFFF" w:themeFill="background1"/>
      </w:tcPr>
    </w:tblStylePr>
    <w:tblStylePr w:type="lastRow">
      <w:tblPr/>
      <w:tcPr>
        <w:tcBorders>
          <w:top w:val="single" w:sz="8" w:space="0" w:color="39577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95775" w:themeColor="accent1"/>
          <w:insideH w:val="nil"/>
          <w:insideV w:val="nil"/>
        </w:tcBorders>
        <w:shd w:val="clear" w:color="auto" w:fill="FFFFFF" w:themeFill="background1"/>
      </w:tcPr>
    </w:tblStylePr>
    <w:tblStylePr w:type="lastCol">
      <w:tblPr/>
      <w:tcPr>
        <w:tcBorders>
          <w:top w:val="nil"/>
          <w:left w:val="single" w:sz="8" w:space="0" w:color="39577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D5E3" w:themeFill="accent1" w:themeFillTint="3F"/>
      </w:tcPr>
    </w:tblStylePr>
    <w:tblStylePr w:type="band1Horz">
      <w:tblPr/>
      <w:tcPr>
        <w:tcBorders>
          <w:top w:val="nil"/>
          <w:bottom w:val="nil"/>
          <w:insideH w:val="nil"/>
          <w:insideV w:val="nil"/>
        </w:tcBorders>
        <w:shd w:val="clear" w:color="auto" w:fill="C6D5E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77F16" w:themeColor="accent2"/>
        <w:left w:val="single" w:sz="8" w:space="0" w:color="D77F16" w:themeColor="accent2"/>
        <w:bottom w:val="single" w:sz="8" w:space="0" w:color="D77F16" w:themeColor="accent2"/>
        <w:right w:val="single" w:sz="8" w:space="0" w:color="D77F16" w:themeColor="accent2"/>
      </w:tblBorders>
    </w:tblPr>
    <w:tblStylePr w:type="firstRow">
      <w:rPr>
        <w:sz w:val="24"/>
        <w:szCs w:val="24"/>
      </w:rPr>
      <w:tblPr/>
      <w:tcPr>
        <w:tcBorders>
          <w:top w:val="nil"/>
          <w:left w:val="nil"/>
          <w:bottom w:val="single" w:sz="24" w:space="0" w:color="D77F16" w:themeColor="accent2"/>
          <w:right w:val="nil"/>
          <w:insideH w:val="nil"/>
          <w:insideV w:val="nil"/>
        </w:tcBorders>
        <w:shd w:val="clear" w:color="auto" w:fill="FFFFFF" w:themeFill="background1"/>
      </w:tcPr>
    </w:tblStylePr>
    <w:tblStylePr w:type="lastRow">
      <w:tblPr/>
      <w:tcPr>
        <w:tcBorders>
          <w:top w:val="single" w:sz="8" w:space="0" w:color="D77F1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77F16" w:themeColor="accent2"/>
          <w:insideH w:val="nil"/>
          <w:insideV w:val="nil"/>
        </w:tcBorders>
        <w:shd w:val="clear" w:color="auto" w:fill="FFFFFF" w:themeFill="background1"/>
      </w:tcPr>
    </w:tblStylePr>
    <w:tblStylePr w:type="lastCol">
      <w:tblPr/>
      <w:tcPr>
        <w:tcBorders>
          <w:top w:val="nil"/>
          <w:left w:val="single" w:sz="8" w:space="0" w:color="D77F1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FC1" w:themeFill="accent2" w:themeFillTint="3F"/>
      </w:tcPr>
    </w:tblStylePr>
    <w:tblStylePr w:type="band1Horz">
      <w:tblPr/>
      <w:tcPr>
        <w:tcBorders>
          <w:top w:val="nil"/>
          <w:bottom w:val="nil"/>
          <w:insideH w:val="nil"/>
          <w:insideV w:val="nil"/>
        </w:tcBorders>
        <w:shd w:val="clear" w:color="auto" w:fill="F8DFC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7B82" w:themeColor="accent3"/>
        <w:left w:val="single" w:sz="8" w:space="0" w:color="737B82" w:themeColor="accent3"/>
        <w:bottom w:val="single" w:sz="8" w:space="0" w:color="737B82" w:themeColor="accent3"/>
        <w:right w:val="single" w:sz="8" w:space="0" w:color="737B82" w:themeColor="accent3"/>
      </w:tblBorders>
    </w:tblPr>
    <w:tblStylePr w:type="firstRow">
      <w:rPr>
        <w:sz w:val="24"/>
        <w:szCs w:val="24"/>
      </w:rPr>
      <w:tblPr/>
      <w:tcPr>
        <w:tcBorders>
          <w:top w:val="nil"/>
          <w:left w:val="nil"/>
          <w:bottom w:val="single" w:sz="24" w:space="0" w:color="737B82" w:themeColor="accent3"/>
          <w:right w:val="nil"/>
          <w:insideH w:val="nil"/>
          <w:insideV w:val="nil"/>
        </w:tcBorders>
        <w:shd w:val="clear" w:color="auto" w:fill="FFFFFF" w:themeFill="background1"/>
      </w:tcPr>
    </w:tblStylePr>
    <w:tblStylePr w:type="lastRow">
      <w:tblPr/>
      <w:tcPr>
        <w:tcBorders>
          <w:top w:val="single" w:sz="8" w:space="0" w:color="737B8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7B82" w:themeColor="accent3"/>
          <w:insideH w:val="nil"/>
          <w:insideV w:val="nil"/>
        </w:tcBorders>
        <w:shd w:val="clear" w:color="auto" w:fill="FFFFFF" w:themeFill="background1"/>
      </w:tcPr>
    </w:tblStylePr>
    <w:tblStylePr w:type="lastCol">
      <w:tblPr/>
      <w:tcPr>
        <w:tcBorders>
          <w:top w:val="nil"/>
          <w:left w:val="single" w:sz="8" w:space="0" w:color="737B8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EE0" w:themeFill="accent3" w:themeFillTint="3F"/>
      </w:tcPr>
    </w:tblStylePr>
    <w:tblStylePr w:type="band1Horz">
      <w:tblPr/>
      <w:tcPr>
        <w:tcBorders>
          <w:top w:val="nil"/>
          <w:bottom w:val="nil"/>
          <w:insideH w:val="nil"/>
          <w:insideV w:val="nil"/>
        </w:tcBorders>
        <w:shd w:val="clear" w:color="auto" w:fill="DCDEE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CB3B8" w:themeColor="accent4"/>
        <w:left w:val="single" w:sz="8" w:space="0" w:color="ACB3B8" w:themeColor="accent4"/>
        <w:bottom w:val="single" w:sz="8" w:space="0" w:color="ACB3B8" w:themeColor="accent4"/>
        <w:right w:val="single" w:sz="8" w:space="0" w:color="ACB3B8" w:themeColor="accent4"/>
      </w:tblBorders>
    </w:tblPr>
    <w:tblStylePr w:type="firstRow">
      <w:rPr>
        <w:sz w:val="24"/>
        <w:szCs w:val="24"/>
      </w:rPr>
      <w:tblPr/>
      <w:tcPr>
        <w:tcBorders>
          <w:top w:val="nil"/>
          <w:left w:val="nil"/>
          <w:bottom w:val="single" w:sz="24" w:space="0" w:color="ACB3B8" w:themeColor="accent4"/>
          <w:right w:val="nil"/>
          <w:insideH w:val="nil"/>
          <w:insideV w:val="nil"/>
        </w:tcBorders>
        <w:shd w:val="clear" w:color="auto" w:fill="FFFFFF" w:themeFill="background1"/>
      </w:tcPr>
    </w:tblStylePr>
    <w:tblStylePr w:type="lastRow">
      <w:tblPr/>
      <w:tcPr>
        <w:tcBorders>
          <w:top w:val="single" w:sz="8" w:space="0" w:color="ACB3B8"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CB3B8" w:themeColor="accent4"/>
          <w:insideH w:val="nil"/>
          <w:insideV w:val="nil"/>
        </w:tcBorders>
        <w:shd w:val="clear" w:color="auto" w:fill="FFFFFF" w:themeFill="background1"/>
      </w:tcPr>
    </w:tblStylePr>
    <w:tblStylePr w:type="lastCol">
      <w:tblPr/>
      <w:tcPr>
        <w:tcBorders>
          <w:top w:val="nil"/>
          <w:left w:val="single" w:sz="8" w:space="0" w:color="ACB3B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CED" w:themeFill="accent4" w:themeFillTint="3F"/>
      </w:tcPr>
    </w:tblStylePr>
    <w:tblStylePr w:type="band1Horz">
      <w:tblPr/>
      <w:tcPr>
        <w:tcBorders>
          <w:top w:val="nil"/>
          <w:bottom w:val="nil"/>
          <w:insideH w:val="nil"/>
          <w:insideV w:val="nil"/>
        </w:tcBorders>
        <w:shd w:val="clear" w:color="auto" w:fill="EAEC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6B340" w:themeColor="accent5"/>
        <w:left w:val="single" w:sz="8" w:space="0" w:color="A6B340" w:themeColor="accent5"/>
        <w:bottom w:val="single" w:sz="8" w:space="0" w:color="A6B340" w:themeColor="accent5"/>
        <w:right w:val="single" w:sz="8" w:space="0" w:color="A6B340" w:themeColor="accent5"/>
      </w:tblBorders>
    </w:tblPr>
    <w:tblStylePr w:type="firstRow">
      <w:rPr>
        <w:sz w:val="24"/>
        <w:szCs w:val="24"/>
      </w:rPr>
      <w:tblPr/>
      <w:tcPr>
        <w:tcBorders>
          <w:top w:val="nil"/>
          <w:left w:val="nil"/>
          <w:bottom w:val="single" w:sz="24" w:space="0" w:color="A6B340" w:themeColor="accent5"/>
          <w:right w:val="nil"/>
          <w:insideH w:val="nil"/>
          <w:insideV w:val="nil"/>
        </w:tcBorders>
        <w:shd w:val="clear" w:color="auto" w:fill="FFFFFF" w:themeFill="background1"/>
      </w:tcPr>
    </w:tblStylePr>
    <w:tblStylePr w:type="lastRow">
      <w:tblPr/>
      <w:tcPr>
        <w:tcBorders>
          <w:top w:val="single" w:sz="8" w:space="0" w:color="A6B34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6B340" w:themeColor="accent5"/>
          <w:insideH w:val="nil"/>
          <w:insideV w:val="nil"/>
        </w:tcBorders>
        <w:shd w:val="clear" w:color="auto" w:fill="FFFFFF" w:themeFill="background1"/>
      </w:tcPr>
    </w:tblStylePr>
    <w:tblStylePr w:type="lastCol">
      <w:tblPr/>
      <w:tcPr>
        <w:tcBorders>
          <w:top w:val="nil"/>
          <w:left w:val="single" w:sz="8" w:space="0" w:color="A6B34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DCE" w:themeFill="accent5" w:themeFillTint="3F"/>
      </w:tcPr>
    </w:tblStylePr>
    <w:tblStylePr w:type="band1Horz">
      <w:tblPr/>
      <w:tcPr>
        <w:tcBorders>
          <w:top w:val="nil"/>
          <w:bottom w:val="nil"/>
          <w:insideH w:val="nil"/>
          <w:insideV w:val="nil"/>
        </w:tcBorders>
        <w:shd w:val="clear" w:color="auto" w:fill="EAEDC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1100" w:themeColor="accent6"/>
        <w:left w:val="single" w:sz="8" w:space="0" w:color="941100" w:themeColor="accent6"/>
        <w:bottom w:val="single" w:sz="8" w:space="0" w:color="941100" w:themeColor="accent6"/>
        <w:right w:val="single" w:sz="8" w:space="0" w:color="941100" w:themeColor="accent6"/>
      </w:tblBorders>
    </w:tblPr>
    <w:tblStylePr w:type="firstRow">
      <w:rPr>
        <w:sz w:val="24"/>
        <w:szCs w:val="24"/>
      </w:rPr>
      <w:tblPr/>
      <w:tcPr>
        <w:tcBorders>
          <w:top w:val="nil"/>
          <w:left w:val="nil"/>
          <w:bottom w:val="single" w:sz="24" w:space="0" w:color="941100" w:themeColor="accent6"/>
          <w:right w:val="nil"/>
          <w:insideH w:val="nil"/>
          <w:insideV w:val="nil"/>
        </w:tcBorders>
        <w:shd w:val="clear" w:color="auto" w:fill="FFFFFF" w:themeFill="background1"/>
      </w:tcPr>
    </w:tblStylePr>
    <w:tblStylePr w:type="lastRow">
      <w:tblPr/>
      <w:tcPr>
        <w:tcBorders>
          <w:top w:val="single" w:sz="8" w:space="0" w:color="94110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1100" w:themeColor="accent6"/>
          <w:insideH w:val="nil"/>
          <w:insideV w:val="nil"/>
        </w:tcBorders>
        <w:shd w:val="clear" w:color="auto" w:fill="FFFFFF" w:themeFill="background1"/>
      </w:tcPr>
    </w:tblStylePr>
    <w:tblStylePr w:type="lastCol">
      <w:tblPr/>
      <w:tcPr>
        <w:tcBorders>
          <w:top w:val="nil"/>
          <w:left w:val="single" w:sz="8" w:space="0" w:color="9411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FA5" w:themeFill="accent6" w:themeFillTint="3F"/>
      </w:tcPr>
    </w:tblStylePr>
    <w:tblStylePr w:type="band1Horz">
      <w:tblPr/>
      <w:tcPr>
        <w:tcBorders>
          <w:top w:val="nil"/>
          <w:bottom w:val="nil"/>
          <w:insideH w:val="nil"/>
          <w:insideV w:val="nil"/>
        </w:tcBorders>
        <w:shd w:val="clear" w:color="auto" w:fill="FFAFA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5580AC" w:themeColor="accent1" w:themeTint="BF"/>
        <w:left w:val="single" w:sz="8" w:space="0" w:color="5580AC" w:themeColor="accent1" w:themeTint="BF"/>
        <w:bottom w:val="single" w:sz="8" w:space="0" w:color="5580AC" w:themeColor="accent1" w:themeTint="BF"/>
        <w:right w:val="single" w:sz="8" w:space="0" w:color="5580AC" w:themeColor="accent1" w:themeTint="BF"/>
        <w:insideH w:val="single" w:sz="8" w:space="0" w:color="5580AC" w:themeColor="accent1" w:themeTint="BF"/>
        <w:insideV w:val="single" w:sz="8" w:space="0" w:color="5580AC" w:themeColor="accent1" w:themeTint="BF"/>
      </w:tblBorders>
    </w:tblPr>
    <w:tcPr>
      <w:shd w:val="clear" w:color="auto" w:fill="C6D5E3" w:themeFill="accent1" w:themeFillTint="3F"/>
    </w:tcPr>
    <w:tblStylePr w:type="firstRow">
      <w:rPr>
        <w:b/>
        <w:bCs/>
      </w:rPr>
    </w:tblStylePr>
    <w:tblStylePr w:type="lastRow">
      <w:rPr>
        <w:b/>
        <w:bCs/>
      </w:rPr>
      <w:tblPr/>
      <w:tcPr>
        <w:tcBorders>
          <w:top w:val="single" w:sz="18" w:space="0" w:color="5580AC" w:themeColor="accent1" w:themeTint="BF"/>
        </w:tcBorders>
      </w:tcPr>
    </w:tblStylePr>
    <w:tblStylePr w:type="firstCol">
      <w:rPr>
        <w:b/>
        <w:bCs/>
      </w:rPr>
    </w:tblStylePr>
    <w:tblStylePr w:type="lastCol">
      <w:rPr>
        <w:b/>
        <w:bCs/>
      </w:rPr>
    </w:tblStylePr>
    <w:tblStylePr w:type="band1Vert">
      <w:tblPr/>
      <w:tcPr>
        <w:shd w:val="clear" w:color="auto" w:fill="8EABC8" w:themeFill="accent1" w:themeFillTint="7F"/>
      </w:tcPr>
    </w:tblStylePr>
    <w:tblStylePr w:type="band1Horz">
      <w:tblPr/>
      <w:tcPr>
        <w:shd w:val="clear" w:color="auto" w:fill="8EABC8"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EC9F45" w:themeColor="accent2" w:themeTint="BF"/>
        <w:left w:val="single" w:sz="8" w:space="0" w:color="EC9F45" w:themeColor="accent2" w:themeTint="BF"/>
        <w:bottom w:val="single" w:sz="8" w:space="0" w:color="EC9F45" w:themeColor="accent2" w:themeTint="BF"/>
        <w:right w:val="single" w:sz="8" w:space="0" w:color="EC9F45" w:themeColor="accent2" w:themeTint="BF"/>
        <w:insideH w:val="single" w:sz="8" w:space="0" w:color="EC9F45" w:themeColor="accent2" w:themeTint="BF"/>
        <w:insideV w:val="single" w:sz="8" w:space="0" w:color="EC9F45" w:themeColor="accent2" w:themeTint="BF"/>
      </w:tblBorders>
    </w:tblPr>
    <w:tcPr>
      <w:shd w:val="clear" w:color="auto" w:fill="F8DFC1" w:themeFill="accent2" w:themeFillTint="3F"/>
    </w:tcPr>
    <w:tblStylePr w:type="firstRow">
      <w:rPr>
        <w:b/>
        <w:bCs/>
      </w:rPr>
    </w:tblStylePr>
    <w:tblStylePr w:type="lastRow">
      <w:rPr>
        <w:b/>
        <w:bCs/>
      </w:rPr>
      <w:tblPr/>
      <w:tcPr>
        <w:tcBorders>
          <w:top w:val="single" w:sz="18" w:space="0" w:color="EC9F45" w:themeColor="accent2" w:themeTint="BF"/>
        </w:tcBorders>
      </w:tcPr>
    </w:tblStylePr>
    <w:tblStylePr w:type="firstCol">
      <w:rPr>
        <w:b/>
        <w:bCs/>
      </w:rPr>
    </w:tblStylePr>
    <w:tblStylePr w:type="lastCol">
      <w:rPr>
        <w:b/>
        <w:bCs/>
      </w:rPr>
    </w:tblStylePr>
    <w:tblStylePr w:type="band1Vert">
      <w:tblPr/>
      <w:tcPr>
        <w:shd w:val="clear" w:color="auto" w:fill="F2BF83" w:themeFill="accent2" w:themeFillTint="7F"/>
      </w:tcPr>
    </w:tblStylePr>
    <w:tblStylePr w:type="band1Horz">
      <w:tblPr/>
      <w:tcPr>
        <w:shd w:val="clear" w:color="auto" w:fill="F2BF83"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959CA1" w:themeColor="accent3" w:themeTint="BF"/>
        <w:left w:val="single" w:sz="8" w:space="0" w:color="959CA1" w:themeColor="accent3" w:themeTint="BF"/>
        <w:bottom w:val="single" w:sz="8" w:space="0" w:color="959CA1" w:themeColor="accent3" w:themeTint="BF"/>
        <w:right w:val="single" w:sz="8" w:space="0" w:color="959CA1" w:themeColor="accent3" w:themeTint="BF"/>
        <w:insideH w:val="single" w:sz="8" w:space="0" w:color="959CA1" w:themeColor="accent3" w:themeTint="BF"/>
        <w:insideV w:val="single" w:sz="8" w:space="0" w:color="959CA1" w:themeColor="accent3" w:themeTint="BF"/>
      </w:tblBorders>
    </w:tblPr>
    <w:tcPr>
      <w:shd w:val="clear" w:color="auto" w:fill="DCDEE0" w:themeFill="accent3" w:themeFillTint="3F"/>
    </w:tcPr>
    <w:tblStylePr w:type="firstRow">
      <w:rPr>
        <w:b/>
        <w:bCs/>
      </w:rPr>
    </w:tblStylePr>
    <w:tblStylePr w:type="lastRow">
      <w:rPr>
        <w:b/>
        <w:bCs/>
      </w:rPr>
      <w:tblPr/>
      <w:tcPr>
        <w:tcBorders>
          <w:top w:val="single" w:sz="18" w:space="0" w:color="959CA1" w:themeColor="accent3" w:themeTint="BF"/>
        </w:tcBorders>
      </w:tcPr>
    </w:tblStylePr>
    <w:tblStylePr w:type="firstCol">
      <w:rPr>
        <w:b/>
        <w:bCs/>
      </w:rPr>
    </w:tblStylePr>
    <w:tblStylePr w:type="lastCol">
      <w:rPr>
        <w:b/>
        <w:bCs/>
      </w:rPr>
    </w:tblStylePr>
    <w:tblStylePr w:type="band1Vert">
      <w:tblPr/>
      <w:tcPr>
        <w:shd w:val="clear" w:color="auto" w:fill="B8BDC1" w:themeFill="accent3" w:themeFillTint="7F"/>
      </w:tcPr>
    </w:tblStylePr>
    <w:tblStylePr w:type="band1Horz">
      <w:tblPr/>
      <w:tcPr>
        <w:shd w:val="clear" w:color="auto" w:fill="B8BDC1"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C0C5C9" w:themeColor="accent4" w:themeTint="BF"/>
        <w:left w:val="single" w:sz="8" w:space="0" w:color="C0C5C9" w:themeColor="accent4" w:themeTint="BF"/>
        <w:bottom w:val="single" w:sz="8" w:space="0" w:color="C0C5C9" w:themeColor="accent4" w:themeTint="BF"/>
        <w:right w:val="single" w:sz="8" w:space="0" w:color="C0C5C9" w:themeColor="accent4" w:themeTint="BF"/>
        <w:insideH w:val="single" w:sz="8" w:space="0" w:color="C0C5C9" w:themeColor="accent4" w:themeTint="BF"/>
        <w:insideV w:val="single" w:sz="8" w:space="0" w:color="C0C5C9" w:themeColor="accent4" w:themeTint="BF"/>
      </w:tblBorders>
    </w:tblPr>
    <w:tcPr>
      <w:shd w:val="clear" w:color="auto" w:fill="EAECED" w:themeFill="accent4" w:themeFillTint="3F"/>
    </w:tcPr>
    <w:tblStylePr w:type="firstRow">
      <w:rPr>
        <w:b/>
        <w:bCs/>
      </w:rPr>
    </w:tblStylePr>
    <w:tblStylePr w:type="lastRow">
      <w:rPr>
        <w:b/>
        <w:bCs/>
      </w:rPr>
      <w:tblPr/>
      <w:tcPr>
        <w:tcBorders>
          <w:top w:val="single" w:sz="18" w:space="0" w:color="C0C5C9" w:themeColor="accent4" w:themeTint="BF"/>
        </w:tcBorders>
      </w:tcPr>
    </w:tblStylePr>
    <w:tblStylePr w:type="firstCol">
      <w:rPr>
        <w:b/>
        <w:bCs/>
      </w:rPr>
    </w:tblStylePr>
    <w:tblStylePr w:type="lastCol">
      <w:rPr>
        <w:b/>
        <w:bCs/>
      </w:rPr>
    </w:tblStylePr>
    <w:tblStylePr w:type="band1Vert">
      <w:tblPr/>
      <w:tcPr>
        <w:shd w:val="clear" w:color="auto" w:fill="D5D8DB" w:themeFill="accent4" w:themeFillTint="7F"/>
      </w:tcPr>
    </w:tblStylePr>
    <w:tblStylePr w:type="band1Horz">
      <w:tblPr/>
      <w:tcPr>
        <w:shd w:val="clear" w:color="auto" w:fill="D5D8DB"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BFCA6B" w:themeColor="accent5" w:themeTint="BF"/>
        <w:left w:val="single" w:sz="8" w:space="0" w:color="BFCA6B" w:themeColor="accent5" w:themeTint="BF"/>
        <w:bottom w:val="single" w:sz="8" w:space="0" w:color="BFCA6B" w:themeColor="accent5" w:themeTint="BF"/>
        <w:right w:val="single" w:sz="8" w:space="0" w:color="BFCA6B" w:themeColor="accent5" w:themeTint="BF"/>
        <w:insideH w:val="single" w:sz="8" w:space="0" w:color="BFCA6B" w:themeColor="accent5" w:themeTint="BF"/>
        <w:insideV w:val="single" w:sz="8" w:space="0" w:color="BFCA6B" w:themeColor="accent5" w:themeTint="BF"/>
      </w:tblBorders>
    </w:tblPr>
    <w:tcPr>
      <w:shd w:val="clear" w:color="auto" w:fill="EAEDCE" w:themeFill="accent5" w:themeFillTint="3F"/>
    </w:tcPr>
    <w:tblStylePr w:type="firstRow">
      <w:rPr>
        <w:b/>
        <w:bCs/>
      </w:rPr>
    </w:tblStylePr>
    <w:tblStylePr w:type="lastRow">
      <w:rPr>
        <w:b/>
        <w:bCs/>
      </w:rPr>
      <w:tblPr/>
      <w:tcPr>
        <w:tcBorders>
          <w:top w:val="single" w:sz="18" w:space="0" w:color="BFCA6B" w:themeColor="accent5" w:themeTint="BF"/>
        </w:tcBorders>
      </w:tcPr>
    </w:tblStylePr>
    <w:tblStylePr w:type="firstCol">
      <w:rPr>
        <w:b/>
        <w:bCs/>
      </w:rPr>
    </w:tblStylePr>
    <w:tblStylePr w:type="lastCol">
      <w:rPr>
        <w:b/>
        <w:bCs/>
      </w:rPr>
    </w:tblStylePr>
    <w:tblStylePr w:type="band1Vert">
      <w:tblPr/>
      <w:tcPr>
        <w:shd w:val="clear" w:color="auto" w:fill="D4DC9D" w:themeFill="accent5" w:themeFillTint="7F"/>
      </w:tcPr>
    </w:tblStylePr>
    <w:tblStylePr w:type="band1Horz">
      <w:tblPr/>
      <w:tcPr>
        <w:shd w:val="clear" w:color="auto" w:fill="D4DC9D"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EE1B00" w:themeColor="accent6" w:themeTint="BF"/>
        <w:left w:val="single" w:sz="8" w:space="0" w:color="EE1B00" w:themeColor="accent6" w:themeTint="BF"/>
        <w:bottom w:val="single" w:sz="8" w:space="0" w:color="EE1B00" w:themeColor="accent6" w:themeTint="BF"/>
        <w:right w:val="single" w:sz="8" w:space="0" w:color="EE1B00" w:themeColor="accent6" w:themeTint="BF"/>
        <w:insideH w:val="single" w:sz="8" w:space="0" w:color="EE1B00" w:themeColor="accent6" w:themeTint="BF"/>
        <w:insideV w:val="single" w:sz="8" w:space="0" w:color="EE1B00" w:themeColor="accent6" w:themeTint="BF"/>
      </w:tblBorders>
    </w:tblPr>
    <w:tcPr>
      <w:shd w:val="clear" w:color="auto" w:fill="FFAFA5" w:themeFill="accent6" w:themeFillTint="3F"/>
    </w:tcPr>
    <w:tblStylePr w:type="firstRow">
      <w:rPr>
        <w:b/>
        <w:bCs/>
      </w:rPr>
    </w:tblStylePr>
    <w:tblStylePr w:type="lastRow">
      <w:rPr>
        <w:b/>
        <w:bCs/>
      </w:rPr>
      <w:tblPr/>
      <w:tcPr>
        <w:tcBorders>
          <w:top w:val="single" w:sz="18" w:space="0" w:color="EE1B00" w:themeColor="accent6" w:themeTint="BF"/>
        </w:tcBorders>
      </w:tcPr>
    </w:tblStylePr>
    <w:tblStylePr w:type="firstCol">
      <w:rPr>
        <w:b/>
        <w:bCs/>
      </w:rPr>
    </w:tblStylePr>
    <w:tblStylePr w:type="lastCol">
      <w:rPr>
        <w:b/>
        <w:bCs/>
      </w:rPr>
    </w:tblStylePr>
    <w:tblStylePr w:type="band1Vert">
      <w:tblPr/>
      <w:tcPr>
        <w:shd w:val="clear" w:color="auto" w:fill="FF5F4A" w:themeFill="accent6" w:themeFillTint="7F"/>
      </w:tcPr>
    </w:tblStylePr>
    <w:tblStylePr w:type="band1Horz">
      <w:tblPr/>
      <w:tcPr>
        <w:shd w:val="clear" w:color="auto" w:fill="FF5F4A"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95775" w:themeColor="accent1"/>
        <w:left w:val="single" w:sz="8" w:space="0" w:color="395775" w:themeColor="accent1"/>
        <w:bottom w:val="single" w:sz="8" w:space="0" w:color="395775" w:themeColor="accent1"/>
        <w:right w:val="single" w:sz="8" w:space="0" w:color="395775" w:themeColor="accent1"/>
        <w:insideH w:val="single" w:sz="8" w:space="0" w:color="395775" w:themeColor="accent1"/>
        <w:insideV w:val="single" w:sz="8" w:space="0" w:color="395775" w:themeColor="accent1"/>
      </w:tblBorders>
    </w:tblPr>
    <w:tcPr>
      <w:shd w:val="clear" w:color="auto" w:fill="C6D5E3" w:themeFill="accent1" w:themeFillTint="3F"/>
    </w:tcPr>
    <w:tblStylePr w:type="firstRow">
      <w:rPr>
        <w:b/>
        <w:bCs/>
        <w:color w:val="000000" w:themeColor="text1"/>
      </w:rPr>
      <w:tblPr/>
      <w:tcPr>
        <w:shd w:val="clear" w:color="auto" w:fill="E8EEF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DDE9" w:themeFill="accent1" w:themeFillTint="33"/>
      </w:tcPr>
    </w:tblStylePr>
    <w:tblStylePr w:type="band1Vert">
      <w:tblPr/>
      <w:tcPr>
        <w:shd w:val="clear" w:color="auto" w:fill="8EABC8" w:themeFill="accent1" w:themeFillTint="7F"/>
      </w:tcPr>
    </w:tblStylePr>
    <w:tblStylePr w:type="band1Horz">
      <w:tblPr/>
      <w:tcPr>
        <w:tcBorders>
          <w:insideH w:val="single" w:sz="6" w:space="0" w:color="395775" w:themeColor="accent1"/>
          <w:insideV w:val="single" w:sz="6" w:space="0" w:color="395775" w:themeColor="accent1"/>
        </w:tcBorders>
        <w:shd w:val="clear" w:color="auto" w:fill="8EABC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77F16" w:themeColor="accent2"/>
        <w:left w:val="single" w:sz="8" w:space="0" w:color="D77F16" w:themeColor="accent2"/>
        <w:bottom w:val="single" w:sz="8" w:space="0" w:color="D77F16" w:themeColor="accent2"/>
        <w:right w:val="single" w:sz="8" w:space="0" w:color="D77F16" w:themeColor="accent2"/>
        <w:insideH w:val="single" w:sz="8" w:space="0" w:color="D77F16" w:themeColor="accent2"/>
        <w:insideV w:val="single" w:sz="8" w:space="0" w:color="D77F16" w:themeColor="accent2"/>
      </w:tblBorders>
    </w:tblPr>
    <w:tcPr>
      <w:shd w:val="clear" w:color="auto" w:fill="F8DFC1" w:themeFill="accent2" w:themeFillTint="3F"/>
    </w:tcPr>
    <w:tblStylePr w:type="firstRow">
      <w:rPr>
        <w:b/>
        <w:bCs/>
        <w:color w:val="000000" w:themeColor="text1"/>
      </w:rPr>
      <w:tblPr/>
      <w:tcPr>
        <w:shd w:val="clear" w:color="auto" w:fill="FCF2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5CD" w:themeFill="accent2" w:themeFillTint="33"/>
      </w:tcPr>
    </w:tblStylePr>
    <w:tblStylePr w:type="band1Vert">
      <w:tblPr/>
      <w:tcPr>
        <w:shd w:val="clear" w:color="auto" w:fill="F2BF83" w:themeFill="accent2" w:themeFillTint="7F"/>
      </w:tcPr>
    </w:tblStylePr>
    <w:tblStylePr w:type="band1Horz">
      <w:tblPr/>
      <w:tcPr>
        <w:tcBorders>
          <w:insideH w:val="single" w:sz="6" w:space="0" w:color="D77F16" w:themeColor="accent2"/>
          <w:insideV w:val="single" w:sz="6" w:space="0" w:color="D77F16" w:themeColor="accent2"/>
        </w:tcBorders>
        <w:shd w:val="clear" w:color="auto" w:fill="F2BF8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7B82" w:themeColor="accent3"/>
        <w:left w:val="single" w:sz="8" w:space="0" w:color="737B82" w:themeColor="accent3"/>
        <w:bottom w:val="single" w:sz="8" w:space="0" w:color="737B82" w:themeColor="accent3"/>
        <w:right w:val="single" w:sz="8" w:space="0" w:color="737B82" w:themeColor="accent3"/>
        <w:insideH w:val="single" w:sz="8" w:space="0" w:color="737B82" w:themeColor="accent3"/>
        <w:insideV w:val="single" w:sz="8" w:space="0" w:color="737B82" w:themeColor="accent3"/>
      </w:tblBorders>
    </w:tblPr>
    <w:tcPr>
      <w:shd w:val="clear" w:color="auto" w:fill="DCDEE0" w:themeFill="accent3" w:themeFillTint="3F"/>
    </w:tcPr>
    <w:tblStylePr w:type="firstRow">
      <w:rPr>
        <w:b/>
        <w:bCs/>
        <w:color w:val="000000" w:themeColor="text1"/>
      </w:rPr>
      <w:tblPr/>
      <w:tcPr>
        <w:shd w:val="clear" w:color="auto" w:fill="F1F2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4E6" w:themeFill="accent3" w:themeFillTint="33"/>
      </w:tcPr>
    </w:tblStylePr>
    <w:tblStylePr w:type="band1Vert">
      <w:tblPr/>
      <w:tcPr>
        <w:shd w:val="clear" w:color="auto" w:fill="B8BDC1" w:themeFill="accent3" w:themeFillTint="7F"/>
      </w:tcPr>
    </w:tblStylePr>
    <w:tblStylePr w:type="band1Horz">
      <w:tblPr/>
      <w:tcPr>
        <w:tcBorders>
          <w:insideH w:val="single" w:sz="6" w:space="0" w:color="737B82" w:themeColor="accent3"/>
          <w:insideV w:val="single" w:sz="6" w:space="0" w:color="737B82" w:themeColor="accent3"/>
        </w:tcBorders>
        <w:shd w:val="clear" w:color="auto" w:fill="B8BDC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CB3B8" w:themeColor="accent4"/>
        <w:left w:val="single" w:sz="8" w:space="0" w:color="ACB3B8" w:themeColor="accent4"/>
        <w:bottom w:val="single" w:sz="8" w:space="0" w:color="ACB3B8" w:themeColor="accent4"/>
        <w:right w:val="single" w:sz="8" w:space="0" w:color="ACB3B8" w:themeColor="accent4"/>
        <w:insideH w:val="single" w:sz="8" w:space="0" w:color="ACB3B8" w:themeColor="accent4"/>
        <w:insideV w:val="single" w:sz="8" w:space="0" w:color="ACB3B8" w:themeColor="accent4"/>
      </w:tblBorders>
    </w:tblPr>
    <w:tcPr>
      <w:shd w:val="clear" w:color="auto" w:fill="EAECED" w:themeFill="accent4" w:themeFillTint="3F"/>
    </w:tcPr>
    <w:tblStylePr w:type="firstRow">
      <w:rPr>
        <w:b/>
        <w:bCs/>
        <w:color w:val="000000" w:themeColor="text1"/>
      </w:rPr>
      <w:tblPr/>
      <w:tcPr>
        <w:shd w:val="clear" w:color="auto" w:fill="F6F7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EFF0" w:themeFill="accent4" w:themeFillTint="33"/>
      </w:tcPr>
    </w:tblStylePr>
    <w:tblStylePr w:type="band1Vert">
      <w:tblPr/>
      <w:tcPr>
        <w:shd w:val="clear" w:color="auto" w:fill="D5D8DB" w:themeFill="accent4" w:themeFillTint="7F"/>
      </w:tcPr>
    </w:tblStylePr>
    <w:tblStylePr w:type="band1Horz">
      <w:tblPr/>
      <w:tcPr>
        <w:tcBorders>
          <w:insideH w:val="single" w:sz="6" w:space="0" w:color="ACB3B8" w:themeColor="accent4"/>
          <w:insideV w:val="single" w:sz="6" w:space="0" w:color="ACB3B8" w:themeColor="accent4"/>
        </w:tcBorders>
        <w:shd w:val="clear" w:color="auto" w:fill="D5D8D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6B340" w:themeColor="accent5"/>
        <w:left w:val="single" w:sz="8" w:space="0" w:color="A6B340" w:themeColor="accent5"/>
        <w:bottom w:val="single" w:sz="8" w:space="0" w:color="A6B340" w:themeColor="accent5"/>
        <w:right w:val="single" w:sz="8" w:space="0" w:color="A6B340" w:themeColor="accent5"/>
        <w:insideH w:val="single" w:sz="8" w:space="0" w:color="A6B340" w:themeColor="accent5"/>
        <w:insideV w:val="single" w:sz="8" w:space="0" w:color="A6B340" w:themeColor="accent5"/>
      </w:tblBorders>
    </w:tblPr>
    <w:tcPr>
      <w:shd w:val="clear" w:color="auto" w:fill="EAEDCE" w:themeFill="accent5" w:themeFillTint="3F"/>
    </w:tcPr>
    <w:tblStylePr w:type="firstRow">
      <w:rPr>
        <w:b/>
        <w:bCs/>
        <w:color w:val="000000" w:themeColor="text1"/>
      </w:rPr>
      <w:tblPr/>
      <w:tcPr>
        <w:shd w:val="clear" w:color="auto" w:fill="F6F8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D7" w:themeFill="accent5" w:themeFillTint="33"/>
      </w:tcPr>
    </w:tblStylePr>
    <w:tblStylePr w:type="band1Vert">
      <w:tblPr/>
      <w:tcPr>
        <w:shd w:val="clear" w:color="auto" w:fill="D4DC9D" w:themeFill="accent5" w:themeFillTint="7F"/>
      </w:tcPr>
    </w:tblStylePr>
    <w:tblStylePr w:type="band1Horz">
      <w:tblPr/>
      <w:tcPr>
        <w:tcBorders>
          <w:insideH w:val="single" w:sz="6" w:space="0" w:color="A6B340" w:themeColor="accent5"/>
          <w:insideV w:val="single" w:sz="6" w:space="0" w:color="A6B340" w:themeColor="accent5"/>
        </w:tcBorders>
        <w:shd w:val="clear" w:color="auto" w:fill="D4DC9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1100" w:themeColor="accent6"/>
        <w:left w:val="single" w:sz="8" w:space="0" w:color="941100" w:themeColor="accent6"/>
        <w:bottom w:val="single" w:sz="8" w:space="0" w:color="941100" w:themeColor="accent6"/>
        <w:right w:val="single" w:sz="8" w:space="0" w:color="941100" w:themeColor="accent6"/>
        <w:insideH w:val="single" w:sz="8" w:space="0" w:color="941100" w:themeColor="accent6"/>
        <w:insideV w:val="single" w:sz="8" w:space="0" w:color="941100" w:themeColor="accent6"/>
      </w:tblBorders>
    </w:tblPr>
    <w:tcPr>
      <w:shd w:val="clear" w:color="auto" w:fill="FFAFA5" w:themeFill="accent6" w:themeFillTint="3F"/>
    </w:tcPr>
    <w:tblStylePr w:type="firstRow">
      <w:rPr>
        <w:b/>
        <w:bCs/>
        <w:color w:val="000000" w:themeColor="text1"/>
      </w:rPr>
      <w:tblPr/>
      <w:tcPr>
        <w:shd w:val="clear" w:color="auto" w:fill="FFDFD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EB6" w:themeFill="accent6" w:themeFillTint="33"/>
      </w:tcPr>
    </w:tblStylePr>
    <w:tblStylePr w:type="band1Vert">
      <w:tblPr/>
      <w:tcPr>
        <w:shd w:val="clear" w:color="auto" w:fill="FF5F4A" w:themeFill="accent6" w:themeFillTint="7F"/>
      </w:tcPr>
    </w:tblStylePr>
    <w:tblStylePr w:type="band1Horz">
      <w:tblPr/>
      <w:tcPr>
        <w:tcBorders>
          <w:insideH w:val="single" w:sz="6" w:space="0" w:color="941100" w:themeColor="accent6"/>
          <w:insideV w:val="single" w:sz="6" w:space="0" w:color="941100" w:themeColor="accent6"/>
        </w:tcBorders>
        <w:shd w:val="clear" w:color="auto" w:fill="FF5F4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D5E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9577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9577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9577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9577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EABC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EABC8"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FC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77F1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77F1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77F1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77F1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F8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F83"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EE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7B8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7B8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7B8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7B8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DC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DC1"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AEC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CB3B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CB3B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CB3B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CB3B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5D8D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5D8DB"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AEDC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6B34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6B34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6B34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6B34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DC9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DC9D"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FA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11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11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11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11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5F4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5F4A"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39577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C2B3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A405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A4057" w:themeFill="accent1" w:themeFillShade="BF"/>
      </w:tcPr>
    </w:tblStylePr>
    <w:tblStylePr w:type="band1Vert">
      <w:tblPr/>
      <w:tcPr>
        <w:tcBorders>
          <w:top w:val="nil"/>
          <w:left w:val="nil"/>
          <w:bottom w:val="nil"/>
          <w:right w:val="nil"/>
          <w:insideH w:val="nil"/>
          <w:insideV w:val="nil"/>
        </w:tcBorders>
        <w:shd w:val="clear" w:color="auto" w:fill="2A4057" w:themeFill="accent1" w:themeFillShade="BF"/>
      </w:tcPr>
    </w:tblStylePr>
    <w:tblStylePr w:type="band1Horz">
      <w:tblPr/>
      <w:tcPr>
        <w:tcBorders>
          <w:top w:val="nil"/>
          <w:left w:val="nil"/>
          <w:bottom w:val="nil"/>
          <w:right w:val="nil"/>
          <w:insideH w:val="nil"/>
          <w:insideV w:val="nil"/>
        </w:tcBorders>
        <w:shd w:val="clear" w:color="auto" w:fill="2A4057"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D77F1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B3E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05E1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05E10" w:themeFill="accent2" w:themeFillShade="BF"/>
      </w:tcPr>
    </w:tblStylePr>
    <w:tblStylePr w:type="band1Vert">
      <w:tblPr/>
      <w:tcPr>
        <w:tcBorders>
          <w:top w:val="nil"/>
          <w:left w:val="nil"/>
          <w:bottom w:val="nil"/>
          <w:right w:val="nil"/>
          <w:insideH w:val="nil"/>
          <w:insideV w:val="nil"/>
        </w:tcBorders>
        <w:shd w:val="clear" w:color="auto" w:fill="A05E10" w:themeFill="accent2" w:themeFillShade="BF"/>
      </w:tcPr>
    </w:tblStylePr>
    <w:tblStylePr w:type="band1Horz">
      <w:tblPr/>
      <w:tcPr>
        <w:tcBorders>
          <w:top w:val="nil"/>
          <w:left w:val="nil"/>
          <w:bottom w:val="nil"/>
          <w:right w:val="nil"/>
          <w:insideH w:val="nil"/>
          <w:insideV w:val="nil"/>
        </w:tcBorders>
        <w:shd w:val="clear" w:color="auto" w:fill="A05E10"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737B8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3D4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65C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65C61" w:themeFill="accent3" w:themeFillShade="BF"/>
      </w:tcPr>
    </w:tblStylePr>
    <w:tblStylePr w:type="band1Vert">
      <w:tblPr/>
      <w:tcPr>
        <w:tcBorders>
          <w:top w:val="nil"/>
          <w:left w:val="nil"/>
          <w:bottom w:val="nil"/>
          <w:right w:val="nil"/>
          <w:insideH w:val="nil"/>
          <w:insideV w:val="nil"/>
        </w:tcBorders>
        <w:shd w:val="clear" w:color="auto" w:fill="565C61" w:themeFill="accent3" w:themeFillShade="BF"/>
      </w:tcPr>
    </w:tblStylePr>
    <w:tblStylePr w:type="band1Horz">
      <w:tblPr/>
      <w:tcPr>
        <w:tcBorders>
          <w:top w:val="nil"/>
          <w:left w:val="nil"/>
          <w:bottom w:val="nil"/>
          <w:right w:val="nil"/>
          <w:insideH w:val="nil"/>
          <w:insideV w:val="nil"/>
        </w:tcBorders>
        <w:shd w:val="clear" w:color="auto" w:fill="565C61"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ACB3B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595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B868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B868E" w:themeFill="accent4" w:themeFillShade="BF"/>
      </w:tcPr>
    </w:tblStylePr>
    <w:tblStylePr w:type="band1Vert">
      <w:tblPr/>
      <w:tcPr>
        <w:tcBorders>
          <w:top w:val="nil"/>
          <w:left w:val="nil"/>
          <w:bottom w:val="nil"/>
          <w:right w:val="nil"/>
          <w:insideH w:val="nil"/>
          <w:insideV w:val="nil"/>
        </w:tcBorders>
        <w:shd w:val="clear" w:color="auto" w:fill="7B868E" w:themeFill="accent4" w:themeFillShade="BF"/>
      </w:tcPr>
    </w:tblStylePr>
    <w:tblStylePr w:type="band1Horz">
      <w:tblPr/>
      <w:tcPr>
        <w:tcBorders>
          <w:top w:val="nil"/>
          <w:left w:val="nil"/>
          <w:bottom w:val="nil"/>
          <w:right w:val="nil"/>
          <w:insideH w:val="nil"/>
          <w:insideV w:val="nil"/>
        </w:tcBorders>
        <w:shd w:val="clear" w:color="auto" w:fill="7B868E"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A6B34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92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C863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C8630" w:themeFill="accent5" w:themeFillShade="BF"/>
      </w:tcPr>
    </w:tblStylePr>
    <w:tblStylePr w:type="band1Vert">
      <w:tblPr/>
      <w:tcPr>
        <w:tcBorders>
          <w:top w:val="nil"/>
          <w:left w:val="nil"/>
          <w:bottom w:val="nil"/>
          <w:right w:val="nil"/>
          <w:insideH w:val="nil"/>
          <w:insideV w:val="nil"/>
        </w:tcBorders>
        <w:shd w:val="clear" w:color="auto" w:fill="7C8630" w:themeFill="accent5" w:themeFillShade="BF"/>
      </w:tcPr>
    </w:tblStylePr>
    <w:tblStylePr w:type="band1Horz">
      <w:tblPr/>
      <w:tcPr>
        <w:tcBorders>
          <w:top w:val="nil"/>
          <w:left w:val="nil"/>
          <w:bottom w:val="nil"/>
          <w:right w:val="nil"/>
          <w:insideH w:val="nil"/>
          <w:insideV w:val="nil"/>
        </w:tcBorders>
        <w:shd w:val="clear" w:color="auto" w:fill="7C8630"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9411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08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E0C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E0C00" w:themeFill="accent6" w:themeFillShade="BF"/>
      </w:tcPr>
    </w:tblStylePr>
    <w:tblStylePr w:type="band1Vert">
      <w:tblPr/>
      <w:tcPr>
        <w:tcBorders>
          <w:top w:val="nil"/>
          <w:left w:val="nil"/>
          <w:bottom w:val="nil"/>
          <w:right w:val="nil"/>
          <w:insideH w:val="nil"/>
          <w:insideV w:val="nil"/>
        </w:tcBorders>
        <w:shd w:val="clear" w:color="auto" w:fill="6E0C00" w:themeFill="accent6" w:themeFillShade="BF"/>
      </w:tcPr>
    </w:tblStylePr>
    <w:tblStylePr w:type="band1Horz">
      <w:tblPr/>
      <w:tcPr>
        <w:tcBorders>
          <w:top w:val="nil"/>
          <w:left w:val="nil"/>
          <w:bottom w:val="nil"/>
          <w:right w:val="nil"/>
          <w:insideH w:val="nil"/>
          <w:insideV w:val="nil"/>
        </w:tcBorders>
        <w:shd w:val="clear" w:color="auto" w:fill="6E0C00"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D77F1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77F1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D77F16" w:themeColor="accent2"/>
        <w:left w:val="single" w:sz="4" w:space="0" w:color="395775" w:themeColor="accent1"/>
        <w:bottom w:val="single" w:sz="4" w:space="0" w:color="395775" w:themeColor="accent1"/>
        <w:right w:val="single" w:sz="4" w:space="0" w:color="395775" w:themeColor="accent1"/>
        <w:insideH w:val="single" w:sz="4" w:space="0" w:color="FFFFFF" w:themeColor="background1"/>
        <w:insideV w:val="single" w:sz="4" w:space="0" w:color="FFFFFF" w:themeColor="background1"/>
      </w:tblBorders>
    </w:tblPr>
    <w:tcPr>
      <w:shd w:val="clear" w:color="auto" w:fill="E8EEF4" w:themeFill="accent1" w:themeFillTint="19"/>
    </w:tcPr>
    <w:tblStylePr w:type="firstRow">
      <w:rPr>
        <w:b/>
        <w:bCs/>
      </w:rPr>
      <w:tblPr/>
      <w:tcPr>
        <w:tcBorders>
          <w:top w:val="nil"/>
          <w:left w:val="nil"/>
          <w:bottom w:val="single" w:sz="24" w:space="0" w:color="D77F1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23446" w:themeFill="accent1" w:themeFillShade="99"/>
      </w:tcPr>
    </w:tblStylePr>
    <w:tblStylePr w:type="firstCol">
      <w:rPr>
        <w:color w:val="FFFFFF" w:themeColor="background1"/>
      </w:rPr>
      <w:tblPr/>
      <w:tcPr>
        <w:tcBorders>
          <w:top w:val="nil"/>
          <w:left w:val="nil"/>
          <w:bottom w:val="nil"/>
          <w:right w:val="nil"/>
          <w:insideH w:val="single" w:sz="4" w:space="0" w:color="223446" w:themeColor="accent1" w:themeShade="99"/>
          <w:insideV w:val="nil"/>
        </w:tcBorders>
        <w:shd w:val="clear" w:color="auto" w:fill="22344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23446" w:themeFill="accent1" w:themeFillShade="99"/>
      </w:tcPr>
    </w:tblStylePr>
    <w:tblStylePr w:type="band1Vert">
      <w:tblPr/>
      <w:tcPr>
        <w:shd w:val="clear" w:color="auto" w:fill="A4BBD3" w:themeFill="accent1" w:themeFillTint="66"/>
      </w:tcPr>
    </w:tblStylePr>
    <w:tblStylePr w:type="band1Horz">
      <w:tblPr/>
      <w:tcPr>
        <w:shd w:val="clear" w:color="auto" w:fill="8EABC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D77F16" w:themeColor="accent2"/>
        <w:left w:val="single" w:sz="4" w:space="0" w:color="D77F16" w:themeColor="accent2"/>
        <w:bottom w:val="single" w:sz="4" w:space="0" w:color="D77F16" w:themeColor="accent2"/>
        <w:right w:val="single" w:sz="4" w:space="0" w:color="D77F16" w:themeColor="accent2"/>
        <w:insideH w:val="single" w:sz="4" w:space="0" w:color="FFFFFF" w:themeColor="background1"/>
        <w:insideV w:val="single" w:sz="4" w:space="0" w:color="FFFFFF" w:themeColor="background1"/>
      </w:tblBorders>
    </w:tblPr>
    <w:tcPr>
      <w:shd w:val="clear" w:color="auto" w:fill="FCF2E6" w:themeFill="accent2" w:themeFillTint="19"/>
    </w:tcPr>
    <w:tblStylePr w:type="firstRow">
      <w:rPr>
        <w:b/>
        <w:bCs/>
      </w:rPr>
      <w:tblPr/>
      <w:tcPr>
        <w:tcBorders>
          <w:top w:val="nil"/>
          <w:left w:val="nil"/>
          <w:bottom w:val="single" w:sz="24" w:space="0" w:color="D77F1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04B0D" w:themeFill="accent2" w:themeFillShade="99"/>
      </w:tcPr>
    </w:tblStylePr>
    <w:tblStylePr w:type="firstCol">
      <w:rPr>
        <w:color w:val="FFFFFF" w:themeColor="background1"/>
      </w:rPr>
      <w:tblPr/>
      <w:tcPr>
        <w:tcBorders>
          <w:top w:val="nil"/>
          <w:left w:val="nil"/>
          <w:bottom w:val="nil"/>
          <w:right w:val="nil"/>
          <w:insideH w:val="single" w:sz="4" w:space="0" w:color="804B0D" w:themeColor="accent2" w:themeShade="99"/>
          <w:insideV w:val="nil"/>
        </w:tcBorders>
        <w:shd w:val="clear" w:color="auto" w:fill="804B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04B0D" w:themeFill="accent2" w:themeFillShade="99"/>
      </w:tcPr>
    </w:tblStylePr>
    <w:tblStylePr w:type="band1Vert">
      <w:tblPr/>
      <w:tcPr>
        <w:shd w:val="clear" w:color="auto" w:fill="F4CB9B" w:themeFill="accent2" w:themeFillTint="66"/>
      </w:tcPr>
    </w:tblStylePr>
    <w:tblStylePr w:type="band1Horz">
      <w:tblPr/>
      <w:tcPr>
        <w:shd w:val="clear" w:color="auto" w:fill="F2BF8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ACB3B8" w:themeColor="accent4"/>
        <w:left w:val="single" w:sz="4" w:space="0" w:color="737B82" w:themeColor="accent3"/>
        <w:bottom w:val="single" w:sz="4" w:space="0" w:color="737B82" w:themeColor="accent3"/>
        <w:right w:val="single" w:sz="4" w:space="0" w:color="737B82" w:themeColor="accent3"/>
        <w:insideH w:val="single" w:sz="4" w:space="0" w:color="FFFFFF" w:themeColor="background1"/>
        <w:insideV w:val="single" w:sz="4" w:space="0" w:color="FFFFFF" w:themeColor="background1"/>
      </w:tblBorders>
    </w:tblPr>
    <w:tcPr>
      <w:shd w:val="clear" w:color="auto" w:fill="F1F2F2" w:themeFill="accent3" w:themeFillTint="19"/>
    </w:tcPr>
    <w:tblStylePr w:type="firstRow">
      <w:rPr>
        <w:b/>
        <w:bCs/>
      </w:rPr>
      <w:tblPr/>
      <w:tcPr>
        <w:tcBorders>
          <w:top w:val="nil"/>
          <w:left w:val="nil"/>
          <w:bottom w:val="single" w:sz="24" w:space="0" w:color="ACB3B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94D" w:themeFill="accent3" w:themeFillShade="99"/>
      </w:tcPr>
    </w:tblStylePr>
    <w:tblStylePr w:type="firstCol">
      <w:rPr>
        <w:color w:val="FFFFFF" w:themeColor="background1"/>
      </w:rPr>
      <w:tblPr/>
      <w:tcPr>
        <w:tcBorders>
          <w:top w:val="nil"/>
          <w:left w:val="nil"/>
          <w:bottom w:val="nil"/>
          <w:right w:val="nil"/>
          <w:insideH w:val="single" w:sz="4" w:space="0" w:color="45494D" w:themeColor="accent3" w:themeShade="99"/>
          <w:insideV w:val="nil"/>
        </w:tcBorders>
        <w:shd w:val="clear" w:color="auto" w:fill="45494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5494D" w:themeFill="accent3" w:themeFillShade="99"/>
      </w:tcPr>
    </w:tblStylePr>
    <w:tblStylePr w:type="band1Vert">
      <w:tblPr/>
      <w:tcPr>
        <w:shd w:val="clear" w:color="auto" w:fill="C6CACD" w:themeFill="accent3" w:themeFillTint="66"/>
      </w:tcPr>
    </w:tblStylePr>
    <w:tblStylePr w:type="band1Horz">
      <w:tblPr/>
      <w:tcPr>
        <w:shd w:val="clear" w:color="auto" w:fill="B8BDC1"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737B82" w:themeColor="accent3"/>
        <w:left w:val="single" w:sz="4" w:space="0" w:color="ACB3B8" w:themeColor="accent4"/>
        <w:bottom w:val="single" w:sz="4" w:space="0" w:color="ACB3B8" w:themeColor="accent4"/>
        <w:right w:val="single" w:sz="4" w:space="0" w:color="ACB3B8" w:themeColor="accent4"/>
        <w:insideH w:val="single" w:sz="4" w:space="0" w:color="FFFFFF" w:themeColor="background1"/>
        <w:insideV w:val="single" w:sz="4" w:space="0" w:color="FFFFFF" w:themeColor="background1"/>
      </w:tblBorders>
    </w:tblPr>
    <w:tcPr>
      <w:shd w:val="clear" w:color="auto" w:fill="F6F7F8" w:themeFill="accent4" w:themeFillTint="19"/>
    </w:tcPr>
    <w:tblStylePr w:type="firstRow">
      <w:rPr>
        <w:b/>
        <w:bCs/>
      </w:rPr>
      <w:tblPr/>
      <w:tcPr>
        <w:tcBorders>
          <w:top w:val="nil"/>
          <w:left w:val="nil"/>
          <w:bottom w:val="single" w:sz="24" w:space="0" w:color="737B8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6B72" w:themeFill="accent4" w:themeFillShade="99"/>
      </w:tcPr>
    </w:tblStylePr>
    <w:tblStylePr w:type="firstCol">
      <w:rPr>
        <w:color w:val="FFFFFF" w:themeColor="background1"/>
      </w:rPr>
      <w:tblPr/>
      <w:tcPr>
        <w:tcBorders>
          <w:top w:val="nil"/>
          <w:left w:val="nil"/>
          <w:bottom w:val="nil"/>
          <w:right w:val="nil"/>
          <w:insideH w:val="single" w:sz="4" w:space="0" w:color="626B72" w:themeColor="accent4" w:themeShade="99"/>
          <w:insideV w:val="nil"/>
        </w:tcBorders>
        <w:shd w:val="clear" w:color="auto" w:fill="626B7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626B72" w:themeFill="accent4" w:themeFillShade="99"/>
      </w:tcPr>
    </w:tblStylePr>
    <w:tblStylePr w:type="band1Vert">
      <w:tblPr/>
      <w:tcPr>
        <w:shd w:val="clear" w:color="auto" w:fill="DDE0E2" w:themeFill="accent4" w:themeFillTint="66"/>
      </w:tcPr>
    </w:tblStylePr>
    <w:tblStylePr w:type="band1Horz">
      <w:tblPr/>
      <w:tcPr>
        <w:shd w:val="clear" w:color="auto" w:fill="D5D8D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941100" w:themeColor="accent6"/>
        <w:left w:val="single" w:sz="4" w:space="0" w:color="A6B340" w:themeColor="accent5"/>
        <w:bottom w:val="single" w:sz="4" w:space="0" w:color="A6B340" w:themeColor="accent5"/>
        <w:right w:val="single" w:sz="4" w:space="0" w:color="A6B340" w:themeColor="accent5"/>
        <w:insideH w:val="single" w:sz="4" w:space="0" w:color="FFFFFF" w:themeColor="background1"/>
        <w:insideV w:val="single" w:sz="4" w:space="0" w:color="FFFFFF" w:themeColor="background1"/>
      </w:tblBorders>
    </w:tblPr>
    <w:tcPr>
      <w:shd w:val="clear" w:color="auto" w:fill="F6F8EB" w:themeFill="accent5" w:themeFillTint="19"/>
    </w:tcPr>
    <w:tblStylePr w:type="firstRow">
      <w:rPr>
        <w:b/>
        <w:bCs/>
      </w:rPr>
      <w:tblPr/>
      <w:tcPr>
        <w:tcBorders>
          <w:top w:val="nil"/>
          <w:left w:val="nil"/>
          <w:bottom w:val="single" w:sz="24" w:space="0" w:color="9411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B26" w:themeFill="accent5" w:themeFillShade="99"/>
      </w:tcPr>
    </w:tblStylePr>
    <w:tblStylePr w:type="firstCol">
      <w:rPr>
        <w:color w:val="FFFFFF" w:themeColor="background1"/>
      </w:rPr>
      <w:tblPr/>
      <w:tcPr>
        <w:tcBorders>
          <w:top w:val="nil"/>
          <w:left w:val="nil"/>
          <w:bottom w:val="nil"/>
          <w:right w:val="nil"/>
          <w:insideH w:val="single" w:sz="4" w:space="0" w:color="636B26" w:themeColor="accent5" w:themeShade="99"/>
          <w:insideV w:val="nil"/>
        </w:tcBorders>
        <w:shd w:val="clear" w:color="auto" w:fill="636B2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36B26" w:themeFill="accent5" w:themeFillShade="99"/>
      </w:tcPr>
    </w:tblStylePr>
    <w:tblStylePr w:type="band1Vert">
      <w:tblPr/>
      <w:tcPr>
        <w:shd w:val="clear" w:color="auto" w:fill="DDE2B0" w:themeFill="accent5" w:themeFillTint="66"/>
      </w:tcPr>
    </w:tblStylePr>
    <w:tblStylePr w:type="band1Horz">
      <w:tblPr/>
      <w:tcPr>
        <w:shd w:val="clear" w:color="auto" w:fill="D4DC9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A6B340" w:themeColor="accent5"/>
        <w:left w:val="single" w:sz="4" w:space="0" w:color="941100" w:themeColor="accent6"/>
        <w:bottom w:val="single" w:sz="4" w:space="0" w:color="941100" w:themeColor="accent6"/>
        <w:right w:val="single" w:sz="4" w:space="0" w:color="941100" w:themeColor="accent6"/>
        <w:insideH w:val="single" w:sz="4" w:space="0" w:color="FFFFFF" w:themeColor="background1"/>
        <w:insideV w:val="single" w:sz="4" w:space="0" w:color="FFFFFF" w:themeColor="background1"/>
      </w:tblBorders>
    </w:tblPr>
    <w:tcPr>
      <w:shd w:val="clear" w:color="auto" w:fill="FFDFDB" w:themeFill="accent6" w:themeFillTint="19"/>
    </w:tcPr>
    <w:tblStylePr w:type="firstRow">
      <w:rPr>
        <w:b/>
        <w:bCs/>
      </w:rPr>
      <w:tblPr/>
      <w:tcPr>
        <w:tcBorders>
          <w:top w:val="nil"/>
          <w:left w:val="nil"/>
          <w:bottom w:val="single" w:sz="24" w:space="0" w:color="A6B34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0A00" w:themeFill="accent6" w:themeFillShade="99"/>
      </w:tcPr>
    </w:tblStylePr>
    <w:tblStylePr w:type="firstCol">
      <w:rPr>
        <w:color w:val="FFFFFF" w:themeColor="background1"/>
      </w:rPr>
      <w:tblPr/>
      <w:tcPr>
        <w:tcBorders>
          <w:top w:val="nil"/>
          <w:left w:val="nil"/>
          <w:bottom w:val="nil"/>
          <w:right w:val="nil"/>
          <w:insideH w:val="single" w:sz="4" w:space="0" w:color="580A00" w:themeColor="accent6" w:themeShade="99"/>
          <w:insideV w:val="nil"/>
        </w:tcBorders>
        <w:shd w:val="clear" w:color="auto" w:fill="580A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80A00" w:themeFill="accent6" w:themeFillShade="99"/>
      </w:tcPr>
    </w:tblStylePr>
    <w:tblStylePr w:type="band1Vert">
      <w:tblPr/>
      <w:tcPr>
        <w:shd w:val="clear" w:color="auto" w:fill="FF7E6E" w:themeFill="accent6" w:themeFillTint="66"/>
      </w:tcPr>
    </w:tblStylePr>
    <w:tblStylePr w:type="band1Horz">
      <w:tblPr/>
      <w:tcPr>
        <w:shd w:val="clear" w:color="auto" w:fill="FF5F4A"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B6511" w:themeFill="accent2" w:themeFillShade="CC"/>
      </w:tcPr>
    </w:tblStylePr>
    <w:tblStylePr w:type="lastRow">
      <w:rPr>
        <w:b/>
        <w:bCs/>
        <w:color w:val="AB65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8EEF4" w:themeFill="accent1" w:themeFillTint="19"/>
    </w:tcPr>
    <w:tblStylePr w:type="firstRow">
      <w:rPr>
        <w:b/>
        <w:bCs/>
        <w:color w:val="FFFFFF" w:themeColor="background1"/>
      </w:rPr>
      <w:tblPr/>
      <w:tcPr>
        <w:tcBorders>
          <w:bottom w:val="single" w:sz="12" w:space="0" w:color="FFFFFF" w:themeColor="background1"/>
        </w:tcBorders>
        <w:shd w:val="clear" w:color="auto" w:fill="AB6511" w:themeFill="accent2" w:themeFillShade="CC"/>
      </w:tcPr>
    </w:tblStylePr>
    <w:tblStylePr w:type="lastRow">
      <w:rPr>
        <w:b/>
        <w:bCs/>
        <w:color w:val="AB65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D5E3" w:themeFill="accent1" w:themeFillTint="3F"/>
      </w:tcPr>
    </w:tblStylePr>
    <w:tblStylePr w:type="band1Horz">
      <w:tblPr/>
      <w:tcPr>
        <w:shd w:val="clear" w:color="auto" w:fill="D1DDE9"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CF2E6" w:themeFill="accent2" w:themeFillTint="19"/>
    </w:tcPr>
    <w:tblStylePr w:type="firstRow">
      <w:rPr>
        <w:b/>
        <w:bCs/>
        <w:color w:val="FFFFFF" w:themeColor="background1"/>
      </w:rPr>
      <w:tblPr/>
      <w:tcPr>
        <w:tcBorders>
          <w:bottom w:val="single" w:sz="12" w:space="0" w:color="FFFFFF" w:themeColor="background1"/>
        </w:tcBorders>
        <w:shd w:val="clear" w:color="auto" w:fill="AB6511" w:themeFill="accent2" w:themeFillShade="CC"/>
      </w:tcPr>
    </w:tblStylePr>
    <w:tblStylePr w:type="lastRow">
      <w:rPr>
        <w:b/>
        <w:bCs/>
        <w:color w:val="AB65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FC1" w:themeFill="accent2" w:themeFillTint="3F"/>
      </w:tcPr>
    </w:tblStylePr>
    <w:tblStylePr w:type="band1Horz">
      <w:tblPr/>
      <w:tcPr>
        <w:shd w:val="clear" w:color="auto" w:fill="FAE5CD"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1F2F2" w:themeFill="accent3" w:themeFillTint="19"/>
    </w:tcPr>
    <w:tblStylePr w:type="firstRow">
      <w:rPr>
        <w:b/>
        <w:bCs/>
        <w:color w:val="FFFFFF" w:themeColor="background1"/>
      </w:rPr>
      <w:tblPr/>
      <w:tcPr>
        <w:tcBorders>
          <w:bottom w:val="single" w:sz="12" w:space="0" w:color="FFFFFF" w:themeColor="background1"/>
        </w:tcBorders>
        <w:shd w:val="clear" w:color="auto" w:fill="858F97" w:themeFill="accent4" w:themeFillShade="CC"/>
      </w:tcPr>
    </w:tblStylePr>
    <w:tblStylePr w:type="lastRow">
      <w:rPr>
        <w:b/>
        <w:bCs/>
        <w:color w:val="858F9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EE0" w:themeFill="accent3" w:themeFillTint="3F"/>
      </w:tcPr>
    </w:tblStylePr>
    <w:tblStylePr w:type="band1Horz">
      <w:tblPr/>
      <w:tcPr>
        <w:shd w:val="clear" w:color="auto" w:fill="E2E4E6"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6F7F8" w:themeFill="accent4" w:themeFillTint="19"/>
    </w:tcPr>
    <w:tblStylePr w:type="firstRow">
      <w:rPr>
        <w:b/>
        <w:bCs/>
        <w:color w:val="FFFFFF" w:themeColor="background1"/>
      </w:rPr>
      <w:tblPr/>
      <w:tcPr>
        <w:tcBorders>
          <w:bottom w:val="single" w:sz="12" w:space="0" w:color="FFFFFF" w:themeColor="background1"/>
        </w:tcBorders>
        <w:shd w:val="clear" w:color="auto" w:fill="5C6267" w:themeFill="accent3" w:themeFillShade="CC"/>
      </w:tcPr>
    </w:tblStylePr>
    <w:tblStylePr w:type="lastRow">
      <w:rPr>
        <w:b/>
        <w:bCs/>
        <w:color w:val="5C626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CED" w:themeFill="accent4" w:themeFillTint="3F"/>
      </w:tcPr>
    </w:tblStylePr>
    <w:tblStylePr w:type="band1Horz">
      <w:tblPr/>
      <w:tcPr>
        <w:shd w:val="clear" w:color="auto" w:fill="EEEFF0"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F6F8EB" w:themeFill="accent5" w:themeFillTint="19"/>
    </w:tcPr>
    <w:tblStylePr w:type="firstRow">
      <w:rPr>
        <w:b/>
        <w:bCs/>
        <w:color w:val="FFFFFF" w:themeColor="background1"/>
      </w:rPr>
      <w:tblPr/>
      <w:tcPr>
        <w:tcBorders>
          <w:bottom w:val="single" w:sz="12" w:space="0" w:color="FFFFFF" w:themeColor="background1"/>
        </w:tcBorders>
        <w:shd w:val="clear" w:color="auto" w:fill="760D00" w:themeFill="accent6" w:themeFillShade="CC"/>
      </w:tcPr>
    </w:tblStylePr>
    <w:tblStylePr w:type="lastRow">
      <w:rPr>
        <w:b/>
        <w:bCs/>
        <w:color w:val="760D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CE" w:themeFill="accent5" w:themeFillTint="3F"/>
      </w:tcPr>
    </w:tblStylePr>
    <w:tblStylePr w:type="band1Horz">
      <w:tblPr/>
      <w:tcPr>
        <w:shd w:val="clear" w:color="auto" w:fill="EEF1D7"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FDFDB" w:themeFill="accent6" w:themeFillTint="19"/>
    </w:tcPr>
    <w:tblStylePr w:type="firstRow">
      <w:rPr>
        <w:b/>
        <w:bCs/>
        <w:color w:val="FFFFFF" w:themeColor="background1"/>
      </w:rPr>
      <w:tblPr/>
      <w:tcPr>
        <w:tcBorders>
          <w:bottom w:val="single" w:sz="12" w:space="0" w:color="FFFFFF" w:themeColor="background1"/>
        </w:tcBorders>
        <w:shd w:val="clear" w:color="auto" w:fill="848F33" w:themeFill="accent5" w:themeFillShade="CC"/>
      </w:tcPr>
    </w:tblStylePr>
    <w:tblStylePr w:type="lastRow">
      <w:rPr>
        <w:b/>
        <w:bCs/>
        <w:color w:val="848F3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FA5" w:themeFill="accent6" w:themeFillTint="3F"/>
      </w:tcPr>
    </w:tblStylePr>
    <w:tblStylePr w:type="band1Horz">
      <w:tblPr/>
      <w:tcPr>
        <w:shd w:val="clear" w:color="auto" w:fill="FFBEB6"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1DDE9" w:themeFill="accent1" w:themeFillTint="33"/>
    </w:tcPr>
    <w:tblStylePr w:type="firstRow">
      <w:rPr>
        <w:b/>
        <w:bCs/>
      </w:rPr>
      <w:tblPr/>
      <w:tcPr>
        <w:shd w:val="clear" w:color="auto" w:fill="A4BBD3" w:themeFill="accent1" w:themeFillTint="66"/>
      </w:tcPr>
    </w:tblStylePr>
    <w:tblStylePr w:type="lastRow">
      <w:rPr>
        <w:b/>
        <w:bCs/>
        <w:color w:val="000000" w:themeColor="text1"/>
      </w:rPr>
      <w:tblPr/>
      <w:tcPr>
        <w:shd w:val="clear" w:color="auto" w:fill="A4BBD3" w:themeFill="accent1" w:themeFillTint="66"/>
      </w:tcPr>
    </w:tblStylePr>
    <w:tblStylePr w:type="firstCol">
      <w:rPr>
        <w:color w:val="FFFFFF" w:themeColor="background1"/>
      </w:rPr>
      <w:tblPr/>
      <w:tcPr>
        <w:shd w:val="clear" w:color="auto" w:fill="2A4057" w:themeFill="accent1" w:themeFillShade="BF"/>
      </w:tcPr>
    </w:tblStylePr>
    <w:tblStylePr w:type="lastCol">
      <w:rPr>
        <w:color w:val="FFFFFF" w:themeColor="background1"/>
      </w:rPr>
      <w:tblPr/>
      <w:tcPr>
        <w:shd w:val="clear" w:color="auto" w:fill="2A4057" w:themeFill="accent1" w:themeFillShade="BF"/>
      </w:tcPr>
    </w:tblStylePr>
    <w:tblStylePr w:type="band1Vert">
      <w:tblPr/>
      <w:tcPr>
        <w:shd w:val="clear" w:color="auto" w:fill="8EABC8" w:themeFill="accent1" w:themeFillTint="7F"/>
      </w:tcPr>
    </w:tblStylePr>
    <w:tblStylePr w:type="band1Horz">
      <w:tblPr/>
      <w:tcPr>
        <w:shd w:val="clear" w:color="auto" w:fill="8EABC8"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5CD" w:themeFill="accent2" w:themeFillTint="33"/>
    </w:tcPr>
    <w:tblStylePr w:type="firstRow">
      <w:rPr>
        <w:b/>
        <w:bCs/>
      </w:rPr>
      <w:tblPr/>
      <w:tcPr>
        <w:shd w:val="clear" w:color="auto" w:fill="F4CB9B" w:themeFill="accent2" w:themeFillTint="66"/>
      </w:tcPr>
    </w:tblStylePr>
    <w:tblStylePr w:type="lastRow">
      <w:rPr>
        <w:b/>
        <w:bCs/>
        <w:color w:val="000000" w:themeColor="text1"/>
      </w:rPr>
      <w:tblPr/>
      <w:tcPr>
        <w:shd w:val="clear" w:color="auto" w:fill="F4CB9B" w:themeFill="accent2" w:themeFillTint="66"/>
      </w:tcPr>
    </w:tblStylePr>
    <w:tblStylePr w:type="firstCol">
      <w:rPr>
        <w:color w:val="FFFFFF" w:themeColor="background1"/>
      </w:rPr>
      <w:tblPr/>
      <w:tcPr>
        <w:shd w:val="clear" w:color="auto" w:fill="A05E10" w:themeFill="accent2" w:themeFillShade="BF"/>
      </w:tcPr>
    </w:tblStylePr>
    <w:tblStylePr w:type="lastCol">
      <w:rPr>
        <w:color w:val="FFFFFF" w:themeColor="background1"/>
      </w:rPr>
      <w:tblPr/>
      <w:tcPr>
        <w:shd w:val="clear" w:color="auto" w:fill="A05E10" w:themeFill="accent2" w:themeFillShade="BF"/>
      </w:tcPr>
    </w:tblStylePr>
    <w:tblStylePr w:type="band1Vert">
      <w:tblPr/>
      <w:tcPr>
        <w:shd w:val="clear" w:color="auto" w:fill="F2BF83" w:themeFill="accent2" w:themeFillTint="7F"/>
      </w:tcPr>
    </w:tblStylePr>
    <w:tblStylePr w:type="band1Horz">
      <w:tblPr/>
      <w:tcPr>
        <w:shd w:val="clear" w:color="auto" w:fill="F2BF83"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4E6" w:themeFill="accent3" w:themeFillTint="33"/>
    </w:tcPr>
    <w:tblStylePr w:type="firstRow">
      <w:rPr>
        <w:b/>
        <w:bCs/>
      </w:rPr>
      <w:tblPr/>
      <w:tcPr>
        <w:shd w:val="clear" w:color="auto" w:fill="C6CACD" w:themeFill="accent3" w:themeFillTint="66"/>
      </w:tcPr>
    </w:tblStylePr>
    <w:tblStylePr w:type="lastRow">
      <w:rPr>
        <w:b/>
        <w:bCs/>
        <w:color w:val="000000" w:themeColor="text1"/>
      </w:rPr>
      <w:tblPr/>
      <w:tcPr>
        <w:shd w:val="clear" w:color="auto" w:fill="C6CACD" w:themeFill="accent3" w:themeFillTint="66"/>
      </w:tcPr>
    </w:tblStylePr>
    <w:tblStylePr w:type="firstCol">
      <w:rPr>
        <w:color w:val="FFFFFF" w:themeColor="background1"/>
      </w:rPr>
      <w:tblPr/>
      <w:tcPr>
        <w:shd w:val="clear" w:color="auto" w:fill="565C61" w:themeFill="accent3" w:themeFillShade="BF"/>
      </w:tcPr>
    </w:tblStylePr>
    <w:tblStylePr w:type="lastCol">
      <w:rPr>
        <w:color w:val="FFFFFF" w:themeColor="background1"/>
      </w:rPr>
      <w:tblPr/>
      <w:tcPr>
        <w:shd w:val="clear" w:color="auto" w:fill="565C61" w:themeFill="accent3" w:themeFillShade="BF"/>
      </w:tcPr>
    </w:tblStylePr>
    <w:tblStylePr w:type="band1Vert">
      <w:tblPr/>
      <w:tcPr>
        <w:shd w:val="clear" w:color="auto" w:fill="B8BDC1" w:themeFill="accent3" w:themeFillTint="7F"/>
      </w:tcPr>
    </w:tblStylePr>
    <w:tblStylePr w:type="band1Horz">
      <w:tblPr/>
      <w:tcPr>
        <w:shd w:val="clear" w:color="auto" w:fill="B8BDC1"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EEFF0" w:themeFill="accent4" w:themeFillTint="33"/>
    </w:tcPr>
    <w:tblStylePr w:type="firstRow">
      <w:rPr>
        <w:b/>
        <w:bCs/>
      </w:rPr>
      <w:tblPr/>
      <w:tcPr>
        <w:shd w:val="clear" w:color="auto" w:fill="DDE0E2" w:themeFill="accent4" w:themeFillTint="66"/>
      </w:tcPr>
    </w:tblStylePr>
    <w:tblStylePr w:type="lastRow">
      <w:rPr>
        <w:b/>
        <w:bCs/>
        <w:color w:val="000000" w:themeColor="text1"/>
      </w:rPr>
      <w:tblPr/>
      <w:tcPr>
        <w:shd w:val="clear" w:color="auto" w:fill="DDE0E2" w:themeFill="accent4" w:themeFillTint="66"/>
      </w:tcPr>
    </w:tblStylePr>
    <w:tblStylePr w:type="firstCol">
      <w:rPr>
        <w:color w:val="FFFFFF" w:themeColor="background1"/>
      </w:rPr>
      <w:tblPr/>
      <w:tcPr>
        <w:shd w:val="clear" w:color="auto" w:fill="7B868E" w:themeFill="accent4" w:themeFillShade="BF"/>
      </w:tcPr>
    </w:tblStylePr>
    <w:tblStylePr w:type="lastCol">
      <w:rPr>
        <w:color w:val="FFFFFF" w:themeColor="background1"/>
      </w:rPr>
      <w:tblPr/>
      <w:tcPr>
        <w:shd w:val="clear" w:color="auto" w:fill="7B868E" w:themeFill="accent4" w:themeFillShade="BF"/>
      </w:tcPr>
    </w:tblStylePr>
    <w:tblStylePr w:type="band1Vert">
      <w:tblPr/>
      <w:tcPr>
        <w:shd w:val="clear" w:color="auto" w:fill="D5D8DB" w:themeFill="accent4" w:themeFillTint="7F"/>
      </w:tcPr>
    </w:tblStylePr>
    <w:tblStylePr w:type="band1Horz">
      <w:tblPr/>
      <w:tcPr>
        <w:shd w:val="clear" w:color="auto" w:fill="D5D8DB"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EF1D7" w:themeFill="accent5" w:themeFillTint="33"/>
    </w:tcPr>
    <w:tblStylePr w:type="firstRow">
      <w:rPr>
        <w:b/>
        <w:bCs/>
      </w:rPr>
      <w:tblPr/>
      <w:tcPr>
        <w:shd w:val="clear" w:color="auto" w:fill="DDE2B0" w:themeFill="accent5" w:themeFillTint="66"/>
      </w:tcPr>
    </w:tblStylePr>
    <w:tblStylePr w:type="lastRow">
      <w:rPr>
        <w:b/>
        <w:bCs/>
        <w:color w:val="000000" w:themeColor="text1"/>
      </w:rPr>
      <w:tblPr/>
      <w:tcPr>
        <w:shd w:val="clear" w:color="auto" w:fill="DDE2B0" w:themeFill="accent5" w:themeFillTint="66"/>
      </w:tcPr>
    </w:tblStylePr>
    <w:tblStylePr w:type="firstCol">
      <w:rPr>
        <w:color w:val="FFFFFF" w:themeColor="background1"/>
      </w:rPr>
      <w:tblPr/>
      <w:tcPr>
        <w:shd w:val="clear" w:color="auto" w:fill="7C8630" w:themeFill="accent5" w:themeFillShade="BF"/>
      </w:tcPr>
    </w:tblStylePr>
    <w:tblStylePr w:type="lastCol">
      <w:rPr>
        <w:color w:val="FFFFFF" w:themeColor="background1"/>
      </w:rPr>
      <w:tblPr/>
      <w:tcPr>
        <w:shd w:val="clear" w:color="auto" w:fill="7C8630" w:themeFill="accent5" w:themeFillShade="BF"/>
      </w:tcPr>
    </w:tblStylePr>
    <w:tblStylePr w:type="band1Vert">
      <w:tblPr/>
      <w:tcPr>
        <w:shd w:val="clear" w:color="auto" w:fill="D4DC9D" w:themeFill="accent5" w:themeFillTint="7F"/>
      </w:tcPr>
    </w:tblStylePr>
    <w:tblStylePr w:type="band1Horz">
      <w:tblPr/>
      <w:tcPr>
        <w:shd w:val="clear" w:color="auto" w:fill="D4DC9D"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EB6" w:themeFill="accent6" w:themeFillTint="33"/>
    </w:tcPr>
    <w:tblStylePr w:type="firstRow">
      <w:rPr>
        <w:b/>
        <w:bCs/>
      </w:rPr>
      <w:tblPr/>
      <w:tcPr>
        <w:shd w:val="clear" w:color="auto" w:fill="FF7E6E" w:themeFill="accent6" w:themeFillTint="66"/>
      </w:tcPr>
    </w:tblStylePr>
    <w:tblStylePr w:type="lastRow">
      <w:rPr>
        <w:b/>
        <w:bCs/>
        <w:color w:val="000000" w:themeColor="text1"/>
      </w:rPr>
      <w:tblPr/>
      <w:tcPr>
        <w:shd w:val="clear" w:color="auto" w:fill="FF7E6E" w:themeFill="accent6" w:themeFillTint="66"/>
      </w:tcPr>
    </w:tblStylePr>
    <w:tblStylePr w:type="firstCol">
      <w:rPr>
        <w:color w:val="FFFFFF" w:themeColor="background1"/>
      </w:rPr>
      <w:tblPr/>
      <w:tcPr>
        <w:shd w:val="clear" w:color="auto" w:fill="6E0C00" w:themeFill="accent6" w:themeFillShade="BF"/>
      </w:tcPr>
    </w:tblStylePr>
    <w:tblStylePr w:type="lastCol">
      <w:rPr>
        <w:color w:val="FFFFFF" w:themeColor="background1"/>
      </w:rPr>
      <w:tblPr/>
      <w:tcPr>
        <w:shd w:val="clear" w:color="auto" w:fill="6E0C00" w:themeFill="accent6" w:themeFillShade="BF"/>
      </w:tcPr>
    </w:tblStylePr>
    <w:tblStylePr w:type="band1Vert">
      <w:tblPr/>
      <w:tcPr>
        <w:shd w:val="clear" w:color="auto" w:fill="FF5F4A" w:themeFill="accent6" w:themeFillTint="7F"/>
      </w:tcPr>
    </w:tblStylePr>
    <w:tblStylePr w:type="band1Horz">
      <w:tblPr/>
      <w:tcPr>
        <w:shd w:val="clear" w:color="auto" w:fill="FF5F4A" w:themeFill="accent6" w:themeFillTint="7F"/>
      </w:tcPr>
    </w:tblStylePr>
  </w:style>
  <w:style w:type="paragraph" w:styleId="FootnoteText">
    <w:name w:val="footnote text"/>
    <w:aliases w:val="Char,DFSListFootnote,DNV-FT,Footnote,Footnotetext"/>
    <w:basedOn w:val="Normal"/>
    <w:link w:val="FootnoteTextChar"/>
    <w:uiPriority w:val="99"/>
    <w:unhideWhenUsed/>
    <w:rsid w:val="009210F1"/>
    <w:pPr>
      <w:spacing w:after="0" w:line="240" w:lineRule="auto"/>
      <w:jc w:val="both"/>
    </w:pPr>
    <w:rPr>
      <w:rFonts w:eastAsiaTheme="minorHAnsi"/>
      <w:i/>
      <w:sz w:val="19"/>
      <w:szCs w:val="19"/>
      <w:lang w:val="nb-NO"/>
      <w14:ligatures w14:val="standardContextual"/>
    </w:rPr>
  </w:style>
  <w:style w:type="character" w:customStyle="1" w:styleId="FootnoteTextChar">
    <w:name w:val="Footnote Text Char"/>
    <w:aliases w:val="Char Char,DFSListFootnote Char,DNV-FT Char,Footnote Char,Footnotetext Char"/>
    <w:basedOn w:val="DefaultParagraphFont"/>
    <w:link w:val="FootnoteText"/>
    <w:uiPriority w:val="99"/>
    <w:rsid w:val="009210F1"/>
    <w:rPr>
      <w:rFonts w:eastAsiaTheme="minorHAnsi"/>
      <w:i/>
      <w:sz w:val="19"/>
      <w:szCs w:val="19"/>
      <w:lang w:val="nb-NO"/>
      <w14:ligatures w14:val="standardContextual"/>
    </w:rPr>
  </w:style>
  <w:style w:type="character" w:styleId="FootnoteReference">
    <w:name w:val="footnote reference"/>
    <w:basedOn w:val="DefaultParagraphFont"/>
    <w:uiPriority w:val="99"/>
    <w:unhideWhenUsed/>
    <w:qFormat/>
    <w:rsid w:val="009210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https://menonbusinesseconomics.sharepoint.com/sites/14763/Shared%20Documents/General/Data%20og%20analyse/Andre%20analyser/Eksportvekst_sammenligning_2024.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https://menonbusinesseconomics.sharepoint.com/sites/14763/Shared%20Documents/General/Data%20og%20analyse/Eksportdata/Resultater/Kommunefordeling/Kommunedata_manip_23.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https://menonbusinesseconomics.sharepoint.com/sites/14763/Shared%20Documents/General/Data%20og%20analyse/Ringvirkninger/Output/rvm_geografisk_fordeling.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https://menonbusinesseconomics.sharepoint.com/sites/14763/Shared%20Documents/General/Data%20og%20analyse/Multiconsult%20gr&#248;nn%20eksport/Multitall%20til%20Fornyba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menonbusinesseconomics.sharepoint.com/sites/14763/Shared%20Documents/General/Data%20og%20analyse/GR&#216;NT%20DYPDYKK/IRENA%20-%20renewable%20energy%20job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5.6088560885608853E-2"/>
          <c:y val="4.1666666666666664E-2"/>
          <c:w val="0.9182335764302525"/>
          <c:h val="0.77286635487404542"/>
        </c:manualLayout>
      </c:layout>
      <c:barChart>
        <c:barDir val="col"/>
        <c:grouping val="clustered"/>
        <c:varyColors val="0"/>
        <c:ser>
          <c:idx val="0"/>
          <c:order val="0"/>
          <c:tx>
            <c:strRef>
              <c:f>[Eksportvekst_sammenligning_2024.xlsx]Eksportvekst!$AG$47</c:f>
              <c:strCache>
                <c:ptCount val="1"/>
                <c:pt idx="0">
                  <c:v>Annualisert vekst siste 10 år</c:v>
                </c:pt>
              </c:strCache>
            </c:strRef>
          </c:tx>
          <c:spPr>
            <a:solidFill>
              <a:srgbClr val="395775"/>
            </a:solidFill>
            <a:ln>
              <a:noFill/>
            </a:ln>
            <a:effectLst/>
          </c:spPr>
          <c:invertIfNegative val="0"/>
          <c:dPt>
            <c:idx val="6"/>
            <c:invertIfNegative val="0"/>
            <c:bubble3D val="0"/>
            <c:spPr>
              <a:solidFill>
                <a:srgbClr val="395775"/>
              </a:solidFill>
              <a:ln>
                <a:noFill/>
              </a:ln>
              <a:effectLst/>
            </c:spPr>
            <c:extLst>
              <c:ext xmlns:c16="http://schemas.microsoft.com/office/drawing/2014/chart" uri="{C3380CC4-5D6E-409C-BE32-E72D297353CC}">
                <c16:uniqueId val="{00000001-A6EC-4DE9-9537-70D1FF283B7F}"/>
              </c:ext>
            </c:extLst>
          </c:dPt>
          <c:dPt>
            <c:idx val="7"/>
            <c:invertIfNegative val="0"/>
            <c:bubble3D val="0"/>
            <c:spPr>
              <a:solidFill>
                <a:srgbClr val="A6B340"/>
              </a:solidFill>
              <a:ln>
                <a:noFill/>
              </a:ln>
              <a:effectLst/>
            </c:spPr>
            <c:extLst>
              <c:ext xmlns:c16="http://schemas.microsoft.com/office/drawing/2014/chart" uri="{C3380CC4-5D6E-409C-BE32-E72D297353CC}">
                <c16:uniqueId val="{00000003-A6EC-4DE9-9537-70D1FF283B7F}"/>
              </c:ext>
            </c:extLst>
          </c:dPt>
          <c:cat>
            <c:strRef>
              <c:f>[Eksportvekst_sammenligning_2024.xlsx]Eksportvekst!$I$48:$I$55</c:f>
              <c:strCache>
                <c:ptCount val="8"/>
                <c:pt idx="0">
                  <c:v>Irland</c:v>
                </c:pt>
                <c:pt idx="1">
                  <c:v>Estland</c:v>
                </c:pt>
                <c:pt idx="2">
                  <c:v>Sverige</c:v>
                </c:pt>
                <c:pt idx="3">
                  <c:v>Nederland</c:v>
                </c:pt>
                <c:pt idx="4">
                  <c:v>Danmark</c:v>
                </c:pt>
                <c:pt idx="5">
                  <c:v>Sveits</c:v>
                </c:pt>
                <c:pt idx="6">
                  <c:v>Tyskland</c:v>
                </c:pt>
                <c:pt idx="7">
                  <c:v>Norge</c:v>
                </c:pt>
              </c:strCache>
            </c:strRef>
          </c:cat>
          <c:val>
            <c:numRef>
              <c:f>[Eksportvekst_sammenligning_2024.xlsx]Eksportvekst!$AG$48:$AG$55</c:f>
              <c:numCache>
                <c:formatCode>0.0%</c:formatCode>
                <c:ptCount val="8"/>
                <c:pt idx="0">
                  <c:v>0.12929137665588586</c:v>
                </c:pt>
                <c:pt idx="1">
                  <c:v>4.0472222947925518E-2</c:v>
                </c:pt>
                <c:pt idx="2">
                  <c:v>3.6853321893402846E-2</c:v>
                </c:pt>
                <c:pt idx="3">
                  <c:v>3.4903840608968562E-2</c:v>
                </c:pt>
                <c:pt idx="4">
                  <c:v>3.4001890369285359E-2</c:v>
                </c:pt>
                <c:pt idx="5">
                  <c:v>3.2101790112892825E-2</c:v>
                </c:pt>
                <c:pt idx="6">
                  <c:v>2.3585372368565505E-2</c:v>
                </c:pt>
                <c:pt idx="7">
                  <c:v>1.9715903765489262E-2</c:v>
                </c:pt>
              </c:numCache>
            </c:numRef>
          </c:val>
          <c:extLst>
            <c:ext xmlns:c16="http://schemas.microsoft.com/office/drawing/2014/chart" uri="{C3380CC4-5D6E-409C-BE32-E72D297353CC}">
              <c16:uniqueId val="{00000004-A6EC-4DE9-9537-70D1FF283B7F}"/>
            </c:ext>
          </c:extLst>
        </c:ser>
        <c:ser>
          <c:idx val="1"/>
          <c:order val="1"/>
          <c:tx>
            <c:strRef>
              <c:f>[Eksportvekst_sammenligning_2024.xlsx]Eksportvekst!$AH$47</c:f>
              <c:strCache>
                <c:ptCount val="1"/>
                <c:pt idx="0">
                  <c:v>Annualisert vekst siste 20 år</c:v>
                </c:pt>
              </c:strCache>
            </c:strRef>
          </c:tx>
          <c:spPr>
            <a:solidFill>
              <a:srgbClr val="395775">
                <a:lumMod val="20000"/>
                <a:lumOff val="80000"/>
              </a:srgbClr>
            </a:solidFill>
            <a:ln>
              <a:noFill/>
            </a:ln>
            <a:effectLst/>
          </c:spPr>
          <c:invertIfNegative val="0"/>
          <c:dPt>
            <c:idx val="6"/>
            <c:invertIfNegative val="0"/>
            <c:bubble3D val="0"/>
            <c:spPr>
              <a:solidFill>
                <a:srgbClr val="395775">
                  <a:lumMod val="20000"/>
                  <a:lumOff val="80000"/>
                </a:srgbClr>
              </a:solidFill>
              <a:ln>
                <a:noFill/>
              </a:ln>
              <a:effectLst/>
            </c:spPr>
            <c:extLst>
              <c:ext xmlns:c16="http://schemas.microsoft.com/office/drawing/2014/chart" uri="{C3380CC4-5D6E-409C-BE32-E72D297353CC}">
                <c16:uniqueId val="{00000006-A6EC-4DE9-9537-70D1FF283B7F}"/>
              </c:ext>
            </c:extLst>
          </c:dPt>
          <c:dPt>
            <c:idx val="7"/>
            <c:invertIfNegative val="0"/>
            <c:bubble3D val="0"/>
            <c:spPr>
              <a:solidFill>
                <a:srgbClr val="A6B340">
                  <a:lumMod val="20000"/>
                  <a:lumOff val="80000"/>
                </a:srgbClr>
              </a:solidFill>
              <a:ln>
                <a:noFill/>
              </a:ln>
              <a:effectLst/>
            </c:spPr>
            <c:extLst>
              <c:ext xmlns:c16="http://schemas.microsoft.com/office/drawing/2014/chart" uri="{C3380CC4-5D6E-409C-BE32-E72D297353CC}">
                <c16:uniqueId val="{00000008-A6EC-4DE9-9537-70D1FF283B7F}"/>
              </c:ext>
            </c:extLst>
          </c:dPt>
          <c:cat>
            <c:strRef>
              <c:f>[Eksportvekst_sammenligning_2024.xlsx]Eksportvekst!$I$48:$I$55</c:f>
              <c:strCache>
                <c:ptCount val="8"/>
                <c:pt idx="0">
                  <c:v>Irland</c:v>
                </c:pt>
                <c:pt idx="1">
                  <c:v>Estland</c:v>
                </c:pt>
                <c:pt idx="2">
                  <c:v>Sverige</c:v>
                </c:pt>
                <c:pt idx="3">
                  <c:v>Nederland</c:v>
                </c:pt>
                <c:pt idx="4">
                  <c:v>Danmark</c:v>
                </c:pt>
                <c:pt idx="5">
                  <c:v>Sveits</c:v>
                </c:pt>
                <c:pt idx="6">
                  <c:v>Tyskland</c:v>
                </c:pt>
                <c:pt idx="7">
                  <c:v>Norge</c:v>
                </c:pt>
              </c:strCache>
            </c:strRef>
          </c:cat>
          <c:val>
            <c:numRef>
              <c:f>[Eksportvekst_sammenligning_2024.xlsx]Eksportvekst!$AH$48:$AH$55</c:f>
              <c:numCache>
                <c:formatCode>0.0%</c:formatCode>
                <c:ptCount val="8"/>
                <c:pt idx="0">
                  <c:v>8.0388889707362576E-2</c:v>
                </c:pt>
                <c:pt idx="1">
                  <c:v>6.753648424504255E-2</c:v>
                </c:pt>
                <c:pt idx="2">
                  <c:v>3.8813773600827828E-2</c:v>
                </c:pt>
                <c:pt idx="3">
                  <c:v>3.6648005676239936E-2</c:v>
                </c:pt>
                <c:pt idx="4">
                  <c:v>3.1068619259625674E-2</c:v>
                </c:pt>
                <c:pt idx="5">
                  <c:v>3.793070256952169E-2</c:v>
                </c:pt>
                <c:pt idx="6">
                  <c:v>3.7352019448836593E-2</c:v>
                </c:pt>
                <c:pt idx="7">
                  <c:v>9.1929651370239451E-3</c:v>
                </c:pt>
              </c:numCache>
            </c:numRef>
          </c:val>
          <c:extLst>
            <c:ext xmlns:c16="http://schemas.microsoft.com/office/drawing/2014/chart" uri="{C3380CC4-5D6E-409C-BE32-E72D297353CC}">
              <c16:uniqueId val="{00000009-A6EC-4DE9-9537-70D1FF283B7F}"/>
            </c:ext>
          </c:extLst>
        </c:ser>
        <c:dLbls>
          <c:showLegendKey val="0"/>
          <c:showVal val="0"/>
          <c:showCatName val="0"/>
          <c:showSerName val="0"/>
          <c:showPercent val="0"/>
          <c:showBubbleSize val="0"/>
        </c:dLbls>
        <c:gapWidth val="150"/>
        <c:overlap val="-27"/>
        <c:axId val="507779472"/>
        <c:axId val="1120661424"/>
      </c:barChart>
      <c:catAx>
        <c:axId val="507779472"/>
        <c:scaling>
          <c:orientation val="minMax"/>
        </c:scaling>
        <c:delete val="0"/>
        <c:axPos val="b"/>
        <c:numFmt formatCode="General" sourceLinked="1"/>
        <c:majorTickMark val="none"/>
        <c:minorTickMark val="none"/>
        <c:tickLblPos val="low"/>
        <c:spPr>
          <a:noFill/>
          <a:ln w="9525" cap="flat" cmpd="sng" algn="ctr">
            <a:solidFill>
              <a:srgbClr val="000000">
                <a:lumMod val="85000"/>
                <a:lumOff val="15000"/>
              </a:srgb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120661424"/>
        <c:crosses val="autoZero"/>
        <c:auto val="1"/>
        <c:lblAlgn val="ctr"/>
        <c:lblOffset val="100"/>
        <c:noMultiLvlLbl val="0"/>
      </c:catAx>
      <c:valAx>
        <c:axId val="1120661424"/>
        <c:scaling>
          <c:orientation val="minMax"/>
        </c:scaling>
        <c:delete val="0"/>
        <c:axPos val="l"/>
        <c:numFmt formatCode="0%" sourceLinked="0"/>
        <c:majorTickMark val="in"/>
        <c:minorTickMark val="none"/>
        <c:tickLblPos val="nextTo"/>
        <c:spPr>
          <a:noFill/>
          <a:ln>
            <a:solidFill>
              <a:srgbClr val="000000">
                <a:lumMod val="85000"/>
                <a:lumOff val="15000"/>
              </a:srgb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507779472"/>
        <c:crosses val="autoZero"/>
        <c:crossBetween val="between"/>
      </c:valAx>
      <c:spPr>
        <a:noFill/>
        <a:ln>
          <a:noFill/>
        </a:ln>
        <a:effectLst/>
      </c:spPr>
    </c:plotArea>
    <c:legend>
      <c:legendPos val="b"/>
      <c:layout>
        <c:manualLayout>
          <c:xMode val="edge"/>
          <c:yMode val="edge"/>
          <c:x val="0.19607722959657606"/>
          <c:y val="0.90738745852907721"/>
          <c:w val="0.59461511081787322"/>
          <c:h val="7.486237506311267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showDLblsOverMax val="0"/>
    <c:extLst/>
  </c:chart>
  <c:spPr>
    <a:solidFill>
      <a:schemeClr val="bg1"/>
    </a:solidFill>
    <a:ln w="9525" cap="flat" cmpd="sng" algn="ctr">
      <a:noFill/>
      <a:round/>
    </a:ln>
    <a:effectLst/>
  </c:spPr>
  <c:txPr>
    <a:bodyPr/>
    <a:lstStyle/>
    <a:p>
      <a:pPr>
        <a:defRPr/>
      </a:pPr>
      <a:endParaRPr lang="nb-NO"/>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tx>
            <c:strRef>
              <c:f>'Nye fylker'!$F$103</c:f>
              <c:strCache>
                <c:ptCount val="1"/>
                <c:pt idx="0">
                  <c:v>Eksport per sysselsatt</c:v>
                </c:pt>
              </c:strCache>
            </c:strRef>
          </c:tx>
          <c:spPr>
            <a:solidFill>
              <a:srgbClr val="395775"/>
            </a:solidFill>
            <a:ln>
              <a:noFill/>
            </a:ln>
            <a:effectLst/>
          </c:spPr>
          <c:invertIfNegative val="0"/>
          <c:dLbls>
            <c:delete val="1"/>
          </c:dLbls>
          <c:cat>
            <c:strRef>
              <c:f>'Nye fylker'!$E$104:$E$118</c:f>
              <c:strCache>
                <c:ptCount val="15"/>
                <c:pt idx="0">
                  <c:v>Innlandet</c:v>
                </c:pt>
                <c:pt idx="1">
                  <c:v>Buskerud</c:v>
                </c:pt>
                <c:pt idx="2">
                  <c:v>Akershus</c:v>
                </c:pt>
                <c:pt idx="3">
                  <c:v>Østfold</c:v>
                </c:pt>
                <c:pt idx="4">
                  <c:v>Vestfold</c:v>
                </c:pt>
                <c:pt idx="5">
                  <c:v>Trøndelag</c:v>
                </c:pt>
                <c:pt idx="6">
                  <c:v>Agder</c:v>
                </c:pt>
                <c:pt idx="7">
                  <c:v>Troms</c:v>
                </c:pt>
                <c:pt idx="8">
                  <c:v>Oslo</c:v>
                </c:pt>
                <c:pt idx="9">
                  <c:v>Telemark</c:v>
                </c:pt>
                <c:pt idx="10">
                  <c:v>Finnmark</c:v>
                </c:pt>
                <c:pt idx="11">
                  <c:v>Rogaland</c:v>
                </c:pt>
                <c:pt idx="12">
                  <c:v>Nordland</c:v>
                </c:pt>
                <c:pt idx="13">
                  <c:v>Vestland</c:v>
                </c:pt>
                <c:pt idx="14">
                  <c:v>Møre og Romsdal</c:v>
                </c:pt>
              </c:strCache>
            </c:strRef>
          </c:cat>
          <c:val>
            <c:numRef>
              <c:f>'Nye fylker'!$F$104:$F$118</c:f>
              <c:numCache>
                <c:formatCode>_-* #\ ##0_-;\-* #\ ##0_-;_-* "-"??_-;_-@_-</c:formatCode>
                <c:ptCount val="15"/>
                <c:pt idx="0">
                  <c:v>157.59419290489166</c:v>
                </c:pt>
                <c:pt idx="1">
                  <c:v>221.42564476093884</c:v>
                </c:pt>
                <c:pt idx="2">
                  <c:v>246.78010953905542</c:v>
                </c:pt>
                <c:pt idx="3">
                  <c:v>256.14062700912285</c:v>
                </c:pt>
                <c:pt idx="4">
                  <c:v>270.86029239955388</c:v>
                </c:pt>
                <c:pt idx="5">
                  <c:v>304.73267339720775</c:v>
                </c:pt>
                <c:pt idx="6">
                  <c:v>317.61165141809323</c:v>
                </c:pt>
                <c:pt idx="7">
                  <c:v>336.43592561321162</c:v>
                </c:pt>
                <c:pt idx="8">
                  <c:v>366.45762797244328</c:v>
                </c:pt>
                <c:pt idx="9">
                  <c:v>386.60738409734637</c:v>
                </c:pt>
                <c:pt idx="10">
                  <c:v>443.99544402136593</c:v>
                </c:pt>
                <c:pt idx="11">
                  <c:v>541.87306952956453</c:v>
                </c:pt>
                <c:pt idx="12">
                  <c:v>604.21193680298472</c:v>
                </c:pt>
                <c:pt idx="13">
                  <c:v>707.75488686258518</c:v>
                </c:pt>
                <c:pt idx="14">
                  <c:v>743.30970664511517</c:v>
                </c:pt>
              </c:numCache>
            </c:numRef>
          </c:val>
          <c:extLst>
            <c:ext xmlns:c16="http://schemas.microsoft.com/office/drawing/2014/chart" uri="{C3380CC4-5D6E-409C-BE32-E72D297353CC}">
              <c16:uniqueId val="{00000000-8BC9-47B3-99D0-B12F9DCB8E88}"/>
            </c:ext>
          </c:extLst>
        </c:ser>
        <c:dLbls>
          <c:dLblPos val="outEnd"/>
          <c:showLegendKey val="0"/>
          <c:showVal val="1"/>
          <c:showCatName val="0"/>
          <c:showSerName val="0"/>
          <c:showPercent val="0"/>
          <c:showBubbleSize val="0"/>
        </c:dLbls>
        <c:gapWidth val="50"/>
        <c:axId val="1709825567"/>
        <c:axId val="1716210703"/>
      </c:barChart>
      <c:catAx>
        <c:axId val="1709825567"/>
        <c:scaling>
          <c:orientation val="minMax"/>
        </c:scaling>
        <c:delete val="0"/>
        <c:axPos val="l"/>
        <c:numFmt formatCode="General" sourceLinked="1"/>
        <c:majorTickMark val="none"/>
        <c:minorTickMark val="none"/>
        <c:tickLblPos val="nextTo"/>
        <c:spPr>
          <a:noFill/>
          <a:ln w="9525" cap="flat" cmpd="sng" algn="ctr">
            <a:solidFill>
              <a:srgbClr val="000000">
                <a:lumMod val="85000"/>
                <a:lumOff val="15000"/>
              </a:srgb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716210703"/>
        <c:crosses val="autoZero"/>
        <c:auto val="1"/>
        <c:lblAlgn val="ctr"/>
        <c:lblOffset val="100"/>
        <c:noMultiLvlLbl val="0"/>
      </c:catAx>
      <c:valAx>
        <c:axId val="17162107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b-NO"/>
                  <a:t>Tusen kroner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0" sourceLinked="0"/>
        <c:majorTickMark val="in"/>
        <c:minorTickMark val="none"/>
        <c:tickLblPos val="nextTo"/>
        <c:spPr>
          <a:noFill/>
          <a:ln>
            <a:solidFill>
              <a:srgbClr val="000000">
                <a:lumMod val="85000"/>
                <a:lumOff val="15000"/>
              </a:srgb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709825567"/>
        <c:crosses val="autoZero"/>
        <c:crossBetween val="between"/>
        <c:majorUnit val="100"/>
      </c:valAx>
      <c:spPr>
        <a:noFill/>
        <a:ln>
          <a:noFill/>
        </a:ln>
        <a:effectLst/>
      </c:spPr>
    </c:plotArea>
    <c:plotVisOnly val="1"/>
    <c:dispBlanksAs val="gap"/>
    <c:showDLblsOverMax val="0"/>
    <c:extLst/>
  </c:chart>
  <c:spPr>
    <a:solidFill>
      <a:schemeClr val="bg1"/>
    </a:solidFill>
    <a:ln w="9525" cap="flat" cmpd="sng" algn="ctr">
      <a:noFill/>
      <a:round/>
    </a:ln>
    <a:effectLst/>
  </c:spPr>
  <c:txPr>
    <a:bodyPr/>
    <a:lstStyle/>
    <a:p>
      <a:pPr>
        <a:defRPr/>
      </a:pPr>
      <a:endParaRPr lang="nb-NO"/>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7969510977610715E-2"/>
          <c:y val="5.0056882821387941E-2"/>
          <c:w val="0.88777470070926912"/>
          <c:h val="0.6330264348355773"/>
        </c:manualLayout>
      </c:layout>
      <c:barChart>
        <c:barDir val="col"/>
        <c:grouping val="stacked"/>
        <c:varyColors val="0"/>
        <c:ser>
          <c:idx val="0"/>
          <c:order val="0"/>
          <c:tx>
            <c:strRef>
              <c:f>'[rvm_geografisk_fordeling.xlsx]Sys uten OG'!$AC$53</c:f>
              <c:strCache>
                <c:ptCount val="1"/>
                <c:pt idx="0">
                  <c:v>Direkte</c:v>
                </c:pt>
              </c:strCache>
            </c:strRef>
          </c:tx>
          <c:spPr>
            <a:solidFill>
              <a:schemeClr val="accent1"/>
            </a:solidFill>
            <a:ln>
              <a:noFill/>
            </a:ln>
            <a:effectLst/>
          </c:spPr>
          <c:invertIfNegative val="0"/>
          <c:cat>
            <c:strRef>
              <c:f>'[rvm_geografisk_fordeling.xlsx]Sys uten OG'!$AB$54:$AB$68</c:f>
              <c:strCache>
                <c:ptCount val="15"/>
                <c:pt idx="0">
                  <c:v>Oslo</c:v>
                </c:pt>
                <c:pt idx="1">
                  <c:v>Vestland</c:v>
                </c:pt>
                <c:pt idx="2">
                  <c:v>Akershus</c:v>
                </c:pt>
                <c:pt idx="3">
                  <c:v>Rogaland</c:v>
                </c:pt>
                <c:pt idx="4">
                  <c:v>Trøndelag</c:v>
                </c:pt>
                <c:pt idx="5">
                  <c:v>Møre og Romsdal</c:v>
                </c:pt>
                <c:pt idx="6">
                  <c:v>Innlandet</c:v>
                </c:pt>
                <c:pt idx="7">
                  <c:v>Buskerud</c:v>
                </c:pt>
                <c:pt idx="8">
                  <c:v>Østfold</c:v>
                </c:pt>
                <c:pt idx="9">
                  <c:v>Nordland</c:v>
                </c:pt>
                <c:pt idx="10">
                  <c:v>Agder</c:v>
                </c:pt>
                <c:pt idx="11">
                  <c:v>Vestfold</c:v>
                </c:pt>
                <c:pt idx="12">
                  <c:v>Telemark</c:v>
                </c:pt>
                <c:pt idx="13">
                  <c:v>Troms</c:v>
                </c:pt>
                <c:pt idx="14">
                  <c:v>Finnmark</c:v>
                </c:pt>
              </c:strCache>
            </c:strRef>
          </c:cat>
          <c:val>
            <c:numRef>
              <c:f>'[rvm_geografisk_fordeling.xlsx]Sys uten OG'!$AC$54:$AC$68</c:f>
              <c:numCache>
                <c:formatCode>General</c:formatCode>
                <c:ptCount val="15"/>
                <c:pt idx="0">
                  <c:v>41025.597351444718</c:v>
                </c:pt>
                <c:pt idx="1">
                  <c:v>35883.546700632774</c:v>
                </c:pt>
                <c:pt idx="2">
                  <c:v>19450.719370250779</c:v>
                </c:pt>
                <c:pt idx="3">
                  <c:v>23644.394877891657</c:v>
                </c:pt>
                <c:pt idx="4">
                  <c:v>18000.7550704198</c:v>
                </c:pt>
                <c:pt idx="5">
                  <c:v>17511.256925443286</c:v>
                </c:pt>
                <c:pt idx="6">
                  <c:v>10556.049566722451</c:v>
                </c:pt>
                <c:pt idx="7">
                  <c:v>9225.8774750834818</c:v>
                </c:pt>
                <c:pt idx="8">
                  <c:v>10921.008551341625</c:v>
                </c:pt>
                <c:pt idx="9">
                  <c:v>12963.665149167695</c:v>
                </c:pt>
                <c:pt idx="10">
                  <c:v>10220.72217695138</c:v>
                </c:pt>
                <c:pt idx="11">
                  <c:v>6496.4513720604336</c:v>
                </c:pt>
                <c:pt idx="12">
                  <c:v>6230.3268988242362</c:v>
                </c:pt>
                <c:pt idx="13">
                  <c:v>7654.327489058147</c:v>
                </c:pt>
                <c:pt idx="14">
                  <c:v>4159.3010247072471</c:v>
                </c:pt>
              </c:numCache>
            </c:numRef>
          </c:val>
          <c:extLst>
            <c:ext xmlns:c16="http://schemas.microsoft.com/office/drawing/2014/chart" uri="{C3380CC4-5D6E-409C-BE32-E72D297353CC}">
              <c16:uniqueId val="{00000000-8421-49E7-B87E-AA5929D8F58A}"/>
            </c:ext>
          </c:extLst>
        </c:ser>
        <c:ser>
          <c:idx val="1"/>
          <c:order val="1"/>
          <c:tx>
            <c:strRef>
              <c:f>'[rvm_geografisk_fordeling.xlsx]Sys uten OG'!$AD$53</c:f>
              <c:strCache>
                <c:ptCount val="1"/>
                <c:pt idx="0">
                  <c:v>Indirekte</c:v>
                </c:pt>
              </c:strCache>
            </c:strRef>
          </c:tx>
          <c:spPr>
            <a:solidFill>
              <a:srgbClr val="395775">
                <a:lumMod val="40000"/>
                <a:lumOff val="60000"/>
              </a:srgbClr>
            </a:solidFill>
            <a:ln>
              <a:noFill/>
            </a:ln>
            <a:effectLst/>
          </c:spPr>
          <c:invertIfNegative val="0"/>
          <c:cat>
            <c:strRef>
              <c:f>'[rvm_geografisk_fordeling.xlsx]Sys uten OG'!$AB$54:$AB$68</c:f>
              <c:strCache>
                <c:ptCount val="15"/>
                <c:pt idx="0">
                  <c:v>Oslo</c:v>
                </c:pt>
                <c:pt idx="1">
                  <c:v>Vestland</c:v>
                </c:pt>
                <c:pt idx="2">
                  <c:v>Akershus</c:v>
                </c:pt>
                <c:pt idx="3">
                  <c:v>Rogaland</c:v>
                </c:pt>
                <c:pt idx="4">
                  <c:v>Trøndelag</c:v>
                </c:pt>
                <c:pt idx="5">
                  <c:v>Møre og Romsdal</c:v>
                </c:pt>
                <c:pt idx="6">
                  <c:v>Innlandet</c:v>
                </c:pt>
                <c:pt idx="7">
                  <c:v>Buskerud</c:v>
                </c:pt>
                <c:pt idx="8">
                  <c:v>Østfold</c:v>
                </c:pt>
                <c:pt idx="9">
                  <c:v>Nordland</c:v>
                </c:pt>
                <c:pt idx="10">
                  <c:v>Agder</c:v>
                </c:pt>
                <c:pt idx="11">
                  <c:v>Vestfold</c:v>
                </c:pt>
                <c:pt idx="12">
                  <c:v>Telemark</c:v>
                </c:pt>
                <c:pt idx="13">
                  <c:v>Troms</c:v>
                </c:pt>
                <c:pt idx="14">
                  <c:v>Finnmark</c:v>
                </c:pt>
              </c:strCache>
            </c:strRef>
          </c:cat>
          <c:val>
            <c:numRef>
              <c:f>'[rvm_geografisk_fordeling.xlsx]Sys uten OG'!$AD$54:$AD$68</c:f>
              <c:numCache>
                <c:formatCode>General</c:formatCode>
                <c:ptCount val="15"/>
                <c:pt idx="0">
                  <c:v>34996.218160171862</c:v>
                </c:pt>
                <c:pt idx="1">
                  <c:v>22509.384929588563</c:v>
                </c:pt>
                <c:pt idx="2">
                  <c:v>33080.176416593495</c:v>
                </c:pt>
                <c:pt idx="3">
                  <c:v>22465.145932457413</c:v>
                </c:pt>
                <c:pt idx="4">
                  <c:v>15239.064512846517</c:v>
                </c:pt>
                <c:pt idx="5">
                  <c:v>12050.785964235325</c:v>
                </c:pt>
                <c:pt idx="6">
                  <c:v>14584.315878731832</c:v>
                </c:pt>
                <c:pt idx="7">
                  <c:v>12301.845089405611</c:v>
                </c:pt>
                <c:pt idx="8">
                  <c:v>10206.090903175136</c:v>
                </c:pt>
                <c:pt idx="9">
                  <c:v>7539.074192383644</c:v>
                </c:pt>
                <c:pt idx="10">
                  <c:v>9584.9305974290764</c:v>
                </c:pt>
                <c:pt idx="11">
                  <c:v>9738.3565346713822</c:v>
                </c:pt>
                <c:pt idx="12">
                  <c:v>6379.1077426632373</c:v>
                </c:pt>
                <c:pt idx="13">
                  <c:v>3959.1469630457145</c:v>
                </c:pt>
                <c:pt idx="14">
                  <c:v>1973.8935363824883</c:v>
                </c:pt>
              </c:numCache>
            </c:numRef>
          </c:val>
          <c:extLst>
            <c:ext xmlns:c16="http://schemas.microsoft.com/office/drawing/2014/chart" uri="{C3380CC4-5D6E-409C-BE32-E72D297353CC}">
              <c16:uniqueId val="{00000001-8421-49E7-B87E-AA5929D8F58A}"/>
            </c:ext>
          </c:extLst>
        </c:ser>
        <c:dLbls>
          <c:showLegendKey val="0"/>
          <c:showVal val="0"/>
          <c:showCatName val="0"/>
          <c:showSerName val="0"/>
          <c:showPercent val="0"/>
          <c:showBubbleSize val="0"/>
        </c:dLbls>
        <c:gapWidth val="50"/>
        <c:overlap val="100"/>
        <c:axId val="119169392"/>
        <c:axId val="119186864"/>
      </c:barChart>
      <c:catAx>
        <c:axId val="119169392"/>
        <c:scaling>
          <c:orientation val="minMax"/>
        </c:scaling>
        <c:delete val="0"/>
        <c:axPos val="b"/>
        <c:numFmt formatCode="General" sourceLinked="1"/>
        <c:majorTickMark val="none"/>
        <c:minorTickMark val="none"/>
        <c:tickLblPos val="low"/>
        <c:spPr>
          <a:noFill/>
          <a:ln w="9525" cap="flat" cmpd="sng" algn="ctr">
            <a:solidFill>
              <a:srgbClr val="000000">
                <a:lumMod val="85000"/>
                <a:lumOff val="15000"/>
              </a:srgb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19186864"/>
        <c:crosses val="autoZero"/>
        <c:auto val="1"/>
        <c:lblAlgn val="ctr"/>
        <c:lblOffset val="100"/>
        <c:noMultiLvlLbl val="0"/>
      </c:catAx>
      <c:valAx>
        <c:axId val="119186864"/>
        <c:scaling>
          <c:orientation val="minMax"/>
        </c:scaling>
        <c:delete val="0"/>
        <c:axPos val="l"/>
        <c:numFmt formatCode="#,##0" sourceLinked="0"/>
        <c:majorTickMark val="in"/>
        <c:minorTickMark val="none"/>
        <c:tickLblPos val="nextTo"/>
        <c:spPr>
          <a:noFill/>
          <a:ln>
            <a:solidFill>
              <a:srgbClr val="000000">
                <a:lumMod val="85000"/>
                <a:lumOff val="15000"/>
              </a:srgb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19169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showDLblsOverMax val="0"/>
    <c:extLst/>
  </c:chart>
  <c:spPr>
    <a:solidFill>
      <a:schemeClr val="bg1"/>
    </a:solidFill>
    <a:ln w="9525" cap="flat" cmpd="sng" algn="ctr">
      <a:noFill/>
      <a:round/>
    </a:ln>
    <a:effectLst/>
  </c:spPr>
  <c:txPr>
    <a:bodyPr/>
    <a:lstStyle/>
    <a:p>
      <a:pPr>
        <a:defRPr/>
      </a:pPr>
      <a:endParaRPr lang="nb-NO"/>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90800654868637"/>
          <c:y val="5.8666666666666666E-2"/>
          <c:w val="0.80111795431511645"/>
          <c:h val="0.58496624207071313"/>
        </c:manualLayout>
      </c:layout>
      <c:barChart>
        <c:barDir val="col"/>
        <c:grouping val="stacked"/>
        <c:varyColors val="0"/>
        <c:ser>
          <c:idx val="0"/>
          <c:order val="0"/>
          <c:tx>
            <c:strRef>
              <c:f>Tidsserier!$K$5</c:f>
              <c:strCache>
                <c:ptCount val="1"/>
                <c:pt idx="0">
                  <c:v>Havbasert vind</c:v>
                </c:pt>
              </c:strCache>
            </c:strRef>
          </c:tx>
          <c:spPr>
            <a:solidFill>
              <a:schemeClr val="accent1">
                <a:lumMod val="60000"/>
                <a:lumOff val="40000"/>
              </a:schemeClr>
            </a:solidFill>
            <a:ln>
              <a:noFill/>
            </a:ln>
            <a:effectLst/>
          </c:spPr>
          <c:invertIfNegative val="0"/>
          <c:cat>
            <c:numRef>
              <c:f>Tidsserier!$L$4:$P$4</c:f>
              <c:numCache>
                <c:formatCode>General</c:formatCode>
                <c:ptCount val="5"/>
                <c:pt idx="0">
                  <c:v>2018</c:v>
                </c:pt>
                <c:pt idx="1">
                  <c:v>2019</c:v>
                </c:pt>
                <c:pt idx="2">
                  <c:v>2020</c:v>
                </c:pt>
                <c:pt idx="3">
                  <c:v>2021</c:v>
                </c:pt>
                <c:pt idx="4">
                  <c:v>2022</c:v>
                </c:pt>
              </c:numCache>
            </c:numRef>
          </c:cat>
          <c:val>
            <c:numRef>
              <c:f>Tidsserier!$L$5:$P$5</c:f>
              <c:numCache>
                <c:formatCode>General</c:formatCode>
                <c:ptCount val="5"/>
                <c:pt idx="0">
                  <c:v>4.4000000000000004</c:v>
                </c:pt>
                <c:pt idx="1">
                  <c:v>5.3</c:v>
                </c:pt>
                <c:pt idx="2">
                  <c:v>7.6</c:v>
                </c:pt>
                <c:pt idx="3">
                  <c:v>11.4</c:v>
                </c:pt>
                <c:pt idx="4">
                  <c:v>12</c:v>
                </c:pt>
              </c:numCache>
            </c:numRef>
          </c:val>
          <c:extLst>
            <c:ext xmlns:c16="http://schemas.microsoft.com/office/drawing/2014/chart" uri="{C3380CC4-5D6E-409C-BE32-E72D297353CC}">
              <c16:uniqueId val="{00000000-FE57-4283-A112-D70DD4203692}"/>
            </c:ext>
          </c:extLst>
        </c:ser>
        <c:ser>
          <c:idx val="1"/>
          <c:order val="1"/>
          <c:tx>
            <c:strRef>
              <c:f>Tidsserier!$K$6</c:f>
              <c:strCache>
                <c:ptCount val="1"/>
                <c:pt idx="0">
                  <c:v>Solenergi</c:v>
                </c:pt>
              </c:strCache>
            </c:strRef>
          </c:tx>
          <c:spPr>
            <a:solidFill>
              <a:schemeClr val="accent5"/>
            </a:solidFill>
            <a:ln>
              <a:noFill/>
            </a:ln>
            <a:effectLst/>
          </c:spPr>
          <c:invertIfNegative val="0"/>
          <c:cat>
            <c:numRef>
              <c:f>Tidsserier!$L$4:$P$4</c:f>
              <c:numCache>
                <c:formatCode>General</c:formatCode>
                <c:ptCount val="5"/>
                <c:pt idx="0">
                  <c:v>2018</c:v>
                </c:pt>
                <c:pt idx="1">
                  <c:v>2019</c:v>
                </c:pt>
                <c:pt idx="2">
                  <c:v>2020</c:v>
                </c:pt>
                <c:pt idx="3">
                  <c:v>2021</c:v>
                </c:pt>
                <c:pt idx="4">
                  <c:v>2022</c:v>
                </c:pt>
              </c:numCache>
            </c:numRef>
          </c:cat>
          <c:val>
            <c:numRef>
              <c:f>Tidsserier!$L$6:$P$6</c:f>
              <c:numCache>
                <c:formatCode>General</c:formatCode>
                <c:ptCount val="5"/>
                <c:pt idx="0">
                  <c:v>2.5</c:v>
                </c:pt>
                <c:pt idx="1">
                  <c:v>2.4</c:v>
                </c:pt>
                <c:pt idx="2">
                  <c:v>2.2000000000000002</c:v>
                </c:pt>
                <c:pt idx="3">
                  <c:v>2.8</c:v>
                </c:pt>
                <c:pt idx="4">
                  <c:v>3.6</c:v>
                </c:pt>
              </c:numCache>
            </c:numRef>
          </c:val>
          <c:extLst>
            <c:ext xmlns:c16="http://schemas.microsoft.com/office/drawing/2014/chart" uri="{C3380CC4-5D6E-409C-BE32-E72D297353CC}">
              <c16:uniqueId val="{00000001-FE57-4283-A112-D70DD4203692}"/>
            </c:ext>
          </c:extLst>
        </c:ser>
        <c:ser>
          <c:idx val="2"/>
          <c:order val="2"/>
          <c:tx>
            <c:strRef>
              <c:f>Tidsserier!$K$7</c:f>
              <c:strCache>
                <c:ptCount val="1"/>
                <c:pt idx="0">
                  <c:v>Landbasert vind</c:v>
                </c:pt>
              </c:strCache>
            </c:strRef>
          </c:tx>
          <c:spPr>
            <a:solidFill>
              <a:schemeClr val="accent1">
                <a:lumMod val="20000"/>
                <a:lumOff val="80000"/>
              </a:schemeClr>
            </a:solidFill>
            <a:ln>
              <a:noFill/>
            </a:ln>
            <a:effectLst/>
          </c:spPr>
          <c:invertIfNegative val="0"/>
          <c:cat>
            <c:numRef>
              <c:f>Tidsserier!$L$4:$P$4</c:f>
              <c:numCache>
                <c:formatCode>General</c:formatCode>
                <c:ptCount val="5"/>
                <c:pt idx="0">
                  <c:v>2018</c:v>
                </c:pt>
                <c:pt idx="1">
                  <c:v>2019</c:v>
                </c:pt>
                <c:pt idx="2">
                  <c:v>2020</c:v>
                </c:pt>
                <c:pt idx="3">
                  <c:v>2021</c:v>
                </c:pt>
                <c:pt idx="4">
                  <c:v>2022</c:v>
                </c:pt>
              </c:numCache>
            </c:numRef>
          </c:cat>
          <c:val>
            <c:numRef>
              <c:f>Tidsserier!$L$7:$P$7</c:f>
              <c:numCache>
                <c:formatCode>General</c:formatCode>
                <c:ptCount val="5"/>
                <c:pt idx="0">
                  <c:v>1.2</c:v>
                </c:pt>
                <c:pt idx="1">
                  <c:v>1</c:v>
                </c:pt>
                <c:pt idx="2">
                  <c:v>1.4</c:v>
                </c:pt>
                <c:pt idx="3">
                  <c:v>1.7</c:v>
                </c:pt>
                <c:pt idx="4">
                  <c:v>1.9</c:v>
                </c:pt>
              </c:numCache>
            </c:numRef>
          </c:val>
          <c:extLst>
            <c:ext xmlns:c16="http://schemas.microsoft.com/office/drawing/2014/chart" uri="{C3380CC4-5D6E-409C-BE32-E72D297353CC}">
              <c16:uniqueId val="{00000002-FE57-4283-A112-D70DD4203692}"/>
            </c:ext>
          </c:extLst>
        </c:ser>
        <c:ser>
          <c:idx val="3"/>
          <c:order val="3"/>
          <c:tx>
            <c:strRef>
              <c:f>Tidsserier!$K$8</c:f>
              <c:strCache>
                <c:ptCount val="1"/>
                <c:pt idx="0">
                  <c:v>Vannkraft</c:v>
                </c:pt>
              </c:strCache>
            </c:strRef>
          </c:tx>
          <c:spPr>
            <a:solidFill>
              <a:schemeClr val="accent1"/>
            </a:solidFill>
            <a:ln>
              <a:noFill/>
            </a:ln>
            <a:effectLst/>
          </c:spPr>
          <c:invertIfNegative val="0"/>
          <c:cat>
            <c:numRef>
              <c:f>Tidsserier!$L$4:$P$4</c:f>
              <c:numCache>
                <c:formatCode>General</c:formatCode>
                <c:ptCount val="5"/>
                <c:pt idx="0">
                  <c:v>2018</c:v>
                </c:pt>
                <c:pt idx="1">
                  <c:v>2019</c:v>
                </c:pt>
                <c:pt idx="2">
                  <c:v>2020</c:v>
                </c:pt>
                <c:pt idx="3">
                  <c:v>2021</c:v>
                </c:pt>
                <c:pt idx="4">
                  <c:v>2022</c:v>
                </c:pt>
              </c:numCache>
            </c:numRef>
          </c:cat>
          <c:val>
            <c:numRef>
              <c:f>Tidsserier!$L$8:$P$8</c:f>
              <c:numCache>
                <c:formatCode>General</c:formatCode>
                <c:ptCount val="5"/>
                <c:pt idx="0">
                  <c:v>0.9</c:v>
                </c:pt>
                <c:pt idx="1">
                  <c:v>0.8</c:v>
                </c:pt>
                <c:pt idx="2">
                  <c:v>0.7</c:v>
                </c:pt>
                <c:pt idx="3">
                  <c:v>0.7</c:v>
                </c:pt>
                <c:pt idx="4">
                  <c:v>0.6</c:v>
                </c:pt>
              </c:numCache>
            </c:numRef>
          </c:val>
          <c:extLst>
            <c:ext xmlns:c16="http://schemas.microsoft.com/office/drawing/2014/chart" uri="{C3380CC4-5D6E-409C-BE32-E72D297353CC}">
              <c16:uniqueId val="{00000003-FE57-4283-A112-D70DD4203692}"/>
            </c:ext>
          </c:extLst>
        </c:ser>
        <c:ser>
          <c:idx val="4"/>
          <c:order val="4"/>
          <c:tx>
            <c:strRef>
              <c:f>Tidsserier!$K$9</c:f>
              <c:strCache>
                <c:ptCount val="1"/>
                <c:pt idx="0">
                  <c:v>Bioenergi</c:v>
                </c:pt>
              </c:strCache>
            </c:strRef>
          </c:tx>
          <c:spPr>
            <a:solidFill>
              <a:schemeClr val="tx2"/>
            </a:solidFill>
            <a:ln>
              <a:noFill/>
            </a:ln>
            <a:effectLst/>
          </c:spPr>
          <c:invertIfNegative val="0"/>
          <c:cat>
            <c:numRef>
              <c:f>Tidsserier!$L$4:$P$4</c:f>
              <c:numCache>
                <c:formatCode>General</c:formatCode>
                <c:ptCount val="5"/>
                <c:pt idx="0">
                  <c:v>2018</c:v>
                </c:pt>
                <c:pt idx="1">
                  <c:v>2019</c:v>
                </c:pt>
                <c:pt idx="2">
                  <c:v>2020</c:v>
                </c:pt>
                <c:pt idx="3">
                  <c:v>2021</c:v>
                </c:pt>
                <c:pt idx="4">
                  <c:v>2022</c:v>
                </c:pt>
              </c:numCache>
            </c:numRef>
          </c:cat>
          <c:val>
            <c:numRef>
              <c:f>Tidsserier!$L$9:$P$9</c:f>
              <c:numCache>
                <c:formatCode>General</c:formatCode>
                <c:ptCount val="5"/>
                <c:pt idx="0">
                  <c:v>0.2</c:v>
                </c:pt>
                <c:pt idx="1">
                  <c:v>0.2</c:v>
                </c:pt>
                <c:pt idx="2">
                  <c:v>0.4</c:v>
                </c:pt>
                <c:pt idx="3">
                  <c:v>0.5</c:v>
                </c:pt>
                <c:pt idx="4">
                  <c:v>0.5</c:v>
                </c:pt>
              </c:numCache>
            </c:numRef>
          </c:val>
          <c:extLst>
            <c:ext xmlns:c16="http://schemas.microsoft.com/office/drawing/2014/chart" uri="{C3380CC4-5D6E-409C-BE32-E72D297353CC}">
              <c16:uniqueId val="{00000004-FE57-4283-A112-D70DD4203692}"/>
            </c:ext>
          </c:extLst>
        </c:ser>
        <c:dLbls>
          <c:showLegendKey val="0"/>
          <c:showVal val="0"/>
          <c:showCatName val="0"/>
          <c:showSerName val="0"/>
          <c:showPercent val="0"/>
          <c:showBubbleSize val="0"/>
        </c:dLbls>
        <c:gapWidth val="50"/>
        <c:overlap val="100"/>
        <c:axId val="1605681408"/>
        <c:axId val="1535845120"/>
      </c:barChart>
      <c:lineChart>
        <c:grouping val="stacked"/>
        <c:varyColors val="0"/>
        <c:ser>
          <c:idx val="5"/>
          <c:order val="5"/>
          <c:tx>
            <c:strRef>
              <c:f>Tidsserier!$K$10</c:f>
              <c:strCache>
                <c:ptCount val="1"/>
                <c:pt idx="0">
                  <c:v>Total</c:v>
                </c:pt>
              </c:strCache>
            </c:strRef>
          </c:tx>
          <c:spPr>
            <a:ln w="28575" cap="rnd">
              <a:noFill/>
              <a:round/>
            </a:ln>
            <a:effectLst/>
          </c:spPr>
          <c:marker>
            <c:symbol val="circle"/>
            <c:size val="5"/>
            <c:spPr>
              <a:noFill/>
              <a:ln w="9525">
                <a:noFill/>
              </a:ln>
              <a:effectLst/>
            </c:spPr>
          </c:marker>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nb-N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Tidsserier!$L$4:$P$4</c:f>
              <c:numCache>
                <c:formatCode>General</c:formatCode>
                <c:ptCount val="5"/>
                <c:pt idx="0">
                  <c:v>2018</c:v>
                </c:pt>
                <c:pt idx="1">
                  <c:v>2019</c:v>
                </c:pt>
                <c:pt idx="2">
                  <c:v>2020</c:v>
                </c:pt>
                <c:pt idx="3">
                  <c:v>2021</c:v>
                </c:pt>
                <c:pt idx="4">
                  <c:v>2022</c:v>
                </c:pt>
              </c:numCache>
            </c:numRef>
          </c:cat>
          <c:val>
            <c:numRef>
              <c:f>Tidsserier!$L$10:$P$10</c:f>
              <c:numCache>
                <c:formatCode>General</c:formatCode>
                <c:ptCount val="5"/>
                <c:pt idx="0">
                  <c:v>9.1</c:v>
                </c:pt>
                <c:pt idx="1">
                  <c:v>9.6999999999999993</c:v>
                </c:pt>
                <c:pt idx="2">
                  <c:v>12.3</c:v>
                </c:pt>
                <c:pt idx="3">
                  <c:v>17.100000000000001</c:v>
                </c:pt>
                <c:pt idx="4">
                  <c:v>18.600000000000001</c:v>
                </c:pt>
              </c:numCache>
            </c:numRef>
          </c:val>
          <c:smooth val="0"/>
          <c:extLst>
            <c:ext xmlns:c16="http://schemas.microsoft.com/office/drawing/2014/chart" uri="{C3380CC4-5D6E-409C-BE32-E72D297353CC}">
              <c16:uniqueId val="{00000005-FE57-4283-A112-D70DD4203692}"/>
            </c:ext>
          </c:extLst>
        </c:ser>
        <c:dLbls>
          <c:showLegendKey val="0"/>
          <c:showVal val="0"/>
          <c:showCatName val="0"/>
          <c:showSerName val="0"/>
          <c:showPercent val="0"/>
          <c:showBubbleSize val="0"/>
        </c:dLbls>
        <c:marker val="1"/>
        <c:smooth val="0"/>
        <c:axId val="1605681408"/>
        <c:axId val="1535845120"/>
      </c:lineChart>
      <c:catAx>
        <c:axId val="1605681408"/>
        <c:scaling>
          <c:orientation val="minMax"/>
        </c:scaling>
        <c:delete val="0"/>
        <c:axPos val="b"/>
        <c:numFmt formatCode="General" sourceLinked="1"/>
        <c:majorTickMark val="none"/>
        <c:minorTickMark val="none"/>
        <c:tickLblPos val="nextTo"/>
        <c:spPr>
          <a:noFill/>
          <a:ln w="9525" cap="flat" cmpd="sng" algn="ctr">
            <a:solidFill>
              <a:schemeClr val="tx1">
                <a:lumMod val="85000"/>
                <a:lumOff val="1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535845120"/>
        <c:crosses val="autoZero"/>
        <c:auto val="1"/>
        <c:lblAlgn val="ctr"/>
        <c:lblOffset val="100"/>
        <c:noMultiLvlLbl val="0"/>
      </c:catAx>
      <c:valAx>
        <c:axId val="1535845120"/>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nb-NO" sz="900"/>
                  <a:t>Milliarder</a:t>
                </a:r>
                <a:r>
                  <a:rPr lang="nb-NO" sz="900" baseline="0"/>
                  <a:t> kroner</a:t>
                </a:r>
                <a:endParaRPr lang="nb-NO" sz="900"/>
              </a:p>
            </c:rich>
          </c:tx>
          <c:layout>
            <c:manualLayout>
              <c:xMode val="edge"/>
              <c:yMode val="edge"/>
              <c:x val="1.1347158337881036E-3"/>
              <c:y val="0.19107396132718832"/>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in"/>
        <c:minorTickMark val="none"/>
        <c:tickLblPos val="nextTo"/>
        <c:spPr>
          <a:noFill/>
          <a:ln>
            <a:solidFill>
              <a:schemeClr val="tx1">
                <a:lumMod val="85000"/>
                <a:lumOff val="1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605681408"/>
        <c:crosses val="autoZero"/>
        <c:crossBetween val="between"/>
        <c:majorUnit val="5"/>
      </c:valAx>
      <c:spPr>
        <a:noFill/>
        <a:ln>
          <a:noFill/>
        </a:ln>
        <a:effectLst/>
      </c:spPr>
    </c:plotArea>
    <c:legend>
      <c:legendPos val="b"/>
      <c:legendEntry>
        <c:idx val="5"/>
        <c:delete val="1"/>
      </c:legendEntry>
      <c:layout>
        <c:manualLayout>
          <c:xMode val="edge"/>
          <c:yMode val="edge"/>
          <c:x val="0.19177360255710613"/>
          <c:y val="0.74891855580687405"/>
          <c:w val="0.78347392219536915"/>
          <c:h val="0.16036870121256441"/>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b-N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0.18611453688770832"/>
          <c:y val="5.2690517116489227E-2"/>
          <c:w val="0.79241374948613352"/>
          <c:h val="0.60279979896130009"/>
        </c:manualLayout>
      </c:layout>
      <c:barChart>
        <c:barDir val="col"/>
        <c:grouping val="stacked"/>
        <c:varyColors val="0"/>
        <c:ser>
          <c:idx val="1"/>
          <c:order val="1"/>
          <c:tx>
            <c:strRef>
              <c:f>Sammenstilling!$E$67</c:f>
              <c:strCache>
                <c:ptCount val="1"/>
                <c:pt idx="0">
                  <c:v>Vannkraft</c:v>
                </c:pt>
              </c:strCache>
            </c:strRef>
          </c:tx>
          <c:spPr>
            <a:solidFill>
              <a:schemeClr val="accent2">
                <a:lumMod val="50000"/>
              </a:schemeClr>
            </a:solidFill>
            <a:ln>
              <a:noFill/>
            </a:ln>
            <a:effectLst/>
          </c:spPr>
          <c:invertIfNegative val="0"/>
          <c:cat>
            <c:strRef>
              <c:f>Sammenstilling!$B$132:$B$140</c:f>
              <c:strCache>
                <c:ptCount val="9"/>
                <c:pt idx="0">
                  <c:v>Danmark</c:v>
                </c:pt>
                <c:pt idx="1">
                  <c:v>Sverige</c:v>
                </c:pt>
                <c:pt idx="2">
                  <c:v>Polen</c:v>
                </c:pt>
                <c:pt idx="3">
                  <c:v>Nederland</c:v>
                </c:pt>
                <c:pt idx="4">
                  <c:v>Tyskland</c:v>
                </c:pt>
                <c:pt idx="5">
                  <c:v>Norge</c:v>
                </c:pt>
                <c:pt idx="6">
                  <c:v>Frankrike</c:v>
                </c:pt>
                <c:pt idx="7">
                  <c:v>Storbritannia</c:v>
                </c:pt>
                <c:pt idx="8">
                  <c:v>Belgia</c:v>
                </c:pt>
              </c:strCache>
            </c:strRef>
          </c:cat>
          <c:val>
            <c:numRef>
              <c:f>Sammenstilling!$E$132:$E$140</c:f>
              <c:numCache>
                <c:formatCode>0.00%</c:formatCode>
                <c:ptCount val="9"/>
                <c:pt idx="0">
                  <c:v>3.4913763005376718E-5</c:v>
                </c:pt>
                <c:pt idx="1">
                  <c:v>8.5059082715802125E-4</c:v>
                </c:pt>
                <c:pt idx="2">
                  <c:v>3.0672776683782075E-5</c:v>
                </c:pt>
                <c:pt idx="3">
                  <c:v>1.0829660273557218E-5</c:v>
                </c:pt>
                <c:pt idx="4">
                  <c:v>1.297804709664986E-4</c:v>
                </c:pt>
                <c:pt idx="5">
                  <c:v>3.8925731872641338E-3</c:v>
                </c:pt>
                <c:pt idx="6">
                  <c:v>4.798403767683486E-4</c:v>
                </c:pt>
                <c:pt idx="7">
                  <c:v>2.4636363636363638E-5</c:v>
                </c:pt>
                <c:pt idx="8">
                  <c:v>4.064297181409905E-5</c:v>
                </c:pt>
              </c:numCache>
            </c:numRef>
          </c:val>
          <c:extLst>
            <c:ext xmlns:c16="http://schemas.microsoft.com/office/drawing/2014/chart" uri="{C3380CC4-5D6E-409C-BE32-E72D297353CC}">
              <c16:uniqueId val="{00000000-4DF7-4889-94D5-F868AA60DC95}"/>
            </c:ext>
          </c:extLst>
        </c:ser>
        <c:ser>
          <c:idx val="2"/>
          <c:order val="2"/>
          <c:tx>
            <c:strRef>
              <c:f>Sammenstilling!$F$67</c:f>
              <c:strCache>
                <c:ptCount val="1"/>
                <c:pt idx="0">
                  <c:v>Vindkraft</c:v>
                </c:pt>
              </c:strCache>
            </c:strRef>
          </c:tx>
          <c:spPr>
            <a:solidFill>
              <a:schemeClr val="accent2"/>
            </a:solidFill>
            <a:ln>
              <a:noFill/>
            </a:ln>
            <a:effectLst/>
          </c:spPr>
          <c:invertIfNegative val="0"/>
          <c:cat>
            <c:strRef>
              <c:f>Sammenstilling!$B$132:$B$140</c:f>
              <c:strCache>
                <c:ptCount val="9"/>
                <c:pt idx="0">
                  <c:v>Danmark</c:v>
                </c:pt>
                <c:pt idx="1">
                  <c:v>Sverige</c:v>
                </c:pt>
                <c:pt idx="2">
                  <c:v>Polen</c:v>
                </c:pt>
                <c:pt idx="3">
                  <c:v>Nederland</c:v>
                </c:pt>
                <c:pt idx="4">
                  <c:v>Tyskland</c:v>
                </c:pt>
                <c:pt idx="5">
                  <c:v>Norge</c:v>
                </c:pt>
                <c:pt idx="6">
                  <c:v>Frankrike</c:v>
                </c:pt>
                <c:pt idx="7">
                  <c:v>Storbritannia</c:v>
                </c:pt>
                <c:pt idx="8">
                  <c:v>Belgia</c:v>
                </c:pt>
              </c:strCache>
            </c:strRef>
          </c:cat>
          <c:val>
            <c:numRef>
              <c:f>Sammenstilling!$F$132:$F$140</c:f>
              <c:numCache>
                <c:formatCode>0.00%</c:formatCode>
                <c:ptCount val="9"/>
                <c:pt idx="0">
                  <c:v>7.8905104392151381E-3</c:v>
                </c:pt>
                <c:pt idx="1">
                  <c:v>3.1844582415381534E-3</c:v>
                </c:pt>
                <c:pt idx="2">
                  <c:v>8.8951052382968019E-4</c:v>
                </c:pt>
                <c:pt idx="3">
                  <c:v>2.7074150683893045E-3</c:v>
                </c:pt>
                <c:pt idx="4">
                  <c:v>3.3908807263803202E-3</c:v>
                </c:pt>
                <c:pt idx="5">
                  <c:v>7.3278862712050706E-4</c:v>
                </c:pt>
                <c:pt idx="6">
                  <c:v>1.1037011738059715E-3</c:v>
                </c:pt>
                <c:pt idx="7">
                  <c:v>2.2757575757575759E-3</c:v>
                </c:pt>
                <c:pt idx="8">
                  <c:v>6.0964457721148575E-4</c:v>
                </c:pt>
              </c:numCache>
            </c:numRef>
          </c:val>
          <c:extLst>
            <c:ext xmlns:c16="http://schemas.microsoft.com/office/drawing/2014/chart" uri="{C3380CC4-5D6E-409C-BE32-E72D297353CC}">
              <c16:uniqueId val="{00000001-4DF7-4889-94D5-F868AA60DC95}"/>
            </c:ext>
          </c:extLst>
        </c:ser>
        <c:ser>
          <c:idx val="3"/>
          <c:order val="3"/>
          <c:tx>
            <c:strRef>
              <c:f>Sammenstilling!$G$67</c:f>
              <c:strCache>
                <c:ptCount val="1"/>
                <c:pt idx="0">
                  <c:v>Solkraft</c:v>
                </c:pt>
              </c:strCache>
            </c:strRef>
          </c:tx>
          <c:spPr>
            <a:solidFill>
              <a:schemeClr val="accent2">
                <a:tint val="77000"/>
              </a:schemeClr>
            </a:solidFill>
            <a:ln>
              <a:noFill/>
            </a:ln>
            <a:effectLst/>
          </c:spPr>
          <c:invertIfNegative val="0"/>
          <c:cat>
            <c:strRef>
              <c:f>Sammenstilling!$B$132:$B$140</c:f>
              <c:strCache>
                <c:ptCount val="9"/>
                <c:pt idx="0">
                  <c:v>Danmark</c:v>
                </c:pt>
                <c:pt idx="1">
                  <c:v>Sverige</c:v>
                </c:pt>
                <c:pt idx="2">
                  <c:v>Polen</c:v>
                </c:pt>
                <c:pt idx="3">
                  <c:v>Nederland</c:v>
                </c:pt>
                <c:pt idx="4">
                  <c:v>Tyskland</c:v>
                </c:pt>
                <c:pt idx="5">
                  <c:v>Norge</c:v>
                </c:pt>
                <c:pt idx="6">
                  <c:v>Frankrike</c:v>
                </c:pt>
                <c:pt idx="7">
                  <c:v>Storbritannia</c:v>
                </c:pt>
                <c:pt idx="8">
                  <c:v>Belgia</c:v>
                </c:pt>
              </c:strCache>
            </c:strRef>
          </c:cat>
          <c:val>
            <c:numRef>
              <c:f>Sammenstilling!$G$132:$G$140</c:f>
              <c:numCache>
                <c:formatCode>0.00%</c:formatCode>
                <c:ptCount val="9"/>
                <c:pt idx="0">
                  <c:v>3.6432511696110606E-3</c:v>
                </c:pt>
                <c:pt idx="1">
                  <c:v>1.4994992990186261E-3</c:v>
                </c:pt>
                <c:pt idx="2">
                  <c:v>7.1868769592236103E-3</c:v>
                </c:pt>
                <c:pt idx="3">
                  <c:v>3.3262218564203642E-3</c:v>
                </c:pt>
                <c:pt idx="4">
                  <c:v>2.7068010333648027E-3</c:v>
                </c:pt>
                <c:pt idx="5">
                  <c:v>2.025416315538783E-4</c:v>
                </c:pt>
                <c:pt idx="6">
                  <c:v>1.1138394060865346E-3</c:v>
                </c:pt>
                <c:pt idx="7">
                  <c:v>3.1472727272727273E-4</c:v>
                </c:pt>
                <c:pt idx="8">
                  <c:v>2.0026824361397307E-3</c:v>
                </c:pt>
              </c:numCache>
            </c:numRef>
          </c:val>
          <c:extLst>
            <c:ext xmlns:c16="http://schemas.microsoft.com/office/drawing/2014/chart" uri="{C3380CC4-5D6E-409C-BE32-E72D297353CC}">
              <c16:uniqueId val="{00000002-4DF7-4889-94D5-F868AA60DC95}"/>
            </c:ext>
          </c:extLst>
        </c:ser>
        <c:ser>
          <c:idx val="4"/>
          <c:order val="4"/>
          <c:tx>
            <c:strRef>
              <c:f>Sammenstilling!$H$67</c:f>
              <c:strCache>
                <c:ptCount val="1"/>
                <c:pt idx="0">
                  <c:v>Øvrig</c:v>
                </c:pt>
              </c:strCache>
            </c:strRef>
          </c:tx>
          <c:spPr>
            <a:solidFill>
              <a:schemeClr val="accent2">
                <a:tint val="54000"/>
              </a:schemeClr>
            </a:solidFill>
            <a:ln>
              <a:noFill/>
            </a:ln>
            <a:effectLst/>
          </c:spPr>
          <c:invertIfNegative val="0"/>
          <c:cat>
            <c:strRef>
              <c:f>Sammenstilling!$B$132:$B$140</c:f>
              <c:strCache>
                <c:ptCount val="9"/>
                <c:pt idx="0">
                  <c:v>Danmark</c:v>
                </c:pt>
                <c:pt idx="1">
                  <c:v>Sverige</c:v>
                </c:pt>
                <c:pt idx="2">
                  <c:v>Polen</c:v>
                </c:pt>
                <c:pt idx="3">
                  <c:v>Nederland</c:v>
                </c:pt>
                <c:pt idx="4">
                  <c:v>Tyskland</c:v>
                </c:pt>
                <c:pt idx="5">
                  <c:v>Norge</c:v>
                </c:pt>
                <c:pt idx="6">
                  <c:v>Frankrike</c:v>
                </c:pt>
                <c:pt idx="7">
                  <c:v>Storbritannia</c:v>
                </c:pt>
                <c:pt idx="8">
                  <c:v>Belgia</c:v>
                </c:pt>
              </c:strCache>
            </c:strRef>
          </c:cat>
          <c:val>
            <c:numRef>
              <c:f>Sammenstilling!$H$132:$H$140</c:f>
              <c:numCache>
                <c:formatCode>0.00%</c:formatCode>
                <c:ptCount val="9"/>
                <c:pt idx="0">
                  <c:v>6.001410516025419E-3</c:v>
                </c:pt>
                <c:pt idx="1">
                  <c:v>7.7430402563589025E-3</c:v>
                </c:pt>
                <c:pt idx="2">
                  <c:v>4.9253117887749906E-3</c:v>
                </c:pt>
                <c:pt idx="3">
                  <c:v>3.4701783645047055E-3</c:v>
                </c:pt>
                <c:pt idx="4">
                  <c:v>2.4183566181941486E-3</c:v>
                </c:pt>
                <c:pt idx="5">
                  <c:v>2.4094456472355552E-3</c:v>
                </c:pt>
                <c:pt idx="6">
                  <c:v>2.696230518955259E-3</c:v>
                </c:pt>
                <c:pt idx="7">
                  <c:v>1.7844012121212118E-3</c:v>
                </c:pt>
                <c:pt idx="8">
                  <c:v>1.047979028226544E-3</c:v>
                </c:pt>
              </c:numCache>
            </c:numRef>
          </c:val>
          <c:extLst>
            <c:ext xmlns:c16="http://schemas.microsoft.com/office/drawing/2014/chart" uri="{C3380CC4-5D6E-409C-BE32-E72D297353CC}">
              <c16:uniqueId val="{00000003-4DF7-4889-94D5-F868AA60DC95}"/>
            </c:ext>
          </c:extLst>
        </c:ser>
        <c:dLbls>
          <c:showLegendKey val="0"/>
          <c:showVal val="0"/>
          <c:showCatName val="0"/>
          <c:showSerName val="0"/>
          <c:showPercent val="0"/>
          <c:showBubbleSize val="0"/>
        </c:dLbls>
        <c:gapWidth val="50"/>
        <c:overlap val="100"/>
        <c:axId val="1200559183"/>
        <c:axId val="953732976"/>
      </c:barChart>
      <c:lineChart>
        <c:grouping val="standard"/>
        <c:varyColors val="0"/>
        <c:ser>
          <c:idx val="0"/>
          <c:order val="0"/>
          <c:tx>
            <c:strRef>
              <c:f>Sammenstilling!$D$67</c:f>
              <c:strCache>
                <c:ptCount val="1"/>
                <c:pt idx="0">
                  <c:v>All technologies</c:v>
                </c:pt>
              </c:strCache>
            </c:strRef>
          </c:tx>
          <c:spPr>
            <a:ln w="25400" cap="rnd">
              <a:noFill/>
              <a:round/>
            </a:ln>
            <a:effectLst/>
          </c:spPr>
          <c:marker>
            <c:symbol val="circle"/>
            <c:size val="5"/>
            <c:spPr>
              <a:solidFill>
                <a:schemeClr val="accent2">
                  <a:shade val="53000"/>
                </a:schemeClr>
              </a:solidFill>
              <a:ln w="9525">
                <a:solidFill>
                  <a:schemeClr val="accent2">
                    <a:shade val="53000"/>
                  </a:schemeClr>
                </a:solidFill>
              </a:ln>
              <a:effectLst/>
            </c:spPr>
          </c:marker>
          <c:dLbls>
            <c:dLbl>
              <c:idx val="0"/>
              <c:layout>
                <c:manualLayout>
                  <c:x val="-6.7058470100875942E-2"/>
                  <c:y val="-4.890433908527391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DF7-4889-94D5-F868AA60DC95}"/>
                </c:ext>
              </c:extLst>
            </c:dLbl>
            <c:dLbl>
              <c:idx val="2"/>
              <c:layout>
                <c:manualLayout>
                  <c:x val="-6.2971887550200875E-2"/>
                  <c:y val="-4.464901993633774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DF7-4889-94D5-F868AA60DC95}"/>
                </c:ext>
              </c:extLst>
            </c:dLbl>
            <c:dLbl>
              <c:idx val="7"/>
              <c:layout>
                <c:manualLayout>
                  <c:x val="-5.9026341586819721E-2"/>
                  <c:y val="-4.464901993633782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DF7-4889-94D5-F868AA60DC95}"/>
                </c:ext>
              </c:extLst>
            </c:dLbl>
            <c:dLbl>
              <c:idx val="8"/>
              <c:layout>
                <c:manualLayout>
                  <c:x val="-1.9186351706036893E-2"/>
                  <c:y val="-4.464901993633782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DF7-4889-94D5-F868AA60DC95}"/>
                </c:ext>
              </c:extLst>
            </c:dLbl>
            <c:numFmt formatCode="0.0%" sourceLinked="0"/>
            <c:spPr>
              <a:noFill/>
              <a:ln>
                <a:noFill/>
              </a:ln>
              <a:effectLst/>
            </c:spPr>
            <c:txPr>
              <a:bodyPr rot="0" spcFirstLastPara="1" vertOverflow="ellipsis" vert="horz" wrap="square" anchor="ctr" anchorCtr="1"/>
              <a:lstStyle/>
              <a:p>
                <a:pPr>
                  <a:defRPr sz="700" b="0" i="0" u="none" strike="noStrike" kern="1200" baseline="0">
                    <a:solidFill>
                      <a:schemeClr val="tx1">
                        <a:lumMod val="75000"/>
                        <a:lumOff val="25000"/>
                      </a:schemeClr>
                    </a:solidFill>
                    <a:latin typeface="+mn-lt"/>
                    <a:ea typeface="+mn-ea"/>
                    <a:cs typeface="+mn-cs"/>
                  </a:defRPr>
                </a:pPr>
                <a:endParaRPr lang="nb-N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Sammenstilling!$B$132:$B$140</c:f>
              <c:strCache>
                <c:ptCount val="9"/>
                <c:pt idx="0">
                  <c:v>Danmark</c:v>
                </c:pt>
                <c:pt idx="1">
                  <c:v>Sverige</c:v>
                </c:pt>
                <c:pt idx="2">
                  <c:v>Polen</c:v>
                </c:pt>
                <c:pt idx="3">
                  <c:v>Nederland</c:v>
                </c:pt>
                <c:pt idx="4">
                  <c:v>Tyskland</c:v>
                </c:pt>
                <c:pt idx="5">
                  <c:v>Norge</c:v>
                </c:pt>
                <c:pt idx="6">
                  <c:v>Frankrike</c:v>
                </c:pt>
                <c:pt idx="7">
                  <c:v>Storbritannia</c:v>
                </c:pt>
                <c:pt idx="8">
                  <c:v>Belgia</c:v>
                </c:pt>
              </c:strCache>
            </c:strRef>
          </c:cat>
          <c:val>
            <c:numRef>
              <c:f>Sammenstilling!$D$132:$D$140</c:f>
              <c:numCache>
                <c:formatCode>0.00%</c:formatCode>
                <c:ptCount val="9"/>
                <c:pt idx="0">
                  <c:v>1.7570085887856995E-2</c:v>
                </c:pt>
                <c:pt idx="1">
                  <c:v>1.3277588624073702E-2</c:v>
                </c:pt>
                <c:pt idx="2">
                  <c:v>1.3032372048512063E-2</c:v>
                </c:pt>
                <c:pt idx="3">
                  <c:v>9.5146449495879318E-3</c:v>
                </c:pt>
                <c:pt idx="4">
                  <c:v>8.6458188489057699E-3</c:v>
                </c:pt>
                <c:pt idx="5">
                  <c:v>7.2373490931740741E-3</c:v>
                </c:pt>
                <c:pt idx="6">
                  <c:v>5.3936114756161137E-3</c:v>
                </c:pt>
                <c:pt idx="7">
                  <c:v>4.3995224242424236E-3</c:v>
                </c:pt>
                <c:pt idx="8">
                  <c:v>3.7009490133918591E-3</c:v>
                </c:pt>
              </c:numCache>
            </c:numRef>
          </c:val>
          <c:smooth val="0"/>
          <c:extLst>
            <c:ext xmlns:c16="http://schemas.microsoft.com/office/drawing/2014/chart" uri="{C3380CC4-5D6E-409C-BE32-E72D297353CC}">
              <c16:uniqueId val="{00000008-4DF7-4889-94D5-F868AA60DC95}"/>
            </c:ext>
          </c:extLst>
        </c:ser>
        <c:dLbls>
          <c:showLegendKey val="0"/>
          <c:showVal val="0"/>
          <c:showCatName val="0"/>
          <c:showSerName val="0"/>
          <c:showPercent val="0"/>
          <c:showBubbleSize val="0"/>
        </c:dLbls>
        <c:marker val="1"/>
        <c:smooth val="0"/>
        <c:axId val="1200559183"/>
        <c:axId val="953732976"/>
      </c:lineChart>
      <c:catAx>
        <c:axId val="1200559183"/>
        <c:scaling>
          <c:orientation val="minMax"/>
        </c:scaling>
        <c:delete val="0"/>
        <c:axPos val="b"/>
        <c:numFmt formatCode="General" sourceLinked="1"/>
        <c:majorTickMark val="none"/>
        <c:minorTickMark val="none"/>
        <c:tickLblPos val="nextTo"/>
        <c:spPr>
          <a:noFill/>
          <a:ln w="9525" cap="flat" cmpd="sng" algn="ctr">
            <a:solidFill>
              <a:schemeClr val="tx1">
                <a:lumMod val="85000"/>
                <a:lumOff val="1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953732976"/>
        <c:crosses val="autoZero"/>
        <c:auto val="1"/>
        <c:lblAlgn val="ctr"/>
        <c:lblOffset val="100"/>
        <c:noMultiLvlLbl val="0"/>
      </c:catAx>
      <c:valAx>
        <c:axId val="953732976"/>
        <c:scaling>
          <c:orientation val="minMax"/>
        </c:scaling>
        <c:delete val="0"/>
        <c:axPos val="l"/>
        <c:numFmt formatCode="0.0\ %" sourceLinked="0"/>
        <c:majorTickMark val="in"/>
        <c:minorTickMark val="none"/>
        <c:tickLblPos val="nextTo"/>
        <c:spPr>
          <a:noFill/>
          <a:ln>
            <a:solidFill>
              <a:schemeClr val="tx1">
                <a:lumMod val="85000"/>
                <a:lumOff val="1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200559183"/>
        <c:crosses val="autoZero"/>
        <c:crossBetween val="between"/>
        <c:majorUnit val="5.000000000000001E-3"/>
      </c:valAx>
      <c:spPr>
        <a:noFill/>
        <a:ln>
          <a:noFill/>
        </a:ln>
        <a:effectLst/>
      </c:spPr>
    </c:plotArea>
    <c:legend>
      <c:legendPos val="b"/>
      <c:legendEntry>
        <c:idx val="4"/>
        <c:delete val="1"/>
      </c:legendEntry>
      <c:layout>
        <c:manualLayout>
          <c:xMode val="edge"/>
          <c:yMode val="edge"/>
          <c:x val="0.14488726559782436"/>
          <c:y val="0.86390685206902329"/>
          <c:w val="0.75841792366315652"/>
          <c:h val="7.18090132350477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chemeClr val="tx1"/>
          </a:solidFill>
        </a:defRPr>
      </a:pPr>
      <a:endParaRPr lang="nb-N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enontheme">
  <a:themeElements>
    <a:clrScheme name="Egendefinert 22">
      <a:dk1>
        <a:srgbClr val="000000"/>
      </a:dk1>
      <a:lt1>
        <a:srgbClr val="FFFFFF"/>
      </a:lt1>
      <a:dk2>
        <a:srgbClr val="C0C1BF"/>
      </a:dk2>
      <a:lt2>
        <a:srgbClr val="EFEEED"/>
      </a:lt2>
      <a:accent1>
        <a:srgbClr val="395775"/>
      </a:accent1>
      <a:accent2>
        <a:srgbClr val="D77F16"/>
      </a:accent2>
      <a:accent3>
        <a:srgbClr val="737B82"/>
      </a:accent3>
      <a:accent4>
        <a:srgbClr val="ACB3B8"/>
      </a:accent4>
      <a:accent5>
        <a:srgbClr val="A6B340"/>
      </a:accent5>
      <a:accent6>
        <a:srgbClr val="941100"/>
      </a:accent6>
      <a:hlink>
        <a:srgbClr val="0432FF"/>
      </a:hlink>
      <a:folHlink>
        <a:srgbClr val="75D5FF"/>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enontheme" id="{1419791B-C619-49FB-8CDC-9BBB61953689}" vid="{1C8A2096-5F6B-4CAC-BBA9-47F6394E518C}"/>
    </a:ext>
  </a:extLst>
</a:theme>
</file>

<file path=word/theme/themeOverride1.xml><?xml version="1.0" encoding="utf-8"?>
<a:themeOverride xmlns:a="http://schemas.openxmlformats.org/drawingml/2006/main">
  <a:clrScheme name="Menon">
    <a:dk1>
      <a:sysClr val="windowText" lastClr="000000"/>
    </a:dk1>
    <a:lt1>
      <a:sysClr val="window" lastClr="FFFFFF"/>
    </a:lt1>
    <a:dk2>
      <a:srgbClr val="44546A"/>
    </a:dk2>
    <a:lt2>
      <a:srgbClr val="E7E6E6"/>
    </a:lt2>
    <a:accent1>
      <a:srgbClr val="395775"/>
    </a:accent1>
    <a:accent2>
      <a:srgbClr val="D77F16"/>
    </a:accent2>
    <a:accent3>
      <a:srgbClr val="737B82"/>
    </a:accent3>
    <a:accent4>
      <a:srgbClr val="ACB3B8"/>
    </a:accent4>
    <a:accent5>
      <a:srgbClr val="A6B340"/>
    </a:accent5>
    <a:accent6>
      <a:srgbClr val="941147"/>
    </a:accent6>
    <a:hlink>
      <a:srgbClr val="0432E1"/>
    </a:hlink>
    <a:folHlink>
      <a:srgbClr val="75D5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Menon">
    <a:dk1>
      <a:sysClr val="windowText" lastClr="000000"/>
    </a:dk1>
    <a:lt1>
      <a:sysClr val="window" lastClr="FFFFFF"/>
    </a:lt1>
    <a:dk2>
      <a:srgbClr val="1F497D"/>
    </a:dk2>
    <a:lt2>
      <a:srgbClr val="EEECE1"/>
    </a:lt2>
    <a:accent1>
      <a:srgbClr val="395775"/>
    </a:accent1>
    <a:accent2>
      <a:srgbClr val="D77F16"/>
    </a:accent2>
    <a:accent3>
      <a:srgbClr val="737B82"/>
    </a:accent3>
    <a:accent4>
      <a:srgbClr val="ACB3B8"/>
    </a:accent4>
    <a:accent5>
      <a:srgbClr val="A6B340"/>
    </a:accent5>
    <a:accent6>
      <a:srgbClr val="941100"/>
    </a:accent6>
    <a:hlink>
      <a:srgbClr val="0432FF"/>
    </a:hlink>
    <a:folHlink>
      <a:srgbClr val="75D5FF"/>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2664</Words>
  <Characters>14121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John Oskar Holmen Skjeldrum</cp:lastModifiedBy>
  <cp:revision>17</cp:revision>
  <dcterms:created xsi:type="dcterms:W3CDTF">2013-12-23T23:15:00Z</dcterms:created>
  <dcterms:modified xsi:type="dcterms:W3CDTF">2024-03-05T15:37:00Z</dcterms:modified>
  <cp:category/>
</cp:coreProperties>
</file>