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harts/style4.xml" ContentType="application/vnd.ms-office.chartsty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theme/themeOverride3.xml" ContentType="application/vnd.openxmlformats-officedocument.themeOverrid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1.xml" ContentType="application/vnd.openxmlformats-officedocument.theme+xml"/>
  <Override PartName="/word/charts/colors3.xml" ContentType="application/vnd.ms-office.chartcolorstyle+xml"/>
  <Override PartName="/word/charts/chart4.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09E7" w14:textId="77777777" w:rsidR="00E26025" w:rsidRDefault="00E26025" w:rsidP="00E26025">
      <w:pPr>
        <w:pStyle w:val="Overskrift1"/>
        <w:numPr>
          <w:ilvl w:val="0"/>
          <w:numId w:val="0"/>
        </w:numPr>
        <w:ind w:left="432" w:hanging="432"/>
      </w:pPr>
      <w:bookmarkStart w:id="0" w:name="_Toc159933891"/>
      <w:r w:rsidRPr="00D3675D">
        <w:t>Sammendrag</w:t>
      </w:r>
      <w:bookmarkEnd w:id="0"/>
    </w:p>
    <w:p w14:paraId="77F1ACDE" w14:textId="77777777" w:rsidR="00E26025" w:rsidRPr="00540444" w:rsidRDefault="00E26025" w:rsidP="00E26025">
      <w:r>
        <w:t xml:space="preserve">I årets Eksportmelding gir vi en status og oppdatering på eksportåret 2023. Dette er en videreføring fra de tre forgående Eksportmeldingene. I tillegg til de vanlige kapitelene i eksportmeldingen, inneholder årets utgave også tre spesialkapitler. Det første omhandler Norges grønne eksport i dag og eksportmulighetene som foreligger. Det andre belyser viktigheten av norsk tjenesteeksport og det tredje </w:t>
      </w:r>
      <w:proofErr w:type="gramStart"/>
      <w:r>
        <w:t>fokuserer</w:t>
      </w:r>
      <w:proofErr w:type="gramEnd"/>
      <w:r>
        <w:t xml:space="preserve"> på betydningen av hjørnesteinsbedrifter. </w:t>
      </w:r>
    </w:p>
    <w:p w14:paraId="0D81CB92" w14:textId="77777777" w:rsidR="00E26025" w:rsidRPr="00207110" w:rsidRDefault="00E26025" w:rsidP="00E26025">
      <w:pPr>
        <w:spacing w:after="40"/>
        <w:rPr>
          <w:b/>
          <w:color w:val="D77F16" w:themeColor="accent2"/>
          <w:sz w:val="26"/>
          <w:szCs w:val="26"/>
        </w:rPr>
      </w:pPr>
      <w:r w:rsidRPr="00207110">
        <w:rPr>
          <w:b/>
          <w:color w:val="D77F16" w:themeColor="accent2"/>
          <w:sz w:val="26"/>
          <w:szCs w:val="26"/>
        </w:rPr>
        <w:t xml:space="preserve">En reduksjon i eksporten av olje og gass, men historisk høyt nivå på vare- og tjenesteeksporten </w:t>
      </w:r>
    </w:p>
    <w:p w14:paraId="476B4A86" w14:textId="77777777" w:rsidR="00E26025" w:rsidRDefault="00E26025" w:rsidP="00E26025">
      <w:r>
        <w:t xml:space="preserve">I 2023 eksporterte norske bedrifter for 2 400 milliarder kroner, en nedgang på omkring 24 prosent fra rekordåret 2022. Dette var i hovedsak drevet av reduserte gasspriser. Historisk sett er imidlertid olje- og gasseksporten fremdeles på et høyt nivå. Eksport av varer og tjenester utenom olje og gass endte i 2023 på 1 225 milliarder kroner – det høyeste nivået noensinne. Omtrent halvparten av denne økningen kan forklares gjennom økte priser og en fallende valutakurs, og den resterende halvparten av veksten kan begrunnes i økte salgsvolumer til utlandet. </w:t>
      </w:r>
    </w:p>
    <w:p w14:paraId="7A16D024" w14:textId="77777777" w:rsidR="00E26025" w:rsidRDefault="00E26025" w:rsidP="00E26025">
      <w:r>
        <w:t>Når det gjelder eksporten utenom olje og gass var maritim næring i 2023 den største eksportnæringen, med en eksport på 230 milliarder kroner i 2023. Dette var en 2 prosent vekst fra 2022 og er i hovedsak drevet av høye fraktrater og et økt aktivitetsnivå hos rederiene som seiler i internasjonale farvann. Kraftintensiv industri hadde en eksport på i overkant av 190 milliarder kroner. Dette er en nedgang på om lag 8 prosent fra 2022, i hovedsak drevet av en nedgang i råvarepriser, da særlig prisene på gjødsel og aluminium. Sjømatnæringen eksporterte for 165 milliarder kroner, en økning siden 2022.</w:t>
      </w:r>
      <w:r w:rsidRPr="001B28A9">
        <w:t xml:space="preserve"> </w:t>
      </w:r>
      <w:r>
        <w:t xml:space="preserve">Dette er det høyeste nivået noensinne, og er drevet av økte priser på sjømat, målt i volum var det en svak reduksjon fra 2022.  </w:t>
      </w:r>
    </w:p>
    <w:p w14:paraId="583BF0A2" w14:textId="77777777" w:rsidR="00E26025" w:rsidRDefault="00E26025" w:rsidP="00E26025">
      <w:r>
        <w:t xml:space="preserve">Retter vi blikket fremover, tilsier våre prognoser at verdien på norsk samlet eksport vil fortsette å falle i 2024. Eksporten vil imidlertid fortsatt være på blant de høyeste nivåer noensinne og </w:t>
      </w:r>
      <w:proofErr w:type="gramStart"/>
      <w:r>
        <w:t>generere</w:t>
      </w:r>
      <w:proofErr w:type="gramEnd"/>
      <w:r>
        <w:t xml:space="preserve"> høye eksportinntekter for Norge. Nedgangen i eksporten vil i all hovedsak være drevet av olje- og gasseksporten som vi forventer vil falle til marginalt under 1 000 milliarder kroner for første gang siden 2020. For eksportnæringene utenom olje og gass forventer vi en samlet vekst på litt over 4 prosent i 2024. </w:t>
      </w:r>
      <w:r w:rsidRPr="005622ED">
        <w:t>Vekstbildet i 202</w:t>
      </w:r>
      <w:r>
        <w:t>5</w:t>
      </w:r>
      <w:r w:rsidRPr="005622ED">
        <w:t xml:space="preserve"> forventes å være noe mer stabilt</w:t>
      </w:r>
      <w:r>
        <w:t>, hvor det er forventet</w:t>
      </w:r>
      <w:r w:rsidRPr="005622ED">
        <w:t xml:space="preserve"> en </w:t>
      </w:r>
      <w:r>
        <w:t xml:space="preserve">vekst i samtlige næringer </w:t>
      </w:r>
      <w:r w:rsidRPr="005622ED">
        <w:t xml:space="preserve">bortsett fra </w:t>
      </w:r>
      <w:r>
        <w:t>i</w:t>
      </w:r>
      <w:r w:rsidRPr="005622ED">
        <w:t xml:space="preserve"> </w:t>
      </w:r>
      <w:r>
        <w:t>sjømatnæringen</w:t>
      </w:r>
      <w:r w:rsidRPr="005622ED">
        <w:t>.</w:t>
      </w:r>
      <w:r>
        <w:t xml:space="preserve"> Prognosene er imidlertid beheftet med betydelig usikkerhet som følge av krigen i Ukraina, </w:t>
      </w:r>
      <w:proofErr w:type="gramStart"/>
      <w:r>
        <w:t>potensiell</w:t>
      </w:r>
      <w:proofErr w:type="gramEnd"/>
      <w:r>
        <w:t xml:space="preserve"> eskalering av konflikter i Midtøsten, samt et fortsatt høyt inflasjons- og rentenivå globalt. </w:t>
      </w:r>
    </w:p>
    <w:p w14:paraId="0E8B64ED" w14:textId="77777777" w:rsidR="00E26025" w:rsidRPr="00CD5BC9" w:rsidRDefault="00E26025" w:rsidP="00E26025">
      <w:pPr>
        <w:spacing w:after="40"/>
        <w:rPr>
          <w:b/>
          <w:color w:val="D77F16" w:themeColor="accent2"/>
          <w:sz w:val="26"/>
          <w:szCs w:val="26"/>
        </w:rPr>
      </w:pPr>
      <w:r w:rsidRPr="00207110">
        <w:rPr>
          <w:b/>
          <w:color w:val="D77F16" w:themeColor="accent2"/>
          <w:sz w:val="26"/>
          <w:szCs w:val="26"/>
        </w:rPr>
        <w:t xml:space="preserve">Sammenlignet med våre naboland er eksporten fortsatt lavere og vokser saktere </w:t>
      </w:r>
    </w:p>
    <w:p w14:paraId="14AB850F" w14:textId="77777777" w:rsidR="00E26025" w:rsidRDefault="00E26025" w:rsidP="00E26025">
      <w:r w:rsidRPr="0057723E">
        <w:t>Norsk næringsliv eksporterte i 2023 hovedsakelig til Europa og da særlig til EU/EØS-land. I 2023 stod EU/EØS</w:t>
      </w:r>
      <w:r>
        <w:t>-</w:t>
      </w:r>
      <w:r w:rsidRPr="0057723E">
        <w:t>landene for 70 prosent av olje- og gasseksporten og 50 prosent av norsk eksport utenom olje og gass.</w:t>
      </w:r>
      <w:r>
        <w:t xml:space="preserve"> Inkluderer vi Storbritannia stod landene for 95 prosent av olje- og gasseksporten. </w:t>
      </w:r>
      <w:r w:rsidRPr="0057723E">
        <w:t xml:space="preserve">De viktigste verdensdelene utenom Europa var Asia etterfulgt av Nord- og Mellom-Amerika. </w:t>
      </w:r>
      <w:r>
        <w:t xml:space="preserve">Sverige var i 2023 den største importøren av norske varer (utenom olje og gass), etterfulgt av Nederland. Tyskland var den største importøren av olje og gass, etterfulgt av Storbritannia. </w:t>
      </w:r>
    </w:p>
    <w:p w14:paraId="131C4354" w14:textId="77777777" w:rsidR="00E26025" w:rsidRDefault="00E26025" w:rsidP="00E26025">
      <w:r>
        <w:t xml:space="preserve">I likhet med tidligere Eksportmeldinger har vi analysert den norske eksporten i internasjonal sammenheng. Generelt sett ser vi samme bilde som vi har sett siden 2020 der Norge kommer dårligere ut enn de fleste </w:t>
      </w:r>
      <w:r>
        <w:lastRenderedPageBreak/>
        <w:t xml:space="preserve">sammenlignbare land. </w:t>
      </w:r>
      <w:r w:rsidRPr="000E72FA">
        <w:t xml:space="preserve">Sett i forhold til total verdiskaping eksporterer Norge </w:t>
      </w:r>
      <w:r>
        <w:t>eksempelvis</w:t>
      </w:r>
      <w:r w:rsidRPr="000E72FA">
        <w:t xml:space="preserve"> lite sammenlignet med flere andre europeiske land. </w:t>
      </w:r>
      <w:r>
        <w:t xml:space="preserve">Norsk eksport av varer og tjenester som andel av BNP var i 2023 på 47 prosent. Dette er høyere enn det norske gjennomsnittet de siste ti årene. Selv om det er et godt år i norsk kontekst, er fortsatt eksport som andel av BNP lavere enn EU-gjennomsnittet på 53 prosent, og lavere enn Sverige (54 prosent) og Danmark (68 prosent). </w:t>
      </w:r>
      <w:r w:rsidRPr="000A03B5">
        <w:t xml:space="preserve">Dersom vi ser på norsk eksport </w:t>
      </w:r>
      <w:r>
        <w:t>uten</w:t>
      </w:r>
      <w:r w:rsidRPr="000A03B5">
        <w:t xml:space="preserve"> olje og gass, faller eksportandelen til 32 prosent</w:t>
      </w:r>
      <w:r>
        <w:t xml:space="preserve">, noe som er på et lavere nivå enn de andre sammenlignbare landene. </w:t>
      </w:r>
      <w:r w:rsidRPr="000A03B5">
        <w:t>Dette viser både hvor lav eksporten utenom olje og gass er relativt til BNP</w:t>
      </w:r>
      <w:r>
        <w:t xml:space="preserve"> </w:t>
      </w:r>
      <w:r w:rsidRPr="000A03B5">
        <w:t xml:space="preserve">og hvor avhengig norsk eksport er av olje- og gassnæringen. </w:t>
      </w:r>
    </w:p>
    <w:p w14:paraId="3E4FADCE" w14:textId="77777777" w:rsidR="00E26025" w:rsidRDefault="00E26025" w:rsidP="00E26025">
      <w:r>
        <w:t>Den lave relative eksporten skyldes lav vekst de siste 20 årene, hvor vi ser</w:t>
      </w:r>
      <w:r w:rsidRPr="000E72FA">
        <w:t xml:space="preserve"> at eksportveksten målt i faste priser har vært </w:t>
      </w:r>
      <w:r>
        <w:t>nokså</w:t>
      </w:r>
      <w:r w:rsidRPr="000E72FA">
        <w:t xml:space="preserve"> sva</w:t>
      </w:r>
      <w:r>
        <w:t xml:space="preserve">k sammenlignet med andre land. Dette er vist i figuren under. </w:t>
      </w:r>
    </w:p>
    <w:p w14:paraId="11CB8BD5" w14:textId="77777777" w:rsidR="00E26025" w:rsidRDefault="00E26025" w:rsidP="00E26025">
      <w:pPr>
        <w:pStyle w:val="Bildetekst"/>
      </w:pPr>
      <w:r>
        <w:t xml:space="preserve">Figur A: Årlig eksportvekst siste 10 og 20 år, målt i faste priser. Norge oppdatert med 2023-tall, andre land er 2022-tall. Kilde: IMF </w:t>
      </w:r>
    </w:p>
    <w:p w14:paraId="48C0359B" w14:textId="77777777" w:rsidR="00E26025" w:rsidRDefault="00E26025" w:rsidP="00E26025">
      <w:r>
        <w:rPr>
          <w:noProof/>
        </w:rPr>
        <w:drawing>
          <wp:inline distT="0" distB="0" distL="0" distR="0" wp14:anchorId="07E06699" wp14:editId="46CCAFBB">
            <wp:extent cx="5759450" cy="2862470"/>
            <wp:effectExtent l="0" t="0" r="0" b="0"/>
            <wp:docPr id="716793386" name="Chart 1">
              <a:extLst xmlns:a="http://schemas.openxmlformats.org/drawingml/2006/main">
                <a:ext uri="{FF2B5EF4-FFF2-40B4-BE49-F238E27FC236}">
                  <a16:creationId xmlns:a16="http://schemas.microsoft.com/office/drawing/2014/main" id="{7573C94B-E791-08FA-E8A5-4063D0319B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Del="007976E4">
        <w:rPr>
          <w:noProof/>
        </w:rPr>
        <w:t xml:space="preserve"> </w:t>
      </w:r>
    </w:p>
    <w:p w14:paraId="10D5633D" w14:textId="77777777" w:rsidR="00E26025" w:rsidRPr="00592CC2" w:rsidRDefault="00E26025" w:rsidP="00E26025">
      <w:r>
        <w:t xml:space="preserve">Begrunnelsen for den relativt lave veksten er sammensatt. En av årsakene er at veksten i olje- og gasseksporten målt i volum har vært lav. Dette er utslagsgivende ettersom det er den klart viktigste eksportnæringen i Norge. En annen årsak er at olje- og gassnæringen legger beslag på en stor andel av kapitalen og arbeidskraften i samfunnet. Dette kan begrense veksten i andre eksportnæringer. Videre har Norge høyere arbeidskraftkostnader enn de sammenlignbare landene. Dette gjør at eksportnæringer, hvor arbeidskraft er en stor innsatsfaktor, vil kunne bli mindre konkurransedyktige å etablere i Norge. Dette er imidlertid ikke en utfyllende liste. En mer detaljert gjennomgang av </w:t>
      </w:r>
      <w:proofErr w:type="gramStart"/>
      <w:r>
        <w:t>potensielle</w:t>
      </w:r>
      <w:proofErr w:type="gramEnd"/>
      <w:r>
        <w:t xml:space="preserve"> grunner finnes i Eksportmeldingen 2023. </w:t>
      </w:r>
    </w:p>
    <w:p w14:paraId="654CCC29" w14:textId="77777777" w:rsidR="00E26025" w:rsidRDefault="00E26025" w:rsidP="00E26025">
      <w:pPr>
        <w:spacing w:after="40"/>
      </w:pPr>
      <w:r w:rsidRPr="00207110">
        <w:rPr>
          <w:b/>
          <w:color w:val="D77F16" w:themeColor="accent2"/>
          <w:sz w:val="26"/>
          <w:szCs w:val="26"/>
        </w:rPr>
        <w:t xml:space="preserve">Vestlandet eksporterer mest og distriktskommunene har høyest eksportintensitet </w:t>
      </w:r>
    </w:p>
    <w:p w14:paraId="4E413927" w14:textId="77777777" w:rsidR="00E26025" w:rsidRDefault="00E26025" w:rsidP="00E26025">
      <w:r>
        <w:t xml:space="preserve">I rapporten fordeler vi eksporten utenom olje og gass på norske fylker og kommuner. Som i tidligere år ser vi at norsk eksport er konsentrert på Vestlandet, med </w:t>
      </w:r>
      <w:proofErr w:type="spellStart"/>
      <w:r>
        <w:t>Vestland</w:t>
      </w:r>
      <w:proofErr w:type="spellEnd"/>
      <w:r>
        <w:t xml:space="preserve"> fylke som det klart største eksportfylket. I 2023</w:t>
      </w:r>
      <w:r w:rsidDel="00030016">
        <w:t xml:space="preserve"> </w:t>
      </w:r>
      <w:r>
        <w:t xml:space="preserve">eksporterte bedrifter på Vestlandet varer og tjenester på hele 232 milliarder kroner. I analysen finner vi også at tre av Norges fem største eksportfylker er lokalisert på Vestlandet. I tillegg til </w:t>
      </w:r>
      <w:proofErr w:type="spellStart"/>
      <w:r>
        <w:t>Vestland</w:t>
      </w:r>
      <w:proofErr w:type="spellEnd"/>
      <w:r>
        <w:t xml:space="preserve"> er dette Rogaland og Møre og Romsdal, og samlet utgjør disse fylkene 40 prosent av den samlede fastlandseksporten.</w:t>
      </w:r>
    </w:p>
    <w:p w14:paraId="373A7B77" w14:textId="77777777" w:rsidR="00E26025" w:rsidRDefault="00E26025" w:rsidP="00E26025">
      <w:r>
        <w:lastRenderedPageBreak/>
        <w:t xml:space="preserve">Samlet eksport er ikke den mest rettvisende indikator for hvor avhengig en region er av eksport. Et bedre mål er eksportintensiteten som vi definerer som eksport per sysselsatt i region. Denne er vist under for norske fylker. </w:t>
      </w:r>
    </w:p>
    <w:p w14:paraId="599F4617" w14:textId="77777777" w:rsidR="00E26025" w:rsidRDefault="00E26025" w:rsidP="00E26025">
      <w:pPr>
        <w:pStyle w:val="Bildetekst"/>
      </w:pPr>
      <w:r>
        <w:t xml:space="preserve">Figur B: Eksport per sysselsatt, ekskludert olje og gass, fordelt på fylker i 2023. Kilde: SSB og Menon </w:t>
      </w:r>
      <w:proofErr w:type="spellStart"/>
      <w:r w:rsidRPr="000E72FA">
        <w:t>Economics</w:t>
      </w:r>
      <w:proofErr w:type="spellEnd"/>
      <w:r>
        <w:rPr>
          <w:rStyle w:val="Fotnotereferanse"/>
        </w:rPr>
        <w:footnoteReference w:id="1"/>
      </w:r>
    </w:p>
    <w:p w14:paraId="4E50D398" w14:textId="77777777" w:rsidR="00E26025" w:rsidRDefault="00E26025" w:rsidP="00E26025">
      <w:r>
        <w:rPr>
          <w:noProof/>
        </w:rPr>
        <w:drawing>
          <wp:inline distT="0" distB="0" distL="0" distR="0" wp14:anchorId="357E82F5" wp14:editId="5172CBAB">
            <wp:extent cx="5724525" cy="3231254"/>
            <wp:effectExtent l="0" t="0" r="0" b="7620"/>
            <wp:docPr id="1495153111" name="Chart 1">
              <a:extLst xmlns:a="http://schemas.openxmlformats.org/drawingml/2006/main">
                <a:ext uri="{FF2B5EF4-FFF2-40B4-BE49-F238E27FC236}">
                  <a16:creationId xmlns:a16="http://schemas.microsoft.com/office/drawing/2014/main" id="{3ABB483D-F66D-D61E-398A-CE99604DF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D255FF" w14:textId="77777777" w:rsidR="00E26025" w:rsidRDefault="00E26025" w:rsidP="00E26025">
      <w:r>
        <w:t xml:space="preserve">De tre mest eksportintensive fylkene i 2023 er Møre og Romsdal, </w:t>
      </w:r>
      <w:proofErr w:type="spellStart"/>
      <w:r>
        <w:t>Vestland</w:t>
      </w:r>
      <w:proofErr w:type="spellEnd"/>
      <w:r>
        <w:t xml:space="preserve"> og Nordland. Møre og Romsdal hadde en eksport per sysselsatt på nesten 750 000 kroner, og har vært det mest eksportintensive fylket siden første utgivelse av Eksportmeldingen i 2021. Den høye eksportintensiteten er drevet av betydelig eksport fra aktører innen maritim næring, sjømatnæringen og kraftintensiv industri som har sin base i fylket. </w:t>
      </w:r>
      <w:proofErr w:type="spellStart"/>
      <w:r>
        <w:t>Vestland</w:t>
      </w:r>
      <w:proofErr w:type="spellEnd"/>
      <w:r>
        <w:t xml:space="preserve"> fylke følger tett på Møre og Romsdal med en eksportintensitet på 708 000 kroner. Kraftintensiv industri, sjømatnæringen og maritim næring er også de største eksportnæringene i dette fylket. Nordland er det tredje mest eksportintensive fylket med 604 000 kroner per sysselsatt. Her er det primært eksport av sjømat, samt industrien som bidrar til den høye eksportintensiteten. </w:t>
      </w:r>
    </w:p>
    <w:p w14:paraId="5939E111" w14:textId="77777777" w:rsidR="00E26025" w:rsidRDefault="00E26025" w:rsidP="00E26025">
      <w:pPr>
        <w:spacing w:after="40"/>
      </w:pPr>
      <w:r w:rsidRPr="00207110">
        <w:rPr>
          <w:b/>
          <w:color w:val="D77F16" w:themeColor="accent2"/>
          <w:sz w:val="26"/>
          <w:szCs w:val="26"/>
        </w:rPr>
        <w:t xml:space="preserve">Eksporten legger grunnlag for 640 000 arbeidsplasser – hver femte arbeidsplass </w:t>
      </w:r>
    </w:p>
    <w:p w14:paraId="1C7C2351" w14:textId="77777777" w:rsidR="00E26025" w:rsidRDefault="00E26025" w:rsidP="00E26025">
      <w:r>
        <w:t>Eksporten understøtter sysselsetting i hele landet, både i eksportnæringene selv og hos deres leverandører og underleverandører. I 2023 estimerer vi at eksporten la grunnlag for 640 000 arbeidsplasser. Dette tilsvarer omkring hver femte norske arbeidsplass. Basert på kartleggingen av den geografiske eksporten estimerer vi arbeidsplasser som understøttes av eksporten i hvert fylke.</w:t>
      </w:r>
    </w:p>
    <w:p w14:paraId="6163A19B" w14:textId="77777777" w:rsidR="00E26025" w:rsidRDefault="00E26025" w:rsidP="00E26025">
      <w:pPr>
        <w:pStyle w:val="Bildetekst"/>
      </w:pPr>
      <w:r>
        <w:lastRenderedPageBreak/>
        <w:t xml:space="preserve">Figur C: Sysselsettingseffekter (ringvirkninger) av eksporten ekskludert olje og gass fordelt på fylker. Kilde: Menon </w:t>
      </w:r>
      <w:proofErr w:type="spellStart"/>
      <w:r>
        <w:t>Economics</w:t>
      </w:r>
      <w:proofErr w:type="spellEnd"/>
      <w:r>
        <w:t xml:space="preserve"> </w:t>
      </w:r>
    </w:p>
    <w:p w14:paraId="463BA694" w14:textId="77777777" w:rsidR="00E26025" w:rsidRDefault="00E26025" w:rsidP="00E26025">
      <w:pPr>
        <w:rPr>
          <w:noProof/>
        </w:rPr>
      </w:pPr>
      <w:r>
        <w:rPr>
          <w:noProof/>
        </w:rPr>
        <w:drawing>
          <wp:inline distT="0" distB="0" distL="0" distR="0" wp14:anchorId="3BFC30B8" wp14:editId="54E5D544">
            <wp:extent cx="5759450" cy="2978150"/>
            <wp:effectExtent l="0" t="0" r="0" b="0"/>
            <wp:docPr id="125429738" name="Chart 1">
              <a:extLst xmlns:a="http://schemas.openxmlformats.org/drawingml/2006/main">
                <a:ext uri="{FF2B5EF4-FFF2-40B4-BE49-F238E27FC236}">
                  <a16:creationId xmlns:a16="http://schemas.microsoft.com/office/drawing/2014/main" id="{F9F7624B-70CC-8AC2-46CB-2D2A8D86D3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724B7C" w14:textId="77777777" w:rsidR="00E26025" w:rsidRDefault="00E26025" w:rsidP="00E26025">
      <w:r>
        <w:t xml:space="preserve">Som vist i figuren over er sysselsettingseffektene størst i Oslo, der nærmere 80 000 arbeidsplasser understøttes av eksporten. De indirekte effektene utgjør en større andel i de store fylkene som Oslo og Akershus, mens mindre (og mer eksportintensive) fylker, som eksempelvis </w:t>
      </w:r>
      <w:r w:rsidRPr="00C76076">
        <w:t>Møre og Romsdal, Nordland</w:t>
      </w:r>
      <w:r>
        <w:t>,</w:t>
      </w:r>
      <w:r w:rsidRPr="00C76076">
        <w:t xml:space="preserve"> Troms og Finnmark har en høyere andel direkte effekter.</w:t>
      </w:r>
      <w:r>
        <w:t xml:space="preserve"> I rapporten ser vi også på den relative betydningen av eksportarbeidsplassene i hvert fylke. Her finner vi at Møre og Romsdal er det fylket der eksporten betyr mest relativt til det samlede næringslivet, hvor hver fjerde arbeidsplass i næringslivet er direkte eller indirekte tilknyttet eksporten utenom olje og gass. I de resterende fylkene utgjør sysselsettingseffektene mellom 13 og 18 prosent av den samlede totale sysselsetting.</w:t>
      </w:r>
    </w:p>
    <w:p w14:paraId="30C6DE71" w14:textId="77777777" w:rsidR="00E26025" w:rsidRPr="0033174E" w:rsidRDefault="00E26025" w:rsidP="00E26025">
      <w:pPr>
        <w:spacing w:after="40"/>
      </w:pPr>
      <w:r>
        <w:rPr>
          <w:b/>
          <w:color w:val="D77F16" w:themeColor="accent2"/>
          <w:sz w:val="26"/>
          <w:szCs w:val="26"/>
        </w:rPr>
        <w:t>Grønn eksport: Norge halter etter, men har stort potensial</w:t>
      </w:r>
    </w:p>
    <w:p w14:paraId="58505B68" w14:textId="77777777" w:rsidR="00E26025" w:rsidRDefault="00E26025" w:rsidP="00E26025">
      <w:r>
        <w:t xml:space="preserve">Det første spesialkapittelet i denne rapporten omhandler Norges grønne eksport. I perioden 2018 til 2022 har den norske fornybareksporten doblet seg, fra 9,1 til 18,6 milliarder kroner, som vist i figuren under til venstre. Dette er basert på en analyse gjennomført av Multiconsult som omfatter verdikjedene knyttet til havvind, solenergi, landbasert vind, vannkraft, bioenergi og hydrogen. Leverandører til havbasert vind eksporterte i 2022 for om lag 12 milliarder kroner, og sto dermed for om lag to tredjedeler av eksporten i fornybarnæringen. </w:t>
      </w:r>
    </w:p>
    <w:p w14:paraId="1DCF9421" w14:textId="77777777" w:rsidR="00E26025" w:rsidRDefault="00E26025" w:rsidP="00E26025">
      <w:r>
        <w:t xml:space="preserve">Vi har i rapporten også sett på størrelsesforholdet mellom fornybarnæringen her hjemme og hos sentrale handelspartnere. Til tross for at Norges fornybare eksport har doblet seg de siste fem årene, har Norge relativt sett en betydelig lavere grønn eksport enn andre sammenlignbare land. Dette har vi vist i tidligere Eksportmeldinger, og indikeres i figuren under til høyre, som viser fornybare arbeidsplasser som andel av den totale arbeidsstyrken i sammenlignbare land. Selv om fornybare arbeidsplasser ikke utelukkende er tilknyttet eksport, er det en indikator på konkurransekraften og størrelsen på næringen. </w:t>
      </w:r>
    </w:p>
    <w:p w14:paraId="3F726651" w14:textId="77777777" w:rsidR="00E26025" w:rsidRPr="00793E5F" w:rsidRDefault="00E26025" w:rsidP="00E26025">
      <w:pPr>
        <w:pStyle w:val="Bildetekst"/>
      </w:pPr>
      <w:r>
        <w:lastRenderedPageBreak/>
        <w:t xml:space="preserve">Figur D: T.V: </w:t>
      </w:r>
      <w:r w:rsidRPr="00793E5F">
        <w:t>Norsk eksport fra fornybarnæringene over tid. Kilde: Multiconsult</w:t>
      </w:r>
      <w:r>
        <w:t xml:space="preserve">. T.H: Andel jobber innen fornybare teknologier av lands totale arbeidsstyrke i 2022, fordelt på utvalgte fornybare teknologier. Kilde. IRENA (2023) og Eurostat, bearbeidet av Menon </w:t>
      </w:r>
      <w:proofErr w:type="spellStart"/>
      <w:r>
        <w:t>Economics</w:t>
      </w:r>
      <w:proofErr w:type="spellEnd"/>
    </w:p>
    <w:p w14:paraId="22CC1156" w14:textId="77777777" w:rsidR="00E26025" w:rsidRDefault="00E26025" w:rsidP="00E26025">
      <w:pPr>
        <w:rPr>
          <w:noProof/>
        </w:rPr>
      </w:pPr>
      <w:r>
        <w:rPr>
          <w:noProof/>
        </w:rPr>
        <w:drawing>
          <wp:inline distT="0" distB="0" distL="0" distR="0" wp14:anchorId="1033640D" wp14:editId="1E92121A">
            <wp:extent cx="2565400" cy="2940050"/>
            <wp:effectExtent l="0" t="0" r="0" b="0"/>
            <wp:docPr id="564610719" name="Diagram 1">
              <a:extLst xmlns:a="http://schemas.openxmlformats.org/drawingml/2006/main">
                <a:ext uri="{FF2B5EF4-FFF2-40B4-BE49-F238E27FC236}">
                  <a16:creationId xmlns:a16="http://schemas.microsoft.com/office/drawing/2014/main" id="{EB532E0D-AA74-BEB0-7A71-8C86C22DB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64CD3EF1" wp14:editId="30F4990A">
            <wp:extent cx="3162300" cy="2984500"/>
            <wp:effectExtent l="0" t="0" r="0" b="0"/>
            <wp:docPr id="2019252109" name="Diagram 1">
              <a:extLst xmlns:a="http://schemas.openxmlformats.org/drawingml/2006/main">
                <a:ext uri="{FF2B5EF4-FFF2-40B4-BE49-F238E27FC236}">
                  <a16:creationId xmlns:a16="http://schemas.microsoft.com/office/drawing/2014/main" id="{10C733B5-CF46-4181-B266-82C5640D4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t xml:space="preserve"> </w:t>
      </w:r>
    </w:p>
    <w:p w14:paraId="09C1D6E7" w14:textId="77777777" w:rsidR="00E26025" w:rsidRPr="00B277DE" w:rsidRDefault="00E26025" w:rsidP="00E26025">
      <w:r>
        <w:rPr>
          <w:noProof/>
        </w:rPr>
        <w:t xml:space="preserve">0,72 prosent av Norges arbeidsstyrke er tilknyttet fornybarnæringen. Dette utgjør nærmere </w:t>
      </w:r>
      <w:r>
        <w:t>20 000 arbeidsplasser i 2022. Over halvparten jobber imidlertid innen vannkraft der eksportandelen er noe lavere enn de andre næringene i figuren. Til sammenligning har andre europeiske handels</w:t>
      </w:r>
      <w:r>
        <w:softHyphen/>
        <w:t xml:space="preserve">partnere som Danmark, Sverige og Polen et langt høyere andel fornybare arbeidsplasser på over 1 prosent av arbeidsstyrken. Disse er i tillegg mer eksportrettede enn den norske fornybarnæringen. </w:t>
      </w:r>
    </w:p>
    <w:p w14:paraId="6C5E1A68" w14:textId="77777777" w:rsidR="00E26025" w:rsidRDefault="00E26025" w:rsidP="00E26025">
      <w:r>
        <w:t>Selv om Norge i dag henger etter flere av sine naboland,</w:t>
      </w:r>
      <w:r w:rsidRPr="00AB33AC">
        <w:t xml:space="preserve"> eksisterer </w:t>
      </w:r>
      <w:r>
        <w:t xml:space="preserve">det </w:t>
      </w:r>
      <w:r w:rsidRPr="00AB33AC">
        <w:t xml:space="preserve">store markedsmuligheter innen flere sentrale grønne verdikjeder i Europa. </w:t>
      </w:r>
      <w:r>
        <w:t xml:space="preserve">I rapporten vi ser vi på potensialet for tre av de viktigste grønne eksportnæringene: leverandører til havvindmarkedet, produksjon av </w:t>
      </w:r>
      <w:r w:rsidRPr="004F1E51">
        <w:t>lav- og nullutslippshydrogen</w:t>
      </w:r>
      <w:r>
        <w:t xml:space="preserve">, samt verdikjeden til batteriproduksjon. </w:t>
      </w:r>
    </w:p>
    <w:p w14:paraId="7127F45A" w14:textId="77777777" w:rsidR="00E26025" w:rsidRPr="004F1E51" w:rsidRDefault="00E26025" w:rsidP="00E26025">
      <w:pPr>
        <w:pStyle w:val="Listeavsnitt"/>
        <w:numPr>
          <w:ilvl w:val="0"/>
          <w:numId w:val="1"/>
        </w:numPr>
      </w:pPr>
      <w:r>
        <w:t xml:space="preserve">Når det gjelder </w:t>
      </w:r>
      <w:r w:rsidRPr="0057723E">
        <w:rPr>
          <w:b/>
        </w:rPr>
        <w:t>havvindmarkedet</w:t>
      </w:r>
      <w:r>
        <w:t xml:space="preserve"> er </w:t>
      </w:r>
      <w:r w:rsidRPr="00AB33AC">
        <w:t>norske leverandører</w:t>
      </w:r>
      <w:r>
        <w:t>s muligheter</w:t>
      </w:r>
      <w:r w:rsidRPr="00AB33AC">
        <w:t xml:space="preserve"> spesielt store i markeder som satser stort på blant </w:t>
      </w:r>
      <w:r>
        <w:t>annet</w:t>
      </w:r>
      <w:r w:rsidRPr="00AB33AC">
        <w:t xml:space="preserve"> flytende havvind, som Storbritannia, Irland og Frankrike. Norge</w:t>
      </w:r>
      <w:r>
        <w:t>s</w:t>
      </w:r>
      <w:r w:rsidRPr="00AB33AC">
        <w:t xml:space="preserve"> konkurransefortrinn innen offshorekompetanse, </w:t>
      </w:r>
      <w:r w:rsidRPr="00AB33AC">
        <w:rPr>
          <w:iCs/>
        </w:rPr>
        <w:t xml:space="preserve">topografi og kort geografisk avstand til europeiske markeder vil være viktige i eksportsatsingen for havvind. </w:t>
      </w:r>
    </w:p>
    <w:p w14:paraId="24D6022E" w14:textId="77777777" w:rsidR="00E26025" w:rsidRDefault="00E26025" w:rsidP="00E26025">
      <w:pPr>
        <w:pStyle w:val="Listeavsnitt"/>
        <w:numPr>
          <w:ilvl w:val="0"/>
          <w:numId w:val="1"/>
        </w:numPr>
      </w:pPr>
      <w:r w:rsidRPr="00AB33AC">
        <w:t xml:space="preserve">For </w:t>
      </w:r>
      <w:r w:rsidRPr="0057723E">
        <w:rPr>
          <w:b/>
        </w:rPr>
        <w:t>lav- og nullutslippshydrogen</w:t>
      </w:r>
      <w:r w:rsidRPr="00AB33AC">
        <w:t xml:space="preserve"> er eksportpotensialet både knyttet til utstyrsleveranser (</w:t>
      </w:r>
      <w:proofErr w:type="spellStart"/>
      <w:r w:rsidRPr="00AB33AC">
        <w:t>elektrolysører</w:t>
      </w:r>
      <w:proofErr w:type="spellEnd"/>
      <w:r w:rsidRPr="00AB33AC">
        <w:t xml:space="preserve"> til grønt hydrogen) og produksjon av grønt og blått hydrogen til eksport. </w:t>
      </w:r>
      <w:r w:rsidRPr="00AB33AC">
        <w:rPr>
          <w:iCs/>
        </w:rPr>
        <w:t xml:space="preserve">Tilgang på fornybar kraft og naturgass samt teknologikompetanse er to av </w:t>
      </w:r>
      <w:r>
        <w:rPr>
          <w:iCs/>
        </w:rPr>
        <w:t>Norges</w:t>
      </w:r>
      <w:r w:rsidRPr="00AB33AC">
        <w:rPr>
          <w:iCs/>
        </w:rPr>
        <w:t xml:space="preserve"> viktigste konkurransefortrinn</w:t>
      </w:r>
      <w:r w:rsidRPr="00AB33AC">
        <w:t xml:space="preserve"> i hydrogen</w:t>
      </w:r>
      <w:r>
        <w:softHyphen/>
      </w:r>
      <w:r w:rsidRPr="00AB33AC">
        <w:t xml:space="preserve">satsingen. Tyskland, som Norge allerede har inngått samarbeid om hydrogen med, skiller seg ut ved betydelige planer og et stort sluttbrukermarked i landets industri. </w:t>
      </w:r>
    </w:p>
    <w:p w14:paraId="411E5E53" w14:textId="77777777" w:rsidR="00E26025" w:rsidRDefault="00E26025" w:rsidP="00E26025">
      <w:pPr>
        <w:pStyle w:val="Listeavsnitt"/>
        <w:numPr>
          <w:ilvl w:val="0"/>
          <w:numId w:val="1"/>
        </w:numPr>
      </w:pPr>
      <w:r w:rsidRPr="00AB33AC">
        <w:t xml:space="preserve">For </w:t>
      </w:r>
      <w:r w:rsidRPr="0057723E">
        <w:rPr>
          <w:b/>
        </w:rPr>
        <w:t>batterinæringen</w:t>
      </w:r>
      <w:r w:rsidRPr="00AB33AC">
        <w:t xml:space="preserve"> kan Norge </w:t>
      </w:r>
      <w:r>
        <w:t xml:space="preserve">spille en betydelig rolle i å gjøre EU/EØS selvforsynende med </w:t>
      </w:r>
      <w:r w:rsidRPr="00AB33AC">
        <w:t xml:space="preserve">batterier. Tilgang til mineraler, billig grønn kraft og høy kompetanse innen kjemisk industri gir Norge komparative fortrinn i batterisatsingen. </w:t>
      </w:r>
    </w:p>
    <w:p w14:paraId="45157829" w14:textId="77777777" w:rsidR="00E26025" w:rsidRPr="00AB33AC" w:rsidRDefault="00E26025" w:rsidP="00E26025">
      <w:r>
        <w:t xml:space="preserve">Til sist peker vi på at dette markedspotensial ikke utløses automatisk. </w:t>
      </w:r>
      <w:r w:rsidRPr="00AB33AC">
        <w:t>Bedrifter, organisasjoner, og virkemiddel</w:t>
      </w:r>
      <w:r>
        <w:softHyphen/>
      </w:r>
      <w:r w:rsidRPr="00AB33AC">
        <w:t>apparatet bør rigge sine satsinger og uteapparat inn mot disse markedene, for å sikre at markedsmulighetene som foreligger utnyttes.</w:t>
      </w:r>
      <w:r>
        <w:t xml:space="preserve"> I rapporten gir vi en oversikt over Norges uteapparat i relevante europeiske land. </w:t>
      </w:r>
    </w:p>
    <w:p w14:paraId="63AF86D9" w14:textId="77777777" w:rsidR="00E26025" w:rsidRDefault="00E26025" w:rsidP="00E26025">
      <w:pPr>
        <w:spacing w:after="40"/>
      </w:pPr>
      <w:r w:rsidRPr="00207110">
        <w:rPr>
          <w:b/>
          <w:color w:val="D77F16" w:themeColor="accent2"/>
          <w:sz w:val="26"/>
          <w:szCs w:val="26"/>
        </w:rPr>
        <w:lastRenderedPageBreak/>
        <w:t xml:space="preserve">Tjenesteeksport er en viktigere del av norsk eksport enn ren eksportdata tilsier </w:t>
      </w:r>
    </w:p>
    <w:p w14:paraId="5FD51762" w14:textId="77777777" w:rsidR="00E26025" w:rsidRPr="00D76540" w:rsidRDefault="00E26025" w:rsidP="00E26025">
      <w:pPr>
        <w:rPr>
          <w:bCs/>
        </w:rPr>
      </w:pPr>
      <w:r>
        <w:t xml:space="preserve">Det andre spesialkapittelet omhandler betydningen av norsk tjenesteeksport. </w:t>
      </w:r>
      <w:r w:rsidRPr="00985918">
        <w:t xml:space="preserve">Både globalt og i Norge står tjenester for litt over 20 prosent av </w:t>
      </w:r>
      <w:r>
        <w:t xml:space="preserve">den samlede </w:t>
      </w:r>
      <w:r w:rsidRPr="00985918">
        <w:t xml:space="preserve">eksporten. Dette tradisjonelle målet på handel av varer og tjenester underestimerer imidlertid viktigheten av tjenesteeksporten. </w:t>
      </w:r>
      <w:r>
        <w:t xml:space="preserve">Indirekte </w:t>
      </w:r>
      <w:r w:rsidRPr="00985918">
        <w:t xml:space="preserve">eksport </w:t>
      </w:r>
      <w:r>
        <w:t>fanges ikke opp av tradisjonelle mål på eksport, fordi dette er leverandører og underleverandører av varer og tjenester til de bedriftene som eksporterer. De er imidlertid viktige når man skal vurdere</w:t>
      </w:r>
      <w:r w:rsidRPr="00985918">
        <w:t xml:space="preserve"> verdiskaping </w:t>
      </w:r>
      <w:r>
        <w:t xml:space="preserve">eller </w:t>
      </w:r>
      <w:r w:rsidRPr="00985918">
        <w:t>sysselsetting</w:t>
      </w:r>
      <w:r>
        <w:t xml:space="preserve"> som muliggjøres av norsk eksport.</w:t>
      </w:r>
      <w:r w:rsidRPr="00985918">
        <w:t xml:space="preserve"> Dersom</w:t>
      </w:r>
      <w:r>
        <w:t xml:space="preserve"> vi</w:t>
      </w:r>
      <w:r w:rsidRPr="00985918">
        <w:t xml:space="preserve"> inkluderer indirekte eksport </w:t>
      </w:r>
      <w:r>
        <w:t>og måler eksportens bidrag til BNP</w:t>
      </w:r>
      <w:r w:rsidRPr="00985918">
        <w:t xml:space="preserve">, kommer viktigheten av tjenesteeksporten langt bedre frem. </w:t>
      </w:r>
      <w:r>
        <w:t>Vi estimerer at tjenesteeksporten målt på denne måten utgjør</w:t>
      </w:r>
      <w:r w:rsidRPr="00985918">
        <w:t xml:space="preserve"> 65 prosent av norsk eksport utenom olje og gass. </w:t>
      </w:r>
    </w:p>
    <w:p w14:paraId="0CEF01AB" w14:textId="77777777" w:rsidR="00E26025" w:rsidRPr="00D76540" w:rsidRDefault="00E26025" w:rsidP="00E26025">
      <w:pPr>
        <w:rPr>
          <w:bCs/>
          <w:color w:val="D77F16" w:themeColor="accent2"/>
          <w:sz w:val="26"/>
          <w:szCs w:val="26"/>
        </w:rPr>
      </w:pPr>
      <w:r w:rsidRPr="00D76540">
        <w:rPr>
          <w:bCs/>
        </w:rPr>
        <w:t>De</w:t>
      </w:r>
      <w:r>
        <w:rPr>
          <w:bCs/>
        </w:rPr>
        <w:t>n</w:t>
      </w:r>
      <w:r w:rsidRPr="00D76540">
        <w:rPr>
          <w:bCs/>
        </w:rPr>
        <w:t xml:space="preserve"> næringen som bidrar mest til norsk tjenesteeksport er maritim næring</w:t>
      </w:r>
      <w:r>
        <w:rPr>
          <w:bCs/>
        </w:rPr>
        <w:t>.</w:t>
      </w:r>
      <w:r w:rsidRPr="00D76540">
        <w:rPr>
          <w:bCs/>
        </w:rPr>
        <w:t xml:space="preserve"> </w:t>
      </w:r>
      <w:r>
        <w:rPr>
          <w:bCs/>
        </w:rPr>
        <w:t>Næringen eksporterte tjenester for 190 milliarder kroner i 2023. Etter maritim næring var det</w:t>
      </w:r>
      <w:r w:rsidRPr="00D76540">
        <w:rPr>
          <w:bCs/>
        </w:rPr>
        <w:t xml:space="preserve"> forretningstjenester, IKT</w:t>
      </w:r>
      <w:r>
        <w:rPr>
          <w:bCs/>
        </w:rPr>
        <w:t>,</w:t>
      </w:r>
      <w:r w:rsidRPr="00D76540">
        <w:rPr>
          <w:bCs/>
        </w:rPr>
        <w:t xml:space="preserve"> reiseliv og offshore leverandører</w:t>
      </w:r>
      <w:r>
        <w:rPr>
          <w:bCs/>
        </w:rPr>
        <w:t xml:space="preserve"> som eksporterte mest tjenester til en verdi på henholdsvis 90 og 50, 50 og 45 milliarder kroner. </w:t>
      </w:r>
      <w:r w:rsidRPr="00D76540">
        <w:rPr>
          <w:bCs/>
        </w:rPr>
        <w:t xml:space="preserve">Disse tjenestene blir hovedsakelig levert som grensekryssende tjenester. Norsk tjenesteeksport har hatt en lavere vekst over de siste 10 og 20 årene </w:t>
      </w:r>
      <w:r>
        <w:rPr>
          <w:bCs/>
        </w:rPr>
        <w:t>enn</w:t>
      </w:r>
      <w:r w:rsidRPr="00D76540">
        <w:rPr>
          <w:bCs/>
        </w:rPr>
        <w:t xml:space="preserve"> andre europeiske land. Dette kan være som følge av at Norge har strengere krav til tjenestehandel enn disse landene. Ser vi imidlertid </w:t>
      </w:r>
      <w:r>
        <w:rPr>
          <w:bCs/>
        </w:rPr>
        <w:t>på</w:t>
      </w:r>
      <w:r w:rsidRPr="00D76540">
        <w:rPr>
          <w:bCs/>
        </w:rPr>
        <w:t xml:space="preserve"> eksportverdien av norsk tjenesteeksport per sysselsatt, er denne relativt lik andre sammenlignbare europeiske land.</w:t>
      </w:r>
    </w:p>
    <w:p w14:paraId="481FA249" w14:textId="77777777" w:rsidR="00E26025" w:rsidRDefault="00E26025" w:rsidP="00E26025">
      <w:pPr>
        <w:spacing w:after="40"/>
        <w:rPr>
          <w:b/>
          <w:color w:val="D77F16" w:themeColor="accent2"/>
          <w:sz w:val="26"/>
          <w:szCs w:val="26"/>
        </w:rPr>
      </w:pPr>
      <w:r w:rsidRPr="00207110">
        <w:rPr>
          <w:b/>
          <w:color w:val="D77F16" w:themeColor="accent2"/>
          <w:sz w:val="26"/>
          <w:szCs w:val="26"/>
        </w:rPr>
        <w:t xml:space="preserve">Hjørnesteinsbedrifter er essensielle for flere lokalsamfunn og danner grunnlag for indirekte eksport  </w:t>
      </w:r>
    </w:p>
    <w:p w14:paraId="00A1A7F6" w14:textId="77777777" w:rsidR="00E26025" w:rsidRDefault="00E26025" w:rsidP="00E26025">
      <w:r>
        <w:t xml:space="preserve">Det tredje spesialkapittelet belyser betydningen av hjørnestensbedrifter, som spiller en viktig rolle i lokale samfunn og kommuner. Dette forsøker vi å kvantifisere ved </w:t>
      </w:r>
      <w:r w:rsidRPr="0045761C">
        <w:t xml:space="preserve">å </w:t>
      </w:r>
      <w:r>
        <w:t>se på</w:t>
      </w:r>
      <w:r w:rsidRPr="0045761C">
        <w:t xml:space="preserve"> den økonomiske påvirkningen disse bedriftene har, både lokalt og nasjonalt</w:t>
      </w:r>
      <w:r>
        <w:t>, gjennom verdiskaping, sysselsetting, skatteinntekter og indirekte eksport. Basert på vår definisjon av hjørnesteinsbedrifter har vi identifisert 62 norske hjørnesteinsbedrifter. Totalt stod disse hjørnesteinsbedriftene for cirka 57 milliarder kroner i verdiskaping og det var rundt 25 000 sysselsatte i hjørnesteinsbedriftene i 2022. Hjørnesteinsbedriftene tilhører et bredt spekter av næringer, men kraftintensiv industri er den største næringen målt i verdiskaping fra hjørnesteinsbedrifter. I 2022 var 21 milliarder (37 prosent) kroner av verdiskapingen fra hjørnesteinsbedriftene tilknyttet kraftintensiv industri. Bedriftene er også viktige bidragsytere</w:t>
      </w:r>
      <w:r w:rsidDel="000D45BA">
        <w:t xml:space="preserve"> </w:t>
      </w:r>
      <w:r>
        <w:t>når det gjelder skatteinngang til staten og kommunene. I 2022 bidro hjørnesteins</w:t>
      </w:r>
      <w:r>
        <w:softHyphen/>
        <w:t>bedriftene med cirka 12 milliarder kroner i skatteinngang. Rundt 10,3 milliarder kroner av dette gikk direkte til staten, mens rundt 1,3 milliarder skattekroner</w:t>
      </w:r>
      <w:r w:rsidDel="00110B5D">
        <w:t xml:space="preserve"> </w:t>
      </w:r>
      <w:r>
        <w:t xml:space="preserve">gikk direkte til kommunen gjennom personskatt. </w:t>
      </w:r>
    </w:p>
    <w:p w14:paraId="54B528E3" w14:textId="77777777" w:rsidR="00E26025" w:rsidRDefault="00E26025" w:rsidP="00E26025">
      <w:r>
        <w:t xml:space="preserve">Basert på intervjuer og analyser, finner vi videre at de norske hjørnesteinsbedriftene også understøtter viktig eksportinntekt gjennom indirekte eksport. Dette skjer hovedsakelig gjennom to kanaler. Den første kanalen er gjennom lokale innkjøp av varer og tjenester, og den andre kanalen er gjennom kompetanseutvikling, som fører til at hjørnesteinsbedriftenes leverandører selv starter å selge varer og tjenester på det internasjonale markedet. Dette betyr at hjørnesteinsbedriftene sin tilstedeværelse bidrar til å utvikle nye spesialiserte eksporterende bedrifter. I tillegg til den indirekte eksporten er også hjørnesteinsbedriftene aktive medlemmer i lokalmiljøet sitt. Vi har utarbeidet tre </w:t>
      </w:r>
      <w:proofErr w:type="gramStart"/>
      <w:r>
        <w:t>caser</w:t>
      </w:r>
      <w:proofErr w:type="gramEnd"/>
      <w:r>
        <w:t xml:space="preserve"> som belyser denne tematikken.  </w:t>
      </w:r>
    </w:p>
    <w:p w14:paraId="44EE5FDC" w14:textId="77777777" w:rsidR="00E26025" w:rsidRPr="00A8360A" w:rsidRDefault="00E26025" w:rsidP="00E26025"/>
    <w:p w14:paraId="304B2788" w14:textId="77777777" w:rsidR="004B476B" w:rsidRDefault="004B476B"/>
    <w:sectPr w:rsidR="004B47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4F345" w14:textId="77777777" w:rsidR="00E26025" w:rsidRDefault="00E26025" w:rsidP="00E26025">
      <w:pPr>
        <w:spacing w:after="0" w:line="240" w:lineRule="auto"/>
      </w:pPr>
      <w:r>
        <w:separator/>
      </w:r>
    </w:p>
  </w:endnote>
  <w:endnote w:type="continuationSeparator" w:id="0">
    <w:p w14:paraId="560BDF29" w14:textId="77777777" w:rsidR="00E26025" w:rsidRDefault="00E26025" w:rsidP="00E2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0DEF" w14:textId="77777777" w:rsidR="00E26025" w:rsidRDefault="00E26025" w:rsidP="00E26025">
      <w:pPr>
        <w:spacing w:after="0" w:line="240" w:lineRule="auto"/>
      </w:pPr>
      <w:r>
        <w:separator/>
      </w:r>
    </w:p>
  </w:footnote>
  <w:footnote w:type="continuationSeparator" w:id="0">
    <w:p w14:paraId="22A6FA13" w14:textId="77777777" w:rsidR="00E26025" w:rsidRDefault="00E26025" w:rsidP="00E26025">
      <w:pPr>
        <w:spacing w:after="0" w:line="240" w:lineRule="auto"/>
      </w:pPr>
      <w:r>
        <w:continuationSeparator/>
      </w:r>
    </w:p>
  </w:footnote>
  <w:footnote w:id="1">
    <w:p w14:paraId="329FE748" w14:textId="77777777" w:rsidR="00E26025" w:rsidRPr="00780FC8" w:rsidRDefault="00E26025" w:rsidP="00E26025">
      <w:pPr>
        <w:pStyle w:val="Fotnotetekst"/>
        <w:rPr>
          <w:rFonts w:asciiTheme="majorHAnsi" w:hAnsiTheme="majorHAnsi" w:cstheme="majorHAnsi"/>
          <w:sz w:val="17"/>
          <w:szCs w:val="17"/>
        </w:rPr>
      </w:pPr>
      <w:r w:rsidRPr="00780FC8">
        <w:rPr>
          <w:rStyle w:val="Fotnotereferanse"/>
          <w:rFonts w:asciiTheme="majorHAnsi" w:hAnsiTheme="majorHAnsi" w:cstheme="majorHAnsi"/>
          <w:sz w:val="17"/>
          <w:szCs w:val="17"/>
        </w:rPr>
        <w:footnoteRef/>
      </w:r>
      <w:r w:rsidRPr="00780FC8">
        <w:rPr>
          <w:rFonts w:asciiTheme="majorHAnsi" w:hAnsiTheme="majorHAnsi" w:cstheme="majorHAnsi"/>
          <w:sz w:val="17"/>
          <w:szCs w:val="17"/>
        </w:rPr>
        <w:t xml:space="preserve"> Eksport per sysselsatt inkluderer i denne rapporten alle sysselsatte i kommunen fra SSB. Dette inkluderer privat næringsliv og offentlig ansatte.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3BD6"/>
    <w:multiLevelType w:val="hybridMultilevel"/>
    <w:tmpl w:val="90A6D276"/>
    <w:lvl w:ilvl="0" w:tplc="E0A46F12">
      <w:start w:val="1"/>
      <w:numFmt w:val="bullet"/>
      <w:lvlText w:val=""/>
      <w:lvlJc w:val="left"/>
      <w:pPr>
        <w:ind w:left="720" w:hanging="360"/>
      </w:pPr>
      <w:rPr>
        <w:rFonts w:ascii="Symbol" w:hAnsi="Symbol" w:hint="default"/>
        <w:color w:val="D77F16"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0D900FB"/>
    <w:multiLevelType w:val="multilevel"/>
    <w:tmpl w:val="0414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num w:numId="1" w16cid:durableId="1364091792">
    <w:abstractNumId w:val="0"/>
  </w:num>
  <w:num w:numId="2" w16cid:durableId="1226993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25"/>
    <w:rsid w:val="004B476B"/>
    <w:rsid w:val="00783D08"/>
    <w:rsid w:val="007A3605"/>
    <w:rsid w:val="00C45A8B"/>
    <w:rsid w:val="00D86D56"/>
    <w:rsid w:val="00E26025"/>
    <w:rsid w:val="00EA2E80"/>
    <w:rsid w:val="00F963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0726"/>
  <w15:chartTrackingRefBased/>
  <w15:docId w15:val="{8E10A53C-BF9A-4D7D-947A-0FCC6E69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025"/>
    <w:pPr>
      <w:spacing w:after="200" w:line="300" w:lineRule="auto"/>
      <w:jc w:val="both"/>
    </w:pPr>
    <w:rPr>
      <w:kern w:val="0"/>
      <w:sz w:val="20"/>
    </w:rPr>
  </w:style>
  <w:style w:type="paragraph" w:styleId="Overskrift1">
    <w:name w:val="heading 1"/>
    <w:next w:val="Normal"/>
    <w:link w:val="Overskrift1Tegn"/>
    <w:uiPriority w:val="9"/>
    <w:qFormat/>
    <w:rsid w:val="00E26025"/>
    <w:pPr>
      <w:keepNext/>
      <w:keepLines/>
      <w:pageBreakBefore/>
      <w:numPr>
        <w:numId w:val="2"/>
      </w:numPr>
      <w:spacing w:before="480" w:after="240" w:line="240" w:lineRule="auto"/>
      <w:outlineLvl w:val="0"/>
    </w:pPr>
    <w:rPr>
      <w:rFonts w:asciiTheme="majorHAnsi" w:eastAsiaTheme="majorEastAsia" w:hAnsiTheme="majorHAnsi" w:cstheme="majorBidi"/>
      <w:b/>
      <w:bCs/>
      <w:color w:val="395775" w:themeColor="accent1"/>
      <w:kern w:val="0"/>
      <w:sz w:val="36"/>
      <w:szCs w:val="36"/>
    </w:rPr>
  </w:style>
  <w:style w:type="paragraph" w:styleId="Overskrift2">
    <w:name w:val="heading 2"/>
    <w:basedOn w:val="Overskrift1"/>
    <w:next w:val="Normal"/>
    <w:link w:val="Overskrift2Tegn"/>
    <w:uiPriority w:val="9"/>
    <w:unhideWhenUsed/>
    <w:qFormat/>
    <w:rsid w:val="00E26025"/>
    <w:pPr>
      <w:pageBreakBefore w:val="0"/>
      <w:numPr>
        <w:ilvl w:val="1"/>
      </w:numPr>
      <w:spacing w:before="400" w:after="60" w:line="288" w:lineRule="auto"/>
      <w:outlineLvl w:val="1"/>
    </w:pPr>
    <w:rPr>
      <w:bCs w:val="0"/>
      <w:color w:val="D77F16" w:themeColor="accent2"/>
      <w:sz w:val="26"/>
      <w:szCs w:val="26"/>
    </w:rPr>
  </w:style>
  <w:style w:type="paragraph" w:styleId="Overskrift3">
    <w:name w:val="heading 3"/>
    <w:basedOn w:val="Overskrift2"/>
    <w:next w:val="Normal"/>
    <w:link w:val="Overskrift3Tegn"/>
    <w:uiPriority w:val="9"/>
    <w:unhideWhenUsed/>
    <w:qFormat/>
    <w:rsid w:val="00E26025"/>
    <w:pPr>
      <w:numPr>
        <w:ilvl w:val="2"/>
      </w:numPr>
      <w:outlineLvl w:val="2"/>
    </w:pPr>
    <w:rPr>
      <w:bCs/>
      <w:color w:val="395775" w:themeColor="accent1"/>
      <w:sz w:val="24"/>
      <w:szCs w:val="24"/>
    </w:rPr>
  </w:style>
  <w:style w:type="paragraph" w:styleId="Overskrift4">
    <w:name w:val="heading 4"/>
    <w:basedOn w:val="Overskrift3"/>
    <w:next w:val="Normal"/>
    <w:link w:val="Overskrift4Tegn"/>
    <w:uiPriority w:val="9"/>
    <w:unhideWhenUsed/>
    <w:qFormat/>
    <w:rsid w:val="00E26025"/>
    <w:pPr>
      <w:numPr>
        <w:ilvl w:val="3"/>
      </w:numPr>
      <w:tabs>
        <w:tab w:val="left" w:pos="895"/>
      </w:tabs>
      <w:spacing w:before="360" w:after="40"/>
      <w:outlineLvl w:val="3"/>
    </w:pPr>
    <w:rPr>
      <w:bCs w:val="0"/>
      <w:iCs/>
      <w:color w:val="000000" w:themeColor="text1"/>
      <w:sz w:val="20"/>
      <w:szCs w:val="20"/>
    </w:rPr>
  </w:style>
  <w:style w:type="paragraph" w:styleId="Overskrift5">
    <w:name w:val="heading 5"/>
    <w:basedOn w:val="Normal"/>
    <w:next w:val="Normal"/>
    <w:link w:val="Overskrift5Tegn"/>
    <w:uiPriority w:val="9"/>
    <w:unhideWhenUsed/>
    <w:qFormat/>
    <w:rsid w:val="00E26025"/>
    <w:pPr>
      <w:keepNext/>
      <w:keepLines/>
      <w:numPr>
        <w:ilvl w:val="4"/>
        <w:numId w:val="2"/>
      </w:numPr>
      <w:spacing w:before="320" w:after="40" w:line="288" w:lineRule="auto"/>
      <w:outlineLvl w:val="4"/>
    </w:pPr>
    <w:rPr>
      <w:rFonts w:asciiTheme="majorHAnsi" w:eastAsiaTheme="majorEastAsia" w:hAnsiTheme="majorHAnsi" w:cstheme="majorBidi"/>
      <w:i/>
      <w:color w:val="000000" w:themeColor="text1"/>
      <w:szCs w:val="20"/>
    </w:rPr>
  </w:style>
  <w:style w:type="paragraph" w:styleId="Overskrift6">
    <w:name w:val="heading 6"/>
    <w:basedOn w:val="Normal"/>
    <w:next w:val="Normal"/>
    <w:link w:val="Overskrift6Tegn"/>
    <w:uiPriority w:val="9"/>
    <w:semiHidden/>
    <w:unhideWhenUsed/>
    <w:rsid w:val="00E26025"/>
    <w:pPr>
      <w:keepNext/>
      <w:keepLines/>
      <w:numPr>
        <w:ilvl w:val="5"/>
        <w:numId w:val="2"/>
      </w:numPr>
      <w:spacing w:before="40" w:after="0"/>
      <w:outlineLvl w:val="5"/>
    </w:pPr>
    <w:rPr>
      <w:rFonts w:asciiTheme="majorHAnsi" w:eastAsiaTheme="majorEastAsia" w:hAnsiTheme="majorHAnsi" w:cstheme="majorBidi"/>
      <w:color w:val="1C2B3A" w:themeColor="accent1" w:themeShade="7F"/>
    </w:rPr>
  </w:style>
  <w:style w:type="paragraph" w:styleId="Overskrift7">
    <w:name w:val="heading 7"/>
    <w:basedOn w:val="Normal"/>
    <w:next w:val="Normal"/>
    <w:link w:val="Overskrift7Tegn"/>
    <w:uiPriority w:val="9"/>
    <w:semiHidden/>
    <w:unhideWhenUsed/>
    <w:qFormat/>
    <w:rsid w:val="00E26025"/>
    <w:pPr>
      <w:keepNext/>
      <w:keepLines/>
      <w:numPr>
        <w:ilvl w:val="6"/>
        <w:numId w:val="2"/>
      </w:numPr>
      <w:spacing w:before="40" w:after="0"/>
      <w:outlineLvl w:val="6"/>
    </w:pPr>
    <w:rPr>
      <w:rFonts w:asciiTheme="majorHAnsi" w:eastAsiaTheme="majorEastAsia" w:hAnsiTheme="majorHAnsi" w:cstheme="majorBidi"/>
      <w:i/>
      <w:iCs/>
      <w:color w:val="1C2B3A" w:themeColor="accent1" w:themeShade="7F"/>
    </w:rPr>
  </w:style>
  <w:style w:type="paragraph" w:styleId="Overskrift8">
    <w:name w:val="heading 8"/>
    <w:basedOn w:val="Normal"/>
    <w:next w:val="Normal"/>
    <w:link w:val="Overskrift8Tegn"/>
    <w:uiPriority w:val="9"/>
    <w:semiHidden/>
    <w:unhideWhenUsed/>
    <w:qFormat/>
    <w:rsid w:val="00E2602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2602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26025"/>
    <w:rPr>
      <w:rFonts w:asciiTheme="majorHAnsi" w:eastAsiaTheme="majorEastAsia" w:hAnsiTheme="majorHAnsi" w:cstheme="majorBidi"/>
      <w:b/>
      <w:bCs/>
      <w:color w:val="395775" w:themeColor="accent1"/>
      <w:kern w:val="0"/>
      <w:sz w:val="36"/>
      <w:szCs w:val="36"/>
    </w:rPr>
  </w:style>
  <w:style w:type="character" w:customStyle="1" w:styleId="Overskrift2Tegn">
    <w:name w:val="Overskrift 2 Tegn"/>
    <w:basedOn w:val="Standardskriftforavsnitt"/>
    <w:link w:val="Overskrift2"/>
    <w:uiPriority w:val="9"/>
    <w:rsid w:val="00E26025"/>
    <w:rPr>
      <w:rFonts w:asciiTheme="majorHAnsi" w:eastAsiaTheme="majorEastAsia" w:hAnsiTheme="majorHAnsi" w:cstheme="majorBidi"/>
      <w:b/>
      <w:color w:val="D77F16" w:themeColor="accent2"/>
      <w:kern w:val="0"/>
      <w:sz w:val="26"/>
      <w:szCs w:val="26"/>
    </w:rPr>
  </w:style>
  <w:style w:type="character" w:customStyle="1" w:styleId="Overskrift3Tegn">
    <w:name w:val="Overskrift 3 Tegn"/>
    <w:basedOn w:val="Standardskriftforavsnitt"/>
    <w:link w:val="Overskrift3"/>
    <w:uiPriority w:val="9"/>
    <w:rsid w:val="00E26025"/>
    <w:rPr>
      <w:rFonts w:asciiTheme="majorHAnsi" w:eastAsiaTheme="majorEastAsia" w:hAnsiTheme="majorHAnsi" w:cstheme="majorBidi"/>
      <w:b/>
      <w:bCs/>
      <w:color w:val="395775" w:themeColor="accent1"/>
      <w:kern w:val="0"/>
      <w:sz w:val="24"/>
      <w:szCs w:val="24"/>
    </w:rPr>
  </w:style>
  <w:style w:type="character" w:customStyle="1" w:styleId="Overskrift4Tegn">
    <w:name w:val="Overskrift 4 Tegn"/>
    <w:basedOn w:val="Standardskriftforavsnitt"/>
    <w:link w:val="Overskrift4"/>
    <w:uiPriority w:val="9"/>
    <w:rsid w:val="00E26025"/>
    <w:rPr>
      <w:rFonts w:asciiTheme="majorHAnsi" w:eastAsiaTheme="majorEastAsia" w:hAnsiTheme="majorHAnsi" w:cstheme="majorBidi"/>
      <w:b/>
      <w:iCs/>
      <w:color w:val="000000" w:themeColor="text1"/>
      <w:kern w:val="0"/>
      <w:sz w:val="20"/>
      <w:szCs w:val="20"/>
    </w:rPr>
  </w:style>
  <w:style w:type="character" w:customStyle="1" w:styleId="Overskrift5Tegn">
    <w:name w:val="Overskrift 5 Tegn"/>
    <w:basedOn w:val="Standardskriftforavsnitt"/>
    <w:link w:val="Overskrift5"/>
    <w:uiPriority w:val="9"/>
    <w:rsid w:val="00E26025"/>
    <w:rPr>
      <w:rFonts w:asciiTheme="majorHAnsi" w:eastAsiaTheme="majorEastAsia" w:hAnsiTheme="majorHAnsi" w:cstheme="majorBidi"/>
      <w:i/>
      <w:color w:val="000000" w:themeColor="text1"/>
      <w:kern w:val="0"/>
      <w:sz w:val="20"/>
      <w:szCs w:val="20"/>
    </w:rPr>
  </w:style>
  <w:style w:type="character" w:customStyle="1" w:styleId="Overskrift6Tegn">
    <w:name w:val="Overskrift 6 Tegn"/>
    <w:basedOn w:val="Standardskriftforavsnitt"/>
    <w:link w:val="Overskrift6"/>
    <w:uiPriority w:val="9"/>
    <w:semiHidden/>
    <w:rsid w:val="00E26025"/>
    <w:rPr>
      <w:rFonts w:asciiTheme="majorHAnsi" w:eastAsiaTheme="majorEastAsia" w:hAnsiTheme="majorHAnsi" w:cstheme="majorBidi"/>
      <w:color w:val="1C2B3A" w:themeColor="accent1" w:themeShade="7F"/>
      <w:kern w:val="0"/>
      <w:sz w:val="20"/>
    </w:rPr>
  </w:style>
  <w:style w:type="character" w:customStyle="1" w:styleId="Overskrift7Tegn">
    <w:name w:val="Overskrift 7 Tegn"/>
    <w:basedOn w:val="Standardskriftforavsnitt"/>
    <w:link w:val="Overskrift7"/>
    <w:uiPriority w:val="9"/>
    <w:semiHidden/>
    <w:rsid w:val="00E26025"/>
    <w:rPr>
      <w:rFonts w:asciiTheme="majorHAnsi" w:eastAsiaTheme="majorEastAsia" w:hAnsiTheme="majorHAnsi" w:cstheme="majorBidi"/>
      <w:i/>
      <w:iCs/>
      <w:color w:val="1C2B3A" w:themeColor="accent1" w:themeShade="7F"/>
      <w:kern w:val="0"/>
      <w:sz w:val="20"/>
    </w:rPr>
  </w:style>
  <w:style w:type="character" w:customStyle="1" w:styleId="Overskrift8Tegn">
    <w:name w:val="Overskrift 8 Tegn"/>
    <w:basedOn w:val="Standardskriftforavsnitt"/>
    <w:link w:val="Overskrift8"/>
    <w:uiPriority w:val="9"/>
    <w:semiHidden/>
    <w:rsid w:val="00E26025"/>
    <w:rPr>
      <w:rFonts w:asciiTheme="majorHAnsi" w:eastAsiaTheme="majorEastAsia" w:hAnsiTheme="majorHAnsi" w:cstheme="majorBidi"/>
      <w:color w:val="272727" w:themeColor="text1" w:themeTint="D8"/>
      <w:kern w:val="0"/>
      <w:sz w:val="21"/>
      <w:szCs w:val="21"/>
    </w:rPr>
  </w:style>
  <w:style w:type="character" w:customStyle="1" w:styleId="Overskrift9Tegn">
    <w:name w:val="Overskrift 9 Tegn"/>
    <w:basedOn w:val="Standardskriftforavsnitt"/>
    <w:link w:val="Overskrift9"/>
    <w:uiPriority w:val="9"/>
    <w:semiHidden/>
    <w:rsid w:val="00E26025"/>
    <w:rPr>
      <w:rFonts w:asciiTheme="majorHAnsi" w:eastAsiaTheme="majorEastAsia" w:hAnsiTheme="majorHAnsi" w:cstheme="majorBidi"/>
      <w:i/>
      <w:iCs/>
      <w:color w:val="272727" w:themeColor="text1" w:themeTint="D8"/>
      <w:kern w:val="0"/>
      <w:sz w:val="21"/>
      <w:szCs w:val="21"/>
    </w:rPr>
  </w:style>
  <w:style w:type="paragraph" w:styleId="Listeavsnitt">
    <w:name w:val="List Paragraph"/>
    <w:aliases w:val="footer,Reference - description,List P1,Bullet Styles para,Numbered Para 1,Dot pt,No Spacing1,List Paragraph Char Char Char,Indicator Text,List Paragraph1,Bullet Points,MAIN CONTENT,List Paragraph12,F5 List Paragraph,Kule 1,Bullet text"/>
    <w:basedOn w:val="Normal"/>
    <w:link w:val="ListeavsnittTegn"/>
    <w:uiPriority w:val="34"/>
    <w:qFormat/>
    <w:rsid w:val="00E26025"/>
    <w:pPr>
      <w:contextualSpacing/>
    </w:pPr>
  </w:style>
  <w:style w:type="paragraph" w:styleId="Bildetekst">
    <w:name w:val="caption"/>
    <w:aliases w:val="Bildetekst Tegn Tegn Tegn,Bildetekst Tegn Tegn Tegn Tegn Tegn,Bildetekst Tegn Tegn Tegn Tegn,Figurtekst + 10 pt,Etter:  0 pt,Figurtekst"/>
    <w:basedOn w:val="Normal"/>
    <w:next w:val="Normal"/>
    <w:link w:val="BildetekstTegn"/>
    <w:uiPriority w:val="35"/>
    <w:unhideWhenUsed/>
    <w:qFormat/>
    <w:rsid w:val="00E26025"/>
    <w:pPr>
      <w:keepNext/>
      <w:keepLines/>
      <w:spacing w:before="440" w:line="240" w:lineRule="auto"/>
    </w:pPr>
    <w:rPr>
      <w:b/>
      <w:bCs/>
      <w:color w:val="395775" w:themeColor="accent1"/>
      <w:sz w:val="18"/>
      <w:szCs w:val="18"/>
    </w:rPr>
  </w:style>
  <w:style w:type="paragraph" w:styleId="Fotnotetekst">
    <w:name w:val="footnote text"/>
    <w:aliases w:val="Char,DFSListFootnote,DNV-FT,Footnote,Footnotetext"/>
    <w:basedOn w:val="Normal"/>
    <w:link w:val="FotnotetekstTegn"/>
    <w:uiPriority w:val="99"/>
    <w:unhideWhenUsed/>
    <w:rsid w:val="00E26025"/>
    <w:pPr>
      <w:spacing w:after="0" w:line="240" w:lineRule="auto"/>
    </w:pPr>
    <w:rPr>
      <w:i/>
      <w:sz w:val="19"/>
      <w:szCs w:val="19"/>
    </w:rPr>
  </w:style>
  <w:style w:type="character" w:customStyle="1" w:styleId="FotnotetekstTegn">
    <w:name w:val="Fotnotetekst Tegn"/>
    <w:aliases w:val="Char Tegn,DFSListFootnote Tegn,DNV-FT Tegn,Footnote Tegn,Footnotetext Tegn"/>
    <w:basedOn w:val="Standardskriftforavsnitt"/>
    <w:link w:val="Fotnotetekst"/>
    <w:uiPriority w:val="99"/>
    <w:rsid w:val="00E26025"/>
    <w:rPr>
      <w:i/>
      <w:kern w:val="0"/>
      <w:sz w:val="19"/>
      <w:szCs w:val="19"/>
    </w:rPr>
  </w:style>
  <w:style w:type="character" w:styleId="Fotnotereferanse">
    <w:name w:val="footnote reference"/>
    <w:basedOn w:val="Standardskriftforavsnitt"/>
    <w:uiPriority w:val="99"/>
    <w:unhideWhenUsed/>
    <w:qFormat/>
    <w:rsid w:val="00E26025"/>
    <w:rPr>
      <w:vertAlign w:val="superscript"/>
    </w:rPr>
  </w:style>
  <w:style w:type="character" w:customStyle="1" w:styleId="ListeavsnittTegn">
    <w:name w:val="Listeavsnitt Tegn"/>
    <w:aliases w:val="footer Tegn,Reference - description Tegn,List P1 Tegn,Bullet Styles para Tegn,Numbered Para 1 Tegn,Dot pt Tegn,No Spacing1 Tegn,List Paragraph Char Char Char Tegn,Indicator Text Tegn,List Paragraph1 Tegn,Bullet Points Tegn,Kule 1 Tegn"/>
    <w:basedOn w:val="Standardskriftforavsnitt"/>
    <w:link w:val="Listeavsnitt"/>
    <w:uiPriority w:val="34"/>
    <w:qFormat/>
    <w:locked/>
    <w:rsid w:val="00E26025"/>
    <w:rPr>
      <w:kern w:val="0"/>
      <w:sz w:val="20"/>
    </w:rPr>
  </w:style>
  <w:style w:type="character" w:customStyle="1" w:styleId="BildetekstTegn">
    <w:name w:val="Bildetekst Tegn"/>
    <w:aliases w:val="Bildetekst Tegn Tegn Tegn Tegn1,Bildetekst Tegn Tegn Tegn Tegn Tegn Tegn,Bildetekst Tegn Tegn Tegn Tegn Tegn1,Figurtekst + 10 pt Tegn,Etter:  0 pt Tegn,Figurtekst Tegn"/>
    <w:basedOn w:val="Standardskriftforavsnitt"/>
    <w:link w:val="Bildetekst"/>
    <w:uiPriority w:val="35"/>
    <w:rsid w:val="00E26025"/>
    <w:rPr>
      <w:b/>
      <w:bCs/>
      <w:color w:val="395775" w:themeColor="accent1"/>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menonbusinesseconomics.sharepoint.com/sites/14763/Shared%20Documents/General/Data%20og%20analyse/Andre%20analyser/Eksportvekst_sammenligning_2024.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menonbusinesseconomics.sharepoint.com/sites/14763/Shared%20Documents/General/Data%20og%20analyse/Eksportdata/Resultater/Kommunefordeling/Kommunedata_manip_23.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menonbusinesseconomics.sharepoint.com/sites/14763/Shared%20Documents/General/Data%20og%20analyse/Ringvirkninger/Output/rvm_geografisk_fordeling.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menonbusinesseconomics.sharepoint.com/sites/14763/Shared%20Documents/General/Data%20og%20analyse/Multiconsult%20gr&#248;nn%20eksport/Multitall%20til%20Fornyba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enonbusinesseconomics.sharepoint.com/sites/14763/Shared%20Documents/General/Data%20og%20analyse/GR&#216;NT%20DYPDYKK/IRENA%20-%20renewable%20energy%20job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6088560885608853E-2"/>
          <c:y val="4.1666666666666664E-2"/>
          <c:w val="0.9182335764302525"/>
          <c:h val="0.77286635487404542"/>
        </c:manualLayout>
      </c:layout>
      <c:barChart>
        <c:barDir val="col"/>
        <c:grouping val="clustered"/>
        <c:varyColors val="0"/>
        <c:ser>
          <c:idx val="0"/>
          <c:order val="0"/>
          <c:tx>
            <c:strRef>
              <c:f>[Eksportvekst_sammenligning_2024.xlsx]Eksportvekst!$AG$47</c:f>
              <c:strCache>
                <c:ptCount val="1"/>
                <c:pt idx="0">
                  <c:v>Annualisert vekst siste 10 år</c:v>
                </c:pt>
              </c:strCache>
            </c:strRef>
          </c:tx>
          <c:spPr>
            <a:solidFill>
              <a:srgbClr val="395775"/>
            </a:solidFill>
            <a:ln>
              <a:noFill/>
            </a:ln>
            <a:effectLst/>
          </c:spPr>
          <c:invertIfNegative val="0"/>
          <c:dPt>
            <c:idx val="6"/>
            <c:invertIfNegative val="0"/>
            <c:bubble3D val="0"/>
            <c:spPr>
              <a:solidFill>
                <a:srgbClr val="395775"/>
              </a:solidFill>
              <a:ln>
                <a:noFill/>
              </a:ln>
              <a:effectLst/>
            </c:spPr>
            <c:extLst>
              <c:ext xmlns:c16="http://schemas.microsoft.com/office/drawing/2014/chart" uri="{C3380CC4-5D6E-409C-BE32-E72D297353CC}">
                <c16:uniqueId val="{00000001-6E54-489B-8B87-91E295E3CB2D}"/>
              </c:ext>
            </c:extLst>
          </c:dPt>
          <c:dPt>
            <c:idx val="7"/>
            <c:invertIfNegative val="0"/>
            <c:bubble3D val="0"/>
            <c:spPr>
              <a:solidFill>
                <a:srgbClr val="A6B340"/>
              </a:solidFill>
              <a:ln>
                <a:noFill/>
              </a:ln>
              <a:effectLst/>
            </c:spPr>
            <c:extLst>
              <c:ext xmlns:c16="http://schemas.microsoft.com/office/drawing/2014/chart" uri="{C3380CC4-5D6E-409C-BE32-E72D297353CC}">
                <c16:uniqueId val="{00000003-6E54-489B-8B87-91E295E3CB2D}"/>
              </c:ext>
            </c:extLst>
          </c:dPt>
          <c:cat>
            <c:strRef>
              <c:f>[Eksportvekst_sammenligning_2024.xlsx]Eksportvekst!$I$48:$I$55</c:f>
              <c:strCache>
                <c:ptCount val="8"/>
                <c:pt idx="0">
                  <c:v>Irland</c:v>
                </c:pt>
                <c:pt idx="1">
                  <c:v>Estland</c:v>
                </c:pt>
                <c:pt idx="2">
                  <c:v>Sverige</c:v>
                </c:pt>
                <c:pt idx="3">
                  <c:v>Nederland</c:v>
                </c:pt>
                <c:pt idx="4">
                  <c:v>Danmark</c:v>
                </c:pt>
                <c:pt idx="5">
                  <c:v>Sveits</c:v>
                </c:pt>
                <c:pt idx="6">
                  <c:v>Tyskland</c:v>
                </c:pt>
                <c:pt idx="7">
                  <c:v>Norge</c:v>
                </c:pt>
              </c:strCache>
            </c:strRef>
          </c:cat>
          <c:val>
            <c:numRef>
              <c:f>[Eksportvekst_sammenligning_2024.xlsx]Eksportvekst!$AG$48:$AG$55</c:f>
              <c:numCache>
                <c:formatCode>0.0%</c:formatCode>
                <c:ptCount val="8"/>
                <c:pt idx="0">
                  <c:v>0.12929137665588586</c:v>
                </c:pt>
                <c:pt idx="1">
                  <c:v>4.0472222947925518E-2</c:v>
                </c:pt>
                <c:pt idx="2">
                  <c:v>3.6853321893402846E-2</c:v>
                </c:pt>
                <c:pt idx="3">
                  <c:v>3.4903840608968562E-2</c:v>
                </c:pt>
                <c:pt idx="4">
                  <c:v>3.4001890369285359E-2</c:v>
                </c:pt>
                <c:pt idx="5">
                  <c:v>3.2101790112892825E-2</c:v>
                </c:pt>
                <c:pt idx="6">
                  <c:v>2.3585372368565505E-2</c:v>
                </c:pt>
                <c:pt idx="7">
                  <c:v>1.9715903765489262E-2</c:v>
                </c:pt>
              </c:numCache>
            </c:numRef>
          </c:val>
          <c:extLst>
            <c:ext xmlns:c16="http://schemas.microsoft.com/office/drawing/2014/chart" uri="{C3380CC4-5D6E-409C-BE32-E72D297353CC}">
              <c16:uniqueId val="{00000004-6E54-489B-8B87-91E295E3CB2D}"/>
            </c:ext>
          </c:extLst>
        </c:ser>
        <c:ser>
          <c:idx val="1"/>
          <c:order val="1"/>
          <c:tx>
            <c:strRef>
              <c:f>[Eksportvekst_sammenligning_2024.xlsx]Eksportvekst!$AH$47</c:f>
              <c:strCache>
                <c:ptCount val="1"/>
                <c:pt idx="0">
                  <c:v>Annualisert vekst siste 20 år</c:v>
                </c:pt>
              </c:strCache>
            </c:strRef>
          </c:tx>
          <c:spPr>
            <a:solidFill>
              <a:srgbClr val="395775">
                <a:lumMod val="20000"/>
                <a:lumOff val="80000"/>
              </a:srgbClr>
            </a:solidFill>
            <a:ln>
              <a:noFill/>
            </a:ln>
            <a:effectLst/>
          </c:spPr>
          <c:invertIfNegative val="0"/>
          <c:dPt>
            <c:idx val="6"/>
            <c:invertIfNegative val="0"/>
            <c:bubble3D val="0"/>
            <c:spPr>
              <a:solidFill>
                <a:srgbClr val="395775">
                  <a:lumMod val="20000"/>
                  <a:lumOff val="80000"/>
                </a:srgbClr>
              </a:solidFill>
              <a:ln>
                <a:noFill/>
              </a:ln>
              <a:effectLst/>
            </c:spPr>
            <c:extLst>
              <c:ext xmlns:c16="http://schemas.microsoft.com/office/drawing/2014/chart" uri="{C3380CC4-5D6E-409C-BE32-E72D297353CC}">
                <c16:uniqueId val="{00000006-6E54-489B-8B87-91E295E3CB2D}"/>
              </c:ext>
            </c:extLst>
          </c:dPt>
          <c:dPt>
            <c:idx val="7"/>
            <c:invertIfNegative val="0"/>
            <c:bubble3D val="0"/>
            <c:spPr>
              <a:solidFill>
                <a:srgbClr val="A6B340">
                  <a:lumMod val="20000"/>
                  <a:lumOff val="80000"/>
                </a:srgbClr>
              </a:solidFill>
              <a:ln>
                <a:noFill/>
              </a:ln>
              <a:effectLst/>
            </c:spPr>
            <c:extLst>
              <c:ext xmlns:c16="http://schemas.microsoft.com/office/drawing/2014/chart" uri="{C3380CC4-5D6E-409C-BE32-E72D297353CC}">
                <c16:uniqueId val="{00000008-6E54-489B-8B87-91E295E3CB2D}"/>
              </c:ext>
            </c:extLst>
          </c:dPt>
          <c:cat>
            <c:strRef>
              <c:f>[Eksportvekst_sammenligning_2024.xlsx]Eksportvekst!$I$48:$I$55</c:f>
              <c:strCache>
                <c:ptCount val="8"/>
                <c:pt idx="0">
                  <c:v>Irland</c:v>
                </c:pt>
                <c:pt idx="1">
                  <c:v>Estland</c:v>
                </c:pt>
                <c:pt idx="2">
                  <c:v>Sverige</c:v>
                </c:pt>
                <c:pt idx="3">
                  <c:v>Nederland</c:v>
                </c:pt>
                <c:pt idx="4">
                  <c:v>Danmark</c:v>
                </c:pt>
                <c:pt idx="5">
                  <c:v>Sveits</c:v>
                </c:pt>
                <c:pt idx="6">
                  <c:v>Tyskland</c:v>
                </c:pt>
                <c:pt idx="7">
                  <c:v>Norge</c:v>
                </c:pt>
              </c:strCache>
            </c:strRef>
          </c:cat>
          <c:val>
            <c:numRef>
              <c:f>[Eksportvekst_sammenligning_2024.xlsx]Eksportvekst!$AH$48:$AH$55</c:f>
              <c:numCache>
                <c:formatCode>0.0%</c:formatCode>
                <c:ptCount val="8"/>
                <c:pt idx="0">
                  <c:v>8.0388889707362576E-2</c:v>
                </c:pt>
                <c:pt idx="1">
                  <c:v>6.753648424504255E-2</c:v>
                </c:pt>
                <c:pt idx="2">
                  <c:v>3.8813773600827828E-2</c:v>
                </c:pt>
                <c:pt idx="3">
                  <c:v>3.6648005676239936E-2</c:v>
                </c:pt>
                <c:pt idx="4">
                  <c:v>3.1068619259625674E-2</c:v>
                </c:pt>
                <c:pt idx="5">
                  <c:v>3.793070256952169E-2</c:v>
                </c:pt>
                <c:pt idx="6">
                  <c:v>3.7352019448836593E-2</c:v>
                </c:pt>
                <c:pt idx="7">
                  <c:v>9.1929651370239451E-3</c:v>
                </c:pt>
              </c:numCache>
            </c:numRef>
          </c:val>
          <c:extLst>
            <c:ext xmlns:c16="http://schemas.microsoft.com/office/drawing/2014/chart" uri="{C3380CC4-5D6E-409C-BE32-E72D297353CC}">
              <c16:uniqueId val="{00000009-6E54-489B-8B87-91E295E3CB2D}"/>
            </c:ext>
          </c:extLst>
        </c:ser>
        <c:dLbls>
          <c:showLegendKey val="0"/>
          <c:showVal val="0"/>
          <c:showCatName val="0"/>
          <c:showSerName val="0"/>
          <c:showPercent val="0"/>
          <c:showBubbleSize val="0"/>
        </c:dLbls>
        <c:gapWidth val="150"/>
        <c:overlap val="-27"/>
        <c:axId val="507779472"/>
        <c:axId val="1120661424"/>
      </c:barChart>
      <c:catAx>
        <c:axId val="507779472"/>
        <c:scaling>
          <c:orientation val="minMax"/>
        </c:scaling>
        <c:delete val="0"/>
        <c:axPos val="b"/>
        <c:numFmt formatCode="General" sourceLinked="1"/>
        <c:majorTickMark val="none"/>
        <c:minorTickMark val="none"/>
        <c:tickLblPos val="low"/>
        <c:spPr>
          <a:noFill/>
          <a:ln w="9525" cap="flat" cmpd="sng" algn="ctr">
            <a:solidFill>
              <a:srgbClr val="000000">
                <a:lumMod val="85000"/>
                <a:lumOff val="15000"/>
              </a:srgb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120661424"/>
        <c:crosses val="autoZero"/>
        <c:auto val="1"/>
        <c:lblAlgn val="ctr"/>
        <c:lblOffset val="100"/>
        <c:noMultiLvlLbl val="0"/>
      </c:catAx>
      <c:valAx>
        <c:axId val="1120661424"/>
        <c:scaling>
          <c:orientation val="minMax"/>
        </c:scaling>
        <c:delete val="0"/>
        <c:axPos val="l"/>
        <c:numFmt formatCode="0%" sourceLinked="0"/>
        <c:majorTickMark val="in"/>
        <c:minorTickMark val="none"/>
        <c:tickLblPos val="nextTo"/>
        <c:spPr>
          <a:noFill/>
          <a:ln>
            <a:solidFill>
              <a:srgbClr val="000000">
                <a:lumMod val="85000"/>
                <a:lumOff val="15000"/>
              </a:srgb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507779472"/>
        <c:crosses val="autoZero"/>
        <c:crossBetween val="between"/>
      </c:valAx>
      <c:spPr>
        <a:noFill/>
        <a:ln>
          <a:noFill/>
        </a:ln>
        <a:effectLst/>
      </c:spPr>
    </c:plotArea>
    <c:legend>
      <c:legendPos val="b"/>
      <c:layout>
        <c:manualLayout>
          <c:xMode val="edge"/>
          <c:yMode val="edge"/>
          <c:x val="0.19607722959657606"/>
          <c:y val="0.90738745852907721"/>
          <c:w val="0.59461511081787322"/>
          <c:h val="7.48623750631126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extLst/>
  </c:chart>
  <c:spPr>
    <a:solidFill>
      <a:schemeClr val="bg1"/>
    </a:solidFill>
    <a:ln w="9525" cap="flat" cmpd="sng" algn="ctr">
      <a:noFill/>
      <a:round/>
    </a:ln>
    <a:effectLst/>
  </c:spPr>
  <c:txPr>
    <a:bodyPr/>
    <a:lstStyle/>
    <a:p>
      <a:pPr>
        <a:defRPr/>
      </a:pPr>
      <a:endParaRPr lang="nb-N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'Nye fylker'!$F$103</c:f>
              <c:strCache>
                <c:ptCount val="1"/>
                <c:pt idx="0">
                  <c:v>Eksport per sysselsatt</c:v>
                </c:pt>
              </c:strCache>
            </c:strRef>
          </c:tx>
          <c:spPr>
            <a:solidFill>
              <a:srgbClr val="395775"/>
            </a:solidFill>
            <a:ln>
              <a:noFill/>
            </a:ln>
            <a:effectLst/>
          </c:spPr>
          <c:invertIfNegative val="0"/>
          <c:dLbls>
            <c:delete val="1"/>
          </c:dLbls>
          <c:cat>
            <c:strRef>
              <c:f>'Nye fylker'!$E$104:$E$118</c:f>
              <c:strCache>
                <c:ptCount val="15"/>
                <c:pt idx="0">
                  <c:v>Innlandet</c:v>
                </c:pt>
                <c:pt idx="1">
                  <c:v>Buskerud</c:v>
                </c:pt>
                <c:pt idx="2">
                  <c:v>Akershus</c:v>
                </c:pt>
                <c:pt idx="3">
                  <c:v>Østfold</c:v>
                </c:pt>
                <c:pt idx="4">
                  <c:v>Vestfold</c:v>
                </c:pt>
                <c:pt idx="5">
                  <c:v>Trøndelag</c:v>
                </c:pt>
                <c:pt idx="6">
                  <c:v>Agder</c:v>
                </c:pt>
                <c:pt idx="7">
                  <c:v>Troms</c:v>
                </c:pt>
                <c:pt idx="8">
                  <c:v>Oslo</c:v>
                </c:pt>
                <c:pt idx="9">
                  <c:v>Telemark</c:v>
                </c:pt>
                <c:pt idx="10">
                  <c:v>Finnmark</c:v>
                </c:pt>
                <c:pt idx="11">
                  <c:v>Rogaland</c:v>
                </c:pt>
                <c:pt idx="12">
                  <c:v>Nordland</c:v>
                </c:pt>
                <c:pt idx="13">
                  <c:v>Vestland</c:v>
                </c:pt>
                <c:pt idx="14">
                  <c:v>Møre og Romsdal</c:v>
                </c:pt>
              </c:strCache>
            </c:strRef>
          </c:cat>
          <c:val>
            <c:numRef>
              <c:f>'Nye fylker'!$F$104:$F$118</c:f>
              <c:numCache>
                <c:formatCode>_-* #\ ##0_-;\-* #\ ##0_-;_-* "-"??_-;_-@_-</c:formatCode>
                <c:ptCount val="15"/>
                <c:pt idx="0">
                  <c:v>157.59419290489166</c:v>
                </c:pt>
                <c:pt idx="1">
                  <c:v>221.42564476093884</c:v>
                </c:pt>
                <c:pt idx="2">
                  <c:v>246.78010953905542</c:v>
                </c:pt>
                <c:pt idx="3">
                  <c:v>256.14062700912285</c:v>
                </c:pt>
                <c:pt idx="4">
                  <c:v>270.86029239955388</c:v>
                </c:pt>
                <c:pt idx="5">
                  <c:v>304.73267339720775</c:v>
                </c:pt>
                <c:pt idx="6">
                  <c:v>317.61165141809323</c:v>
                </c:pt>
                <c:pt idx="7">
                  <c:v>336.43592561321162</c:v>
                </c:pt>
                <c:pt idx="8">
                  <c:v>366.45762797244328</c:v>
                </c:pt>
                <c:pt idx="9">
                  <c:v>386.60738409734637</c:v>
                </c:pt>
                <c:pt idx="10">
                  <c:v>443.99544402136593</c:v>
                </c:pt>
                <c:pt idx="11">
                  <c:v>541.87306952956453</c:v>
                </c:pt>
                <c:pt idx="12">
                  <c:v>604.21193680298472</c:v>
                </c:pt>
                <c:pt idx="13">
                  <c:v>707.75488686258518</c:v>
                </c:pt>
                <c:pt idx="14">
                  <c:v>743.30970664511517</c:v>
                </c:pt>
              </c:numCache>
            </c:numRef>
          </c:val>
          <c:extLst>
            <c:ext xmlns:c16="http://schemas.microsoft.com/office/drawing/2014/chart" uri="{C3380CC4-5D6E-409C-BE32-E72D297353CC}">
              <c16:uniqueId val="{00000000-AACC-40A9-AB0A-02FF003E3531}"/>
            </c:ext>
          </c:extLst>
        </c:ser>
        <c:dLbls>
          <c:dLblPos val="outEnd"/>
          <c:showLegendKey val="0"/>
          <c:showVal val="1"/>
          <c:showCatName val="0"/>
          <c:showSerName val="0"/>
          <c:showPercent val="0"/>
          <c:showBubbleSize val="0"/>
        </c:dLbls>
        <c:gapWidth val="50"/>
        <c:axId val="1709825567"/>
        <c:axId val="1716210703"/>
      </c:barChart>
      <c:catAx>
        <c:axId val="1709825567"/>
        <c:scaling>
          <c:orientation val="minMax"/>
        </c:scaling>
        <c:delete val="0"/>
        <c:axPos val="l"/>
        <c:numFmt formatCode="General" sourceLinked="1"/>
        <c:majorTickMark val="none"/>
        <c:minorTickMark val="none"/>
        <c:tickLblPos val="nextTo"/>
        <c:spPr>
          <a:noFill/>
          <a:ln w="9525" cap="flat" cmpd="sng" algn="ctr">
            <a:solidFill>
              <a:srgbClr val="000000">
                <a:lumMod val="85000"/>
                <a:lumOff val="15000"/>
              </a:srgb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716210703"/>
        <c:crosses val="autoZero"/>
        <c:auto val="1"/>
        <c:lblAlgn val="ctr"/>
        <c:lblOffset val="100"/>
        <c:noMultiLvlLbl val="0"/>
      </c:catAx>
      <c:valAx>
        <c:axId val="1716210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Tusen kroner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0" sourceLinked="0"/>
        <c:majorTickMark val="in"/>
        <c:minorTickMark val="none"/>
        <c:tickLblPos val="nextTo"/>
        <c:spPr>
          <a:noFill/>
          <a:ln>
            <a:solidFill>
              <a:srgbClr val="000000">
                <a:lumMod val="85000"/>
                <a:lumOff val="15000"/>
              </a:srgb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709825567"/>
        <c:crosses val="autoZero"/>
        <c:crossBetween val="between"/>
        <c:majorUnit val="100"/>
      </c:valAx>
      <c:spPr>
        <a:noFill/>
        <a:ln>
          <a:noFill/>
        </a:ln>
        <a:effectLst/>
      </c:spPr>
    </c:plotArea>
    <c:plotVisOnly val="1"/>
    <c:dispBlanksAs val="gap"/>
    <c:showDLblsOverMax val="0"/>
    <c:extLst/>
  </c:chart>
  <c:spPr>
    <a:solidFill>
      <a:schemeClr val="bg1"/>
    </a:solidFill>
    <a:ln w="9525" cap="flat" cmpd="sng" algn="ctr">
      <a:noFill/>
      <a:round/>
    </a:ln>
    <a:effectLst/>
  </c:spPr>
  <c:txPr>
    <a:bodyPr/>
    <a:lstStyle/>
    <a:p>
      <a:pPr>
        <a:defRPr/>
      </a:pPr>
      <a:endParaRPr lang="nb-N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7969510977610715E-2"/>
          <c:y val="5.0056882821387941E-2"/>
          <c:w val="0.88777470070926912"/>
          <c:h val="0.6330264348355773"/>
        </c:manualLayout>
      </c:layout>
      <c:barChart>
        <c:barDir val="col"/>
        <c:grouping val="stacked"/>
        <c:varyColors val="0"/>
        <c:ser>
          <c:idx val="0"/>
          <c:order val="0"/>
          <c:tx>
            <c:strRef>
              <c:f>'[rvm_geografisk_fordeling.xlsx]Sys uten OG'!$AC$53</c:f>
              <c:strCache>
                <c:ptCount val="1"/>
                <c:pt idx="0">
                  <c:v>Direkte</c:v>
                </c:pt>
              </c:strCache>
            </c:strRef>
          </c:tx>
          <c:spPr>
            <a:solidFill>
              <a:schemeClr val="accent1"/>
            </a:solidFill>
            <a:ln>
              <a:noFill/>
            </a:ln>
            <a:effectLst/>
          </c:spPr>
          <c:invertIfNegative val="0"/>
          <c:cat>
            <c:strRef>
              <c:f>'[rvm_geografisk_fordeling.xlsx]Sys uten OG'!$AB$54:$AB$68</c:f>
              <c:strCache>
                <c:ptCount val="15"/>
                <c:pt idx="0">
                  <c:v>Oslo</c:v>
                </c:pt>
                <c:pt idx="1">
                  <c:v>Vestland</c:v>
                </c:pt>
                <c:pt idx="2">
                  <c:v>Akershus</c:v>
                </c:pt>
                <c:pt idx="3">
                  <c:v>Rogaland</c:v>
                </c:pt>
                <c:pt idx="4">
                  <c:v>Trøndelag</c:v>
                </c:pt>
                <c:pt idx="5">
                  <c:v>Møre og Romsdal</c:v>
                </c:pt>
                <c:pt idx="6">
                  <c:v>Innlandet</c:v>
                </c:pt>
                <c:pt idx="7">
                  <c:v>Buskerud</c:v>
                </c:pt>
                <c:pt idx="8">
                  <c:v>Østfold</c:v>
                </c:pt>
                <c:pt idx="9">
                  <c:v>Nordland</c:v>
                </c:pt>
                <c:pt idx="10">
                  <c:v>Agder</c:v>
                </c:pt>
                <c:pt idx="11">
                  <c:v>Vestfold</c:v>
                </c:pt>
                <c:pt idx="12">
                  <c:v>Telemark</c:v>
                </c:pt>
                <c:pt idx="13">
                  <c:v>Troms</c:v>
                </c:pt>
                <c:pt idx="14">
                  <c:v>Finnmark</c:v>
                </c:pt>
              </c:strCache>
            </c:strRef>
          </c:cat>
          <c:val>
            <c:numRef>
              <c:f>'[rvm_geografisk_fordeling.xlsx]Sys uten OG'!$AC$54:$AC$68</c:f>
              <c:numCache>
                <c:formatCode>General</c:formatCode>
                <c:ptCount val="15"/>
                <c:pt idx="0">
                  <c:v>41025.597351444718</c:v>
                </c:pt>
                <c:pt idx="1">
                  <c:v>35883.546700632774</c:v>
                </c:pt>
                <c:pt idx="2">
                  <c:v>19450.719370250779</c:v>
                </c:pt>
                <c:pt idx="3">
                  <c:v>23644.394877891657</c:v>
                </c:pt>
                <c:pt idx="4">
                  <c:v>18000.7550704198</c:v>
                </c:pt>
                <c:pt idx="5">
                  <c:v>17511.256925443286</c:v>
                </c:pt>
                <c:pt idx="6">
                  <c:v>10556.049566722451</c:v>
                </c:pt>
                <c:pt idx="7">
                  <c:v>9225.8774750834818</c:v>
                </c:pt>
                <c:pt idx="8">
                  <c:v>10921.008551341625</c:v>
                </c:pt>
                <c:pt idx="9">
                  <c:v>12963.665149167695</c:v>
                </c:pt>
                <c:pt idx="10">
                  <c:v>10220.72217695138</c:v>
                </c:pt>
                <c:pt idx="11">
                  <c:v>6496.4513720604336</c:v>
                </c:pt>
                <c:pt idx="12">
                  <c:v>6230.3268988242362</c:v>
                </c:pt>
                <c:pt idx="13">
                  <c:v>7654.327489058147</c:v>
                </c:pt>
                <c:pt idx="14">
                  <c:v>4159.3010247072471</c:v>
                </c:pt>
              </c:numCache>
            </c:numRef>
          </c:val>
          <c:extLst>
            <c:ext xmlns:c16="http://schemas.microsoft.com/office/drawing/2014/chart" uri="{C3380CC4-5D6E-409C-BE32-E72D297353CC}">
              <c16:uniqueId val="{00000000-0808-4AF0-B0A2-5D649C67E8DA}"/>
            </c:ext>
          </c:extLst>
        </c:ser>
        <c:ser>
          <c:idx val="1"/>
          <c:order val="1"/>
          <c:tx>
            <c:strRef>
              <c:f>'[rvm_geografisk_fordeling.xlsx]Sys uten OG'!$AD$53</c:f>
              <c:strCache>
                <c:ptCount val="1"/>
                <c:pt idx="0">
                  <c:v>Indirekte</c:v>
                </c:pt>
              </c:strCache>
            </c:strRef>
          </c:tx>
          <c:spPr>
            <a:solidFill>
              <a:srgbClr val="395775">
                <a:lumMod val="40000"/>
                <a:lumOff val="60000"/>
              </a:srgbClr>
            </a:solidFill>
            <a:ln>
              <a:noFill/>
            </a:ln>
            <a:effectLst/>
          </c:spPr>
          <c:invertIfNegative val="0"/>
          <c:cat>
            <c:strRef>
              <c:f>'[rvm_geografisk_fordeling.xlsx]Sys uten OG'!$AB$54:$AB$68</c:f>
              <c:strCache>
                <c:ptCount val="15"/>
                <c:pt idx="0">
                  <c:v>Oslo</c:v>
                </c:pt>
                <c:pt idx="1">
                  <c:v>Vestland</c:v>
                </c:pt>
                <c:pt idx="2">
                  <c:v>Akershus</c:v>
                </c:pt>
                <c:pt idx="3">
                  <c:v>Rogaland</c:v>
                </c:pt>
                <c:pt idx="4">
                  <c:v>Trøndelag</c:v>
                </c:pt>
                <c:pt idx="5">
                  <c:v>Møre og Romsdal</c:v>
                </c:pt>
                <c:pt idx="6">
                  <c:v>Innlandet</c:v>
                </c:pt>
                <c:pt idx="7">
                  <c:v>Buskerud</c:v>
                </c:pt>
                <c:pt idx="8">
                  <c:v>Østfold</c:v>
                </c:pt>
                <c:pt idx="9">
                  <c:v>Nordland</c:v>
                </c:pt>
                <c:pt idx="10">
                  <c:v>Agder</c:v>
                </c:pt>
                <c:pt idx="11">
                  <c:v>Vestfold</c:v>
                </c:pt>
                <c:pt idx="12">
                  <c:v>Telemark</c:v>
                </c:pt>
                <c:pt idx="13">
                  <c:v>Troms</c:v>
                </c:pt>
                <c:pt idx="14">
                  <c:v>Finnmark</c:v>
                </c:pt>
              </c:strCache>
            </c:strRef>
          </c:cat>
          <c:val>
            <c:numRef>
              <c:f>'[rvm_geografisk_fordeling.xlsx]Sys uten OG'!$AD$54:$AD$68</c:f>
              <c:numCache>
                <c:formatCode>General</c:formatCode>
                <c:ptCount val="15"/>
                <c:pt idx="0">
                  <c:v>34996.218160171862</c:v>
                </c:pt>
                <c:pt idx="1">
                  <c:v>22509.384929588563</c:v>
                </c:pt>
                <c:pt idx="2">
                  <c:v>33080.176416593495</c:v>
                </c:pt>
                <c:pt idx="3">
                  <c:v>22465.145932457413</c:v>
                </c:pt>
                <c:pt idx="4">
                  <c:v>15239.064512846517</c:v>
                </c:pt>
                <c:pt idx="5">
                  <c:v>12050.785964235325</c:v>
                </c:pt>
                <c:pt idx="6">
                  <c:v>14584.315878731832</c:v>
                </c:pt>
                <c:pt idx="7">
                  <c:v>12301.845089405611</c:v>
                </c:pt>
                <c:pt idx="8">
                  <c:v>10206.090903175136</c:v>
                </c:pt>
                <c:pt idx="9">
                  <c:v>7539.074192383644</c:v>
                </c:pt>
                <c:pt idx="10">
                  <c:v>9584.9305974290764</c:v>
                </c:pt>
                <c:pt idx="11">
                  <c:v>9738.3565346713822</c:v>
                </c:pt>
                <c:pt idx="12">
                  <c:v>6379.1077426632373</c:v>
                </c:pt>
                <c:pt idx="13">
                  <c:v>3959.1469630457145</c:v>
                </c:pt>
                <c:pt idx="14">
                  <c:v>1973.8935363824883</c:v>
                </c:pt>
              </c:numCache>
            </c:numRef>
          </c:val>
          <c:extLst>
            <c:ext xmlns:c16="http://schemas.microsoft.com/office/drawing/2014/chart" uri="{C3380CC4-5D6E-409C-BE32-E72D297353CC}">
              <c16:uniqueId val="{00000001-0808-4AF0-B0A2-5D649C67E8DA}"/>
            </c:ext>
          </c:extLst>
        </c:ser>
        <c:dLbls>
          <c:showLegendKey val="0"/>
          <c:showVal val="0"/>
          <c:showCatName val="0"/>
          <c:showSerName val="0"/>
          <c:showPercent val="0"/>
          <c:showBubbleSize val="0"/>
        </c:dLbls>
        <c:gapWidth val="50"/>
        <c:overlap val="100"/>
        <c:axId val="119169392"/>
        <c:axId val="119186864"/>
      </c:barChart>
      <c:catAx>
        <c:axId val="119169392"/>
        <c:scaling>
          <c:orientation val="minMax"/>
        </c:scaling>
        <c:delete val="0"/>
        <c:axPos val="b"/>
        <c:numFmt formatCode="General" sourceLinked="1"/>
        <c:majorTickMark val="none"/>
        <c:minorTickMark val="none"/>
        <c:tickLblPos val="low"/>
        <c:spPr>
          <a:noFill/>
          <a:ln w="9525" cap="flat" cmpd="sng" algn="ctr">
            <a:solidFill>
              <a:srgbClr val="000000">
                <a:lumMod val="85000"/>
                <a:lumOff val="15000"/>
              </a:srgb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19186864"/>
        <c:crosses val="autoZero"/>
        <c:auto val="1"/>
        <c:lblAlgn val="ctr"/>
        <c:lblOffset val="100"/>
        <c:noMultiLvlLbl val="0"/>
      </c:catAx>
      <c:valAx>
        <c:axId val="119186864"/>
        <c:scaling>
          <c:orientation val="minMax"/>
        </c:scaling>
        <c:delete val="0"/>
        <c:axPos val="l"/>
        <c:numFmt formatCode="#,##0" sourceLinked="0"/>
        <c:majorTickMark val="in"/>
        <c:minorTickMark val="none"/>
        <c:tickLblPos val="nextTo"/>
        <c:spPr>
          <a:noFill/>
          <a:ln>
            <a:solidFill>
              <a:srgbClr val="000000">
                <a:lumMod val="85000"/>
                <a:lumOff val="15000"/>
              </a:srgb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1916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extLst/>
  </c:chart>
  <c:spPr>
    <a:solidFill>
      <a:schemeClr val="bg1"/>
    </a:solidFill>
    <a:ln w="9525" cap="flat" cmpd="sng" algn="ctr">
      <a:noFill/>
      <a:round/>
    </a:ln>
    <a:effectLst/>
  </c:spPr>
  <c:txPr>
    <a:bodyPr/>
    <a:lstStyle/>
    <a:p>
      <a:pPr>
        <a:defRPr/>
      </a:pPr>
      <a:endParaRPr lang="nb-NO"/>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0800654868637"/>
          <c:y val="5.8666666666666666E-2"/>
          <c:w val="0.80111795431511645"/>
          <c:h val="0.58496624207071313"/>
        </c:manualLayout>
      </c:layout>
      <c:barChart>
        <c:barDir val="col"/>
        <c:grouping val="stacked"/>
        <c:varyColors val="0"/>
        <c:ser>
          <c:idx val="0"/>
          <c:order val="0"/>
          <c:tx>
            <c:strRef>
              <c:f>Tidsserier!$K$5</c:f>
              <c:strCache>
                <c:ptCount val="1"/>
                <c:pt idx="0">
                  <c:v>Havbasert vind</c:v>
                </c:pt>
              </c:strCache>
            </c:strRef>
          </c:tx>
          <c:spPr>
            <a:solidFill>
              <a:schemeClr val="accent1">
                <a:lumMod val="60000"/>
                <a:lumOff val="40000"/>
              </a:schemeClr>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Tidsserier!$L$5:$P$5</c:f>
              <c:numCache>
                <c:formatCode>General</c:formatCode>
                <c:ptCount val="5"/>
                <c:pt idx="0">
                  <c:v>4.4000000000000004</c:v>
                </c:pt>
                <c:pt idx="1">
                  <c:v>5.3</c:v>
                </c:pt>
                <c:pt idx="2">
                  <c:v>7.6</c:v>
                </c:pt>
                <c:pt idx="3">
                  <c:v>11.4</c:v>
                </c:pt>
                <c:pt idx="4">
                  <c:v>12</c:v>
                </c:pt>
              </c:numCache>
            </c:numRef>
          </c:val>
          <c:extLst>
            <c:ext xmlns:c16="http://schemas.microsoft.com/office/drawing/2014/chart" uri="{C3380CC4-5D6E-409C-BE32-E72D297353CC}">
              <c16:uniqueId val="{00000000-B624-4217-B772-CDBF0036F049}"/>
            </c:ext>
          </c:extLst>
        </c:ser>
        <c:ser>
          <c:idx val="1"/>
          <c:order val="1"/>
          <c:tx>
            <c:strRef>
              <c:f>Tidsserier!$K$6</c:f>
              <c:strCache>
                <c:ptCount val="1"/>
                <c:pt idx="0">
                  <c:v>Solenergi</c:v>
                </c:pt>
              </c:strCache>
            </c:strRef>
          </c:tx>
          <c:spPr>
            <a:solidFill>
              <a:schemeClr val="accent5"/>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Tidsserier!$L$6:$P$6</c:f>
              <c:numCache>
                <c:formatCode>General</c:formatCode>
                <c:ptCount val="5"/>
                <c:pt idx="0">
                  <c:v>2.5</c:v>
                </c:pt>
                <c:pt idx="1">
                  <c:v>2.4</c:v>
                </c:pt>
                <c:pt idx="2">
                  <c:v>2.2000000000000002</c:v>
                </c:pt>
                <c:pt idx="3">
                  <c:v>2.8</c:v>
                </c:pt>
                <c:pt idx="4">
                  <c:v>3.6</c:v>
                </c:pt>
              </c:numCache>
            </c:numRef>
          </c:val>
          <c:extLst>
            <c:ext xmlns:c16="http://schemas.microsoft.com/office/drawing/2014/chart" uri="{C3380CC4-5D6E-409C-BE32-E72D297353CC}">
              <c16:uniqueId val="{00000001-B624-4217-B772-CDBF0036F049}"/>
            </c:ext>
          </c:extLst>
        </c:ser>
        <c:ser>
          <c:idx val="2"/>
          <c:order val="2"/>
          <c:tx>
            <c:strRef>
              <c:f>Tidsserier!$K$7</c:f>
              <c:strCache>
                <c:ptCount val="1"/>
                <c:pt idx="0">
                  <c:v>Landbasert vind</c:v>
                </c:pt>
              </c:strCache>
            </c:strRef>
          </c:tx>
          <c:spPr>
            <a:solidFill>
              <a:schemeClr val="accent1">
                <a:lumMod val="20000"/>
                <a:lumOff val="80000"/>
              </a:schemeClr>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Tidsserier!$L$7:$P$7</c:f>
              <c:numCache>
                <c:formatCode>General</c:formatCode>
                <c:ptCount val="5"/>
                <c:pt idx="0">
                  <c:v>1.2</c:v>
                </c:pt>
                <c:pt idx="1">
                  <c:v>1</c:v>
                </c:pt>
                <c:pt idx="2">
                  <c:v>1.4</c:v>
                </c:pt>
                <c:pt idx="3">
                  <c:v>1.7</c:v>
                </c:pt>
                <c:pt idx="4">
                  <c:v>1.9</c:v>
                </c:pt>
              </c:numCache>
            </c:numRef>
          </c:val>
          <c:extLst>
            <c:ext xmlns:c16="http://schemas.microsoft.com/office/drawing/2014/chart" uri="{C3380CC4-5D6E-409C-BE32-E72D297353CC}">
              <c16:uniqueId val="{00000002-B624-4217-B772-CDBF0036F049}"/>
            </c:ext>
          </c:extLst>
        </c:ser>
        <c:ser>
          <c:idx val="3"/>
          <c:order val="3"/>
          <c:tx>
            <c:strRef>
              <c:f>Tidsserier!$K$8</c:f>
              <c:strCache>
                <c:ptCount val="1"/>
                <c:pt idx="0">
                  <c:v>Vannkraft</c:v>
                </c:pt>
              </c:strCache>
            </c:strRef>
          </c:tx>
          <c:spPr>
            <a:solidFill>
              <a:schemeClr val="accent1"/>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Tidsserier!$L$8:$P$8</c:f>
              <c:numCache>
                <c:formatCode>General</c:formatCode>
                <c:ptCount val="5"/>
                <c:pt idx="0">
                  <c:v>0.9</c:v>
                </c:pt>
                <c:pt idx="1">
                  <c:v>0.8</c:v>
                </c:pt>
                <c:pt idx="2">
                  <c:v>0.7</c:v>
                </c:pt>
                <c:pt idx="3">
                  <c:v>0.7</c:v>
                </c:pt>
                <c:pt idx="4">
                  <c:v>0.6</c:v>
                </c:pt>
              </c:numCache>
            </c:numRef>
          </c:val>
          <c:extLst>
            <c:ext xmlns:c16="http://schemas.microsoft.com/office/drawing/2014/chart" uri="{C3380CC4-5D6E-409C-BE32-E72D297353CC}">
              <c16:uniqueId val="{00000003-B624-4217-B772-CDBF0036F049}"/>
            </c:ext>
          </c:extLst>
        </c:ser>
        <c:ser>
          <c:idx val="4"/>
          <c:order val="4"/>
          <c:tx>
            <c:strRef>
              <c:f>Tidsserier!$K$9</c:f>
              <c:strCache>
                <c:ptCount val="1"/>
                <c:pt idx="0">
                  <c:v>Bioenergi</c:v>
                </c:pt>
              </c:strCache>
            </c:strRef>
          </c:tx>
          <c:spPr>
            <a:solidFill>
              <a:schemeClr val="tx2"/>
            </a:solidFill>
            <a:ln>
              <a:noFill/>
            </a:ln>
            <a:effectLst/>
          </c:spPr>
          <c:invertIfNegative val="0"/>
          <c:cat>
            <c:numRef>
              <c:f>Tidsserier!$L$4:$P$4</c:f>
              <c:numCache>
                <c:formatCode>General</c:formatCode>
                <c:ptCount val="5"/>
                <c:pt idx="0">
                  <c:v>2018</c:v>
                </c:pt>
                <c:pt idx="1">
                  <c:v>2019</c:v>
                </c:pt>
                <c:pt idx="2">
                  <c:v>2020</c:v>
                </c:pt>
                <c:pt idx="3">
                  <c:v>2021</c:v>
                </c:pt>
                <c:pt idx="4">
                  <c:v>2022</c:v>
                </c:pt>
              </c:numCache>
            </c:numRef>
          </c:cat>
          <c:val>
            <c:numRef>
              <c:f>Tidsserier!$L$9:$P$9</c:f>
              <c:numCache>
                <c:formatCode>General</c:formatCode>
                <c:ptCount val="5"/>
                <c:pt idx="0">
                  <c:v>0.2</c:v>
                </c:pt>
                <c:pt idx="1">
                  <c:v>0.2</c:v>
                </c:pt>
                <c:pt idx="2">
                  <c:v>0.4</c:v>
                </c:pt>
                <c:pt idx="3">
                  <c:v>0.5</c:v>
                </c:pt>
                <c:pt idx="4">
                  <c:v>0.5</c:v>
                </c:pt>
              </c:numCache>
            </c:numRef>
          </c:val>
          <c:extLst>
            <c:ext xmlns:c16="http://schemas.microsoft.com/office/drawing/2014/chart" uri="{C3380CC4-5D6E-409C-BE32-E72D297353CC}">
              <c16:uniqueId val="{00000004-B624-4217-B772-CDBF0036F049}"/>
            </c:ext>
          </c:extLst>
        </c:ser>
        <c:dLbls>
          <c:showLegendKey val="0"/>
          <c:showVal val="0"/>
          <c:showCatName val="0"/>
          <c:showSerName val="0"/>
          <c:showPercent val="0"/>
          <c:showBubbleSize val="0"/>
        </c:dLbls>
        <c:gapWidth val="50"/>
        <c:overlap val="100"/>
        <c:axId val="1605681408"/>
        <c:axId val="1535845120"/>
      </c:barChart>
      <c:lineChart>
        <c:grouping val="stacked"/>
        <c:varyColors val="0"/>
        <c:ser>
          <c:idx val="5"/>
          <c:order val="5"/>
          <c:tx>
            <c:strRef>
              <c:f>Tidsserier!$K$10</c:f>
              <c:strCache>
                <c:ptCount val="1"/>
                <c:pt idx="0">
                  <c:v>Total</c:v>
                </c:pt>
              </c:strCache>
            </c:strRef>
          </c:tx>
          <c:spPr>
            <a:ln w="28575" cap="rnd">
              <a:noFill/>
              <a:round/>
            </a:ln>
            <a:effectLst/>
          </c:spPr>
          <c:marker>
            <c:symbol val="circle"/>
            <c:size val="5"/>
            <c:spPr>
              <a:noFill/>
              <a:ln w="9525">
                <a:noFill/>
              </a:ln>
              <a:effectLst/>
            </c:spPr>
          </c:marker>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Tidsserier!$L$4:$P$4</c:f>
              <c:numCache>
                <c:formatCode>General</c:formatCode>
                <c:ptCount val="5"/>
                <c:pt idx="0">
                  <c:v>2018</c:v>
                </c:pt>
                <c:pt idx="1">
                  <c:v>2019</c:v>
                </c:pt>
                <c:pt idx="2">
                  <c:v>2020</c:v>
                </c:pt>
                <c:pt idx="3">
                  <c:v>2021</c:v>
                </c:pt>
                <c:pt idx="4">
                  <c:v>2022</c:v>
                </c:pt>
              </c:numCache>
            </c:numRef>
          </c:cat>
          <c:val>
            <c:numRef>
              <c:f>Tidsserier!$L$10:$P$10</c:f>
              <c:numCache>
                <c:formatCode>General</c:formatCode>
                <c:ptCount val="5"/>
                <c:pt idx="0">
                  <c:v>9.1</c:v>
                </c:pt>
                <c:pt idx="1">
                  <c:v>9.6999999999999993</c:v>
                </c:pt>
                <c:pt idx="2">
                  <c:v>12.3</c:v>
                </c:pt>
                <c:pt idx="3">
                  <c:v>17.100000000000001</c:v>
                </c:pt>
                <c:pt idx="4">
                  <c:v>18.600000000000001</c:v>
                </c:pt>
              </c:numCache>
            </c:numRef>
          </c:val>
          <c:smooth val="0"/>
          <c:extLst>
            <c:ext xmlns:c16="http://schemas.microsoft.com/office/drawing/2014/chart" uri="{C3380CC4-5D6E-409C-BE32-E72D297353CC}">
              <c16:uniqueId val="{00000005-B624-4217-B772-CDBF0036F049}"/>
            </c:ext>
          </c:extLst>
        </c:ser>
        <c:dLbls>
          <c:showLegendKey val="0"/>
          <c:showVal val="0"/>
          <c:showCatName val="0"/>
          <c:showSerName val="0"/>
          <c:showPercent val="0"/>
          <c:showBubbleSize val="0"/>
        </c:dLbls>
        <c:marker val="1"/>
        <c:smooth val="0"/>
        <c:axId val="1605681408"/>
        <c:axId val="1535845120"/>
      </c:lineChart>
      <c:catAx>
        <c:axId val="1605681408"/>
        <c:scaling>
          <c:orientation val="minMax"/>
        </c:scaling>
        <c:delete val="0"/>
        <c:axPos val="b"/>
        <c:numFmt formatCode="General" sourceLinked="1"/>
        <c:majorTickMark val="none"/>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535845120"/>
        <c:crosses val="autoZero"/>
        <c:auto val="1"/>
        <c:lblAlgn val="ctr"/>
        <c:lblOffset val="100"/>
        <c:noMultiLvlLbl val="0"/>
      </c:catAx>
      <c:valAx>
        <c:axId val="153584512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nb-NO" sz="900"/>
                  <a:t>Milliarder</a:t>
                </a:r>
                <a:r>
                  <a:rPr lang="nb-NO" sz="900" baseline="0"/>
                  <a:t> kroner</a:t>
                </a:r>
                <a:endParaRPr lang="nb-NO" sz="900"/>
              </a:p>
            </c:rich>
          </c:tx>
          <c:layout>
            <c:manualLayout>
              <c:xMode val="edge"/>
              <c:yMode val="edge"/>
              <c:x val="1.1347158337881036E-3"/>
              <c:y val="0.1910739613271883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in"/>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605681408"/>
        <c:crosses val="autoZero"/>
        <c:crossBetween val="between"/>
        <c:majorUnit val="5"/>
      </c:valAx>
      <c:spPr>
        <a:noFill/>
        <a:ln>
          <a:noFill/>
        </a:ln>
        <a:effectLst/>
      </c:spPr>
    </c:plotArea>
    <c:legend>
      <c:legendPos val="b"/>
      <c:legendEntry>
        <c:idx val="5"/>
        <c:delete val="1"/>
      </c:legendEntry>
      <c:layout>
        <c:manualLayout>
          <c:xMode val="edge"/>
          <c:yMode val="edge"/>
          <c:x val="0.19177360255710613"/>
          <c:y val="0.74891855580687405"/>
          <c:w val="0.78347392219536915"/>
          <c:h val="0.16036870121256441"/>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b-N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8611453688770832"/>
          <c:y val="5.2690517116489227E-2"/>
          <c:w val="0.79241374948613352"/>
          <c:h val="0.60279979896130009"/>
        </c:manualLayout>
      </c:layout>
      <c:barChart>
        <c:barDir val="col"/>
        <c:grouping val="stacked"/>
        <c:varyColors val="0"/>
        <c:ser>
          <c:idx val="1"/>
          <c:order val="1"/>
          <c:tx>
            <c:strRef>
              <c:f>Sammenstilling!$E$67</c:f>
              <c:strCache>
                <c:ptCount val="1"/>
                <c:pt idx="0">
                  <c:v>Vannkraft</c:v>
                </c:pt>
              </c:strCache>
            </c:strRef>
          </c:tx>
          <c:spPr>
            <a:solidFill>
              <a:schemeClr val="accent2">
                <a:lumMod val="50000"/>
              </a:schemeClr>
            </a:solidFill>
            <a:ln>
              <a:noFill/>
            </a:ln>
            <a:effectLst/>
          </c:spPr>
          <c:invertIfNegative val="0"/>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Sammenstilling!$E$132:$E$140</c:f>
              <c:numCache>
                <c:formatCode>0.00%</c:formatCode>
                <c:ptCount val="9"/>
                <c:pt idx="0">
                  <c:v>3.4913763005376718E-5</c:v>
                </c:pt>
                <c:pt idx="1">
                  <c:v>8.5059082715802125E-4</c:v>
                </c:pt>
                <c:pt idx="2">
                  <c:v>3.0672776683782075E-5</c:v>
                </c:pt>
                <c:pt idx="3">
                  <c:v>1.0829660273557218E-5</c:v>
                </c:pt>
                <c:pt idx="4">
                  <c:v>1.297804709664986E-4</c:v>
                </c:pt>
                <c:pt idx="5">
                  <c:v>3.8925731872641338E-3</c:v>
                </c:pt>
                <c:pt idx="6">
                  <c:v>4.798403767683486E-4</c:v>
                </c:pt>
                <c:pt idx="7">
                  <c:v>2.4636363636363638E-5</c:v>
                </c:pt>
                <c:pt idx="8">
                  <c:v>4.064297181409905E-5</c:v>
                </c:pt>
              </c:numCache>
            </c:numRef>
          </c:val>
          <c:extLst>
            <c:ext xmlns:c16="http://schemas.microsoft.com/office/drawing/2014/chart" uri="{C3380CC4-5D6E-409C-BE32-E72D297353CC}">
              <c16:uniqueId val="{00000000-9A3F-412A-B22C-BEAAF7DABB01}"/>
            </c:ext>
          </c:extLst>
        </c:ser>
        <c:ser>
          <c:idx val="2"/>
          <c:order val="2"/>
          <c:tx>
            <c:strRef>
              <c:f>Sammenstilling!$F$67</c:f>
              <c:strCache>
                <c:ptCount val="1"/>
                <c:pt idx="0">
                  <c:v>Vindkraft</c:v>
                </c:pt>
              </c:strCache>
            </c:strRef>
          </c:tx>
          <c:spPr>
            <a:solidFill>
              <a:schemeClr val="accent2"/>
            </a:solidFill>
            <a:ln>
              <a:noFill/>
            </a:ln>
            <a:effectLst/>
          </c:spPr>
          <c:invertIfNegative val="0"/>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Sammenstilling!$F$132:$F$140</c:f>
              <c:numCache>
                <c:formatCode>0.00%</c:formatCode>
                <c:ptCount val="9"/>
                <c:pt idx="0">
                  <c:v>7.8905104392151381E-3</c:v>
                </c:pt>
                <c:pt idx="1">
                  <c:v>3.1844582415381534E-3</c:v>
                </c:pt>
                <c:pt idx="2">
                  <c:v>8.8951052382968019E-4</c:v>
                </c:pt>
                <c:pt idx="3">
                  <c:v>2.7074150683893045E-3</c:v>
                </c:pt>
                <c:pt idx="4">
                  <c:v>3.3908807263803202E-3</c:v>
                </c:pt>
                <c:pt idx="5">
                  <c:v>7.3278862712050706E-4</c:v>
                </c:pt>
                <c:pt idx="6">
                  <c:v>1.1037011738059715E-3</c:v>
                </c:pt>
                <c:pt idx="7">
                  <c:v>2.2757575757575759E-3</c:v>
                </c:pt>
                <c:pt idx="8">
                  <c:v>6.0964457721148575E-4</c:v>
                </c:pt>
              </c:numCache>
            </c:numRef>
          </c:val>
          <c:extLst>
            <c:ext xmlns:c16="http://schemas.microsoft.com/office/drawing/2014/chart" uri="{C3380CC4-5D6E-409C-BE32-E72D297353CC}">
              <c16:uniqueId val="{00000001-9A3F-412A-B22C-BEAAF7DABB01}"/>
            </c:ext>
          </c:extLst>
        </c:ser>
        <c:ser>
          <c:idx val="3"/>
          <c:order val="3"/>
          <c:tx>
            <c:strRef>
              <c:f>Sammenstilling!$G$67</c:f>
              <c:strCache>
                <c:ptCount val="1"/>
                <c:pt idx="0">
                  <c:v>Solkraft</c:v>
                </c:pt>
              </c:strCache>
            </c:strRef>
          </c:tx>
          <c:spPr>
            <a:solidFill>
              <a:schemeClr val="accent2">
                <a:tint val="77000"/>
              </a:schemeClr>
            </a:solidFill>
            <a:ln>
              <a:noFill/>
            </a:ln>
            <a:effectLst/>
          </c:spPr>
          <c:invertIfNegative val="0"/>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Sammenstilling!$G$132:$G$140</c:f>
              <c:numCache>
                <c:formatCode>0.00%</c:formatCode>
                <c:ptCount val="9"/>
                <c:pt idx="0">
                  <c:v>3.6432511696110606E-3</c:v>
                </c:pt>
                <c:pt idx="1">
                  <c:v>1.4994992990186261E-3</c:v>
                </c:pt>
                <c:pt idx="2">
                  <c:v>7.1868769592236103E-3</c:v>
                </c:pt>
                <c:pt idx="3">
                  <c:v>3.3262218564203642E-3</c:v>
                </c:pt>
                <c:pt idx="4">
                  <c:v>2.7068010333648027E-3</c:v>
                </c:pt>
                <c:pt idx="5">
                  <c:v>2.025416315538783E-4</c:v>
                </c:pt>
                <c:pt idx="6">
                  <c:v>1.1138394060865346E-3</c:v>
                </c:pt>
                <c:pt idx="7">
                  <c:v>3.1472727272727273E-4</c:v>
                </c:pt>
                <c:pt idx="8">
                  <c:v>2.0026824361397307E-3</c:v>
                </c:pt>
              </c:numCache>
            </c:numRef>
          </c:val>
          <c:extLst>
            <c:ext xmlns:c16="http://schemas.microsoft.com/office/drawing/2014/chart" uri="{C3380CC4-5D6E-409C-BE32-E72D297353CC}">
              <c16:uniqueId val="{00000002-9A3F-412A-B22C-BEAAF7DABB01}"/>
            </c:ext>
          </c:extLst>
        </c:ser>
        <c:ser>
          <c:idx val="4"/>
          <c:order val="4"/>
          <c:tx>
            <c:strRef>
              <c:f>Sammenstilling!$H$67</c:f>
              <c:strCache>
                <c:ptCount val="1"/>
                <c:pt idx="0">
                  <c:v>Øvrig</c:v>
                </c:pt>
              </c:strCache>
            </c:strRef>
          </c:tx>
          <c:spPr>
            <a:solidFill>
              <a:schemeClr val="accent2">
                <a:tint val="54000"/>
              </a:schemeClr>
            </a:solidFill>
            <a:ln>
              <a:noFill/>
            </a:ln>
            <a:effectLst/>
          </c:spPr>
          <c:invertIfNegative val="0"/>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Sammenstilling!$H$132:$H$140</c:f>
              <c:numCache>
                <c:formatCode>0.00%</c:formatCode>
                <c:ptCount val="9"/>
                <c:pt idx="0">
                  <c:v>6.001410516025419E-3</c:v>
                </c:pt>
                <c:pt idx="1">
                  <c:v>7.7430402563589025E-3</c:v>
                </c:pt>
                <c:pt idx="2">
                  <c:v>4.9253117887749906E-3</c:v>
                </c:pt>
                <c:pt idx="3">
                  <c:v>3.4701783645047055E-3</c:v>
                </c:pt>
                <c:pt idx="4">
                  <c:v>2.4183566181941486E-3</c:v>
                </c:pt>
                <c:pt idx="5">
                  <c:v>2.4094456472355552E-3</c:v>
                </c:pt>
                <c:pt idx="6">
                  <c:v>2.696230518955259E-3</c:v>
                </c:pt>
                <c:pt idx="7">
                  <c:v>1.7844012121212118E-3</c:v>
                </c:pt>
                <c:pt idx="8">
                  <c:v>1.047979028226544E-3</c:v>
                </c:pt>
              </c:numCache>
            </c:numRef>
          </c:val>
          <c:extLst>
            <c:ext xmlns:c16="http://schemas.microsoft.com/office/drawing/2014/chart" uri="{C3380CC4-5D6E-409C-BE32-E72D297353CC}">
              <c16:uniqueId val="{00000003-9A3F-412A-B22C-BEAAF7DABB01}"/>
            </c:ext>
          </c:extLst>
        </c:ser>
        <c:dLbls>
          <c:showLegendKey val="0"/>
          <c:showVal val="0"/>
          <c:showCatName val="0"/>
          <c:showSerName val="0"/>
          <c:showPercent val="0"/>
          <c:showBubbleSize val="0"/>
        </c:dLbls>
        <c:gapWidth val="50"/>
        <c:overlap val="100"/>
        <c:axId val="1200559183"/>
        <c:axId val="953732976"/>
      </c:barChart>
      <c:lineChart>
        <c:grouping val="standard"/>
        <c:varyColors val="0"/>
        <c:ser>
          <c:idx val="0"/>
          <c:order val="0"/>
          <c:tx>
            <c:strRef>
              <c:f>Sammenstilling!$D$67</c:f>
              <c:strCache>
                <c:ptCount val="1"/>
                <c:pt idx="0">
                  <c:v>All technologies</c:v>
                </c:pt>
              </c:strCache>
            </c:strRef>
          </c:tx>
          <c:spPr>
            <a:ln w="25400" cap="rnd">
              <a:noFill/>
              <a:round/>
            </a:ln>
            <a:effectLst/>
          </c:spPr>
          <c:marker>
            <c:symbol val="circle"/>
            <c:size val="5"/>
            <c:spPr>
              <a:solidFill>
                <a:schemeClr val="accent2">
                  <a:shade val="53000"/>
                </a:schemeClr>
              </a:solidFill>
              <a:ln w="9525">
                <a:solidFill>
                  <a:schemeClr val="accent2">
                    <a:shade val="53000"/>
                  </a:schemeClr>
                </a:solidFill>
              </a:ln>
              <a:effectLst/>
            </c:spPr>
          </c:marker>
          <c:dLbls>
            <c:dLbl>
              <c:idx val="0"/>
              <c:layout>
                <c:manualLayout>
                  <c:x val="-6.7058470100875942E-2"/>
                  <c:y val="-4.890433908527391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A3F-412A-B22C-BEAAF7DABB01}"/>
                </c:ext>
              </c:extLst>
            </c:dLbl>
            <c:dLbl>
              <c:idx val="2"/>
              <c:layout>
                <c:manualLayout>
                  <c:x val="-6.2971887550200875E-2"/>
                  <c:y val="-4.46490199363377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A3F-412A-B22C-BEAAF7DABB01}"/>
                </c:ext>
              </c:extLst>
            </c:dLbl>
            <c:dLbl>
              <c:idx val="7"/>
              <c:layout>
                <c:manualLayout>
                  <c:x val="-5.9026341586819721E-2"/>
                  <c:y val="-4.4649019936337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A3F-412A-B22C-BEAAF7DABB01}"/>
                </c:ext>
              </c:extLst>
            </c:dLbl>
            <c:dLbl>
              <c:idx val="8"/>
              <c:layout>
                <c:manualLayout>
                  <c:x val="-1.9186351706036893E-2"/>
                  <c:y val="-4.46490199363378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A3F-412A-B22C-BEAAF7DABB01}"/>
                </c:ext>
              </c:extLst>
            </c:dLbl>
            <c:numFmt formatCode="0.0%" sourceLinked="0"/>
            <c:spPr>
              <a:noFill/>
              <a:ln>
                <a:noFill/>
              </a:ln>
              <a:effectLst/>
            </c:spPr>
            <c:txPr>
              <a:bodyPr rot="0" spcFirstLastPara="1" vertOverflow="ellipsis" vert="horz" wrap="square" anchor="ctr" anchorCtr="1"/>
              <a:lstStyle/>
              <a:p>
                <a:pPr>
                  <a:defRPr sz="700" b="0" i="0" u="none" strike="noStrike" kern="1200" baseline="0">
                    <a:solidFill>
                      <a:schemeClr val="tx1">
                        <a:lumMod val="75000"/>
                        <a:lumOff val="25000"/>
                      </a:schemeClr>
                    </a:solidFill>
                    <a:latin typeface="+mn-lt"/>
                    <a:ea typeface="+mn-ea"/>
                    <a:cs typeface="+mn-cs"/>
                  </a:defRPr>
                </a:pPr>
                <a:endParaRPr lang="nb-N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Sammenstilling!$B$132:$B$140</c:f>
              <c:strCache>
                <c:ptCount val="9"/>
                <c:pt idx="0">
                  <c:v>Danmark</c:v>
                </c:pt>
                <c:pt idx="1">
                  <c:v>Sverige</c:v>
                </c:pt>
                <c:pt idx="2">
                  <c:v>Polen</c:v>
                </c:pt>
                <c:pt idx="3">
                  <c:v>Nederland</c:v>
                </c:pt>
                <c:pt idx="4">
                  <c:v>Tyskland</c:v>
                </c:pt>
                <c:pt idx="5">
                  <c:v>Norge</c:v>
                </c:pt>
                <c:pt idx="6">
                  <c:v>Frankrike</c:v>
                </c:pt>
                <c:pt idx="7">
                  <c:v>Storbritannia</c:v>
                </c:pt>
                <c:pt idx="8">
                  <c:v>Belgia</c:v>
                </c:pt>
              </c:strCache>
            </c:strRef>
          </c:cat>
          <c:val>
            <c:numRef>
              <c:f>Sammenstilling!$D$132:$D$140</c:f>
              <c:numCache>
                <c:formatCode>0.00%</c:formatCode>
                <c:ptCount val="9"/>
                <c:pt idx="0">
                  <c:v>1.7570085887856995E-2</c:v>
                </c:pt>
                <c:pt idx="1">
                  <c:v>1.3277588624073702E-2</c:v>
                </c:pt>
                <c:pt idx="2">
                  <c:v>1.3032372048512063E-2</c:v>
                </c:pt>
                <c:pt idx="3">
                  <c:v>9.5146449495879318E-3</c:v>
                </c:pt>
                <c:pt idx="4">
                  <c:v>8.6458188489057699E-3</c:v>
                </c:pt>
                <c:pt idx="5">
                  <c:v>7.2373490931740741E-3</c:v>
                </c:pt>
                <c:pt idx="6">
                  <c:v>5.3936114756161137E-3</c:v>
                </c:pt>
                <c:pt idx="7">
                  <c:v>4.3995224242424236E-3</c:v>
                </c:pt>
                <c:pt idx="8">
                  <c:v>3.7009490133918591E-3</c:v>
                </c:pt>
              </c:numCache>
            </c:numRef>
          </c:val>
          <c:smooth val="0"/>
          <c:extLst>
            <c:ext xmlns:c16="http://schemas.microsoft.com/office/drawing/2014/chart" uri="{C3380CC4-5D6E-409C-BE32-E72D297353CC}">
              <c16:uniqueId val="{00000008-9A3F-412A-B22C-BEAAF7DABB01}"/>
            </c:ext>
          </c:extLst>
        </c:ser>
        <c:dLbls>
          <c:showLegendKey val="0"/>
          <c:showVal val="0"/>
          <c:showCatName val="0"/>
          <c:showSerName val="0"/>
          <c:showPercent val="0"/>
          <c:showBubbleSize val="0"/>
        </c:dLbls>
        <c:marker val="1"/>
        <c:smooth val="0"/>
        <c:axId val="1200559183"/>
        <c:axId val="953732976"/>
      </c:lineChart>
      <c:catAx>
        <c:axId val="1200559183"/>
        <c:scaling>
          <c:orientation val="minMax"/>
        </c:scaling>
        <c:delete val="0"/>
        <c:axPos val="b"/>
        <c:numFmt formatCode="General" sourceLinked="1"/>
        <c:majorTickMark val="none"/>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953732976"/>
        <c:crosses val="autoZero"/>
        <c:auto val="1"/>
        <c:lblAlgn val="ctr"/>
        <c:lblOffset val="100"/>
        <c:noMultiLvlLbl val="0"/>
      </c:catAx>
      <c:valAx>
        <c:axId val="953732976"/>
        <c:scaling>
          <c:orientation val="minMax"/>
        </c:scaling>
        <c:delete val="0"/>
        <c:axPos val="l"/>
        <c:numFmt formatCode="0.0\ %" sourceLinked="0"/>
        <c:majorTickMark val="in"/>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200559183"/>
        <c:crosses val="autoZero"/>
        <c:crossBetween val="between"/>
        <c:majorUnit val="5.000000000000001E-3"/>
      </c:valAx>
      <c:spPr>
        <a:noFill/>
        <a:ln>
          <a:noFill/>
        </a:ln>
        <a:effectLst/>
      </c:spPr>
    </c:plotArea>
    <c:legend>
      <c:legendPos val="b"/>
      <c:legendEntry>
        <c:idx val="4"/>
        <c:delete val="1"/>
      </c:legendEntry>
      <c:layout>
        <c:manualLayout>
          <c:xMode val="edge"/>
          <c:yMode val="edge"/>
          <c:x val="0.14488726559782436"/>
          <c:y val="0.86390685206902329"/>
          <c:w val="0.75841792366315652"/>
          <c:h val="7.18090132350477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Menonfarger">
      <a:dk1>
        <a:sysClr val="windowText" lastClr="000000"/>
      </a:dk1>
      <a:lt1>
        <a:sysClr val="window" lastClr="FFFFFF"/>
      </a:lt1>
      <a:dk2>
        <a:srgbClr val="44546A"/>
      </a:dk2>
      <a:lt2>
        <a:srgbClr val="E7E6E6"/>
      </a:lt2>
      <a:accent1>
        <a:srgbClr val="395775"/>
      </a:accent1>
      <a:accent2>
        <a:srgbClr val="D77F16"/>
      </a:accent2>
      <a:accent3>
        <a:srgbClr val="737B82"/>
      </a:accent3>
      <a:accent4>
        <a:srgbClr val="ACB3B8"/>
      </a:accent4>
      <a:accent5>
        <a:srgbClr val="A6B340"/>
      </a:accent5>
      <a:accent6>
        <a:srgbClr val="941100"/>
      </a:accent6>
      <a:hlink>
        <a:srgbClr val="0432FF"/>
      </a:hlink>
      <a:folHlink>
        <a:srgbClr val="75D5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Menon">
    <a:dk1>
      <a:sysClr val="windowText" lastClr="000000"/>
    </a:dk1>
    <a:lt1>
      <a:sysClr val="window" lastClr="FFFFFF"/>
    </a:lt1>
    <a:dk2>
      <a:srgbClr val="44546A"/>
    </a:dk2>
    <a:lt2>
      <a:srgbClr val="E7E6E6"/>
    </a:lt2>
    <a:accent1>
      <a:srgbClr val="395775"/>
    </a:accent1>
    <a:accent2>
      <a:srgbClr val="D77F16"/>
    </a:accent2>
    <a:accent3>
      <a:srgbClr val="737B82"/>
    </a:accent3>
    <a:accent4>
      <a:srgbClr val="ACB3B8"/>
    </a:accent4>
    <a:accent5>
      <a:srgbClr val="A6B340"/>
    </a:accent5>
    <a:accent6>
      <a:srgbClr val="941147"/>
    </a:accent6>
    <a:hlink>
      <a:srgbClr val="0432E1"/>
    </a:hlink>
    <a:folHlink>
      <a:srgbClr val="75D5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Menon">
    <a:dk1>
      <a:sysClr val="windowText" lastClr="000000"/>
    </a:dk1>
    <a:lt1>
      <a:sysClr val="window" lastClr="FFFFFF"/>
    </a:lt1>
    <a:dk2>
      <a:srgbClr val="1F497D"/>
    </a:dk2>
    <a:lt2>
      <a:srgbClr val="EEECE1"/>
    </a:lt2>
    <a:accent1>
      <a:srgbClr val="395775"/>
    </a:accent1>
    <a:accent2>
      <a:srgbClr val="D77F16"/>
    </a:accent2>
    <a:accent3>
      <a:srgbClr val="737B82"/>
    </a:accent3>
    <a:accent4>
      <a:srgbClr val="ACB3B8"/>
    </a:accent4>
    <a:accent5>
      <a:srgbClr val="A6B340"/>
    </a:accent5>
    <a:accent6>
      <a:srgbClr val="941100"/>
    </a:accent6>
    <a:hlink>
      <a:srgbClr val="0432FF"/>
    </a:hlink>
    <a:folHlink>
      <a:srgbClr val="75D5FF"/>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rojectCT" ma:contentTypeID="0x01010009886E606E16458F999767F9DBBAF34E006B84098706048C4D9B903D80BA373FC3" ma:contentTypeVersion="13" ma:contentTypeDescription="Opprett et nytt dokument." ma:contentTypeScope="" ma:versionID="b507fb49f74e8c92c3daea6859b48d20">
  <xsd:schema xmlns:xsd="http://www.w3.org/2001/XMLSchema" xmlns:xs="http://www.w3.org/2001/XMLSchema" xmlns:p="http://schemas.microsoft.com/office/2006/metadata/properties" xmlns:ns2="0887b546-c6fa-4162-9fcf-1ee2ff6aa2ab" xmlns:ns3="cdc426f9-4db3-4d03-936c-e9986ade7250" xmlns:ns4="e3bcde7a-05fc-4378-8ee0-61c82b1ef6a6" targetNamespace="http://schemas.microsoft.com/office/2006/metadata/properties" ma:root="true" ma:fieldsID="c7b387a258b74cf53b0be7f2a65ae908" ns2:_="" ns3:_="" ns4:_="">
    <xsd:import namespace="0887b546-c6fa-4162-9fcf-1ee2ff6aa2ab"/>
    <xsd:import namespace="cdc426f9-4db3-4d03-936c-e9986ade7250"/>
    <xsd:import namespace="e3bcde7a-05fc-4378-8ee0-61c82b1ef6a6"/>
    <xsd:element name="properties">
      <xsd:complexType>
        <xsd:sequence>
          <xsd:element name="documentManagement">
            <xsd:complexType>
              <xsd:all>
                <xsd:element ref="ns2:menon_Prosjektnavn" minOccurs="0"/>
                <xsd:element ref="ns2:menon_Prosjektnummer" minOccurs="0"/>
                <xsd:element ref="ns2:menon_Kunde" minOccurs="0"/>
                <xsd:element ref="ns2:menon_Tjeneste" minOccurs="0"/>
                <xsd:element ref="ns2:menon_Nering" minOccurs="0"/>
                <xsd:element ref="ns3:menon_documenttype" minOccurs="0"/>
                <xsd:element ref="ns3:menon_Avsluttet" minOccurs="0"/>
                <xsd:element ref="ns2:menon_Prosjekteier" minOccurs="0"/>
                <xsd:element ref="ns2:menon_Tema" minOccurs="0"/>
                <xsd:element ref="ns4:MediaServiceMetadata" minOccurs="0"/>
                <xsd:element ref="ns4:MediaServiceFastMetadata" minOccurs="0"/>
                <xsd:element ref="ns4:MediaServiceObjectDetectorVersions" minOccurs="0"/>
                <xsd:element ref="ns4:lcf76f155ced4ddcb4097134ff3c332f" minOccurs="0"/>
                <xsd:element ref="ns2:TaxCatchAll" minOccurs="0"/>
                <xsd:element ref="ns4:MediaServiceGenerationTime" minOccurs="0"/>
                <xsd:element ref="ns4:MediaServiceEventHashCode" minOccurs="0"/>
                <xsd:element ref="ns4:MediaServiceSearchProperties" minOccurs="0"/>
                <xsd:element ref="ns2:SharedWithUsers" minOccurs="0"/>
                <xsd:element ref="ns2:SharedWithDetail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87b546-c6fa-4162-9fcf-1ee2ff6aa2ab" elementFormDefault="qualified">
    <xsd:import namespace="http://schemas.microsoft.com/office/2006/documentManagement/types"/>
    <xsd:import namespace="http://schemas.microsoft.com/office/infopath/2007/PartnerControls"/>
    <xsd:element name="menon_Prosjektnavn" ma:index="8" nillable="true" ma:displayName="Prosjektnavn" ma:default="Eksportmeldingen 2024" ma:internalName="menon_Prosjektnavn">
      <xsd:simpleType>
        <xsd:restriction base="dms:Text"/>
      </xsd:simpleType>
    </xsd:element>
    <xsd:element name="menon_Prosjektnummer" ma:index="9" nillable="true" ma:displayName="Prosjektnummer" ma:default="14763" ma:internalName="menon_Prosjektnummer">
      <xsd:simpleType>
        <xsd:restriction base="dms:Text"/>
      </xsd:simpleType>
    </xsd:element>
    <xsd:element name="menon_Kunde" ma:index="10" nillable="true" ma:displayName="Kunde" ma:default="Eksfin" ma:internalName="menon_Kunde">
      <xsd:simpleType>
        <xsd:restriction base="dms:Text"/>
      </xsd:simpleType>
    </xsd:element>
    <xsd:element name="menon_Tjeneste" ma:index="11" nillable="true" ma:displayName="Tjeneste" ma:default="Andre tjenester" ma:internalName="menon_Tjeneste">
      <xsd:simpleType>
        <xsd:restriction base="dms:Text"/>
      </xsd:simpleType>
    </xsd:element>
    <xsd:element name="menon_Nering" ma:index="12" nillable="true" ma:displayName="Næring" ma:default="Sektorovergripende" ma:internalName="menon_Nering">
      <xsd:simpleType>
        <xsd:restriction base="dms:Text"/>
      </xsd:simpleType>
    </xsd:element>
    <xsd:element name="menon_Prosjekteier" ma:index="15" nillable="true" ma:displayName="Prosjekteier" ma:default="Jonas" ma:internalName="menon_Prosjekteier">
      <xsd:simpleType>
        <xsd:restriction base="dms:Text"/>
      </xsd:simpleType>
    </xsd:element>
    <xsd:element name="menon_Tema" ma:index="16" nillable="true" ma:displayName="Tema" ma:default="Andre tema" ma:internalName="menon_Tema">
      <xsd:simpleType>
        <xsd:restriction base="dms:Text"/>
      </xsd:simpleType>
    </xsd:element>
    <xsd:element name="TaxCatchAll" ma:index="22" nillable="true" ma:displayName="Taxonomy Catch All Column" ma:hidden="true" ma:list="{7463cb3f-c8ab-47bb-a840-a7f34ad9cc30}" ma:internalName="TaxCatchAll" ma:showField="CatchAllData" ma:web="0887b546-c6fa-4162-9fcf-1ee2ff6aa2ab">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Delingsdetaljer"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c426f9-4db3-4d03-936c-e9986ade7250" elementFormDefault="qualified">
    <xsd:import namespace="http://schemas.microsoft.com/office/2006/documentManagement/types"/>
    <xsd:import namespace="http://schemas.microsoft.com/office/infopath/2007/PartnerControls"/>
    <xsd:element name="menon_documenttype" ma:index="13" nillable="true" ma:displayName="Dokumenttype" ma:description="documenttype" ma:format="Dropdown" ma:internalName="menon_documenttype">
      <xsd:simpleType>
        <xsd:restriction base="dms:Choice">
          <xsd:enumeration value="Brev"/>
          <xsd:enumeration value="Dokument"/>
          <xsd:enumeration value="Notat"/>
          <xsd:enumeration value="Presentasjon"/>
          <xsd:enumeration value="Rapport"/>
          <xsd:enumeration value="Tilbud"/>
        </xsd:restriction>
      </xsd:simpleType>
    </xsd:element>
    <xsd:element name="menon_Avsluttet" ma:index="14" nillable="true" ma:displayName="Avsluttet" ma:default="FALSE" ma:internalName="menon_Avslutt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3bcde7a-05fc-4378-8ee0-61c82b1ef6a6"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1" nillable="true" ma:taxonomy="true" ma:internalName="lcf76f155ced4ddcb4097134ff3c332f" ma:taxonomyFieldName="MediaServiceImageTags" ma:displayName="Bildemerkelapper" ma:readOnly="false" ma:fieldId="{5cf76f15-5ced-4ddc-b409-7134ff3c332f}" ma:taxonomyMulti="true" ma:sspId="6a84d047-444a-45f7-9d20-a315b2d35773" ma:termSetId="09814cd3-568e-fe90-9814-8d621ff8fb84" ma:anchorId="fba54fb3-c3e1-fe81-a776-ca4b69148c4d" ma:open="true" ma:isKeyword="false">
      <xsd:complexType>
        <xsd:sequence>
          <xsd:element ref="pc:Terms" minOccurs="0" maxOccurs="1"/>
        </xsd:sequence>
      </xsd:complex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ateTaken" ma:index="2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cde7a-05fc-4378-8ee0-61c82b1ef6a6">
      <Terms xmlns="http://schemas.microsoft.com/office/infopath/2007/PartnerControls"/>
    </lcf76f155ced4ddcb4097134ff3c332f>
    <menon_Tema xmlns="0887b546-c6fa-4162-9fcf-1ee2ff6aa2ab">Andre tema</menon_Tema>
    <menon_Nering xmlns="0887b546-c6fa-4162-9fcf-1ee2ff6aa2ab">Sektorovergripende</menon_Nering>
    <TaxCatchAll xmlns="0887b546-c6fa-4162-9fcf-1ee2ff6aa2ab" xsi:nil="true"/>
    <menon_Avsluttet xmlns="cdc426f9-4db3-4d03-936c-e9986ade7250">false</menon_Avsluttet>
    <menon_Kunde xmlns="0887b546-c6fa-4162-9fcf-1ee2ff6aa2ab">Eksfin</menon_Kunde>
    <menon_Tjeneste xmlns="0887b546-c6fa-4162-9fcf-1ee2ff6aa2ab">Andre tjenester</menon_Tjeneste>
    <menon_Prosjekteier xmlns="0887b546-c6fa-4162-9fcf-1ee2ff6aa2ab">Jonas</menon_Prosjekteier>
    <menon_Prosjektnummer xmlns="0887b546-c6fa-4162-9fcf-1ee2ff6aa2ab">14763</menon_Prosjektnummer>
    <menon_Prosjektnavn xmlns="0887b546-c6fa-4162-9fcf-1ee2ff6aa2ab">Eksportmeldingen 2024</menon_Prosjektnavn>
    <menon_documenttype xmlns="cdc426f9-4db3-4d03-936c-e9986ade7250" xsi:nil="true"/>
  </documentManagement>
</p:properties>
</file>

<file path=customXml/itemProps1.xml><?xml version="1.0" encoding="utf-8"?>
<ds:datastoreItem xmlns:ds="http://schemas.openxmlformats.org/officeDocument/2006/customXml" ds:itemID="{951724DB-59D7-4375-80E3-3F0ECCF50844}"/>
</file>

<file path=customXml/itemProps2.xml><?xml version="1.0" encoding="utf-8"?>
<ds:datastoreItem xmlns:ds="http://schemas.openxmlformats.org/officeDocument/2006/customXml" ds:itemID="{31738071-69B1-475F-9C17-31FCF6318F64}"/>
</file>

<file path=customXml/itemProps3.xml><?xml version="1.0" encoding="utf-8"?>
<ds:datastoreItem xmlns:ds="http://schemas.openxmlformats.org/officeDocument/2006/customXml" ds:itemID="{30E37164-7161-4199-B3E3-5DE282394AE4}"/>
</file>

<file path=docProps/app.xml><?xml version="1.0" encoding="utf-8"?>
<Properties xmlns="http://schemas.openxmlformats.org/officeDocument/2006/extended-properties" xmlns:vt="http://schemas.openxmlformats.org/officeDocument/2006/docPropsVTypes">
  <Template>Normal</Template>
  <TotalTime>1</TotalTime>
  <Pages>6</Pages>
  <Words>2529</Words>
  <Characters>13405</Characters>
  <Application>Microsoft Office Word</Application>
  <DocSecurity>0</DocSecurity>
  <Lines>111</Lines>
  <Paragraphs>31</Paragraphs>
  <ScaleCrop>false</ScaleCrop>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Basso</dc:creator>
  <cp:keywords/>
  <dc:description/>
  <cp:lastModifiedBy>Maren Basso</cp:lastModifiedBy>
  <cp:revision>1</cp:revision>
  <dcterms:created xsi:type="dcterms:W3CDTF">2024-03-05T15:03:00Z</dcterms:created>
  <dcterms:modified xsi:type="dcterms:W3CDTF">2024-03-05T15:04:00Z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0x01010009886E606E16458F999767F9DBBAF34E006B84098706048C4D9B903D80BA373FC3</vt:lpwstr>
  </property>
</Properties>
</file>