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22.016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22.016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2530"/>
                <wp:effectExtent l="0" t="0" r="0" b="0"/>
                <wp:wrapTopAndBottom/>
                <wp:docPr id="3" name="Frame3"/>
                <a:graphic xmlns:a="http://schemas.openxmlformats.org/drawingml/2006/main">
                  <a:graphicData uri="http://schemas.microsoft.com/office/word/2010/wordprocessingShape">
                    <wps:wsp>
                      <wps:cNvSpPr txBox="1"/>
                      <wps:spPr>
                        <a:xfrm>
                          <a:off x="0" y="0"/>
                          <a:ext cx="647954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International Mobile station Equipment Identities (IMEI)</w:t>
                            </w:r>
                          </w:p>
                          <w:p>
                            <w:pPr>
                              <w:pStyle w:val="ZT"/>
                              <w:rPr/>
                            </w:pPr>
                            <w:r>
                              <w:rPr/>
                              <w:t>(</w:t>
                            </w:r>
                            <w:r>
                              <w:rPr>
                                <w:rStyle w:val="ZGSM"/>
                                <w:sz w:val="34"/>
                                <w:szCs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International Mobile station Equipment Identities (IMEI)</w:t>
                      </w:r>
                    </w:p>
                    <w:p>
                      <w:pPr>
                        <w:pStyle w:val="ZT"/>
                        <w:rPr/>
                      </w:pPr>
                      <w:r>
                        <w:rPr/>
                        <w:t>(</w:t>
                      </w:r>
                      <w:r>
                        <w:rPr>
                          <w:rStyle w:val="ZGSM"/>
                          <w:sz w:val="34"/>
                          <w:szCs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addressing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addressing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322862">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322863">
            <w:r>
              <w:rPr>
                <w:rStyle w:val="IndexLink"/>
                <w:lang w:val="en-US" w:eastAsia="en-US"/>
              </w:rPr>
              <w:t>5</w:t>
            </w:r>
          </w:hyperlink>
        </w:p>
        <w:p>
          <w:pPr>
            <w:pStyle w:val="Contents2"/>
            <w:rPr>
              <w:rFonts w:eastAsia="MS Mincho;ＭＳ 明朝"/>
              <w:sz w:val="24"/>
              <w:szCs w:val="24"/>
              <w:lang w:val="en-US" w:eastAsia="en-US"/>
            </w:rPr>
          </w:pPr>
          <w:r>
            <w:rPr/>
            <w:t>1.1</w:t>
          </w:r>
          <w:r>
            <w:rPr>
              <w:rFonts w:eastAsia="MS Mincho;ＭＳ 明朝"/>
              <w:sz w:val="24"/>
              <w:szCs w:val="24"/>
              <w:lang w:eastAsia="ja-JP"/>
            </w:rPr>
            <w:tab/>
          </w:r>
          <w:r>
            <w:rPr>
              <w:lang w:val="en-US" w:eastAsia="en-US"/>
            </w:rPr>
            <w:t>References</w:t>
            <w:tab/>
          </w:r>
          <w:hyperlink w:anchor="__RefHeading___Toc217322864">
            <w:r>
              <w:rPr>
                <w:rStyle w:val="IndexLink"/>
                <w:lang w:val="en-US" w:eastAsia="en-US"/>
              </w:rPr>
              <w:t>5</w:t>
            </w:r>
          </w:hyperlink>
        </w:p>
        <w:p>
          <w:pPr>
            <w:pStyle w:val="Contents2"/>
            <w:rPr>
              <w:rFonts w:eastAsia="MS Mincho;ＭＳ 明朝"/>
              <w:sz w:val="24"/>
              <w:szCs w:val="24"/>
              <w:lang w:val="en-US" w:eastAsia="en-US"/>
            </w:rPr>
          </w:pPr>
          <w:r>
            <w:rPr/>
            <w:t>1.2</w:t>
          </w:r>
          <w:r>
            <w:rPr>
              <w:rFonts w:eastAsia="MS Mincho;ＭＳ 明朝"/>
              <w:sz w:val="24"/>
              <w:szCs w:val="24"/>
              <w:lang w:eastAsia="ja-JP"/>
            </w:rPr>
            <w:tab/>
          </w:r>
          <w:r>
            <w:rPr>
              <w:lang w:val="en-US" w:eastAsia="en-US"/>
            </w:rPr>
            <w:t>Definitions and abbreviations</w:t>
            <w:tab/>
          </w:r>
          <w:hyperlink w:anchor="__RefHeading___Toc217322865">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General</w:t>
            <w:tab/>
          </w:r>
          <w:hyperlink w:anchor="__RefHeading___Toc217322866">
            <w:r>
              <w:rPr>
                <w:rStyle w:val="IndexLink"/>
                <w:lang w:val="en-US" w:eastAsia="en-US"/>
              </w:rPr>
              <w:t>5</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Composition of IMEI</w:t>
            <w:tab/>
          </w:r>
          <w:hyperlink w:anchor="__RefHeading___Toc217322867">
            <w:r>
              <w:rPr>
                <w:rStyle w:val="IndexLink"/>
                <w:lang w:val="en-US" w:eastAsia="en-US"/>
              </w:rPr>
              <w:t>6</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Use of the equipment identity register</w:t>
            <w:tab/>
          </w:r>
          <w:hyperlink w:anchor="__RefHeading___Toc217322868">
            <w:r>
              <w:rPr>
                <w:rStyle w:val="IndexLink"/>
                <w:lang w:val="en-US" w:eastAsia="en-US"/>
              </w:rPr>
              <w:t>6</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Procedure</w:t>
            <w:tab/>
          </w:r>
          <w:hyperlink w:anchor="__RefHeading___Toc217322869">
            <w:r>
              <w:rPr>
                <w:rStyle w:val="IndexLink"/>
                <w:lang w:val="en-US" w:eastAsia="en-US"/>
              </w:rPr>
              <w:t>6</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Use of IMEI in case of emergency calls</w:t>
            <w:tab/>
          </w:r>
          <w:hyperlink w:anchor="__RefHeading___Toc217322870">
            <w:r>
              <w:rPr>
                <w:rStyle w:val="IndexLink"/>
                <w:lang w:val="en-US" w:eastAsia="en-US"/>
              </w:rPr>
              <w:t>6</w:t>
            </w:r>
          </w:hyperlink>
        </w:p>
        <w:p>
          <w:pPr>
            <w:pStyle w:val="Contents1"/>
            <w:rPr>
              <w:rFonts w:eastAsia="MS Mincho;ＭＳ 明朝"/>
              <w:sz w:val="24"/>
              <w:szCs w:val="24"/>
              <w:lang w:val="de-DE" w:eastAsia="en-US"/>
            </w:rPr>
          </w:pPr>
          <w:r>
            <w:rPr>
              <w:lang w:val="de-DE"/>
            </w:rPr>
            <w:t>7</w:t>
          </w:r>
          <w:r>
            <w:rPr>
              <w:rFonts w:eastAsia="MS Mincho;ＭＳ 明朝"/>
              <w:sz w:val="24"/>
              <w:szCs w:val="24"/>
              <w:lang w:val="de-DE" w:eastAsia="ja-JP"/>
            </w:rPr>
            <w:tab/>
          </w:r>
          <w:r>
            <w:rPr>
              <w:lang w:val="de-DE" w:eastAsia="en-US"/>
            </w:rPr>
            <w:t>MS Software Version Number (SVN)</w:t>
            <w:tab/>
          </w:r>
          <w:hyperlink w:anchor="__RefHeading___Toc217322871">
            <w:r>
              <w:rPr>
                <w:rStyle w:val="IndexLink"/>
                <w:lang w:val="de-DE" w:eastAsia="en-US"/>
              </w:rPr>
              <w:t>7</w:t>
            </w:r>
          </w:hyperlink>
        </w:p>
        <w:p>
          <w:pPr>
            <w:pStyle w:val="Contents8"/>
            <w:rPr>
              <w:rFonts w:eastAsia="MS Mincho;ＭＳ 明朝"/>
              <w:sz w:val="24"/>
              <w:szCs w:val="24"/>
              <w:lang w:val="en-US" w:eastAsia="en-US"/>
            </w:rPr>
          </w:pPr>
          <w:r>
            <w:rPr>
              <w:b w:val="false"/>
            </w:rPr>
            <w:t>Annex A (informative):</w:t>
            <w:tab/>
            <w:t>Change history</w:t>
            <w:tab/>
          </w:r>
          <w:hyperlink w:anchor="__RefHeading___Toc217322872">
            <w:r>
              <w:rPr>
                <w:rStyle w:val="IndexLink"/>
                <w:b w:val="false"/>
                <w:lang w:val="en-US" w:eastAsia="en-US"/>
              </w:rPr>
              <w:t>8</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322862"/>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322863"/>
      <w:bookmarkEnd w:id="7"/>
      <w:r>
        <w:rPr/>
        <w:t>1</w:t>
        <w:tab/>
        <w:t>Scope</w:t>
      </w:r>
    </w:p>
    <w:p>
      <w:pPr>
        <w:pStyle w:val="Normal"/>
        <w:rPr/>
      </w:pPr>
      <w:r>
        <w:rPr/>
        <w:t>The present document defines the principal purpose and use of International Mobile station Equipment Identities (IMEI).</w:t>
      </w:r>
    </w:p>
    <w:p>
      <w:pPr>
        <w:pStyle w:val="Normal"/>
        <w:rPr/>
      </w:pPr>
      <w:r>
        <w:rPr/>
        <w:t>3GPP TS 23.003 describes the technical manner of numbering, addressing and identification.</w:t>
      </w:r>
    </w:p>
    <w:p>
      <w:pPr>
        <w:pStyle w:val="Heading2"/>
        <w:rPr/>
      </w:pPr>
      <w:bookmarkStart w:id="8" w:name="__RefHeading___Toc217322864"/>
      <w:bookmarkEnd w:id="8"/>
      <w:r>
        <w:rPr/>
        <w:t>1.1</w:t>
        <w:tab/>
        <w:t>References</w:t>
      </w:r>
    </w:p>
    <w:p>
      <w:pPr>
        <w:pStyle w:val="Normal"/>
        <w:keepNext w:val="true"/>
        <w:keepLines/>
        <w:rPr/>
      </w:pPr>
      <w:r>
        <w:rPr/>
        <w:t>The following documents contain provisions which, through reference in this text, constitute provisions of the present document.</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ISO/IEC 7812 (1989): "Identification cards - Numbering system and registration procedure for issuer identifiers".</w:t>
      </w:r>
    </w:p>
    <w:p>
      <w:pPr>
        <w:pStyle w:val="Heading2"/>
        <w:rPr/>
      </w:pPr>
      <w:bookmarkStart w:id="9" w:name="__RefHeading___Toc217322865"/>
      <w:bookmarkEnd w:id="9"/>
      <w:r>
        <w:rPr/>
        <w:t>1.2</w:t>
        <w:tab/>
        <w:t>Definitions and abbreviations</w:t>
      </w:r>
    </w:p>
    <w:p>
      <w:pPr>
        <w:pStyle w:val="Normal"/>
        <w:rPr/>
      </w:pPr>
      <w:r>
        <w:rPr/>
        <w:t>In addition to the following, abbreviations used in the present document are listed in 3GPP TS 21.905.</w:t>
      </w:r>
    </w:p>
    <w:p>
      <w:pPr>
        <w:pStyle w:val="Normal"/>
        <w:rPr/>
      </w:pPr>
      <w:r>
        <w:rPr>
          <w:b/>
        </w:rPr>
        <w:t xml:space="preserve">International Mobile Station Equipment Identity (IMEI) : </w:t>
      </w:r>
      <w:r>
        <w:rPr/>
        <w:t>An "International Mobile Station Equipment Identity" is a unique number which shall be allocated to each individual mobile station equipment  in the PLMN and shall be unconditionally implemented by the MS manufacturer.</w:t>
      </w:r>
    </w:p>
    <w:p>
      <w:pPr>
        <w:pStyle w:val="Heading1"/>
        <w:ind w:left="1134" w:hanging="1134"/>
        <w:rPr/>
      </w:pPr>
      <w:bookmarkStart w:id="10" w:name="__RefHeading___Toc217322866"/>
      <w:bookmarkEnd w:id="10"/>
      <w:r>
        <w:rPr/>
        <w:t>2</w:t>
        <w:tab/>
        <w:t>General</w:t>
      </w:r>
    </w:p>
    <w:p>
      <w:pPr>
        <w:pStyle w:val="Normal"/>
        <w:rPr/>
      </w:pPr>
      <w:r>
        <w:rPr/>
        <w:t>An MS can only be operated if a valid "International Mobile Subscriber Identity" (IMSI) is present. An IMSI is primarily intended for obtaining information on the use of the PLMN by subscribers for individual charging purposes.</w:t>
      </w:r>
    </w:p>
    <w:p>
      <w:pPr>
        <w:pStyle w:val="Normal"/>
        <w:rPr/>
      </w:pPr>
      <w:r>
        <w:rPr/>
        <w:t>Besides the IMSI, the implementation of IMEI is found necessary in order to obtain knowledge about the presence of specific mobile station equipment in the network, disregarding whatever subscribers are making use of these equipments.</w:t>
      </w:r>
    </w:p>
    <w:p>
      <w:pPr>
        <w:pStyle w:val="Normal"/>
        <w:rPr/>
      </w:pPr>
      <w:r>
        <w:rPr/>
        <w:t>The main objective is to be able to take measures against the use of stolen equipment or against equipment of which the use in the PLMN can not or no longer be tolerated for technical reasons.</w:t>
      </w:r>
    </w:p>
    <w:p>
      <w:pPr>
        <w:pStyle w:val="Normal"/>
        <w:rPr/>
      </w:pPr>
      <w:r>
        <w:rPr/>
        <w:t>The IMEI is incorporated in an UE module which is contained within the UE. The IMEI shall be unique and shall not be changed after the ME’s final production process. It shall resist tampering, i.e. manipulation and change, by any means (e.g. physical, electrical and software).</w:t>
      </w:r>
    </w:p>
    <w:p>
      <w:pPr>
        <w:pStyle w:val="NO"/>
        <w:rPr/>
      </w:pPr>
      <w:r>
        <w:rPr/>
        <w:t>NOTE:</w:t>
        <w:tab/>
        <w:t>This requirement is valid for new GSM MEs type approved after 1st June 2002. However, this requirement is applicable to all 3GPP system compatible UEs  from start of production.</w:t>
      </w:r>
    </w:p>
    <w:p>
      <w:pPr>
        <w:pStyle w:val="Normal"/>
        <w:rPr/>
      </w:pPr>
      <w:bookmarkStart w:id="11" w:name="__RefHeading___Toc217322867"/>
      <w:r>
        <w:rPr/>
        <w:t>The manufacturer implementing the IMEI module in the ME is responsible for ensuring  that each IMEI within the allocatd range is unique to the ME in which it resides, and is also responsible for keeping detailed records of produced and delivered MEs.</w:t>
      </w:r>
    </w:p>
    <w:p>
      <w:pPr>
        <w:pStyle w:val="Heading1"/>
        <w:ind w:left="1134" w:hanging="1134"/>
        <w:rPr/>
      </w:pPr>
      <w:bookmarkStart w:id="12" w:name="__RefHeading___Toc217322867"/>
      <w:r>
        <w:rPr/>
        <w:t>3</w:t>
        <w:tab/>
        <w:t>Composition of IMEI</w:t>
      </w:r>
      <w:bookmarkEnd w:id="12"/>
    </w:p>
    <w:p>
      <w:pPr>
        <w:pStyle w:val="Normal"/>
        <w:rPr/>
      </w:pPr>
      <w:r>
        <w:rPr/>
        <w:t>The composition of the IMEI shall be such that each individual mobile station equipment can be separately identified.</w:t>
      </w:r>
    </w:p>
    <w:p>
      <w:pPr>
        <w:pStyle w:val="Normal"/>
        <w:rPr/>
      </w:pPr>
      <w:r>
        <w:rPr/>
        <w:t>Information is contained in the IMEI by which the PLMN, after requesting it, can immediately decide whether or not to accept calls made by means of this equipment.</w:t>
      </w:r>
    </w:p>
    <w:p>
      <w:pPr>
        <w:pStyle w:val="Normal"/>
        <w:rPr/>
      </w:pPr>
      <w:r>
        <w:rPr/>
        <w:t>Secondly, the IMEI shall directly or indirectly contain all information which is necessary for the network operator to make relations through its administrative system to trace the equipment to its origin of production. 3GPP TS 23.003 [2] describes the structure of the IMEI in detail.</w:t>
      </w:r>
    </w:p>
    <w:p>
      <w:pPr>
        <w:pStyle w:val="Normal"/>
        <w:rPr/>
      </w:pPr>
      <w:r>
        <w:rPr/>
        <w:t xml:space="preserve">The IMEI is complemented by a check digit. The check digit is not part of the digits transmitted at IMEI check occasions, as described below. The Check Digit shall avoid manual transmission errors, e.g. when customers register stolen MEs at the operators customer care desk. </w:t>
      </w:r>
    </w:p>
    <w:p>
      <w:pPr>
        <w:pStyle w:val="NO"/>
        <w:rPr/>
      </w:pPr>
      <w:r>
        <w:rPr/>
        <w:t>NOTE:</w:t>
        <w:tab/>
        <w:t>The Check Digit is not applied to the Software Version Number.</w:t>
      </w:r>
    </w:p>
    <w:p>
      <w:pPr>
        <w:pStyle w:val="Heading1"/>
        <w:ind w:left="1134" w:hanging="1134"/>
        <w:rPr/>
      </w:pPr>
      <w:bookmarkStart w:id="13" w:name="__RefHeading___Toc217322868"/>
      <w:bookmarkEnd w:id="13"/>
      <w:r>
        <w:rPr/>
        <w:t>4</w:t>
        <w:tab/>
        <w:t>Use of the equipment identity register</w:t>
      </w:r>
    </w:p>
    <w:p>
      <w:pPr>
        <w:pStyle w:val="Normal"/>
        <w:rPr/>
      </w:pPr>
      <w:r>
        <w:rPr/>
        <w:t>A network operator can make administrative use of the IMEI in the following manner:</w:t>
      </w:r>
    </w:p>
    <w:p>
      <w:pPr>
        <w:pStyle w:val="B1"/>
        <w:rPr/>
      </w:pPr>
      <w:r>
        <w:rPr/>
        <w:tab/>
        <w:t>Three registers are defined, known as "white lists", "grey lists" and "black lists". The use of such lists is at the operators' discretion.</w:t>
      </w:r>
    </w:p>
    <w:p>
      <w:pPr>
        <w:pStyle w:val="B1"/>
        <w:rPr/>
      </w:pPr>
      <w:r>
        <w:rPr/>
        <w:tab/>
        <w:t xml:space="preserve">The </w:t>
      </w:r>
      <w:r>
        <w:rPr>
          <w:b/>
        </w:rPr>
        <w:t>white list</w:t>
      </w:r>
      <w:r>
        <w:rPr/>
        <w:t xml:space="preserve"> is composed of all </w:t>
      </w:r>
      <w:r>
        <w:rPr>
          <w:b/>
        </w:rPr>
        <w:t xml:space="preserve">number series </w:t>
      </w:r>
      <w:r>
        <w:rPr/>
        <w:t>of equipment identities that are permitted for use.</w:t>
      </w:r>
    </w:p>
    <w:p>
      <w:pPr>
        <w:pStyle w:val="B1"/>
        <w:rPr/>
      </w:pPr>
      <w:r>
        <w:rPr/>
        <w:tab/>
        <w:t xml:space="preserve">The </w:t>
      </w:r>
      <w:r>
        <w:rPr>
          <w:b/>
        </w:rPr>
        <w:t>black list</w:t>
      </w:r>
      <w:r>
        <w:rPr/>
        <w:t xml:space="preserve"> contains all equipment identities that belong to equipment that need to be barred.</w:t>
      </w:r>
    </w:p>
    <w:p>
      <w:pPr>
        <w:pStyle w:val="B1"/>
        <w:rPr/>
      </w:pPr>
      <w:r>
        <w:rPr/>
        <w:tab/>
        <w:t xml:space="preserve">Besides the black and white list, administrations have the possibility to use a </w:t>
      </w:r>
      <w:r>
        <w:rPr>
          <w:b/>
        </w:rPr>
        <w:t>grey list</w:t>
      </w:r>
      <w:r>
        <w:rPr/>
        <w:t>. Equipments on the grey list are not barred (unless on the black list or not on the white list), but are tracked by the network (for evaluation or other purposes).</w:t>
      </w:r>
    </w:p>
    <w:p>
      <w:pPr>
        <w:pStyle w:val="Heading1"/>
        <w:ind w:left="1134" w:hanging="1134"/>
        <w:rPr/>
      </w:pPr>
      <w:bookmarkStart w:id="14" w:name="__RefHeading___Toc217322869"/>
      <w:bookmarkEnd w:id="14"/>
      <w:r>
        <w:rPr/>
        <w:t>5</w:t>
        <w:tab/>
        <w:t>Procedure</w:t>
      </w:r>
    </w:p>
    <w:p>
      <w:pPr>
        <w:pStyle w:val="Normal"/>
        <w:rPr/>
      </w:pPr>
      <w:r>
        <w:rPr/>
        <w:t>It shall be possible to perform the IMEI check at any access attempt, except IMSI detach, and during an established call at any time when a dedicated radio resource is available, in accordance with the security policy of the PLMN operator. It shall also be possible to perform the IMEI check when a UE is IMS registered.</w:t>
      </w:r>
    </w:p>
    <w:p>
      <w:pPr>
        <w:pStyle w:val="Normal"/>
        <w:rPr/>
      </w:pPr>
      <w:r>
        <w:rPr/>
        <w:t>The network shall terminate any access attempt or ongoing call when receiving any of the answers "black-listed" (i.e., on the black list) or "unknown" equipment (i.e., not on the white list) from the EIR. An indication of "illegal ME" shall in these cases be given to the user. Furthermore this is equivalent to an authentication failure hence any call or IMS session establishment or any location updating is forbidden for the MS, it cannot answer to paging, it is just allowed to perform Emergency Calls. Emergency calls must never be terminated as a result of the IMEI check procedure.</w:t>
      </w:r>
    </w:p>
    <w:p>
      <w:pPr>
        <w:pStyle w:val="Heading1"/>
        <w:ind w:left="1134" w:hanging="1134"/>
        <w:rPr/>
      </w:pPr>
      <w:bookmarkStart w:id="15" w:name="__RefHeading___Toc217322870"/>
      <w:bookmarkEnd w:id="15"/>
      <w:r>
        <w:rPr/>
        <w:t>6</w:t>
        <w:tab/>
        <w:t>Use of IMEI in case of emergency calls</w:t>
      </w:r>
    </w:p>
    <w:p>
      <w:pPr>
        <w:pStyle w:val="Normal"/>
        <w:rPr/>
      </w:pPr>
      <w:r>
        <w:rPr/>
        <w:t>Emergency calls can in some PLMNs be made without having to send the subscriber identity (IMSI) to the network. In this case the misuse of MS equipments after placing invalid emergency calls can be restrained by using the equipment identity.</w:t>
      </w:r>
    </w:p>
    <w:p>
      <w:pPr>
        <w:pStyle w:val="Normal"/>
        <w:rPr/>
      </w:pPr>
      <w:r>
        <w:rPr/>
        <w:t>The network request for the equipment identity is sent to the MS after the emergency call has been set-up. The procedure is the same as for normal call set-up.</w:t>
      </w:r>
    </w:p>
    <w:p>
      <w:pPr>
        <w:pStyle w:val="Heading1"/>
        <w:ind w:left="1134" w:hanging="1134"/>
        <w:rPr/>
      </w:pPr>
      <w:bookmarkStart w:id="16" w:name="__RefHeading___Toc217322871"/>
      <w:bookmarkEnd w:id="16"/>
      <w:r>
        <w:rPr/>
        <w:t>7</w:t>
        <w:tab/>
        <w:t>MS Software Version Number (SVN)</w:t>
      </w:r>
    </w:p>
    <w:p>
      <w:pPr>
        <w:pStyle w:val="Normal"/>
        <w:rPr/>
      </w:pPr>
      <w:r>
        <w:rPr/>
        <w:t>A Software Version Number (SVN) field shall be provided. This allows the ME manufacturer to identify different software versions of a given mobile.</w:t>
      </w:r>
    </w:p>
    <w:p>
      <w:pPr>
        <w:pStyle w:val="Normal"/>
        <w:rPr/>
      </w:pPr>
      <w:r>
        <w:rPr/>
        <w:t xml:space="preserve">The SVN is a separate field from the IMEI, although it is associated with the IMEI. When the network requests the IMEI from the MS, it may also request that the SVN is also sent towards the network. </w:t>
      </w:r>
    </w:p>
    <w:p>
      <w:pPr>
        <w:pStyle w:val="Normal"/>
        <w:rPr/>
      </w:pPr>
      <w:r>
        <w:rPr/>
        <w:t>The white list shall use the IMEI, The Black and Grey Lists may also use the SVN.</w:t>
      </w:r>
      <w:r>
        <w:br w:type="page"/>
      </w:r>
    </w:p>
    <w:p>
      <w:pPr>
        <w:pStyle w:val="Heading8"/>
        <w:ind w:left="0" w:hanging="0"/>
        <w:rPr/>
      </w:pPr>
      <w:bookmarkStart w:id="17" w:name="__RefHeading___Toc217322872"/>
      <w:bookmarkEnd w:id="17"/>
      <w:r>
        <w:rPr/>
        <w:t>Annex A (informative):</w:t>
        <w:br/>
        <w:t>Change history</w:t>
      </w:r>
    </w:p>
    <w:tbl>
      <w:tblPr>
        <w:tblW w:w="9663" w:type="dxa"/>
        <w:jc w:val="left"/>
        <w:tblInd w:w="-7" w:type="dxa"/>
        <w:tblLayout w:type="fixed"/>
        <w:tblCellMar>
          <w:top w:w="0" w:type="dxa"/>
          <w:left w:w="40" w:type="dxa"/>
          <w:bottom w:w="0" w:type="dxa"/>
          <w:right w:w="40" w:type="dxa"/>
        </w:tblCellMar>
      </w:tblPr>
      <w:tblGrid>
        <w:gridCol w:w="799"/>
        <w:gridCol w:w="901"/>
        <w:gridCol w:w="992"/>
        <w:gridCol w:w="708"/>
        <w:gridCol w:w="569"/>
        <w:gridCol w:w="283"/>
        <w:gridCol w:w="595"/>
        <w:gridCol w:w="393"/>
        <w:gridCol w:w="2409"/>
        <w:gridCol w:w="568"/>
        <w:gridCol w:w="572"/>
        <w:gridCol w:w="854"/>
        <w:gridCol w:w="20"/>
      </w:tblGrid>
      <w:tr>
        <w:trPr>
          <w:trHeight w:val="272" w:hRule="atLeast"/>
          <w:cantSplit w:val="true"/>
        </w:trPr>
        <w:tc>
          <w:tcPr>
            <w:tcW w:w="9663"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US"/>
              </w:rPr>
            </w:pPr>
            <w:r>
              <w:rPr>
                <w:b/>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7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Jun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GSM 02.16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US"/>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7.0.0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SA#04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3.0.0</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S1-99611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001</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3.0.1</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Editorial changes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SP-99601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P-99-777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002</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lang w:val="en-US"/>
              </w:rPr>
              <w:t>Modification of section 2 to enhance IMEI security</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3.0.1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3.1.0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SP-000195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S1-000441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003</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IMEI coding</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3.2.0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SP-000194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S1-000266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004</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Modification of section 2 to delete unnecessary information about phases and releases removed</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color w:val="000000"/>
                <w:sz w:val="16"/>
                <w:lang w:val="en-US"/>
              </w:rPr>
              <w:t>3.2.0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US"/>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3.2.0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006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CORRECT</w:t>
            </w:r>
          </w:p>
        </w:tc>
      </w:tr>
      <w:tr>
        <w:trPr>
          <w:trHeight w:val="270" w:hRule="exac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SP-020237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S1-021149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008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Type approval code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TEI</w:t>
            </w:r>
          </w:p>
        </w:tc>
      </w:tr>
      <w:tr>
        <w:trPr>
          <w:trHeight w:val="270" w:hRule="exac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4.1.0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5.0.0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SP-040744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5.0.0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6.0.0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r>
      <w:tr>
        <w:trPr>
          <w:trHeight w:val="270" w:hRule="exac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IMEI Check and IMS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correction to version identity on front cover</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7.0.1</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eastAsia="MS Mincho;ＭＳ 明朝"/>
                <w:sz w:val="24"/>
                <w:szCs w:val="24"/>
                <w:lang w:eastAsia="ja-JP"/>
              </w:rPr>
            </w:pPr>
            <w:r>
              <w:rPr>
                <w:rFonts w:eastAsia="MS Mincho;ＭＳ 明朝" w:cs="Arial" w:ascii="Arial" w:hAnsi="Arial"/>
                <w:color w:val="000000"/>
                <w:sz w:val="16"/>
                <w:szCs w:val="16"/>
                <w:lang w:eastAsia="ja-JP"/>
              </w:rPr>
              <w:t>SP-080891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S1-083445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0010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Correction of SVN sending when network requests IMEI</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7.0.1</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7.1.0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eastAsia="MS Mincho;ＭＳ 明朝"/>
                <w:sz w:val="24"/>
                <w:szCs w:val="24"/>
                <w:lang w:eastAsia="ja-JP"/>
              </w:rPr>
            </w:pPr>
            <w:r>
              <w:rPr>
                <w:rFonts w:eastAsia="MS Mincho;ＭＳ 明朝" w:cs="Arial" w:ascii="Arial" w:hAnsi="Arial"/>
                <w:color w:val="000000"/>
                <w:sz w:val="16"/>
                <w:szCs w:val="16"/>
                <w:lang w:eastAsia="ja-JP"/>
              </w:rPr>
              <w:t>TEI7</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 version created</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S1-093278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Clarify that each IMEI shall be unique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2010-04: correct history table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9.0.1</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9.0.1</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Rel-11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cantSplit w:val="true"/>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bl>
    <w:p>
      <w:pPr>
        <w:pStyle w:val="Normal"/>
        <w:rPr/>
      </w:pPr>
      <w:r>
        <w:rPr/>
      </w:r>
    </w:p>
    <w:p>
      <w:pPr>
        <w:pStyle w:val="Normal"/>
        <w:rPr/>
      </w:pPr>
      <w:r>
        <w:rPr/>
      </w:r>
    </w:p>
    <w:p>
      <w:pPr>
        <w:pStyle w:val="Normal"/>
        <w:widowControl/>
        <w:bidi w:val="0"/>
        <w:spacing w:before="0" w:after="180"/>
        <w:rPr/>
      </w:pPr>
      <w:r>
        <w:rPr/>
        <w:t xml:space="preserve"> </w:t>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22.016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22.016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BodyText2">
    <w:name w:val="Body Text 2"/>
    <w:basedOn w:val="Normal"/>
    <w:qFormat/>
    <w:pPr>
      <w:spacing w:before="0" w:after="240"/>
    </w:pPr>
    <w:rPr>
      <w:rFonts w:ascii="Arial" w:hAnsi="Arial" w:cs="Arial"/>
    </w:rPr>
  </w:style>
  <w:style w:type="paragraph" w:styleId="Normalunspaced">
    <w:name w:val="Normal unspaced"/>
    <w:basedOn w:val="Normal"/>
    <w:qFormat/>
    <w:pPr>
      <w:jc w:val="both"/>
    </w:pPr>
    <w:rPr>
      <w:rFonts w:ascii="Arial" w:hAnsi="Arial" w:cs="Arial"/>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2012-09-21T10:58:00Z</dcterms:created>
  <dc:creator>MCC Support</dc:creator>
  <dc:description/>
  <cp:keywords>GSM UMTS LTE addressing</cp:keywords>
  <dc:language>en-US</dc:language>
  <cp:lastModifiedBy>Alain Sultan</cp:lastModifiedBy>
  <cp:lastPrinted>1999-05-04T13:42:00Z</cp:lastPrinted>
  <dcterms:modified xsi:type="dcterms:W3CDTF">2020-07-16T09:00:00Z</dcterms:modified>
  <cp:revision>14</cp:revision>
  <dc:subject>International Mobile station Equipment Identities (IMEI) (Release 13)</dc:subject>
  <dc:title>3GPP TS 22.016</dc:title>
</cp:coreProperties>
</file>