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0" w:right="850" w:gutter="0" w:header="0" w:top="2268" w:footer="0" w:bottom="10772"/>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22.085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22.085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80810" cy="1192530"/>
                <wp:effectExtent l="0" t="0" r="0" b="0"/>
                <wp:wrapTopAndBottom/>
                <wp:docPr id="3" name="Frame3"/>
                <a:graphic xmlns:a="http://schemas.openxmlformats.org/drawingml/2006/main">
                  <a:graphicData uri="http://schemas.microsoft.com/office/word/2010/wordprocessingShape">
                    <wps:wsp>
                      <wps:cNvSpPr txBox="1"/>
                      <wps:spPr>
                        <a:xfrm>
                          <a:off x="0" y="0"/>
                          <a:ext cx="6480810" cy="119253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Closed User Group (CUG) supplementary services; Stage 1</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3pt;height:93.9pt;mso-wrap-distance-left:0pt;mso-wrap-distance-right:0pt;mso-wrap-distance-top:0pt;mso-wrap-distance-bottom:0pt;margin-top:4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Closed User Group (CUG) supplementary services; Stage 1</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6815"/>
                <wp:effectExtent l="0" t="0" r="0" b="0"/>
                <wp:wrapTopAndBottom/>
                <wp:docPr id="4" name="Frame4"/>
                <a:graphic xmlns:a="http://schemas.openxmlformats.org/drawingml/2006/main">
                  <a:graphicData uri="http://schemas.microsoft.com/office/word/2010/wordprocessingShape">
                    <wps:wsp>
                      <wps:cNvSpPr txBox="1"/>
                      <wps:spPr>
                        <a:xfrm>
                          <a:off x="0" y="0"/>
                          <a:ext cx="6480810" cy="1186815"/>
                        </a:xfrm>
                        <a:prstGeom prst="rect"/>
                        <a:solidFill>
                          <a:srgbClr val="FFFFFF">
                            <a:alpha val="0"/>
                          </a:srgbClr>
                        </a:solidFill>
                      </wps:spPr>
                      <wps:txbx>
                        <w:txbxContent>
                          <w:p>
                            <w:pPr>
                              <w:pStyle w:val="ZU"/>
                              <w:tabs>
                                <w:tab w:val="clear" w:pos="567"/>
                                <w:tab w:val="right" w:pos="10206" w:leader="none"/>
                              </w:tabs>
                              <w:jc w:val="left"/>
                              <w:rPr/>
                            </w:pPr>
                            <w:r>
                              <w:rPr>
                                <w:i/>
                              </w:rPr>
                              <w:drawing>
                                <wp:inline distT="0" distB="0" distL="0" distR="0">
                                  <wp:extent cx="1624965" cy="11233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624965" cy="1123315"/>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jc w:val="left"/>
                        <w:rPr/>
                      </w:pPr>
                      <w:r>
                        <w:rPr>
                          <w:i/>
                        </w:rPr>
                        <w:drawing>
                          <wp:inline distT="0" distB="0" distL="0" distR="0">
                            <wp:extent cx="1624965"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624965" cy="1123315"/>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CUG, supplementary service, stage 1</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CUG,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fr-FR"/>
                              </w:rPr>
                            </w:pPr>
                            <w:r>
                              <w:rPr>
                                <w:rFonts w:cs="Arial" w:ascii="Arial" w:hAnsi="Arial"/>
                                <w:b/>
                                <w:i/>
                                <w:lang w:val="fr-FR"/>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fr-FR"/>
                        </w:rPr>
                      </w:pPr>
                      <w:r>
                        <w:rPr>
                          <w:rFonts w:cs="Arial" w:ascii="Arial" w:hAnsi="Arial"/>
                          <w:b/>
                          <w:i/>
                          <w:lang w:val="fr-FR"/>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38325"/>
                <wp:effectExtent l="0" t="0" r="0" b="0"/>
                <wp:wrapTopAndBottom/>
                <wp:docPr id="13" name="Frame9"/>
                <a:graphic xmlns:a="http://schemas.openxmlformats.org/drawingml/2006/main">
                  <a:graphicData uri="http://schemas.microsoft.com/office/word/2010/wordprocessingShape">
                    <wps:wsp>
                      <wps:cNvSpPr txBox="1"/>
                      <wps:spPr>
                        <a:xfrm>
                          <a:off x="0" y="0"/>
                          <a:ext cx="6120130"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1.9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spacing w:before="120" w:after="0"/>
            <w:ind w:left="567" w:right="425" w:hanging="567"/>
            <w:rPr>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296331915">
            <w:r>
              <w:rPr>
                <w:rStyle w:val="IndexLink"/>
                <w:sz w:val="22"/>
                <w:lang w:val="en-US" w:eastAsia="en-US"/>
              </w:rPr>
              <w:t>4</w:t>
            </w:r>
          </w:hyperlink>
        </w:p>
        <w:p>
          <w:pPr>
            <w:pStyle w:val="Contents1"/>
            <w:rPr>
              <w:sz w:val="24"/>
              <w:szCs w:val="24"/>
              <w:lang w:val="en-US" w:eastAsia="en-US"/>
            </w:rPr>
          </w:pPr>
          <w:r>
            <w:rPr/>
            <w:t>0</w:t>
          </w:r>
          <w:r>
            <w:rPr>
              <w:sz w:val="24"/>
              <w:szCs w:val="24"/>
              <w:lang w:val="en-US" w:eastAsia="en-US"/>
            </w:rPr>
            <w:tab/>
          </w:r>
          <w:r>
            <w:rPr/>
            <w:t>Scope</w:t>
            <w:tab/>
          </w:r>
          <w:hyperlink w:anchor="__RefHeading___Toc296331916">
            <w:r>
              <w:rPr>
                <w:rStyle w:val="IndexLink"/>
              </w:rPr>
              <w:t>5</w:t>
            </w:r>
          </w:hyperlink>
        </w:p>
        <w:p>
          <w:pPr>
            <w:pStyle w:val="Contents2"/>
            <w:rPr>
              <w:sz w:val="24"/>
              <w:szCs w:val="24"/>
              <w:lang w:val="en-US" w:eastAsia="en-US"/>
            </w:rPr>
          </w:pPr>
          <w:r>
            <w:rPr/>
            <w:t>0.1</w:t>
          </w:r>
          <w:r>
            <w:rPr>
              <w:sz w:val="24"/>
              <w:szCs w:val="24"/>
              <w:lang w:val="en-US" w:eastAsia="en-US"/>
            </w:rPr>
            <w:tab/>
          </w:r>
          <w:r>
            <w:rPr/>
            <w:t>References</w:t>
            <w:tab/>
          </w:r>
          <w:hyperlink w:anchor="__RefHeading___Toc296331917">
            <w:r>
              <w:rPr>
                <w:rStyle w:val="IndexLink"/>
              </w:rPr>
              <w:t>5</w:t>
            </w:r>
          </w:hyperlink>
        </w:p>
        <w:p>
          <w:pPr>
            <w:pStyle w:val="Contents2"/>
            <w:rPr>
              <w:sz w:val="24"/>
              <w:szCs w:val="24"/>
              <w:lang w:val="en-US" w:eastAsia="en-US"/>
            </w:rPr>
          </w:pPr>
          <w:r>
            <w:rPr/>
            <w:t>0.2</w:t>
          </w:r>
          <w:r>
            <w:rPr>
              <w:sz w:val="24"/>
              <w:szCs w:val="24"/>
              <w:lang w:val="en-US" w:eastAsia="en-US"/>
            </w:rPr>
            <w:tab/>
          </w:r>
          <w:r>
            <w:rPr/>
            <w:t>Abbreviations</w:t>
            <w:tab/>
          </w:r>
          <w:hyperlink w:anchor="__RefHeading___Toc296331918">
            <w:r>
              <w:rPr>
                <w:rStyle w:val="IndexLink"/>
              </w:rPr>
              <w:t>5</w:t>
            </w:r>
          </w:hyperlink>
        </w:p>
        <w:p>
          <w:pPr>
            <w:pStyle w:val="Contents1"/>
            <w:rPr>
              <w:sz w:val="24"/>
              <w:szCs w:val="24"/>
              <w:lang w:val="en-US" w:eastAsia="en-US"/>
            </w:rPr>
          </w:pPr>
          <w:r>
            <w:rPr/>
            <w:t>1</w:t>
          </w:r>
          <w:r>
            <w:rPr>
              <w:sz w:val="24"/>
              <w:szCs w:val="24"/>
              <w:lang w:val="en-US" w:eastAsia="en-US"/>
            </w:rPr>
            <w:tab/>
          </w:r>
          <w:r>
            <w:rPr/>
            <w:t>Closed User Group (CUG)</w:t>
            <w:tab/>
          </w:r>
          <w:hyperlink w:anchor="__RefHeading___Toc296331919">
            <w:r>
              <w:rPr>
                <w:rStyle w:val="IndexLink"/>
              </w:rPr>
              <w:t>5</w:t>
            </w:r>
          </w:hyperlink>
        </w:p>
        <w:p>
          <w:pPr>
            <w:pStyle w:val="Contents2"/>
            <w:rPr>
              <w:sz w:val="24"/>
              <w:szCs w:val="24"/>
              <w:lang w:val="en-US" w:eastAsia="en-US"/>
            </w:rPr>
          </w:pPr>
          <w:r>
            <w:rPr/>
            <w:t>1.1</w:t>
          </w:r>
          <w:r>
            <w:rPr>
              <w:sz w:val="24"/>
              <w:szCs w:val="24"/>
              <w:lang w:val="en-US" w:eastAsia="en-US"/>
            </w:rPr>
            <w:tab/>
          </w:r>
          <w:r>
            <w:rPr/>
            <w:t>Definition</w:t>
            <w:tab/>
          </w:r>
          <w:hyperlink w:anchor="__RefHeading___Toc296331920">
            <w:r>
              <w:rPr>
                <w:rStyle w:val="IndexLink"/>
              </w:rPr>
              <w:t>5</w:t>
            </w:r>
          </w:hyperlink>
        </w:p>
        <w:p>
          <w:pPr>
            <w:pStyle w:val="Contents2"/>
            <w:rPr>
              <w:sz w:val="24"/>
              <w:szCs w:val="24"/>
              <w:lang w:val="en-US" w:eastAsia="en-US"/>
            </w:rPr>
          </w:pPr>
          <w:r>
            <w:rPr/>
            <w:t>1.2</w:t>
          </w:r>
          <w:r>
            <w:rPr>
              <w:sz w:val="24"/>
              <w:szCs w:val="24"/>
              <w:lang w:val="en-US" w:eastAsia="en-US"/>
            </w:rPr>
            <w:tab/>
          </w:r>
          <w:r>
            <w:rPr/>
            <w:t>Description</w:t>
            <w:tab/>
          </w:r>
          <w:hyperlink w:anchor="__RefHeading___Toc296331921">
            <w:r>
              <w:rPr>
                <w:rStyle w:val="IndexLink"/>
              </w:rPr>
              <w:t>6</w:t>
            </w:r>
          </w:hyperlink>
        </w:p>
        <w:p>
          <w:pPr>
            <w:pStyle w:val="Contents3"/>
            <w:rPr>
              <w:sz w:val="24"/>
              <w:szCs w:val="24"/>
              <w:lang w:val="en-US" w:eastAsia="en-US"/>
            </w:rPr>
          </w:pPr>
          <w:r>
            <w:rPr/>
            <w:t>1.2.1</w:t>
          </w:r>
          <w:r>
            <w:rPr>
              <w:sz w:val="24"/>
              <w:szCs w:val="24"/>
              <w:lang w:val="en-US" w:eastAsia="en-US"/>
            </w:rPr>
            <w:tab/>
          </w:r>
          <w:r>
            <w:rPr/>
            <w:t>Service description</w:t>
            <w:tab/>
          </w:r>
          <w:hyperlink w:anchor="__RefHeading___Toc296331922">
            <w:r>
              <w:rPr>
                <w:rStyle w:val="IndexLink"/>
              </w:rPr>
              <w:t>6</w:t>
            </w:r>
          </w:hyperlink>
        </w:p>
        <w:p>
          <w:pPr>
            <w:pStyle w:val="Contents3"/>
            <w:rPr>
              <w:sz w:val="24"/>
              <w:szCs w:val="24"/>
              <w:lang w:val="en-US" w:eastAsia="en-US"/>
            </w:rPr>
          </w:pPr>
          <w:r>
            <w:rPr/>
            <w:t>1.2.2</w:t>
          </w:r>
          <w:r>
            <w:rPr>
              <w:sz w:val="24"/>
              <w:szCs w:val="24"/>
              <w:lang w:val="en-US" w:eastAsia="en-US"/>
            </w:rPr>
            <w:tab/>
          </w:r>
          <w:r>
            <w:rPr/>
            <w:t>Applicability to telecommunication services</w:t>
            <w:tab/>
          </w:r>
          <w:hyperlink w:anchor="__RefHeading___Toc296331923">
            <w:r>
              <w:rPr>
                <w:rStyle w:val="IndexLink"/>
              </w:rPr>
              <w:t>6</w:t>
            </w:r>
          </w:hyperlink>
        </w:p>
        <w:p>
          <w:pPr>
            <w:pStyle w:val="Contents3"/>
            <w:rPr>
              <w:sz w:val="24"/>
              <w:szCs w:val="24"/>
              <w:lang w:val="en-US" w:eastAsia="en-US"/>
            </w:rPr>
          </w:pPr>
          <w:r>
            <w:rPr/>
            <w:t>1.2.3</w:t>
          </w:r>
          <w:r>
            <w:rPr>
              <w:sz w:val="24"/>
              <w:szCs w:val="24"/>
              <w:lang w:val="en-US" w:eastAsia="en-US"/>
            </w:rPr>
            <w:tab/>
          </w:r>
          <w:r>
            <w:rPr/>
            <w:t>Definitions</w:t>
            <w:tab/>
          </w:r>
          <w:hyperlink w:anchor="__RefHeading___Toc296331924">
            <w:r>
              <w:rPr>
                <w:rStyle w:val="IndexLink"/>
              </w:rPr>
              <w:t>6</w:t>
            </w:r>
          </w:hyperlink>
        </w:p>
        <w:p>
          <w:pPr>
            <w:pStyle w:val="Contents2"/>
            <w:rPr>
              <w:sz w:val="24"/>
              <w:szCs w:val="24"/>
              <w:lang w:val="en-US" w:eastAsia="en-US"/>
            </w:rPr>
          </w:pPr>
          <w:r>
            <w:rPr/>
            <w:t>1.3</w:t>
          </w:r>
          <w:r>
            <w:rPr>
              <w:sz w:val="24"/>
              <w:szCs w:val="24"/>
              <w:lang w:val="en-US" w:eastAsia="en-US"/>
            </w:rPr>
            <w:tab/>
          </w:r>
          <w:r>
            <w:rPr/>
            <w:t>Normal procedures with successful outcome</w:t>
            <w:tab/>
          </w:r>
          <w:hyperlink w:anchor="__RefHeading___Toc296331925">
            <w:r>
              <w:rPr>
                <w:rStyle w:val="IndexLink"/>
              </w:rPr>
              <w:t>6</w:t>
            </w:r>
          </w:hyperlink>
        </w:p>
        <w:p>
          <w:pPr>
            <w:pStyle w:val="Contents3"/>
            <w:rPr>
              <w:sz w:val="24"/>
              <w:szCs w:val="24"/>
              <w:lang w:val="en-US" w:eastAsia="en-US"/>
            </w:rPr>
          </w:pPr>
          <w:r>
            <w:rPr/>
            <w:t>1.3.1</w:t>
          </w:r>
          <w:r>
            <w:rPr>
              <w:sz w:val="24"/>
              <w:szCs w:val="24"/>
              <w:lang w:val="en-US" w:eastAsia="en-US"/>
            </w:rPr>
            <w:tab/>
          </w:r>
          <w:r>
            <w:rPr/>
            <w:t>Provision</w:t>
            <w:tab/>
          </w:r>
          <w:hyperlink w:anchor="__RefHeading___Toc296331926">
            <w:r>
              <w:rPr>
                <w:rStyle w:val="IndexLink"/>
              </w:rPr>
              <w:t>6</w:t>
            </w:r>
          </w:hyperlink>
        </w:p>
        <w:p>
          <w:pPr>
            <w:pStyle w:val="Contents3"/>
            <w:rPr>
              <w:sz w:val="24"/>
              <w:szCs w:val="24"/>
              <w:lang w:val="en-US" w:eastAsia="en-US"/>
            </w:rPr>
          </w:pPr>
          <w:r>
            <w:rPr/>
            <w:t>1.3.2</w:t>
          </w:r>
          <w:r>
            <w:rPr>
              <w:sz w:val="24"/>
              <w:szCs w:val="24"/>
              <w:lang w:val="en-US" w:eastAsia="en-US"/>
            </w:rPr>
            <w:tab/>
          </w:r>
          <w:r>
            <w:rPr/>
            <w:t>Withdrawal</w:t>
            <w:tab/>
          </w:r>
          <w:hyperlink w:anchor="__RefHeading___Toc296331927">
            <w:r>
              <w:rPr>
                <w:rStyle w:val="IndexLink"/>
              </w:rPr>
              <w:t>7</w:t>
            </w:r>
          </w:hyperlink>
        </w:p>
        <w:p>
          <w:pPr>
            <w:pStyle w:val="Contents3"/>
            <w:rPr>
              <w:sz w:val="24"/>
              <w:szCs w:val="24"/>
              <w:lang w:val="en-US" w:eastAsia="en-US"/>
            </w:rPr>
          </w:pPr>
          <w:r>
            <w:rPr/>
            <w:t>1.3.5</w:t>
          </w:r>
          <w:r>
            <w:rPr>
              <w:sz w:val="24"/>
              <w:szCs w:val="24"/>
              <w:lang w:val="en-US" w:eastAsia="en-US"/>
            </w:rPr>
            <w:tab/>
          </w:r>
          <w:r>
            <w:rPr/>
            <w:t>Activation</w:t>
            <w:tab/>
          </w:r>
          <w:hyperlink w:anchor="__RefHeading___Toc296331928">
            <w:r>
              <w:rPr>
                <w:rStyle w:val="IndexLink"/>
              </w:rPr>
              <w:t>7</w:t>
            </w:r>
          </w:hyperlink>
        </w:p>
        <w:p>
          <w:pPr>
            <w:pStyle w:val="Contents3"/>
            <w:rPr>
              <w:sz w:val="24"/>
              <w:szCs w:val="24"/>
              <w:lang w:val="en-US" w:eastAsia="en-US"/>
            </w:rPr>
          </w:pPr>
          <w:r>
            <w:rPr/>
            <w:t>1.3.6</w:t>
          </w:r>
          <w:r>
            <w:rPr>
              <w:sz w:val="24"/>
              <w:szCs w:val="24"/>
              <w:lang w:val="en-US" w:eastAsia="en-US"/>
            </w:rPr>
            <w:tab/>
          </w:r>
          <w:r>
            <w:rPr/>
            <w:t>Deactivation</w:t>
            <w:tab/>
          </w:r>
          <w:hyperlink w:anchor="__RefHeading___Toc296331929">
            <w:r>
              <w:rPr>
                <w:rStyle w:val="IndexLink"/>
              </w:rPr>
              <w:t>7</w:t>
            </w:r>
          </w:hyperlink>
        </w:p>
        <w:p>
          <w:pPr>
            <w:pStyle w:val="Contents3"/>
            <w:rPr>
              <w:sz w:val="24"/>
              <w:szCs w:val="24"/>
              <w:lang w:val="en-US" w:eastAsia="en-US"/>
            </w:rPr>
          </w:pPr>
          <w:r>
            <w:rPr/>
            <w:t>1.3.7</w:t>
          </w:r>
          <w:r>
            <w:rPr>
              <w:sz w:val="24"/>
              <w:szCs w:val="24"/>
              <w:lang w:val="en-US" w:eastAsia="en-US"/>
            </w:rPr>
            <w:tab/>
          </w:r>
          <w:r>
            <w:rPr/>
            <w:t>Invocation</w:t>
            <w:tab/>
          </w:r>
          <w:hyperlink w:anchor="__RefHeading___Toc296331930">
            <w:r>
              <w:rPr>
                <w:rStyle w:val="IndexLink"/>
              </w:rPr>
              <w:t>7</w:t>
            </w:r>
          </w:hyperlink>
        </w:p>
        <w:p>
          <w:pPr>
            <w:pStyle w:val="Contents3"/>
            <w:rPr>
              <w:sz w:val="24"/>
              <w:szCs w:val="24"/>
              <w:lang w:val="en-US" w:eastAsia="en-US"/>
            </w:rPr>
          </w:pPr>
          <w:r>
            <w:rPr/>
            <w:t>1.3.8</w:t>
          </w:r>
          <w:r>
            <w:rPr>
              <w:sz w:val="24"/>
              <w:szCs w:val="24"/>
              <w:lang w:val="en-US" w:eastAsia="en-US"/>
            </w:rPr>
            <w:tab/>
          </w:r>
          <w:r>
            <w:rPr/>
            <w:t>Normal operation with successful outcome</w:t>
            <w:tab/>
          </w:r>
          <w:hyperlink w:anchor="__RefHeading___Toc296331931">
            <w:r>
              <w:rPr>
                <w:rStyle w:val="IndexLink"/>
              </w:rPr>
              <w:t>7</w:t>
            </w:r>
          </w:hyperlink>
        </w:p>
        <w:p>
          <w:pPr>
            <w:pStyle w:val="Contents4"/>
            <w:rPr>
              <w:sz w:val="24"/>
              <w:szCs w:val="24"/>
              <w:lang w:val="en-US" w:eastAsia="en-US"/>
            </w:rPr>
          </w:pPr>
          <w:r>
            <w:rPr/>
            <w:t>1.3.8.1</w:t>
          </w:r>
          <w:r>
            <w:rPr>
              <w:sz w:val="24"/>
              <w:szCs w:val="24"/>
              <w:lang w:val="en-US" w:eastAsia="en-US"/>
            </w:rPr>
            <w:tab/>
          </w:r>
          <w:r>
            <w:rPr/>
            <w:t>Mobile originating calls</w:t>
            <w:tab/>
          </w:r>
          <w:hyperlink w:anchor="__RefHeading___Toc296331932">
            <w:r>
              <w:rPr>
                <w:rStyle w:val="IndexLink"/>
              </w:rPr>
              <w:t>8</w:t>
            </w:r>
          </w:hyperlink>
        </w:p>
        <w:p>
          <w:pPr>
            <w:pStyle w:val="Contents5"/>
            <w:rPr>
              <w:sz w:val="24"/>
              <w:szCs w:val="24"/>
              <w:lang w:val="en-US" w:eastAsia="en-US"/>
            </w:rPr>
          </w:pPr>
          <w:r>
            <w:rPr/>
            <w:t>1.3.8.1.1</w:t>
          </w:r>
          <w:r>
            <w:rPr>
              <w:sz w:val="24"/>
              <w:szCs w:val="24"/>
              <w:lang w:val="en-US" w:eastAsia="en-US"/>
            </w:rPr>
            <w:tab/>
          </w:r>
          <w:r>
            <w:rPr/>
            <w:t>A user with no preferential CUG and no OA capability</w:t>
            <w:tab/>
          </w:r>
          <w:hyperlink w:anchor="__RefHeading___Toc296331933">
            <w:r>
              <w:rPr>
                <w:rStyle w:val="IndexLink"/>
              </w:rPr>
              <w:t>8</w:t>
            </w:r>
          </w:hyperlink>
        </w:p>
        <w:p>
          <w:pPr>
            <w:pStyle w:val="Contents5"/>
            <w:rPr>
              <w:sz w:val="24"/>
              <w:szCs w:val="24"/>
              <w:lang w:val="en-US" w:eastAsia="en-US"/>
            </w:rPr>
          </w:pPr>
          <w:r>
            <w:rPr/>
            <w:t>1.3.8.1.2</w:t>
          </w:r>
          <w:r>
            <w:rPr>
              <w:sz w:val="24"/>
              <w:szCs w:val="24"/>
              <w:lang w:val="en-US" w:eastAsia="en-US"/>
            </w:rPr>
            <w:tab/>
          </w:r>
          <w:r>
            <w:rPr/>
            <w:t>A user with a preferential CUG but no OA capability</w:t>
            <w:tab/>
          </w:r>
          <w:hyperlink w:anchor="__RefHeading___Toc296331934">
            <w:r>
              <w:rPr>
                <w:rStyle w:val="IndexLink"/>
              </w:rPr>
              <w:t>8</w:t>
            </w:r>
          </w:hyperlink>
        </w:p>
        <w:p>
          <w:pPr>
            <w:pStyle w:val="Contents5"/>
            <w:rPr>
              <w:sz w:val="24"/>
              <w:szCs w:val="24"/>
              <w:lang w:val="en-US" w:eastAsia="en-US"/>
            </w:rPr>
          </w:pPr>
          <w:r>
            <w:rPr/>
            <w:t>1.3.8.1.3</w:t>
          </w:r>
          <w:r>
            <w:rPr>
              <w:sz w:val="24"/>
              <w:szCs w:val="24"/>
              <w:lang w:val="en-US" w:eastAsia="en-US"/>
            </w:rPr>
            <w:tab/>
          </w:r>
          <w:r>
            <w:rPr/>
            <w:t>A user with the OA capability but no preferential CUG</w:t>
            <w:tab/>
          </w:r>
          <w:hyperlink w:anchor="__RefHeading___Toc296331935">
            <w:r>
              <w:rPr>
                <w:rStyle w:val="IndexLink"/>
              </w:rPr>
              <w:t>8</w:t>
            </w:r>
          </w:hyperlink>
        </w:p>
        <w:p>
          <w:pPr>
            <w:pStyle w:val="Contents5"/>
            <w:rPr>
              <w:sz w:val="24"/>
              <w:szCs w:val="24"/>
              <w:lang w:val="en-US" w:eastAsia="en-US"/>
            </w:rPr>
          </w:pPr>
          <w:r>
            <w:rPr/>
            <w:t>1.3.8.1.4</w:t>
          </w:r>
          <w:r>
            <w:rPr>
              <w:sz w:val="24"/>
              <w:szCs w:val="24"/>
              <w:lang w:val="en-US" w:eastAsia="en-US"/>
            </w:rPr>
            <w:tab/>
          </w:r>
          <w:r>
            <w:rPr/>
            <w:t>A user with a preferential CUG and the OA capability</w:t>
            <w:tab/>
          </w:r>
          <w:hyperlink w:anchor="__RefHeading___Toc296331936">
            <w:r>
              <w:rPr>
                <w:rStyle w:val="IndexLink"/>
              </w:rPr>
              <w:t>8</w:t>
            </w:r>
          </w:hyperlink>
        </w:p>
        <w:p>
          <w:pPr>
            <w:pStyle w:val="Contents5"/>
            <w:rPr>
              <w:sz w:val="24"/>
              <w:szCs w:val="24"/>
              <w:lang w:val="en-US" w:eastAsia="en-US"/>
            </w:rPr>
          </w:pPr>
          <w:r>
            <w:rPr/>
            <w:t>1.3.8.1.5</w:t>
          </w:r>
          <w:r>
            <w:rPr>
              <w:sz w:val="24"/>
              <w:szCs w:val="24"/>
              <w:lang w:val="en-US" w:eastAsia="en-US"/>
            </w:rPr>
            <w:tab/>
          </w:r>
          <w:r>
            <w:rPr/>
            <w:t>A user not subscribing to the CUG Supplementary Service</w:t>
            <w:tab/>
          </w:r>
          <w:hyperlink w:anchor="__RefHeading___Toc296331937">
            <w:r>
              <w:rPr>
                <w:rStyle w:val="IndexLink"/>
              </w:rPr>
              <w:t>9</w:t>
            </w:r>
          </w:hyperlink>
        </w:p>
        <w:p>
          <w:pPr>
            <w:pStyle w:val="Contents4"/>
            <w:rPr>
              <w:sz w:val="24"/>
              <w:szCs w:val="24"/>
              <w:lang w:val="en-US" w:eastAsia="en-US"/>
            </w:rPr>
          </w:pPr>
          <w:r>
            <w:rPr/>
            <w:t>1.3.8.2</w:t>
          </w:r>
          <w:r>
            <w:rPr>
              <w:sz w:val="24"/>
              <w:szCs w:val="24"/>
              <w:lang w:val="en-US" w:eastAsia="en-US"/>
            </w:rPr>
            <w:tab/>
          </w:r>
          <w:r>
            <w:rPr/>
            <w:t>Mobile terminating calls</w:t>
            <w:tab/>
          </w:r>
          <w:hyperlink w:anchor="__RefHeading___Toc296331938">
            <w:r>
              <w:rPr>
                <w:rStyle w:val="IndexLink"/>
              </w:rPr>
              <w:t>9</w:t>
            </w:r>
          </w:hyperlink>
        </w:p>
        <w:p>
          <w:pPr>
            <w:pStyle w:val="Contents5"/>
            <w:rPr>
              <w:sz w:val="24"/>
              <w:szCs w:val="24"/>
              <w:lang w:val="en-US" w:eastAsia="en-US"/>
            </w:rPr>
          </w:pPr>
          <w:r>
            <w:rPr/>
            <w:t>1.3.8.2.1</w:t>
          </w:r>
          <w:r>
            <w:rPr>
              <w:sz w:val="24"/>
              <w:szCs w:val="24"/>
              <w:lang w:val="en-US" w:eastAsia="en-US"/>
            </w:rPr>
            <w:tab/>
          </w:r>
          <w:r>
            <w:rPr/>
            <w:t>CUG call with no OA indication</w:t>
            <w:tab/>
          </w:r>
          <w:hyperlink w:anchor="__RefHeading___Toc296331939">
            <w:r>
              <w:rPr>
                <w:rStyle w:val="IndexLink"/>
              </w:rPr>
              <w:t>9</w:t>
            </w:r>
          </w:hyperlink>
        </w:p>
        <w:p>
          <w:pPr>
            <w:pStyle w:val="Contents5"/>
            <w:rPr>
              <w:sz w:val="24"/>
              <w:szCs w:val="24"/>
              <w:lang w:val="en-US" w:eastAsia="en-US"/>
            </w:rPr>
          </w:pPr>
          <w:r>
            <w:rPr/>
            <w:t>1.3.8.2.2</w:t>
          </w:r>
          <w:r>
            <w:rPr>
              <w:sz w:val="24"/>
              <w:szCs w:val="24"/>
              <w:lang w:val="en-US" w:eastAsia="en-US"/>
            </w:rPr>
            <w:tab/>
          </w:r>
          <w:r>
            <w:rPr/>
            <w:t>CUG call with OA indication</w:t>
            <w:tab/>
          </w:r>
          <w:hyperlink w:anchor="__RefHeading___Toc296331940">
            <w:r>
              <w:rPr>
                <w:rStyle w:val="IndexLink"/>
              </w:rPr>
              <w:t>9</w:t>
            </w:r>
          </w:hyperlink>
        </w:p>
        <w:p>
          <w:pPr>
            <w:pStyle w:val="Contents5"/>
            <w:rPr>
              <w:sz w:val="24"/>
              <w:szCs w:val="24"/>
              <w:lang w:val="en-US" w:eastAsia="en-US"/>
            </w:rPr>
          </w:pPr>
          <w:r>
            <w:rPr/>
            <w:t>1.3.8.2.3</w:t>
          </w:r>
          <w:r>
            <w:rPr>
              <w:sz w:val="24"/>
              <w:szCs w:val="24"/>
              <w:lang w:val="en-US" w:eastAsia="en-US"/>
            </w:rPr>
            <w:tab/>
          </w:r>
          <w:r>
            <w:rPr/>
            <w:t>Normal call</w:t>
            <w:tab/>
          </w:r>
          <w:hyperlink w:anchor="__RefHeading___Toc296331941">
            <w:r>
              <w:rPr>
                <w:rStyle w:val="IndexLink"/>
              </w:rPr>
              <w:t>9</w:t>
            </w:r>
          </w:hyperlink>
        </w:p>
        <w:p>
          <w:pPr>
            <w:pStyle w:val="Contents2"/>
            <w:rPr>
              <w:sz w:val="24"/>
              <w:szCs w:val="24"/>
              <w:lang w:val="en-US" w:eastAsia="en-US"/>
            </w:rPr>
          </w:pPr>
          <w:r>
            <w:rPr/>
            <w:t>1.4</w:t>
          </w:r>
          <w:r>
            <w:rPr>
              <w:sz w:val="24"/>
              <w:szCs w:val="24"/>
              <w:lang w:val="en-US" w:eastAsia="en-US"/>
            </w:rPr>
            <w:tab/>
          </w:r>
          <w:r>
            <w:rPr/>
            <w:t>Exceptional procedures or unsuccessful outcome</w:t>
            <w:tab/>
          </w:r>
          <w:hyperlink w:anchor="__RefHeading___Toc296331942">
            <w:r>
              <w:rPr>
                <w:rStyle w:val="IndexLink"/>
              </w:rPr>
              <w:t>9</w:t>
            </w:r>
          </w:hyperlink>
        </w:p>
        <w:p>
          <w:pPr>
            <w:pStyle w:val="Contents3"/>
            <w:rPr>
              <w:sz w:val="24"/>
              <w:szCs w:val="24"/>
              <w:lang w:val="en-US" w:eastAsia="en-US"/>
            </w:rPr>
          </w:pPr>
          <w:r>
            <w:rPr/>
            <w:t>1.4.1</w:t>
          </w:r>
          <w:r>
            <w:rPr>
              <w:sz w:val="24"/>
              <w:szCs w:val="24"/>
              <w:lang w:val="en-US" w:eastAsia="en-US"/>
            </w:rPr>
            <w:tab/>
          </w:r>
          <w:r>
            <w:rPr/>
            <w:t>Exceptional operation or unsuccessful outcome</w:t>
            <w:tab/>
          </w:r>
          <w:hyperlink w:anchor="__RefHeading___Toc296331943">
            <w:r>
              <w:rPr>
                <w:rStyle w:val="IndexLink"/>
              </w:rPr>
              <w:t>9</w:t>
            </w:r>
          </w:hyperlink>
        </w:p>
        <w:p>
          <w:pPr>
            <w:pStyle w:val="Contents3"/>
            <w:rPr>
              <w:sz w:val="24"/>
              <w:szCs w:val="24"/>
              <w:lang w:val="en-US" w:eastAsia="en-US"/>
            </w:rPr>
          </w:pPr>
          <w:r>
            <w:rPr/>
            <w:t>1.4.10</w:t>
          </w:r>
          <w:r>
            <w:rPr>
              <w:sz w:val="24"/>
              <w:szCs w:val="24"/>
              <w:lang w:val="en-US" w:eastAsia="en-US"/>
            </w:rPr>
            <w:tab/>
          </w:r>
          <w:r>
            <w:rPr/>
            <w:t>Roaming into networks not supporting CUG</w:t>
            <w:tab/>
          </w:r>
          <w:hyperlink w:anchor="__RefHeading___Toc296331944">
            <w:r>
              <w:rPr>
                <w:rStyle w:val="IndexLink"/>
              </w:rPr>
              <w:t>9</w:t>
            </w:r>
          </w:hyperlink>
        </w:p>
        <w:p>
          <w:pPr>
            <w:pStyle w:val="Contents2"/>
            <w:rPr>
              <w:sz w:val="24"/>
              <w:szCs w:val="24"/>
              <w:lang w:val="en-US" w:eastAsia="en-US"/>
            </w:rPr>
          </w:pPr>
          <w:r>
            <w:rPr/>
            <w:t>1.5</w:t>
          </w:r>
          <w:r>
            <w:rPr>
              <w:sz w:val="24"/>
              <w:szCs w:val="24"/>
              <w:lang w:val="en-US" w:eastAsia="en-US"/>
            </w:rPr>
            <w:tab/>
          </w:r>
          <w:r>
            <w:rPr/>
            <w:t>Alternate procedures</w:t>
            <w:tab/>
          </w:r>
          <w:hyperlink w:anchor="__RefHeading___Toc296331945">
            <w:r>
              <w:rPr>
                <w:rStyle w:val="IndexLink"/>
              </w:rPr>
              <w:t>10</w:t>
            </w:r>
          </w:hyperlink>
        </w:p>
        <w:p>
          <w:pPr>
            <w:pStyle w:val="Contents2"/>
            <w:rPr>
              <w:sz w:val="24"/>
              <w:szCs w:val="24"/>
              <w:lang w:val="en-US" w:eastAsia="en-US"/>
            </w:rPr>
          </w:pPr>
          <w:r>
            <w:rPr/>
            <w:t>1.6</w:t>
          </w:r>
          <w:r>
            <w:rPr>
              <w:sz w:val="24"/>
              <w:szCs w:val="24"/>
              <w:lang w:val="en-US" w:eastAsia="en-US"/>
            </w:rPr>
            <w:tab/>
          </w:r>
          <w:r>
            <w:rPr/>
            <w:t>Interactions with other Supplementary Services</w:t>
            <w:tab/>
          </w:r>
          <w:hyperlink w:anchor="__RefHeading___Toc296331946">
            <w:r>
              <w:rPr>
                <w:rStyle w:val="IndexLink"/>
              </w:rPr>
              <w:t>10</w:t>
            </w:r>
          </w:hyperlink>
        </w:p>
        <w:p>
          <w:pPr>
            <w:pStyle w:val="Contents4"/>
            <w:rPr>
              <w:sz w:val="24"/>
              <w:szCs w:val="24"/>
              <w:lang w:val="en-US" w:eastAsia="en-US"/>
            </w:rPr>
          </w:pPr>
          <w:r>
            <w:rPr/>
            <w:t>1.6.82.1</w:t>
          </w:r>
          <w:r>
            <w:rPr>
              <w:sz w:val="24"/>
              <w:szCs w:val="24"/>
              <w:lang w:val="en-US" w:eastAsia="en-US"/>
            </w:rPr>
            <w:tab/>
          </w:r>
          <w:r>
            <w:rPr/>
            <w:t>Call forwarding unconditional</w:t>
            <w:tab/>
          </w:r>
          <w:hyperlink w:anchor="__RefHeading___Toc296331947">
            <w:r>
              <w:rPr>
                <w:rStyle w:val="IndexLink"/>
              </w:rPr>
              <w:t>10</w:t>
            </w:r>
          </w:hyperlink>
        </w:p>
        <w:p>
          <w:pPr>
            <w:pStyle w:val="Contents4"/>
            <w:rPr>
              <w:sz w:val="24"/>
              <w:szCs w:val="24"/>
              <w:lang w:val="en-US" w:eastAsia="en-US"/>
            </w:rPr>
          </w:pPr>
          <w:r>
            <w:rPr/>
            <w:t>1.6.82.2</w:t>
          </w:r>
          <w:r>
            <w:rPr>
              <w:sz w:val="24"/>
              <w:szCs w:val="24"/>
              <w:lang w:val="en-US" w:eastAsia="en-US"/>
            </w:rPr>
            <w:tab/>
          </w:r>
          <w:r>
            <w:rPr/>
            <w:t>Call forwarding on mobile subscriber busy</w:t>
            <w:tab/>
          </w:r>
          <w:hyperlink w:anchor="__RefHeading___Toc296331948">
            <w:r>
              <w:rPr>
                <w:rStyle w:val="IndexLink"/>
              </w:rPr>
              <w:t>11</w:t>
            </w:r>
          </w:hyperlink>
        </w:p>
        <w:p>
          <w:pPr>
            <w:pStyle w:val="Contents4"/>
            <w:rPr>
              <w:sz w:val="24"/>
              <w:szCs w:val="24"/>
              <w:lang w:val="en-US" w:eastAsia="en-US"/>
            </w:rPr>
          </w:pPr>
          <w:r>
            <w:rPr/>
            <w:t>1.6.82.3</w:t>
          </w:r>
          <w:r>
            <w:rPr>
              <w:sz w:val="24"/>
              <w:szCs w:val="24"/>
              <w:lang w:val="en-US" w:eastAsia="en-US"/>
            </w:rPr>
            <w:tab/>
          </w:r>
          <w:r>
            <w:rPr/>
            <w:t>Call forwarding on no reply</w:t>
            <w:tab/>
          </w:r>
          <w:hyperlink w:anchor="__RefHeading___Toc296331949">
            <w:r>
              <w:rPr>
                <w:rStyle w:val="IndexLink"/>
              </w:rPr>
              <w:t>11</w:t>
            </w:r>
          </w:hyperlink>
        </w:p>
        <w:p>
          <w:pPr>
            <w:pStyle w:val="Contents4"/>
            <w:rPr>
              <w:sz w:val="24"/>
              <w:szCs w:val="24"/>
              <w:lang w:val="en-US" w:eastAsia="en-US"/>
            </w:rPr>
          </w:pPr>
          <w:r>
            <w:rPr/>
            <w:t>1.6.82.4</w:t>
          </w:r>
          <w:r>
            <w:rPr>
              <w:sz w:val="24"/>
              <w:szCs w:val="24"/>
              <w:lang w:val="en-US" w:eastAsia="en-US"/>
            </w:rPr>
            <w:tab/>
          </w:r>
          <w:r>
            <w:rPr/>
            <w:t>Call forwarding on mobile subscriber not reachable</w:t>
            <w:tab/>
          </w:r>
          <w:hyperlink w:anchor="__RefHeading___Toc296331950">
            <w:r>
              <w:rPr>
                <w:rStyle w:val="IndexLink"/>
              </w:rPr>
              <w:t>11</w:t>
            </w:r>
          </w:hyperlink>
        </w:p>
        <w:p>
          <w:pPr>
            <w:pStyle w:val="Contents4"/>
            <w:rPr>
              <w:sz w:val="24"/>
              <w:szCs w:val="24"/>
              <w:lang w:val="en-US" w:eastAsia="en-US"/>
            </w:rPr>
          </w:pPr>
          <w:r>
            <w:rPr/>
            <w:t>1.6.83.1</w:t>
          </w:r>
          <w:r>
            <w:rPr>
              <w:sz w:val="24"/>
              <w:szCs w:val="24"/>
              <w:lang w:val="en-US" w:eastAsia="en-US"/>
            </w:rPr>
            <w:tab/>
          </w:r>
          <w:r>
            <w:rPr/>
            <w:t>Call waiting</w:t>
            <w:tab/>
          </w:r>
          <w:hyperlink w:anchor="__RefHeading___Toc296331951">
            <w:r>
              <w:rPr>
                <w:rStyle w:val="IndexLink"/>
              </w:rPr>
              <w:t>11</w:t>
            </w:r>
          </w:hyperlink>
        </w:p>
        <w:p>
          <w:pPr>
            <w:pStyle w:val="Contents4"/>
            <w:rPr>
              <w:sz w:val="24"/>
              <w:szCs w:val="24"/>
              <w:lang w:val="en-US" w:eastAsia="en-US"/>
            </w:rPr>
          </w:pPr>
          <w:r>
            <w:rPr/>
            <w:t>1.6.84.1</w:t>
          </w:r>
          <w:r>
            <w:rPr>
              <w:sz w:val="24"/>
              <w:szCs w:val="24"/>
              <w:lang w:val="en-US" w:eastAsia="en-US"/>
            </w:rPr>
            <w:tab/>
          </w:r>
          <w:r>
            <w:rPr/>
            <w:t>Multi-party service</w:t>
            <w:tab/>
          </w:r>
          <w:hyperlink w:anchor="__RefHeading___Toc296331952">
            <w:r>
              <w:rPr>
                <w:rStyle w:val="IndexLink"/>
              </w:rPr>
              <w:t>11</w:t>
            </w:r>
          </w:hyperlink>
        </w:p>
        <w:p>
          <w:pPr>
            <w:pStyle w:val="Contents3"/>
            <w:rPr>
              <w:sz w:val="24"/>
              <w:szCs w:val="24"/>
              <w:lang w:val="en-US" w:eastAsia="en-US"/>
            </w:rPr>
          </w:pPr>
          <w:r>
            <w:rPr/>
            <w:t>1.6.88</w:t>
          </w:r>
          <w:r>
            <w:rPr>
              <w:sz w:val="24"/>
              <w:szCs w:val="24"/>
              <w:lang w:val="en-US" w:eastAsia="en-US"/>
            </w:rPr>
            <w:tab/>
          </w:r>
          <w:r>
            <w:rPr/>
            <w:t>Call restriction Supplementary Services</w:t>
            <w:tab/>
          </w:r>
          <w:hyperlink w:anchor="__RefHeading___Toc296331953">
            <w:r>
              <w:rPr>
                <w:rStyle w:val="IndexLink"/>
              </w:rPr>
              <w:t>11</w:t>
            </w:r>
          </w:hyperlink>
        </w:p>
        <w:p>
          <w:pPr>
            <w:pStyle w:val="Contents2"/>
            <w:rPr>
              <w:sz w:val="24"/>
              <w:szCs w:val="24"/>
              <w:lang w:val="en-US" w:eastAsia="en-US"/>
            </w:rPr>
          </w:pPr>
          <w:r>
            <w:rPr/>
            <w:t>1.7</w:t>
          </w:r>
          <w:r>
            <w:rPr>
              <w:sz w:val="24"/>
              <w:szCs w:val="24"/>
              <w:lang w:val="en-US" w:eastAsia="en-US"/>
            </w:rPr>
            <w:tab/>
          </w:r>
          <w:r>
            <w:rPr/>
            <w:t>Interworking considerations</w:t>
            <w:tab/>
          </w:r>
          <w:hyperlink w:anchor="__RefHeading___Toc296331954">
            <w:r>
              <w:rPr>
                <w:rStyle w:val="IndexLink"/>
              </w:rPr>
              <w:t>11</w:t>
            </w:r>
          </w:hyperlink>
        </w:p>
        <w:p>
          <w:pPr>
            <w:pStyle w:val="Contents8"/>
            <w:rPr>
              <w:b w:val="false"/>
              <w:b w:val="false"/>
              <w:sz w:val="24"/>
              <w:szCs w:val="24"/>
              <w:lang w:val="en-US" w:eastAsia="en-US"/>
            </w:rPr>
          </w:pPr>
          <w:r>
            <w:rPr/>
            <w:t>Annex 1 (normative):</w:t>
            <w:tab/>
            <w:t>General subscription options (Per Subscriber)</w:t>
            <w:tab/>
          </w:r>
          <w:hyperlink w:anchor="__RefHeading___Toc296331955">
            <w:r>
              <w:rPr>
                <w:rStyle w:val="IndexLink"/>
              </w:rPr>
              <w:t>13</w:t>
            </w:r>
          </w:hyperlink>
        </w:p>
        <w:p>
          <w:pPr>
            <w:pStyle w:val="Contents8"/>
            <w:rPr>
              <w:b w:val="false"/>
              <w:b w:val="false"/>
              <w:sz w:val="24"/>
              <w:szCs w:val="24"/>
              <w:lang w:val="en-US" w:eastAsia="en-US"/>
            </w:rPr>
          </w:pPr>
          <w:r>
            <w:rPr/>
            <w:t>Annex 2 (normative):</w:t>
            <w:tab/>
            <w:t>Originating PLMN actions on call requests on the calling user's side</w:t>
            <w:tab/>
          </w:r>
          <w:hyperlink w:anchor="__RefHeading___Toc296331956">
            <w:r>
              <w:rPr>
                <w:rStyle w:val="IndexLink"/>
              </w:rPr>
              <w:t>14</w:t>
            </w:r>
          </w:hyperlink>
        </w:p>
        <w:p>
          <w:pPr>
            <w:pStyle w:val="Contents8"/>
            <w:rPr>
              <w:b w:val="false"/>
              <w:b w:val="false"/>
              <w:sz w:val="24"/>
              <w:szCs w:val="24"/>
              <w:lang w:val="en-US" w:eastAsia="en-US"/>
            </w:rPr>
          </w:pPr>
          <w:r>
            <w:rPr/>
            <w:t>Annex 3 (normative):</w:t>
            <w:tab/>
            <w:t>Terminating PLMN actions</w:t>
            <w:tab/>
          </w:r>
          <w:hyperlink w:anchor="__RefHeading___Toc296331957">
            <w:r>
              <w:rPr>
                <w:rStyle w:val="IndexLink"/>
              </w:rPr>
              <w:t>15</w:t>
            </w:r>
          </w:hyperlink>
        </w:p>
        <w:p>
          <w:pPr>
            <w:pStyle w:val="Contents8"/>
            <w:rPr>
              <w:b w:val="false"/>
              <w:b w:val="false"/>
              <w:sz w:val="24"/>
              <w:szCs w:val="24"/>
              <w:lang w:val="en-US" w:eastAsia="en-US"/>
            </w:rPr>
          </w:pPr>
          <w:r>
            <w:rPr/>
            <w:t>Annex 4 (normative):</w:t>
            <w:tab/>
            <w:t>CUG interaction with the call forwarding Supplementary Services</w:t>
            <w:tab/>
          </w:r>
          <w:hyperlink w:anchor="__RefHeading___Toc296331958">
            <w:r>
              <w:rPr>
                <w:rStyle w:val="IndexLink"/>
              </w:rPr>
              <w:t>16</w:t>
            </w:r>
          </w:hyperlink>
        </w:p>
        <w:p>
          <w:pPr>
            <w:pStyle w:val="Contents8"/>
            <w:rPr>
              <w:sz w:val="24"/>
              <w:szCs w:val="24"/>
              <w:lang w:val="en-US" w:eastAsia="en-US"/>
            </w:rPr>
          </w:pPr>
          <w:r>
            <w:rPr>
              <w:b w:val="false"/>
            </w:rPr>
            <w:t>Annex 5 (informative):</w:t>
            <w:tab/>
            <w:t>Change history</w:t>
            <w:tab/>
          </w:r>
          <w:hyperlink w:anchor="__RefHeading___Toc296331959">
            <w:r>
              <w:rPr>
                <w:rStyle w:val="IndexLink"/>
                <w:b w:val="false"/>
              </w:rPr>
              <w:t>17</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6" w:name="__RefHeading___Toc296331915"/>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296331916"/>
      <w:bookmarkEnd w:id="7"/>
      <w:r>
        <w:rPr/>
        <w:t>0</w:t>
        <w:tab/>
        <w:t>Scope</w:t>
      </w:r>
    </w:p>
    <w:p>
      <w:pPr>
        <w:pStyle w:val="Normal"/>
        <w:rPr/>
      </w:pPr>
      <w:r>
        <w:rPr/>
        <w:t>The present document describes the Supplementary Services belonging to the group Community Of Interest Supplementary Services.</w:t>
      </w:r>
    </w:p>
    <w:p>
      <w:pPr>
        <w:pStyle w:val="Normal"/>
        <w:rPr/>
      </w:pPr>
      <w:r>
        <w:rPr/>
        <w:t>The general aspects, including definitions and recommended provision, of the description of the Supplementary Services are given in TS 22.004.</w:t>
      </w:r>
    </w:p>
    <w:p>
      <w:pPr>
        <w:pStyle w:val="Normal"/>
        <w:rPr/>
      </w:pPr>
      <w:r>
        <w:rPr/>
        <w:t>The group of Community Of Interest Supplementary Services includes one Supplementary Service:</w:t>
      </w:r>
    </w:p>
    <w:p>
      <w:pPr>
        <w:pStyle w:val="B2"/>
        <w:rPr/>
      </w:pPr>
      <w:r>
        <w:rPr/>
        <w:t>-</w:t>
        <w:tab/>
        <w:t>Closed user group (clause 1).</w:t>
      </w:r>
    </w:p>
    <w:p>
      <w:pPr>
        <w:pStyle w:val="Heading2"/>
        <w:rPr/>
      </w:pPr>
      <w:bookmarkStart w:id="8" w:name="__RefHeading___Toc296331917"/>
      <w:bookmarkEnd w:id="8"/>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21.905: "Vocabulary for 3GPP Specifications".</w:t>
      </w:r>
    </w:p>
    <w:p>
      <w:pPr>
        <w:pStyle w:val="EX"/>
        <w:rPr/>
      </w:pPr>
      <w:r>
        <w:rPr/>
        <w:t>[2]</w:t>
        <w:tab/>
        <w:t>3GPP TS 22.004: "General on Supplementary Services".</w:t>
      </w:r>
    </w:p>
    <w:p>
      <w:pPr>
        <w:pStyle w:val="EX"/>
        <w:rPr/>
      </w:pPr>
      <w:r>
        <w:rPr/>
        <w:t>[3]</w:t>
        <w:tab/>
        <w:t>3GPP TS 23.003: "Digital cellular telecommunications system (Phase 2+); Numbering, addressing and identification".</w:t>
      </w:r>
    </w:p>
    <w:p>
      <w:pPr>
        <w:pStyle w:val="EX"/>
        <w:rPr/>
      </w:pPr>
      <w:r>
        <w:rPr/>
        <w:t>[4]</w:t>
        <w:tab/>
        <w:t>ITU-T Recommendation X.121: "International numbering plan for public data networks".</w:t>
      </w:r>
    </w:p>
    <w:p>
      <w:pPr>
        <w:pStyle w:val="EX"/>
        <w:rPr/>
      </w:pPr>
      <w:r>
        <w:rPr/>
        <w:t>[5]</w:t>
        <w:tab/>
        <w:t>ITU-T Recommendation X.180: "Administrative arrangements for closed user groups (CUGs)".</w:t>
      </w:r>
    </w:p>
    <w:p>
      <w:pPr>
        <w:pStyle w:val="EX"/>
        <w:rPr/>
      </w:pPr>
      <w:r>
        <w:rPr/>
        <w:t>[6]</w:t>
        <w:tab/>
        <w:t>3GPP TS 22.088: “Call Barring (CB) supplementary services – Stage 1”.</w:t>
      </w:r>
    </w:p>
    <w:p>
      <w:pPr>
        <w:pStyle w:val="Heading2"/>
        <w:rPr/>
      </w:pPr>
      <w:bookmarkStart w:id="9" w:name="__RefHeading___Toc296331918"/>
      <w:bookmarkEnd w:id="9"/>
      <w:r>
        <w:rPr/>
        <w:t>0.2</w:t>
        <w:tab/>
        <w:t>Abbreviations</w:t>
      </w:r>
    </w:p>
    <w:p>
      <w:pPr>
        <w:pStyle w:val="Normal"/>
        <w:rPr/>
      </w:pPr>
      <w:r>
        <w:rPr/>
        <w:t>Abbreviations used in the present document are listed in 3GPP TS 21.905 [1].</w:t>
      </w:r>
    </w:p>
    <w:p>
      <w:pPr>
        <w:pStyle w:val="Heading1"/>
        <w:ind w:left="1134" w:hanging="1134"/>
        <w:rPr/>
      </w:pPr>
      <w:bookmarkStart w:id="10" w:name="__RefHeading___Toc296331919"/>
      <w:bookmarkEnd w:id="10"/>
      <w:r>
        <w:rPr/>
        <w:t>1</w:t>
        <w:tab/>
        <w:t>Closed User Group (CUG)</w:t>
      </w:r>
    </w:p>
    <w:p>
      <w:pPr>
        <w:pStyle w:val="Heading2"/>
        <w:rPr/>
      </w:pPr>
      <w:bookmarkStart w:id="11" w:name="__RefHeading___Toc296331920"/>
      <w:bookmarkEnd w:id="11"/>
      <w:r>
        <w:rPr/>
        <w:t>1.1</w:t>
        <w:tab/>
        <w:t>Definition</w:t>
      </w:r>
    </w:p>
    <w:p>
      <w:pPr>
        <w:pStyle w:val="Normal"/>
        <w:rPr/>
      </w:pPr>
      <w:r>
        <w:rPr/>
        <w:t>The Closed User Group (CUG) Supplementary Service enables subscribers, connected to a PLMN and possibly also other networks, to form closed user groups (CUGs) to and from which access is restricted. A specific user may be a member of one or more CUGs. Members of a specific CUG can communicate among each other but not, in general, with users outside the group.</w:t>
      </w:r>
    </w:p>
    <w:p>
      <w:pPr>
        <w:pStyle w:val="Normal"/>
        <w:rPr/>
      </w:pPr>
      <w:r>
        <w:rPr/>
        <w:t>The ability to set up emergency calls remains unaffected.</w:t>
      </w:r>
    </w:p>
    <w:p>
      <w:pPr>
        <w:pStyle w:val="Heading2"/>
        <w:rPr/>
      </w:pPr>
      <w:bookmarkStart w:id="12" w:name="__RefHeading___Toc296331921"/>
      <w:bookmarkEnd w:id="12"/>
      <w:r>
        <w:rPr/>
        <w:t>1.2</w:t>
        <w:tab/>
        <w:t>Description</w:t>
      </w:r>
    </w:p>
    <w:p>
      <w:pPr>
        <w:pStyle w:val="Heading3"/>
        <w:rPr/>
      </w:pPr>
      <w:bookmarkStart w:id="13" w:name="__RefHeading___Toc296331922"/>
      <w:bookmarkEnd w:id="13"/>
      <w:r>
        <w:rPr/>
        <w:t>1.2.1</w:t>
        <w:tab/>
        <w:t>Service description</w:t>
      </w:r>
    </w:p>
    <w:p>
      <w:pPr>
        <w:pStyle w:val="Normal"/>
        <w:rPr/>
      </w:pPr>
      <w:r>
        <w:rPr/>
        <w:t>An ISDN/MSISDN number shall identify each member of a CUG.</w:t>
      </w:r>
    </w:p>
    <w:p>
      <w:pPr>
        <w:pStyle w:val="Normal"/>
        <w:rPr/>
      </w:pPr>
      <w:r>
        <w:rPr/>
        <w:t>A CUG shall be defined for one or more basic service groups.</w:t>
      </w:r>
    </w:p>
    <w:p>
      <w:pPr>
        <w:pStyle w:val="Normal"/>
        <w:rPr/>
      </w:pPr>
      <w:r>
        <w:rPr/>
        <w:t>CUG members can have additional capabilities that allow them to originate calls outside the group, and/or to receive calls from outside the group. CUG members can have additional restrictions that prevent them from originating calls to other members of the CUG, or from receiving calls from other members of the CUG.</w:t>
      </w:r>
    </w:p>
    <w:p>
      <w:pPr>
        <w:pStyle w:val="Normal"/>
        <w:rPr/>
      </w:pPr>
      <w:r>
        <w:rPr/>
        <w:t>CUG shall remain unaffected when members roam to PLMNs supporting CUG. Roaming subscribers must have the same CUG facilities on the roamed-to PLMN as on the Home PLMN.</w:t>
      </w:r>
    </w:p>
    <w:p>
      <w:pPr>
        <w:pStyle w:val="Normal"/>
        <w:rPr/>
      </w:pPr>
      <w:r>
        <w:rPr/>
        <w:t>When roaming to networks not supporting CUG, the CUG restrictions must be enforced. (However, where possible, the CUG facilities should be supported, see subclause 1.4.10.)</w:t>
      </w:r>
    </w:p>
    <w:p>
      <w:pPr>
        <w:pStyle w:val="Normal"/>
        <w:rPr/>
      </w:pPr>
      <w:r>
        <w:rPr/>
        <w:t>Each individual subscriber may be a member of a maximum of 10 CUGs.</w:t>
      </w:r>
    </w:p>
    <w:p>
      <w:pPr>
        <w:pStyle w:val="Heading3"/>
        <w:rPr/>
      </w:pPr>
      <w:bookmarkStart w:id="14" w:name="__RefHeading___Toc296331923"/>
      <w:bookmarkEnd w:id="14"/>
      <w:r>
        <w:rPr/>
        <w:t>1.2.2</w:t>
        <w:tab/>
        <w:t>Applicability to telecommunication services</w:t>
      </w:r>
    </w:p>
    <w:p>
      <w:pPr>
        <w:pStyle w:val="Normal"/>
        <w:rPr/>
      </w:pPr>
      <w:r>
        <w:rPr/>
        <w:t>The applicability of this Supplementary Service is defined in 3GPP TS 22.004 [2].</w:t>
      </w:r>
    </w:p>
    <w:p>
      <w:pPr>
        <w:pStyle w:val="Heading3"/>
        <w:rPr/>
      </w:pPr>
      <w:bookmarkStart w:id="15" w:name="__RefHeading___Toc296331924"/>
      <w:bookmarkEnd w:id="15"/>
      <w:r>
        <w:rPr/>
        <w:t>1.2.3</w:t>
        <w:tab/>
        <w:t>Definitions</w:t>
      </w:r>
    </w:p>
    <w:p>
      <w:pPr>
        <w:pStyle w:val="Normal"/>
        <w:rPr/>
      </w:pPr>
      <w:r>
        <w:rPr>
          <w:b/>
        </w:rPr>
        <w:t>MSISDN:</w:t>
      </w:r>
      <w:r>
        <w:rPr/>
        <w:t xml:space="preserve"> A number conforming to the numbering plan and structure specified in 3GPP TS 23.003.</w:t>
      </w:r>
    </w:p>
    <w:p>
      <w:pPr>
        <w:pStyle w:val="Normal"/>
        <w:rPr/>
      </w:pPr>
      <w:r>
        <w:rPr>
          <w:b/>
        </w:rPr>
        <w:t>CUG member:</w:t>
      </w:r>
      <w:r>
        <w:rPr/>
        <w:t xml:space="preserve"> A user who has subscribed to the CUG Supplementary Service and is one of the users in the group formed by a particular CUG.</w:t>
      </w:r>
    </w:p>
    <w:p>
      <w:pPr>
        <w:pStyle w:val="Normal"/>
        <w:rPr/>
      </w:pPr>
      <w:r>
        <w:rPr>
          <w:b/>
        </w:rPr>
        <w:t>CUG index:</w:t>
      </w:r>
      <w:r>
        <w:rPr/>
        <w:t xml:space="preserve"> A value assigned by the network to identify a CUG.</w:t>
      </w:r>
    </w:p>
    <w:p>
      <w:pPr>
        <w:pStyle w:val="Normal"/>
        <w:rPr/>
      </w:pPr>
      <w:r>
        <w:rPr>
          <w:b/>
        </w:rPr>
        <w:t>CUG Interlock Code (IC):</w:t>
      </w:r>
      <w:r>
        <w:rPr/>
        <w:t xml:space="preserve"> Is used by the network (not by the MS) to identify CUG membership.</w:t>
      </w:r>
    </w:p>
    <w:p>
      <w:pPr>
        <w:pStyle w:val="Normal"/>
        <w:rPr/>
      </w:pPr>
      <w:r>
        <w:rPr>
          <w:b/>
        </w:rPr>
        <w:t>preferential CUG:</w:t>
      </w:r>
      <w:r>
        <w:rPr/>
        <w:t xml:space="preserve"> A preferential CUG, which can be specified for each basic service group, is the nominated default CUG to be used when no explicit CUG index is received by the network.</w:t>
      </w:r>
    </w:p>
    <w:p>
      <w:pPr>
        <w:pStyle w:val="Normal"/>
        <w:rPr/>
      </w:pPr>
      <w:r>
        <w:rPr>
          <w:b/>
        </w:rPr>
        <w:t>suppress preferential CUG:</w:t>
      </w:r>
      <w:r>
        <w:rPr/>
        <w:t xml:space="preserve"> A user action to prohibit the use of the preferential CUG, on a per call basis.</w:t>
      </w:r>
    </w:p>
    <w:p>
      <w:pPr>
        <w:pStyle w:val="Normal"/>
        <w:rPr/>
      </w:pPr>
      <w:r>
        <w:rPr>
          <w:b/>
        </w:rPr>
        <w:t>Incoming Access (IA):</w:t>
      </w:r>
      <w:r>
        <w:rPr/>
        <w:t xml:space="preserve"> An arrangement which allows a member of a CUG to receive calls from outside the CUG.</w:t>
      </w:r>
    </w:p>
    <w:p>
      <w:pPr>
        <w:pStyle w:val="Normal"/>
        <w:rPr/>
      </w:pPr>
      <w:r>
        <w:rPr>
          <w:b/>
        </w:rPr>
        <w:t>Outgoing Access (OA):</w:t>
      </w:r>
      <w:r>
        <w:rPr/>
        <w:t xml:space="preserve"> An arrangement which allows a member of a CUG to place calls outside the CUG.</w:t>
      </w:r>
    </w:p>
    <w:p>
      <w:pPr>
        <w:pStyle w:val="Normal"/>
        <w:rPr/>
      </w:pPr>
      <w:r>
        <w:rPr>
          <w:b/>
        </w:rPr>
        <w:t>suppress OA:</w:t>
      </w:r>
      <w:r>
        <w:rPr/>
        <w:t xml:space="preserve"> A user action to prohibit the use of the OA subscription option, on a per call basis.</w:t>
      </w:r>
    </w:p>
    <w:p>
      <w:pPr>
        <w:pStyle w:val="Normal"/>
        <w:rPr/>
      </w:pPr>
      <w:r>
        <w:rPr>
          <w:b/>
        </w:rPr>
        <w:t>Incoming Calls Barred Within A CUG (ICB):</w:t>
      </w:r>
      <w:r>
        <w:rPr/>
        <w:t xml:space="preserve"> An access restriction that prevents a CUG member from receiving calls from other members of that group.</w:t>
      </w:r>
    </w:p>
    <w:p>
      <w:pPr>
        <w:pStyle w:val="Normal"/>
        <w:rPr/>
      </w:pPr>
      <w:r>
        <w:rPr>
          <w:b/>
        </w:rPr>
        <w:t>Outgoing Calls Barred Within A CUG (OCB):</w:t>
      </w:r>
      <w:r>
        <w:rPr/>
        <w:t xml:space="preserve"> An access restriction that prevents a CUG member from placing calls to other members of that group.</w:t>
      </w:r>
    </w:p>
    <w:p>
      <w:pPr>
        <w:pStyle w:val="Normal"/>
        <w:rPr/>
      </w:pPr>
      <w:r>
        <w:rPr>
          <w:b/>
        </w:rPr>
        <w:t>CUG calls:</w:t>
      </w:r>
      <w:r>
        <w:rPr/>
        <w:t xml:space="preserve"> A CUG call is a call which is restricted to a pre-defined group of users.</w:t>
      </w:r>
    </w:p>
    <w:p>
      <w:pPr>
        <w:pStyle w:val="Heading2"/>
        <w:rPr/>
      </w:pPr>
      <w:bookmarkStart w:id="16" w:name="__RefHeading___Toc296331925"/>
      <w:bookmarkEnd w:id="16"/>
      <w:r>
        <w:rPr/>
        <w:t>1.3</w:t>
        <w:tab/>
        <w:t>Normal procedures with successful outcome</w:t>
      </w:r>
    </w:p>
    <w:p>
      <w:pPr>
        <w:pStyle w:val="Heading3"/>
        <w:rPr/>
      </w:pPr>
      <w:bookmarkStart w:id="17" w:name="__RefHeading___Toc296331926"/>
      <w:bookmarkEnd w:id="17"/>
      <w:r>
        <w:rPr/>
        <w:t>1.3.1</w:t>
        <w:tab/>
        <w:t>Provision</w:t>
      </w:r>
    </w:p>
    <w:p>
      <w:pPr>
        <w:pStyle w:val="Normal"/>
        <w:rPr/>
      </w:pPr>
      <w:r>
        <w:rPr/>
        <w:t>The CUG Supplementary Service shall be provided after prior arrangement with the service provider.</w:t>
        <w:br/>
        <w:t>At provision subscription options should be selected by the served mobile subscriber.</w:t>
      </w:r>
    </w:p>
    <w:p>
      <w:pPr>
        <w:pStyle w:val="Normal"/>
        <w:rPr/>
      </w:pPr>
      <w:r>
        <w:rPr/>
        <w:t>A user may be a member of several CUGs. The service provider defines the number of CUGs, up to the maximum stated in subclause 1.2.1, which can be allocated to an individual subscriber.</w:t>
      </w:r>
    </w:p>
    <w:p>
      <w:pPr>
        <w:pStyle w:val="Normal"/>
        <w:rPr/>
      </w:pPr>
      <w:r>
        <w:rPr/>
        <w:t>The user shall choose one of the following subscription options for each basic service group applied to the CUG Supplementary Service. This subscription option may be provisioned on a per basic service group basis or for all basic services:</w:t>
      </w:r>
    </w:p>
    <w:p>
      <w:pPr>
        <w:pStyle w:val="B2"/>
        <w:rPr/>
      </w:pPr>
      <w:r>
        <w:rPr/>
        <w:t>-</w:t>
        <w:tab/>
        <w:t>CUG calls only;</w:t>
      </w:r>
    </w:p>
    <w:p>
      <w:pPr>
        <w:pStyle w:val="B2"/>
        <w:rPr/>
      </w:pPr>
      <w:r>
        <w:rPr/>
        <w:t>-</w:t>
        <w:tab/>
        <w:t>CUG with incoming access, i.e. can also receive calls, which are not subject to CUG restrictions;</w:t>
      </w:r>
    </w:p>
    <w:p>
      <w:pPr>
        <w:pStyle w:val="B2"/>
        <w:rPr/>
      </w:pPr>
      <w:r>
        <w:rPr/>
        <w:t>-</w:t>
        <w:tab/>
        <w:t>CUG with outgoing access, i.e. can also make calls, which are not subject to CUG restrictions;</w:t>
      </w:r>
    </w:p>
    <w:p>
      <w:pPr>
        <w:pStyle w:val="B2"/>
        <w:rPr/>
      </w:pPr>
      <w:r>
        <w:rPr/>
        <w:t>-</w:t>
        <w:tab/>
        <w:t>CUG with incoming and outgoing access, i.e. can also make and receive calls, which are not subject to CUG restrictions.</w:t>
      </w:r>
    </w:p>
    <w:p>
      <w:pPr>
        <w:pStyle w:val="Normal"/>
        <w:rPr/>
      </w:pPr>
      <w:r>
        <w:rPr/>
        <w:t>A user may subscribe to one of two additional restrictions applying for each particular CUG:</w:t>
      </w:r>
    </w:p>
    <w:p>
      <w:pPr>
        <w:pStyle w:val="B2"/>
        <w:rPr/>
      </w:pPr>
      <w:r>
        <w:rPr/>
        <w:t>-</w:t>
        <w:tab/>
        <w:t>incoming calls barred within a CUG;</w:t>
      </w:r>
    </w:p>
    <w:p>
      <w:pPr>
        <w:pStyle w:val="B2"/>
        <w:rPr/>
      </w:pPr>
      <w:r>
        <w:rPr/>
        <w:t>-</w:t>
        <w:tab/>
        <w:t>outgoing calls barred within a CUG.</w:t>
      </w:r>
    </w:p>
    <w:p>
      <w:pPr>
        <w:pStyle w:val="Normal"/>
        <w:rPr/>
      </w:pPr>
      <w:r>
        <w:rPr/>
        <w:t>The network shall provide a subscription option in order to enable the user to specify a preferential CUG, for each basic service group included in at least one of the CUG(s). The user can request that no preferential CUG exists, or that a particular one of her CUGs (or the only one if a single CUG applies) is used as a preferential CUG for the particular basic service group.</w:t>
      </w:r>
    </w:p>
    <w:p>
      <w:pPr>
        <w:pStyle w:val="Normal"/>
        <w:rPr/>
      </w:pPr>
      <w:r>
        <w:rPr/>
        <w:t>If a user has the subscription option outgoing calls barred within a CUG, it is not allowed to specify that particular CUG as a preferential CUG.</w:t>
      </w:r>
    </w:p>
    <w:p>
      <w:pPr>
        <w:pStyle w:val="Normal"/>
        <w:rPr/>
      </w:pPr>
      <w:r>
        <w:rPr/>
        <w:t>The subscription options are shown in Annex 1.</w:t>
      </w:r>
    </w:p>
    <w:p>
      <w:pPr>
        <w:pStyle w:val="Normal"/>
        <w:rPr/>
      </w:pPr>
      <w:r>
        <w:rPr/>
        <w:t>The CUG indices shall be allocated by prior arrangement with the service provider.</w:t>
      </w:r>
    </w:p>
    <w:p>
      <w:pPr>
        <w:pStyle w:val="Normal"/>
        <w:rPr/>
      </w:pPr>
      <w:r>
        <w:rPr/>
        <w:t>The choice of preferential CUG(s) shall be alterable only by service provider action upon request by the served user.</w:t>
      </w:r>
    </w:p>
    <w:p>
      <w:pPr>
        <w:pStyle w:val="Heading3"/>
        <w:rPr/>
      </w:pPr>
      <w:bookmarkStart w:id="18" w:name="__RefHeading___Toc296331927"/>
      <w:bookmarkEnd w:id="18"/>
      <w:r>
        <w:rPr/>
        <w:t>1.3.2</w:t>
        <w:tab/>
        <w:t>Withdrawal</w:t>
      </w:r>
    </w:p>
    <w:p>
      <w:pPr>
        <w:pStyle w:val="Normal"/>
        <w:rPr/>
      </w:pPr>
      <w:r>
        <w:rPr/>
        <w:t>Withdrawal of the CUG Supplementary Service, membership of one or more CUGs, will be by the action of the service provider, at the request of the subscriber or CUG management, or for administrative reasons.</w:t>
      </w:r>
    </w:p>
    <w:p>
      <w:pPr>
        <w:pStyle w:val="Heading3"/>
        <w:rPr/>
      </w:pPr>
      <w:bookmarkStart w:id="19" w:name="__RefHeading___Toc296331928"/>
      <w:bookmarkEnd w:id="19"/>
      <w:r>
        <w:rPr/>
        <w:t>1.3.5</w:t>
        <w:tab/>
        <w:t>Activation</w:t>
      </w:r>
    </w:p>
    <w:p>
      <w:pPr>
        <w:pStyle w:val="Normal"/>
        <w:rPr/>
      </w:pPr>
      <w:r>
        <w:rPr/>
        <w:t>The CUG Supplementary Service will be activated by the service provider as a result of provision.</w:t>
      </w:r>
    </w:p>
    <w:p>
      <w:pPr>
        <w:pStyle w:val="Heading3"/>
        <w:rPr/>
      </w:pPr>
      <w:bookmarkStart w:id="20" w:name="__RefHeading___Toc296331929"/>
      <w:bookmarkEnd w:id="20"/>
      <w:r>
        <w:rPr/>
        <w:t>1.3.6</w:t>
        <w:tab/>
        <w:t>Deactivation</w:t>
      </w:r>
    </w:p>
    <w:p>
      <w:pPr>
        <w:pStyle w:val="Normal"/>
        <w:rPr/>
      </w:pPr>
      <w:r>
        <w:rPr/>
        <w:t>The CUG Supplementary Service will be deactivated by the service provider as a result of withdrawal.</w:t>
      </w:r>
    </w:p>
    <w:p>
      <w:pPr>
        <w:pStyle w:val="Heading3"/>
        <w:rPr/>
      </w:pPr>
      <w:bookmarkStart w:id="21" w:name="__RefHeading___Toc296331930"/>
      <w:bookmarkEnd w:id="21"/>
      <w:r>
        <w:rPr/>
        <w:t>1.3.7</w:t>
        <w:tab/>
        <w:t>Invocation</w:t>
      </w:r>
    </w:p>
    <w:p>
      <w:pPr>
        <w:pStyle w:val="Normal"/>
        <w:rPr/>
      </w:pPr>
      <w:r>
        <w:rPr/>
        <w:t>Normal call setup procedures shall apply to calls with the CUG Supplementary Service.</w:t>
      </w:r>
    </w:p>
    <w:p>
      <w:pPr>
        <w:pStyle w:val="Heading3"/>
        <w:rPr/>
      </w:pPr>
      <w:bookmarkStart w:id="22" w:name="__RefHeading___Toc296331931"/>
      <w:bookmarkEnd w:id="22"/>
      <w:r>
        <w:rPr/>
        <w:t>1.3.8</w:t>
        <w:tab/>
        <w:t>Normal operation with successful outcome</w:t>
      </w:r>
    </w:p>
    <w:p>
      <w:pPr>
        <w:pStyle w:val="Normal"/>
        <w:rPr/>
      </w:pPr>
      <w:r>
        <w:rPr/>
        <w:t>A user having neither the restriction of incoming calls barred within a CUG, nor the restriction of outgoing calls barred within a CUG can make calls to, and receive calls from, members of those CUGs of which the user is a member.</w:t>
      </w:r>
    </w:p>
    <w:p>
      <w:pPr>
        <w:pStyle w:val="Normal"/>
        <w:rPr/>
      </w:pPr>
      <w:r>
        <w:rPr/>
        <w:t xml:space="preserve">Upon receipt of a call setup attempt to or from a CUG subscriber the network shall check its validity in conjunction with the access capabilities subscribed to. </w:t>
      </w:r>
    </w:p>
    <w:p>
      <w:pPr>
        <w:pStyle w:val="Normal"/>
        <w:rPr/>
      </w:pPr>
      <w:r>
        <w:rPr/>
        <w:t>On successful validation of a CUG call setup attempt the network shall attempt to establish the call to the required destination.</w:t>
      </w:r>
    </w:p>
    <w:p>
      <w:pPr>
        <w:pStyle w:val="Heading4"/>
        <w:ind w:left="1418" w:hanging="1418"/>
        <w:rPr/>
      </w:pPr>
      <w:bookmarkStart w:id="23" w:name="__RefHeading___Toc296331932"/>
      <w:bookmarkEnd w:id="23"/>
      <w:r>
        <w:rPr/>
        <w:t>1.3.8.1</w:t>
        <w:tab/>
        <w:t>Mobile originating calls</w:t>
      </w:r>
    </w:p>
    <w:p>
      <w:pPr>
        <w:pStyle w:val="Normal"/>
        <w:rPr/>
      </w:pPr>
      <w:r>
        <w:rPr/>
        <w:t>When originating a call, the calling user may specify a CUG index to indicate that service to a particular CUG is required. If no CUG index is given then the preferential CUG (if specified) is used by the network.</w:t>
      </w:r>
    </w:p>
    <w:p>
      <w:pPr>
        <w:pStyle w:val="Normal"/>
        <w:rPr/>
      </w:pPr>
      <w:r>
        <w:rPr/>
        <w:t>The Outgoing Access (OA) capability allows CUG subscribers to make outgoing calls, which are not subject to CUG restrictions.</w:t>
      </w:r>
    </w:p>
    <w:p>
      <w:pPr>
        <w:pStyle w:val="Normal"/>
        <w:rPr/>
      </w:pPr>
      <w:r>
        <w:rPr/>
        <w:t>If a user, subscribing to the CUG Supplementary Service, originates a call and enters a request for suppression of both a preferential CUG and of the OA capability but does not enter a CUG index, the call shall be rejected.</w:t>
      </w:r>
    </w:p>
    <w:p>
      <w:pPr>
        <w:pStyle w:val="Normal"/>
        <w:rPr/>
      </w:pPr>
      <w:r>
        <w:rPr/>
        <w:t>If a user, subscribing to the CUG Supplementary Service and having the OA capability, originates a call and enters a CUG index (without suppressing the OA capability), while having the restriction of outgoing calls barred within that CUG, the call shall be established without any CUG information i.e. as a normal call.</w:t>
      </w:r>
    </w:p>
    <w:p>
      <w:pPr>
        <w:pStyle w:val="Normal"/>
        <w:rPr/>
      </w:pPr>
      <w:r>
        <w:rPr/>
        <w:t xml:space="preserve">The originating PLMN actions are illustrated in annex 2. </w:t>
      </w:r>
    </w:p>
    <w:p>
      <w:pPr>
        <w:pStyle w:val="Normal"/>
        <w:rPr/>
      </w:pPr>
      <w:r>
        <w:rPr/>
        <w:t>As a network option, the network may signal towards the calling user the CUG index in use for the current call, if this can be determined by the network.</w:t>
      </w:r>
    </w:p>
    <w:p>
      <w:pPr>
        <w:pStyle w:val="Heading5"/>
        <w:ind w:left="1701" w:hanging="1701"/>
        <w:rPr/>
      </w:pPr>
      <w:bookmarkStart w:id="24" w:name="__RefHeading___Toc296331933"/>
      <w:bookmarkEnd w:id="24"/>
      <w:r>
        <w:rPr/>
        <w:t>1.3.8.1.1</w:t>
        <w:tab/>
        <w:t>A user with no preferential CUG and no OA capability</w:t>
      </w:r>
    </w:p>
    <w:p>
      <w:pPr>
        <w:pStyle w:val="Normal"/>
        <w:rPr/>
      </w:pPr>
      <w:r>
        <w:rPr/>
        <w:t>If a user, subscribing to the CUG Supplementary Service, who has no preferential CUG and no OA capability, originates a call and enters a CUG index (and possibly requests suppression of a preferential CUG and/or the OA capability) the call shall be established using the CUG index provided. If no CUG index is entered the call shall be rejected.</w:t>
      </w:r>
    </w:p>
    <w:p>
      <w:pPr>
        <w:pStyle w:val="Heading5"/>
        <w:ind w:left="1701" w:hanging="1701"/>
        <w:rPr/>
      </w:pPr>
      <w:bookmarkStart w:id="25" w:name="__RefHeading___Toc296331934"/>
      <w:bookmarkEnd w:id="25"/>
      <w:r>
        <w:rPr/>
        <w:t>1.3.8.1.2</w:t>
        <w:tab/>
        <w:t>A user with a preferential CUG but no OA capability</w:t>
      </w:r>
    </w:p>
    <w:p>
      <w:pPr>
        <w:pStyle w:val="Normal"/>
        <w:rPr/>
      </w:pPr>
      <w:r>
        <w:rPr/>
        <w:t>If a user, subscribing to the CUG Supplementary Service, who has a preferential CUG but no OA capability, originates a call and enters no CUG information (or if she only requests suppression of the OA capability),the call shall be established using the preferential CUG. If she enters a CUG index (and possibly a request for suppression of the preferential CUG and/or the OA capability), the call shall be established using the CUG index provided. If she enters only a request for suppression of the preferential CUG, i.e. no CUG index, the call shall be rejected.</w:t>
      </w:r>
    </w:p>
    <w:p>
      <w:pPr>
        <w:pStyle w:val="Heading5"/>
        <w:ind w:left="1701" w:hanging="1701"/>
        <w:rPr/>
      </w:pPr>
      <w:bookmarkStart w:id="26" w:name="__RefHeading___Toc296331935"/>
      <w:bookmarkEnd w:id="26"/>
      <w:r>
        <w:rPr/>
        <w:t>1.3.8.1.3</w:t>
        <w:tab/>
        <w:t>A user with the OA capability but no preferential CUG</w:t>
      </w:r>
    </w:p>
    <w:p>
      <w:pPr>
        <w:pStyle w:val="Normal"/>
        <w:rPr/>
      </w:pPr>
      <w:r>
        <w:rPr/>
        <w:t>If a user, subscribing to the CUG Supplementary Service, who has the OA capability but no preferential CUG, originates a call and enters no CUG information (or if she only requests suppression of a preferential CUG), the call shall be established without any CUG information being sent, i.e. this is set up as a normal call. If she enters a CUG index (and possibly a request for suppression of a preferential CUG), the call shall be established using the CUG index provided and with an indication of OA allowed. If she enters both a CUG index and a request for suppression of the OA capability (and possibly a request for suppression of a preferential CUG), the call shall be established using the CUG index provided. If she enters only a request for suppression of the OA capability, i.e. no CUG index, the call shall be rejected.</w:t>
      </w:r>
    </w:p>
    <w:p>
      <w:pPr>
        <w:pStyle w:val="Heading5"/>
        <w:ind w:left="1701" w:hanging="1701"/>
        <w:rPr/>
      </w:pPr>
      <w:bookmarkStart w:id="27" w:name="__RefHeading___Toc296331936"/>
      <w:bookmarkEnd w:id="27"/>
      <w:r>
        <w:rPr/>
        <w:t>1.3.8.1.4</w:t>
        <w:tab/>
        <w:t>A user with a preferential CUG and the OA capability</w:t>
      </w:r>
    </w:p>
    <w:p>
      <w:pPr>
        <w:pStyle w:val="Normal"/>
        <w:rPr/>
      </w:pPr>
      <w:r>
        <w:rPr/>
        <w:t>If a user, subscribing to the CUG Supplementary Service, who has a preferential CUG and the OA capability, originates a call without any CUG information, the call shall be established using the preferential CUG and with an indication of OA allowed. If she enters a CUG index (and possibly a request for suppression of the preferential CUG), the call shall be established using the CUG index provided and with an indication of OA allowed. If she enters only a request for suppression of the OA capability, the call shall be established using the preferential CUG. If she enters only a request for suppression of the preferential CUG, i.e. no CUG index, the call shall be established without any CUG information i.e. this is set up as a normal call. If she enters both a CUG index and a request for suppression of the OA capability (and possibly a request for suppression of the preferential CUG), the call shall be established using the CUG index provided.</w:t>
      </w:r>
    </w:p>
    <w:p>
      <w:pPr>
        <w:pStyle w:val="Heading5"/>
        <w:ind w:left="1701" w:hanging="1701"/>
        <w:rPr/>
      </w:pPr>
      <w:bookmarkStart w:id="28" w:name="__RefHeading___Toc296331937"/>
      <w:bookmarkEnd w:id="28"/>
      <w:r>
        <w:rPr/>
        <w:t>1.3.8.1.5</w:t>
        <w:tab/>
        <w:t>A user not subscribing to the CUG Supplementary Service</w:t>
      </w:r>
    </w:p>
    <w:p>
      <w:pPr>
        <w:pStyle w:val="Normal"/>
        <w:rPr/>
      </w:pPr>
      <w:r>
        <w:rPr/>
        <w:t>If a user, not subscribing to the CUG Supplementary Service, originates a call and enters CUG information the call shall be set up as a normal call.</w:t>
      </w:r>
    </w:p>
    <w:p>
      <w:pPr>
        <w:pStyle w:val="Heading4"/>
        <w:ind w:left="1418" w:hanging="1418"/>
        <w:rPr/>
      </w:pPr>
      <w:bookmarkStart w:id="29" w:name="__RefHeading___Toc296331938"/>
      <w:bookmarkEnd w:id="29"/>
      <w:r>
        <w:rPr/>
        <w:t>1.3.8.2</w:t>
        <w:tab/>
        <w:t>Mobile terminating calls</w:t>
      </w:r>
    </w:p>
    <w:p>
      <w:pPr>
        <w:pStyle w:val="Normal"/>
        <w:rPr/>
      </w:pPr>
      <w:r>
        <w:rPr/>
        <w:t>If a user, with or without the IA capability, receives a CUG call and the calling user is a member of the same CUG, the incoming CUG call shall be indicated as such, towards the called Mobile Station, with the appropriate CUG index.</w:t>
      </w:r>
    </w:p>
    <w:p>
      <w:pPr>
        <w:pStyle w:val="Normal"/>
        <w:rPr/>
      </w:pPr>
      <w:r>
        <w:rPr/>
        <w:t>If a user with the IA capability receives a call from a user who has not subscribed to the CUG Supplementary service, or from a user who is a member from another CUG and who is using the OA capability, the call is offered to the user as a normal incoming call.</w:t>
      </w:r>
    </w:p>
    <w:p>
      <w:pPr>
        <w:pStyle w:val="Normal"/>
        <w:rPr/>
      </w:pPr>
      <w:r>
        <w:rPr/>
        <w:t>The terminating PLMN actions are illustrated in annex 3.</w:t>
      </w:r>
    </w:p>
    <w:p>
      <w:pPr>
        <w:pStyle w:val="Heading5"/>
        <w:ind w:left="1701" w:hanging="1701"/>
        <w:rPr/>
      </w:pPr>
      <w:bookmarkStart w:id="30" w:name="__RefHeading___Toc296331939"/>
      <w:bookmarkEnd w:id="30"/>
      <w:r>
        <w:rPr/>
        <w:t>1.3.8.2.1</w:t>
        <w:tab/>
        <w:t>CUG call with no OA indication</w:t>
      </w:r>
    </w:p>
    <w:p>
      <w:pPr>
        <w:pStyle w:val="Normal"/>
        <w:rPr/>
      </w:pPr>
      <w:r>
        <w:rPr/>
        <w:t>For a call where an interlock code is received, but not an indication of OA allowed, the following applies:</w:t>
      </w:r>
    </w:p>
    <w:p>
      <w:pPr>
        <w:pStyle w:val="Normal"/>
        <w:rPr/>
      </w:pPr>
      <w:r>
        <w:rPr/>
        <w:t>If there is a match with any of the called user's CUGs, and if she does not have incoming calls barred within this CUG, the call shall be offered as a CUG call. In all other cases the call shall be rejected.</w:t>
      </w:r>
    </w:p>
    <w:p>
      <w:pPr>
        <w:pStyle w:val="Heading5"/>
        <w:ind w:left="1701" w:hanging="1701"/>
        <w:rPr/>
      </w:pPr>
      <w:bookmarkStart w:id="31" w:name="__RefHeading___Toc296331940"/>
      <w:bookmarkEnd w:id="31"/>
      <w:r>
        <w:rPr/>
        <w:t>1.3.8.2.2</w:t>
        <w:tab/>
        <w:t>CUG call with OA indication</w:t>
      </w:r>
    </w:p>
    <w:p>
      <w:pPr>
        <w:pStyle w:val="Normal"/>
        <w:rPr/>
      </w:pPr>
      <w:r>
        <w:rPr/>
        <w:t>For a call where both an interlock code and an indication of OA allowed is received, the following applies:</w:t>
      </w:r>
    </w:p>
    <w:p>
      <w:pPr>
        <w:pStyle w:val="Normal"/>
        <w:rPr/>
      </w:pPr>
      <w:r>
        <w:rPr/>
        <w:t>If there is a match with any of the called user's CUGs, and if she does not have incoming calls barred within this CUG, the call shall be offered as a CUG call.</w:t>
      </w:r>
    </w:p>
    <w:p>
      <w:pPr>
        <w:pStyle w:val="Normal"/>
        <w:rPr/>
      </w:pPr>
      <w:r>
        <w:rPr/>
        <w:t>If the above condition does not apply, and if she has incoming access allowed, the call shall be offered as a normal call.</w:t>
      </w:r>
    </w:p>
    <w:p>
      <w:pPr>
        <w:pStyle w:val="Normal"/>
        <w:rPr/>
      </w:pPr>
      <w:r>
        <w:rPr/>
        <w:t>If the called subscriber does not subscribe to the CUG Supplementary Service, the call shall be offered as a normal call.</w:t>
      </w:r>
    </w:p>
    <w:p>
      <w:pPr>
        <w:pStyle w:val="Normal"/>
        <w:rPr/>
      </w:pPr>
      <w:r>
        <w:rPr/>
        <w:t>In all other cases, the call shall be rejected.</w:t>
      </w:r>
    </w:p>
    <w:p>
      <w:pPr>
        <w:pStyle w:val="Heading5"/>
        <w:ind w:left="1701" w:hanging="1701"/>
        <w:rPr/>
      </w:pPr>
      <w:bookmarkStart w:id="32" w:name="__RefHeading___Toc296331941"/>
      <w:bookmarkEnd w:id="32"/>
      <w:r>
        <w:rPr/>
        <w:t>1.3.8.2.3</w:t>
        <w:tab/>
        <w:t>Normal call</w:t>
      </w:r>
    </w:p>
    <w:p>
      <w:pPr>
        <w:pStyle w:val="Normal"/>
        <w:rPr/>
      </w:pPr>
      <w:r>
        <w:rPr/>
        <w:t>When a normal call is received, i.e. a call without any CUG information, the following shall apply:</w:t>
      </w:r>
    </w:p>
    <w:p>
      <w:pPr>
        <w:pStyle w:val="Normal"/>
        <w:rPr/>
      </w:pPr>
      <w:r>
        <w:rPr/>
        <w:t>If the called subscriber subscribes to the CUG Supplementary Service and has incoming access allowed, or if she is a normal non-CUG subscriber, the call shall be offered as a normal call. In all other cases, the call shall be rejected.</w:t>
      </w:r>
    </w:p>
    <w:p>
      <w:pPr>
        <w:pStyle w:val="Heading2"/>
        <w:rPr/>
      </w:pPr>
      <w:bookmarkStart w:id="33" w:name="__RefHeading___Toc296331942"/>
      <w:bookmarkEnd w:id="33"/>
      <w:r>
        <w:rPr/>
        <w:t>1.4</w:t>
        <w:tab/>
        <w:t>Exceptional procedures or unsuccessful outcome</w:t>
      </w:r>
    </w:p>
    <w:p>
      <w:pPr>
        <w:pStyle w:val="Heading3"/>
        <w:rPr/>
      </w:pPr>
      <w:bookmarkStart w:id="34" w:name="__RefHeading___Toc296331943"/>
      <w:bookmarkEnd w:id="34"/>
      <w:r>
        <w:rPr/>
        <w:t>1.4.1</w:t>
        <w:tab/>
        <w:t>Exceptional operation or unsuccessful outcome</w:t>
      </w:r>
    </w:p>
    <w:p>
      <w:pPr>
        <w:pStyle w:val="Normal"/>
        <w:rPr/>
      </w:pPr>
      <w:r>
        <w:rPr/>
        <w:t>Upon receipt of a call setup attempt to or from a CUG subscriber, the network shall check its validity in conjunction with the access capabilities subscribed to. If an invalid request is received or the checks cannot be performed, then the network shall reject the call and return an appropriate indication to the calling user.</w:t>
      </w:r>
    </w:p>
    <w:p>
      <w:pPr>
        <w:pStyle w:val="Normal"/>
        <w:rPr/>
      </w:pPr>
      <w:r>
        <w:rPr/>
        <w:t xml:space="preserve">The network shall prohibit a user with incoming calls barred within a CUG from receiving CUG calls from members of the same CUG. </w:t>
      </w:r>
    </w:p>
    <w:p>
      <w:pPr>
        <w:pStyle w:val="Normal"/>
        <w:rPr/>
      </w:pPr>
      <w:r>
        <w:rPr/>
        <w:t>The network shall prohibit a user with outgoing calls barred within a CUG from making CUG calls within that CUG.</w:t>
      </w:r>
    </w:p>
    <w:p>
      <w:pPr>
        <w:pStyle w:val="Heading3"/>
        <w:rPr/>
      </w:pPr>
      <w:bookmarkStart w:id="35" w:name="__RefHeading___Toc296331944"/>
      <w:bookmarkEnd w:id="35"/>
      <w:r>
        <w:rPr/>
        <w:t>1.4.10</w:t>
        <w:tab/>
        <w:t>Roaming into networks not supporting CUG</w:t>
      </w:r>
    </w:p>
    <w:p>
      <w:pPr>
        <w:pStyle w:val="Normal"/>
        <w:rPr/>
      </w:pPr>
      <w:r>
        <w:rPr/>
        <w:t>The HPLMN shall control handling of roaming, when a CUG subscriber is roaming into a network not supporting CUG, without relying on extra functionality in network entities not supporting CUG.</w:t>
      </w:r>
    </w:p>
    <w:p>
      <w:pPr>
        <w:pStyle w:val="Normal"/>
        <w:rPr/>
      </w:pPr>
      <w:r>
        <w:rPr/>
        <w:t>For subscribers roaming in a PLMN not supporting CUG the following apply:</w:t>
      </w:r>
    </w:p>
    <w:p>
      <w:pPr>
        <w:pStyle w:val="B1"/>
        <w:rPr/>
      </w:pPr>
      <w:r>
        <w:rPr/>
        <w:t>1)</w:t>
        <w:tab/>
        <w:t>In the case of basic service groups not subject to CUG restrictions, incoming and outgoing calls shall be allowed as normal.</w:t>
      </w:r>
    </w:p>
    <w:p>
      <w:pPr>
        <w:pStyle w:val="B1"/>
        <w:rPr/>
      </w:pPr>
      <w:r>
        <w:rPr/>
        <w:t>2)</w:t>
        <w:tab/>
        <w:t>In the case of basic service groups subject to CUG restrictions and without incoming access, incoming calls shall not be allowed.</w:t>
      </w:r>
    </w:p>
    <w:p>
      <w:pPr>
        <w:pStyle w:val="B1"/>
        <w:rPr/>
      </w:pPr>
      <w:r>
        <w:rPr/>
        <w:t>3)</w:t>
        <w:tab/>
        <w:t>In the case of basic service groups subject to CUG restrictions and without outgoing access, outgoing calls shall not be allowed.</w:t>
      </w:r>
    </w:p>
    <w:p>
      <w:pPr>
        <w:pStyle w:val="B1"/>
        <w:rPr/>
      </w:pPr>
      <w:r>
        <w:rPr/>
        <w:t>4)</w:t>
        <w:tab/>
        <w:t>Normal incoming calls are allowed for basic service groups subject to CUG restrictions and for which the called user has incoming access allowed.</w:t>
      </w:r>
    </w:p>
    <w:p>
      <w:pPr>
        <w:pStyle w:val="B1"/>
        <w:rPr/>
      </w:pPr>
      <w:r>
        <w:rPr/>
        <w:t>5)</w:t>
        <w:tab/>
        <w:t>Outgoing calls are allowed for basic service groups subject to CUG restrictions and for which the user has outgoing access allowed.</w:t>
      </w:r>
    </w:p>
    <w:p>
      <w:pPr>
        <w:pStyle w:val="Heading2"/>
        <w:rPr/>
      </w:pPr>
      <w:bookmarkStart w:id="36" w:name="__RefHeading___Toc296331945"/>
      <w:bookmarkEnd w:id="36"/>
      <w:r>
        <w:rPr/>
        <w:t>1.5</w:t>
        <w:tab/>
        <w:t>Alternate procedures</w:t>
      </w:r>
    </w:p>
    <w:p>
      <w:pPr>
        <w:pStyle w:val="Normal"/>
        <w:rPr/>
      </w:pPr>
      <w:r>
        <w:rPr/>
        <w:t>None identified</w:t>
      </w:r>
    </w:p>
    <w:p>
      <w:pPr>
        <w:pStyle w:val="Heading2"/>
        <w:rPr/>
      </w:pPr>
      <w:bookmarkStart w:id="37" w:name="__RefHeading___Toc296331946"/>
      <w:bookmarkEnd w:id="37"/>
      <w:r>
        <w:rPr/>
        <w:t>1.6</w:t>
        <w:tab/>
        <w:t>Interactions with other Supplementary Services</w:t>
      </w:r>
    </w:p>
    <w:p>
      <w:pPr>
        <w:pStyle w:val="Heading4"/>
        <w:ind w:left="1418" w:hanging="1418"/>
        <w:rPr/>
      </w:pPr>
      <w:bookmarkStart w:id="38" w:name="__RefHeading___Toc296331947"/>
      <w:bookmarkEnd w:id="38"/>
      <w:r>
        <w:rPr/>
        <w:t>1.6.82.1</w:t>
        <w:tab/>
        <w:t>Call forwarding unconditional</w:t>
      </w:r>
    </w:p>
    <w:p>
      <w:pPr>
        <w:pStyle w:val="Normal"/>
        <w:rPr/>
      </w:pPr>
      <w:r>
        <w:rPr/>
        <w:t>CUG restrictions shall be met between the calling user and the forwarding user. In addition, the call must not be forwarded if the CUG restrictions of the forwarding mobile subscriber forbid her to make a call attempt of the same type to the forwarded-to user. The parameters of the CUG requested by the calling user shall be used for the forwarding call, and by this means CUG restrictions shall be met between the calling user and the forwarded-to user, except for the cases stated in section b) below.</w:t>
      </w:r>
    </w:p>
    <w:p>
      <w:pPr>
        <w:pStyle w:val="Normal"/>
        <w:rPr/>
      </w:pPr>
      <w:r>
        <w:rPr/>
        <w:t>Annex 4 shows under what circumstances a call shall be allowed to be forwarded.</w:t>
      </w:r>
    </w:p>
    <w:p>
      <w:pPr>
        <w:pStyle w:val="B1"/>
        <w:rPr/>
      </w:pPr>
      <w:r>
        <w:rPr/>
        <w:t>a)</w:t>
        <w:tab/>
        <w:t>CUG call with no OA indication.</w:t>
      </w:r>
    </w:p>
    <w:p>
      <w:pPr>
        <w:pStyle w:val="Normal"/>
        <w:rPr/>
      </w:pPr>
      <w:r>
        <w:rPr/>
        <w:t>For calls received with an IC, but no indication of OA allowed, the following is valid:</w:t>
      </w:r>
    </w:p>
    <w:p>
      <w:pPr>
        <w:pStyle w:val="Normal"/>
        <w:rPr/>
      </w:pPr>
      <w:r>
        <w:rPr/>
        <w:t>If the forwarding subscriber subscribes to the CUG Supplementary Service, and if she does not have outgoing calls barred within the CUG, the call shall be forwarded with the same IC as received from the A-party. In all other cases, the call shall be rejected.</w:t>
      </w:r>
    </w:p>
    <w:p>
      <w:pPr>
        <w:pStyle w:val="B1"/>
        <w:rPr/>
      </w:pPr>
      <w:r>
        <w:rPr/>
        <w:t>b)</w:t>
        <w:tab/>
        <w:t>CUG call with an indication of OA allowed.</w:t>
      </w:r>
    </w:p>
    <w:p>
      <w:pPr>
        <w:pStyle w:val="Normal"/>
        <w:rPr/>
      </w:pPr>
      <w:r>
        <w:rPr/>
        <w:t>For calls received with an IC and an indication of OA allowed, the following is valid:</w:t>
      </w:r>
    </w:p>
    <w:p>
      <w:pPr>
        <w:pStyle w:val="Normal"/>
        <w:rPr/>
      </w:pPr>
      <w:r>
        <w:rPr/>
        <w:t>If the forwarding subscriber subscribes to the CUG Supplementary Service, and if there is a match with any of her CUGs, and if she does not have OA allowed, and if she does not have outgoing calls barred within the CUG, then the call shall be forwarded with the same IC as received from the A-party (the indication of OA allowed shall in this case NOT be forwarded).</w:t>
      </w:r>
    </w:p>
    <w:p>
      <w:pPr>
        <w:pStyle w:val="Normal"/>
        <w:rPr/>
      </w:pPr>
      <w:r>
        <w:rPr/>
        <w:t>If the forwarding subscriber subscribes to the CUG Supplementary Service, and if there is a match with any of her CUGs, and if she does have OA allowed, and if she does not have outgoing calls barred within the CUG, then the call shall be forwarded with the same IC as received from the A-party and with the indication of OA allowed. If this forwarding subscriber has outgoing calls barred within the CUG, then the call shall be forwarded as a normal call (the CUG information shall in this case NOT be forwarded).</w:t>
      </w:r>
    </w:p>
    <w:p>
      <w:pPr>
        <w:pStyle w:val="Normal"/>
        <w:rPr/>
      </w:pPr>
      <w:r>
        <w:rPr/>
        <w:t>If the forwarding subscriber subscribes to the CUG Supplementary Service, and if there is no match with any of her CUGs, but if she has IA allowed and OA allowed, then the call shall be forwarded with the same IC as received from the A-party and with the indication of OA allowed (in this case the subscription option "Intra-CUG restrictions" is not relevant).</w:t>
      </w:r>
    </w:p>
    <w:p>
      <w:pPr>
        <w:pStyle w:val="Normal"/>
        <w:rPr/>
      </w:pPr>
      <w:r>
        <w:rPr/>
        <w:t>If the forwarding subscriber does not subscribe to the CUG Supplementary Service, then the call shall be forwarded with the same IC as received from the A-party and with the indication of OA allowed.</w:t>
      </w:r>
    </w:p>
    <w:p>
      <w:pPr>
        <w:pStyle w:val="Normal"/>
        <w:rPr/>
      </w:pPr>
      <w:r>
        <w:rPr/>
        <w:t>In all other cases, the call shall be rejected.</w:t>
      </w:r>
    </w:p>
    <w:p>
      <w:pPr>
        <w:pStyle w:val="B1"/>
        <w:rPr/>
      </w:pPr>
      <w:r>
        <w:rPr/>
        <w:t>c)</w:t>
        <w:tab/>
        <w:t>Normal call.</w:t>
      </w:r>
    </w:p>
    <w:p>
      <w:pPr>
        <w:pStyle w:val="Normal"/>
        <w:rPr/>
      </w:pPr>
      <w:r>
        <w:rPr/>
        <w:t>For normal calls received the following is valid:</w:t>
      </w:r>
    </w:p>
    <w:p>
      <w:pPr>
        <w:pStyle w:val="Normal"/>
        <w:rPr/>
      </w:pPr>
      <w:r>
        <w:rPr/>
        <w:t>If the forwarding subscriber subscribes to the CUG Supplementary Service, and if she does have OA allowed, then the call shall be forwarded without any CUG data. (In this case the subscription option "Intra-CUG restrictions" is not relevant.)</w:t>
      </w:r>
    </w:p>
    <w:p>
      <w:pPr>
        <w:pStyle w:val="Normal"/>
        <w:rPr/>
      </w:pPr>
      <w:r>
        <w:rPr/>
        <w:t>If the forwarding subscriber does not subscribe to the CUG Supplementary Service, then the call shall be forwarded (without any CUG data).</w:t>
      </w:r>
    </w:p>
    <w:p>
      <w:pPr>
        <w:pStyle w:val="Normal"/>
        <w:rPr/>
      </w:pPr>
      <w:r>
        <w:rPr/>
        <w:t>In all other cases, the call shall be rejected.</w:t>
      </w:r>
    </w:p>
    <w:p>
      <w:pPr>
        <w:pStyle w:val="Heading4"/>
        <w:ind w:left="1418" w:hanging="1418"/>
        <w:rPr/>
      </w:pPr>
      <w:bookmarkStart w:id="39" w:name="__RefHeading___Toc296331948"/>
      <w:bookmarkEnd w:id="39"/>
      <w:r>
        <w:rPr/>
        <w:t>1.6.82.2</w:t>
        <w:tab/>
        <w:t>Call forwarding on mobile subscriber busy</w:t>
      </w:r>
    </w:p>
    <w:p>
      <w:pPr>
        <w:pStyle w:val="Normal"/>
        <w:rPr/>
      </w:pPr>
      <w:r>
        <w:rPr/>
        <w:t>Same as the interaction with call forwarding unconditional.</w:t>
      </w:r>
    </w:p>
    <w:p>
      <w:pPr>
        <w:pStyle w:val="Heading4"/>
        <w:ind w:left="1418" w:hanging="1418"/>
        <w:rPr/>
      </w:pPr>
      <w:bookmarkStart w:id="40" w:name="__RefHeading___Toc296331949"/>
      <w:bookmarkEnd w:id="40"/>
      <w:r>
        <w:rPr/>
        <w:t>1.6.82.3</w:t>
        <w:tab/>
        <w:t>Call forwarding on no reply</w:t>
      </w:r>
    </w:p>
    <w:p>
      <w:pPr>
        <w:pStyle w:val="Normal"/>
        <w:rPr/>
      </w:pPr>
      <w:r>
        <w:rPr/>
        <w:t>Same as the interaction with call forwarding unconditional.</w:t>
      </w:r>
    </w:p>
    <w:p>
      <w:pPr>
        <w:pStyle w:val="Heading4"/>
        <w:ind w:left="1418" w:hanging="1418"/>
        <w:rPr/>
      </w:pPr>
      <w:bookmarkStart w:id="41" w:name="__RefHeading___Toc296331950"/>
      <w:bookmarkEnd w:id="41"/>
      <w:r>
        <w:rPr/>
        <w:t>1.6.82.4</w:t>
        <w:tab/>
        <w:t>Call forwarding on mobile subscriber not reachable</w:t>
      </w:r>
    </w:p>
    <w:p>
      <w:pPr>
        <w:pStyle w:val="Normal"/>
        <w:rPr/>
      </w:pPr>
      <w:r>
        <w:rPr/>
        <w:t>Same as the interaction with call forwarding unconditional.</w:t>
      </w:r>
    </w:p>
    <w:p>
      <w:pPr>
        <w:pStyle w:val="Heading4"/>
        <w:ind w:left="1418" w:hanging="1418"/>
        <w:rPr/>
      </w:pPr>
      <w:bookmarkStart w:id="42" w:name="__RefHeading___Toc296331951"/>
      <w:bookmarkEnd w:id="42"/>
      <w:r>
        <w:rPr/>
        <w:t>1.6.83.1</w:t>
        <w:tab/>
        <w:t>Call waiting</w:t>
      </w:r>
    </w:p>
    <w:p>
      <w:pPr>
        <w:pStyle w:val="Normal"/>
        <w:rPr/>
      </w:pPr>
      <w:r>
        <w:rPr/>
        <w:t>No interaction. If the incoming (waiting) call is a CUG call it shall be indicated as such.</w:t>
      </w:r>
    </w:p>
    <w:p>
      <w:pPr>
        <w:pStyle w:val="Heading4"/>
        <w:ind w:left="1418" w:hanging="1418"/>
        <w:rPr/>
      </w:pPr>
      <w:bookmarkStart w:id="43" w:name="__RefHeading___Toc296331952"/>
      <w:bookmarkEnd w:id="43"/>
      <w:r>
        <w:rPr/>
        <w:t>1.6.84.1</w:t>
        <w:tab/>
        <w:t>Multi-party service</w:t>
      </w:r>
    </w:p>
    <w:p>
      <w:pPr>
        <w:pStyle w:val="Normal"/>
        <w:rPr/>
      </w:pPr>
      <w:r>
        <w:rPr/>
        <w:t>No interaction. Multi-party calls shall be set up taking into account the CUG relationships between the controlling party and each of the remote parties. The CUG restrictions need not to be checked between remote parties.</w:t>
      </w:r>
    </w:p>
    <w:p>
      <w:pPr>
        <w:pStyle w:val="Heading3"/>
        <w:rPr/>
      </w:pPr>
      <w:bookmarkStart w:id="44" w:name="__RefHeading___Toc296331953"/>
      <w:bookmarkEnd w:id="44"/>
      <w:r>
        <w:rPr/>
        <w:t>1.6.88</w:t>
        <w:tab/>
        <w:t>Call restriction Supplementary Services</w:t>
      </w:r>
    </w:p>
    <w:p>
      <w:pPr>
        <w:pStyle w:val="Normal"/>
        <w:rPr/>
      </w:pPr>
      <w:r>
        <w:rPr/>
        <w:t xml:space="preserve">Except for ACR, the following is valid: </w:t>
      </w:r>
    </w:p>
    <w:p>
      <w:pPr>
        <w:pStyle w:val="B1"/>
        <w:rPr/>
      </w:pPr>
      <w:r>
        <w:rPr/>
        <w:t>-</w:t>
        <w:tab/>
        <w:t>The call restriction Supplementary Services, when active and operative, takes precedence over the CUG restrictions.</w:t>
      </w:r>
    </w:p>
    <w:p>
      <w:pPr>
        <w:pStyle w:val="B1"/>
        <w:rPr/>
      </w:pPr>
      <w:r>
        <w:rPr/>
        <w:t>-</w:t>
        <w:tab/>
        <w:t>The activation of a call restriction Supplementary Service does not affect any current CUG call.</w:t>
      </w:r>
    </w:p>
    <w:p>
      <w:pPr>
        <w:pStyle w:val="Normal"/>
        <w:rPr/>
      </w:pPr>
      <w:r>
        <w:rPr/>
        <w:t>For ACR, see 3GPP TS 22.088 [6].</w:t>
      </w:r>
    </w:p>
    <w:p>
      <w:pPr>
        <w:pStyle w:val="Heading2"/>
        <w:rPr/>
      </w:pPr>
      <w:bookmarkStart w:id="45" w:name="__RefHeading___Toc296331954"/>
      <w:bookmarkEnd w:id="45"/>
      <w:r>
        <w:rPr/>
        <w:t>1.7</w:t>
        <w:tab/>
        <w:t>Interworking considerations</w:t>
      </w:r>
    </w:p>
    <w:p>
      <w:pPr>
        <w:pStyle w:val="Normal"/>
        <w:rPr/>
      </w:pPr>
      <w:r>
        <w:rPr/>
        <w:t>If, due to an interworking situation, signalling in the network is not able to carry the information required to provide the service, the network shall terminate the attempt and return an appropriate indication to the calling user. However, a CUG call with an OA indication shall in this case continue to be established as a normal call.</w:t>
      </w:r>
    </w:p>
    <w:p>
      <w:pPr>
        <w:pStyle w:val="Normal"/>
        <w:rPr/>
      </w:pPr>
      <w:r>
        <w:rPr/>
        <w:t>The rejection of CUG calls cannot be technically guarantied in all network interconnection cases, and can only be ensured by inter-connect agreement.</w:t>
      </w:r>
    </w:p>
    <w:p>
      <w:pPr>
        <w:pStyle w:val="Normal"/>
        <w:rPr/>
      </w:pPr>
      <w:r>
        <w:rPr/>
        <w:t>Management of CUG spanning over multiple networks:</w:t>
      </w:r>
    </w:p>
    <w:p>
      <w:pPr>
        <w:pStyle w:val="Normal"/>
        <w:rPr/>
      </w:pPr>
      <w:r>
        <w:rPr/>
        <w:t>A CUG may span over several networks. In this case the responsibility for the management of this CUG is in one of these networks.</w:t>
      </w:r>
    </w:p>
    <w:p>
      <w:pPr>
        <w:pStyle w:val="NO"/>
        <w:rPr/>
      </w:pPr>
      <w:r>
        <w:rPr/>
        <w:t>NOTE:</w:t>
        <w:tab/>
        <w:t>One mechanism exists for CUGs spanning over data networks only, having X.121 as the numbering plan (see ITU-T Recommendation X.180 (1988)), "Administrative arrangements for international closed user groups".</w:t>
      </w:r>
      <w:r>
        <w:br w:type="page"/>
      </w:r>
    </w:p>
    <w:p>
      <w:pPr>
        <w:pStyle w:val="Heading8"/>
        <w:ind w:left="0" w:hanging="0"/>
        <w:rPr/>
      </w:pPr>
      <w:bookmarkStart w:id="46" w:name="__RefHeading___Toc296331955"/>
      <w:bookmarkEnd w:id="46"/>
      <w:r>
        <w:rPr/>
        <w:t>Annex 1 (normative):</w:t>
        <w:br/>
        <w:t>General subscription options (Per Subscriber)</w:t>
      </w:r>
    </w:p>
    <w:tbl>
      <w:tblPr>
        <w:tblW w:w="8188" w:type="dxa"/>
        <w:jc w:val="center"/>
        <w:tblInd w:w="0" w:type="dxa"/>
        <w:tblLayout w:type="fixed"/>
        <w:tblCellMar>
          <w:top w:w="0" w:type="dxa"/>
          <w:left w:w="28" w:type="dxa"/>
          <w:bottom w:w="0" w:type="dxa"/>
          <w:right w:w="28" w:type="dxa"/>
        </w:tblCellMar>
      </w:tblPr>
      <w:tblGrid>
        <w:gridCol w:w="3369"/>
        <w:gridCol w:w="4819"/>
      </w:tblGrid>
      <w:tr>
        <w:trPr/>
        <w:tc>
          <w:tcPr>
            <w:tcW w:w="3369" w:type="dxa"/>
            <w:tcBorders>
              <w:top w:val="single" w:sz="6" w:space="0" w:color="000000"/>
              <w:left w:val="single" w:sz="6" w:space="0" w:color="000000"/>
              <w:bottom w:val="single" w:sz="6" w:space="0" w:color="000000"/>
              <w:right w:val="single" w:sz="6" w:space="0" w:color="000000"/>
            </w:tcBorders>
          </w:tcPr>
          <w:p>
            <w:pPr>
              <w:pStyle w:val="TAH"/>
              <w:rPr/>
            </w:pPr>
            <w:r>
              <w:rPr/>
              <w:t>Subscription Option</w:t>
            </w:r>
          </w:p>
        </w:tc>
        <w:tc>
          <w:tcPr>
            <w:tcW w:w="4819" w:type="dxa"/>
            <w:tcBorders>
              <w:top w:val="single" w:sz="6" w:space="0" w:color="000000"/>
              <w:left w:val="single" w:sz="6" w:space="0" w:color="000000"/>
              <w:bottom w:val="single" w:sz="6" w:space="0" w:color="000000"/>
              <w:right w:val="single" w:sz="6" w:space="0" w:color="000000"/>
            </w:tcBorders>
          </w:tcPr>
          <w:p>
            <w:pPr>
              <w:pStyle w:val="TAH"/>
              <w:rPr/>
            </w:pPr>
            <w:r>
              <w:rPr/>
              <w:t>Values Available</w:t>
            </w:r>
          </w:p>
        </w:tc>
      </w:tr>
      <w:tr>
        <w:trPr/>
        <w:tc>
          <w:tcPr>
            <w:tcW w:w="3369" w:type="dxa"/>
            <w:tcBorders>
              <w:left w:val="single" w:sz="6" w:space="0" w:color="000000"/>
              <w:bottom w:val="single" w:sz="6" w:space="0" w:color="000000"/>
              <w:right w:val="single" w:sz="6" w:space="0" w:color="000000"/>
            </w:tcBorders>
          </w:tcPr>
          <w:p>
            <w:pPr>
              <w:pStyle w:val="Normal"/>
              <w:keepLines/>
              <w:spacing w:before="0" w:after="180"/>
              <w:rPr/>
            </w:pPr>
            <w:r>
              <w:rPr/>
              <w:t>Subscription to CUGs</w:t>
            </w:r>
          </w:p>
        </w:tc>
        <w:tc>
          <w:tcPr>
            <w:tcW w:w="4819" w:type="dxa"/>
            <w:tcBorders>
              <w:left w:val="single" w:sz="6" w:space="0" w:color="000000"/>
              <w:bottom w:val="single" w:sz="6" w:space="0" w:color="000000"/>
              <w:right w:val="single" w:sz="6" w:space="0" w:color="000000"/>
            </w:tcBorders>
          </w:tcPr>
          <w:p>
            <w:pPr>
              <w:pStyle w:val="Normal"/>
              <w:keepLines/>
              <w:spacing w:before="0" w:after="180"/>
              <w:rPr/>
            </w:pPr>
            <w:r>
              <w:rPr/>
              <w:t>List of one or more CUG indices to the maximum stated in subclause 1.2.1.</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Intra CUG restrictions (for each CUG)</w:t>
            </w:r>
          </w:p>
        </w:tc>
        <w:tc>
          <w:tcPr>
            <w:tcW w:w="4819" w:type="dxa"/>
            <w:tcBorders>
              <w:top w:val="single" w:sz="6" w:space="0" w:color="000000"/>
              <w:left w:val="single" w:sz="6" w:space="0" w:color="000000"/>
              <w:bottom w:val="single" w:sz="6" w:space="0" w:color="000000"/>
              <w:right w:val="single" w:sz="6" w:space="0" w:color="000000"/>
            </w:tcBorders>
          </w:tcPr>
          <w:p>
            <w:pPr>
              <w:pStyle w:val="Normal"/>
              <w:keepLines/>
              <w:rPr/>
            </w:pPr>
            <w:r>
              <w:rPr/>
              <w:t>-</w:t>
              <w:tab/>
              <w:t>None designated</w:t>
            </w:r>
          </w:p>
          <w:p>
            <w:pPr>
              <w:pStyle w:val="Normal"/>
              <w:keepLines/>
              <w:rPr/>
            </w:pPr>
            <w:r>
              <w:rPr/>
              <w:t>-</w:t>
              <w:tab/>
              <w:t>Incoming calls barred within a CUG</w:t>
            </w:r>
          </w:p>
          <w:p>
            <w:pPr>
              <w:pStyle w:val="Normal"/>
              <w:keepLines/>
              <w:spacing w:before="0" w:after="180"/>
              <w:rPr/>
            </w:pPr>
            <w:r>
              <w:rPr/>
              <w:t>-</w:t>
              <w:tab/>
              <w:t>Outgoing calls barred within a CUG</w:t>
            </w:r>
          </w:p>
        </w:tc>
      </w:tr>
      <w:tr>
        <w:trPr/>
        <w:tc>
          <w:tcPr>
            <w:tcW w:w="3369"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Applicability to Basic Services (for each CUG)</w:t>
            </w:r>
          </w:p>
        </w:tc>
        <w:tc>
          <w:tcPr>
            <w:tcW w:w="4819" w:type="dxa"/>
            <w:tcBorders>
              <w:top w:val="single" w:sz="6" w:space="0" w:color="000000"/>
              <w:left w:val="single" w:sz="6" w:space="0" w:color="000000"/>
              <w:bottom w:val="single" w:sz="6" w:space="0" w:color="000000"/>
              <w:right w:val="single" w:sz="6" w:space="0" w:color="000000"/>
            </w:tcBorders>
          </w:tcPr>
          <w:p>
            <w:pPr>
              <w:pStyle w:val="Normal"/>
              <w:keepLines/>
              <w:rPr/>
            </w:pPr>
            <w:r>
              <w:rPr/>
              <w:t>-</w:t>
              <w:tab/>
              <w:t>List of one or more Basic Service groups</w:t>
            </w:r>
          </w:p>
          <w:p>
            <w:pPr>
              <w:pStyle w:val="Normal"/>
              <w:keepLines/>
              <w:spacing w:before="0" w:after="180"/>
              <w:rPr/>
            </w:pPr>
            <w:r>
              <w:rPr/>
              <w:t>-</w:t>
              <w:tab/>
              <w:t>All Basic Services</w:t>
            </w:r>
          </w:p>
        </w:tc>
      </w:tr>
    </w:tbl>
    <w:p>
      <w:pPr>
        <w:pStyle w:val="Normal"/>
        <w:rPr/>
      </w:pPr>
      <w:r>
        <w:rPr/>
      </w:r>
    </w:p>
    <w:p>
      <w:pPr>
        <w:pStyle w:val="Normal"/>
        <w:rPr/>
      </w:pPr>
      <w:r>
        <w:rPr/>
        <w:t>Per basic service group subscription options</w:t>
      </w:r>
    </w:p>
    <w:tbl>
      <w:tblPr>
        <w:tblW w:w="8222" w:type="dxa"/>
        <w:jc w:val="center"/>
        <w:tblInd w:w="0" w:type="dxa"/>
        <w:tblLayout w:type="fixed"/>
        <w:tblCellMar>
          <w:top w:w="0" w:type="dxa"/>
          <w:left w:w="28" w:type="dxa"/>
          <w:bottom w:w="0" w:type="dxa"/>
          <w:right w:w="28" w:type="dxa"/>
        </w:tblCellMar>
      </w:tblPr>
      <w:tblGrid>
        <w:gridCol w:w="3402"/>
        <w:gridCol w:w="4820"/>
      </w:tblGrid>
      <w:tr>
        <w:trPr/>
        <w:tc>
          <w:tcPr>
            <w:tcW w:w="3402"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Subscription Option</w:t>
            </w:r>
          </w:p>
        </w:tc>
        <w:tc>
          <w:tcPr>
            <w:tcW w:w="482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Values Available</w:t>
            </w:r>
          </w:p>
        </w:tc>
      </w:tr>
      <w:tr>
        <w:trPr/>
        <w:tc>
          <w:tcPr>
            <w:tcW w:w="3402" w:type="dxa"/>
            <w:tcBorders>
              <w:left w:val="single" w:sz="6" w:space="0" w:color="000000"/>
              <w:bottom w:val="single" w:sz="6" w:space="0" w:color="000000"/>
              <w:right w:val="single" w:sz="6" w:space="0" w:color="000000"/>
            </w:tcBorders>
          </w:tcPr>
          <w:p>
            <w:pPr>
              <w:pStyle w:val="Normal"/>
              <w:keepLines/>
              <w:spacing w:before="0" w:after="180"/>
              <w:rPr/>
            </w:pPr>
            <w:r>
              <w:rPr/>
              <w:t>Preferential CUG</w:t>
            </w:r>
          </w:p>
        </w:tc>
        <w:tc>
          <w:tcPr>
            <w:tcW w:w="4820" w:type="dxa"/>
            <w:tcBorders>
              <w:left w:val="single" w:sz="6" w:space="0" w:color="000000"/>
              <w:bottom w:val="single" w:sz="6" w:space="0" w:color="000000"/>
              <w:right w:val="single" w:sz="6" w:space="0" w:color="000000"/>
            </w:tcBorders>
          </w:tcPr>
          <w:p>
            <w:pPr>
              <w:pStyle w:val="Normal"/>
              <w:keepLines/>
              <w:rPr/>
            </w:pPr>
            <w:r>
              <w:rPr/>
              <w:t>-</w:t>
              <w:tab/>
              <w:t>None designated (NOTE)</w:t>
            </w:r>
          </w:p>
          <w:p>
            <w:pPr>
              <w:pStyle w:val="Normal"/>
              <w:keepLines/>
              <w:spacing w:before="0" w:after="180"/>
              <w:rPr/>
            </w:pPr>
            <w:r>
              <w:rPr/>
              <w:t>-</w:t>
              <w:tab/>
              <w:t>CUG index</w:t>
            </w:r>
          </w:p>
        </w:tc>
      </w:tr>
      <w:tr>
        <w:trPr/>
        <w:tc>
          <w:tcPr>
            <w:tcW w:w="3402"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Type of inter CUG accessibility</w:t>
            </w:r>
          </w:p>
        </w:tc>
        <w:tc>
          <w:tcPr>
            <w:tcW w:w="4820" w:type="dxa"/>
            <w:tcBorders>
              <w:top w:val="single" w:sz="6" w:space="0" w:color="000000"/>
              <w:left w:val="single" w:sz="6" w:space="0" w:color="000000"/>
              <w:bottom w:val="single" w:sz="6" w:space="0" w:color="000000"/>
              <w:right w:val="single" w:sz="6" w:space="0" w:color="000000"/>
            </w:tcBorders>
          </w:tcPr>
          <w:p>
            <w:pPr>
              <w:pStyle w:val="Normal"/>
              <w:keepLines/>
              <w:rPr/>
            </w:pPr>
            <w:r>
              <w:rPr/>
              <w:t>-</w:t>
              <w:tab/>
              <w:t>None designated</w:t>
            </w:r>
          </w:p>
          <w:p>
            <w:pPr>
              <w:pStyle w:val="Normal"/>
              <w:keepLines/>
              <w:rPr/>
            </w:pPr>
            <w:r>
              <w:rPr/>
              <w:t>-</w:t>
              <w:tab/>
              <w:t>Outgoing access</w:t>
            </w:r>
          </w:p>
          <w:p>
            <w:pPr>
              <w:pStyle w:val="Normal"/>
              <w:keepLines/>
              <w:rPr/>
            </w:pPr>
            <w:r>
              <w:rPr/>
              <w:t>-</w:t>
              <w:tab/>
              <w:t>Incoming access</w:t>
            </w:r>
          </w:p>
          <w:p>
            <w:pPr>
              <w:pStyle w:val="Normal"/>
              <w:keepLines/>
              <w:spacing w:before="0" w:after="180"/>
              <w:rPr/>
            </w:pPr>
            <w:r>
              <w:rPr/>
              <w:t>-</w:t>
              <w:tab/>
              <w:t>Outgoing and Incoming access</w:t>
            </w:r>
          </w:p>
        </w:tc>
      </w:tr>
    </w:tbl>
    <w:p>
      <w:pPr>
        <w:pStyle w:val="Normal"/>
        <w:rPr/>
      </w:pPr>
      <w:r>
        <w:rPr/>
      </w:r>
      <w:r>
        <w:br w:type="page"/>
      </w:r>
    </w:p>
    <w:p>
      <w:pPr>
        <w:pStyle w:val="Heading8"/>
        <w:ind w:left="0" w:hanging="0"/>
        <w:rPr/>
      </w:pPr>
      <w:bookmarkStart w:id="47" w:name="__RefHeading___Toc296331956"/>
      <w:bookmarkEnd w:id="47"/>
      <w:r>
        <w:rPr/>
        <w:t>Annex 2 (normative):</w:t>
        <w:br/>
        <w:t>Originating PLMN actions on call requests on the calling user's side</w:t>
      </w:r>
    </w:p>
    <w:tbl>
      <w:tblPr>
        <w:tblW w:w="9570" w:type="dxa"/>
        <w:jc w:val="center"/>
        <w:tblInd w:w="0" w:type="dxa"/>
        <w:tblLayout w:type="fixed"/>
        <w:tblCellMar>
          <w:top w:w="0" w:type="dxa"/>
          <w:left w:w="28" w:type="dxa"/>
          <w:bottom w:w="0" w:type="dxa"/>
          <w:right w:w="28" w:type="dxa"/>
        </w:tblCellMar>
      </w:tblPr>
      <w:tblGrid>
        <w:gridCol w:w="1595"/>
        <w:gridCol w:w="1595"/>
        <w:gridCol w:w="1595"/>
        <w:gridCol w:w="1595"/>
        <w:gridCol w:w="1595"/>
        <w:gridCol w:w="1595"/>
      </w:tblGrid>
      <w:tr>
        <w:trPr/>
        <w:tc>
          <w:tcPr>
            <w:tcW w:w="1595" w:type="dxa"/>
            <w:tcBorders>
              <w:bottom w:val="double" w:sz="6" w:space="0" w:color="000000"/>
              <w:right w:val="double" w:sz="6" w:space="0" w:color="000000"/>
            </w:tcBorders>
          </w:tcPr>
          <w:p>
            <w:pPr>
              <w:pStyle w:val="TAH"/>
              <w:snapToGrid w:val="false"/>
              <w:rPr/>
            </w:pPr>
            <w:r>
              <w:rPr/>
            </w:r>
          </w:p>
        </w:tc>
        <w:tc>
          <w:tcPr>
            <w:tcW w:w="7975" w:type="dxa"/>
            <w:gridSpan w:val="5"/>
            <w:tcBorders>
              <w:top w:val="double" w:sz="6" w:space="0" w:color="000000"/>
              <w:left w:val="double" w:sz="6" w:space="0" w:color="000000"/>
              <w:bottom w:val="double" w:sz="6" w:space="0" w:color="000000"/>
              <w:right w:val="double" w:sz="6" w:space="0" w:color="000000"/>
            </w:tcBorders>
          </w:tcPr>
          <w:p>
            <w:pPr>
              <w:pStyle w:val="TAH"/>
              <w:rPr/>
            </w:pPr>
            <w:r>
              <w:rPr/>
              <w:t>Information from the calling user</w:t>
            </w:r>
          </w:p>
          <w:p>
            <w:pPr>
              <w:pStyle w:val="TAH"/>
              <w:rPr/>
            </w:pPr>
            <w:r>
              <w:rPr/>
            </w:r>
          </w:p>
        </w:tc>
      </w:tr>
      <w:tr>
        <w:trPr/>
        <w:tc>
          <w:tcPr>
            <w:tcW w:w="1595" w:type="dxa"/>
            <w:tcBorders>
              <w:top w:val="double" w:sz="6" w:space="0" w:color="000000"/>
              <w:left w:val="double" w:sz="6" w:space="0" w:color="000000"/>
              <w:bottom w:val="double" w:sz="6" w:space="0" w:color="000000"/>
              <w:right w:val="single" w:sz="6" w:space="0" w:color="000000"/>
            </w:tcBorders>
          </w:tcPr>
          <w:p>
            <w:pPr>
              <w:pStyle w:val="Normal"/>
              <w:keepLines/>
              <w:rPr/>
            </w:pPr>
            <w:r>
              <w:rPr/>
              <w:t>Calling user's subscription</w:t>
            </w:r>
          </w:p>
          <w:p>
            <w:pPr>
              <w:pStyle w:val="Normal"/>
              <w:keepLines/>
              <w:rPr/>
            </w:pPr>
            <w:r>
              <w:rPr/>
              <w:tab/>
              <w:t>-</w:t>
            </w:r>
          </w:p>
          <w:p>
            <w:pPr>
              <w:pStyle w:val="Normal"/>
              <w:keepLines/>
              <w:rPr/>
            </w:pPr>
            <w:r>
              <w:rPr/>
              <w:tab/>
              <w:t>-</w:t>
            </w:r>
          </w:p>
          <w:p>
            <w:pPr>
              <w:pStyle w:val="Normal"/>
              <w:keepLines/>
              <w:spacing w:before="0" w:after="180"/>
              <w:rPr/>
            </w:pPr>
            <w:r>
              <w:rPr/>
              <w:tab/>
              <w:t>-</w:t>
            </w:r>
          </w:p>
        </w:tc>
        <w:tc>
          <w:tcPr>
            <w:tcW w:w="1595" w:type="dxa"/>
            <w:tcBorders>
              <w:top w:val="double" w:sz="6" w:space="0" w:color="000000"/>
              <w:left w:val="single" w:sz="6" w:space="0" w:color="000000"/>
              <w:bottom w:val="double" w:sz="6" w:space="0" w:color="000000"/>
              <w:right w:val="single" w:sz="6" w:space="0" w:color="000000"/>
            </w:tcBorders>
          </w:tcPr>
          <w:p>
            <w:pPr>
              <w:pStyle w:val="Normal"/>
              <w:keepLines/>
              <w:spacing w:before="0" w:after="180"/>
              <w:rPr/>
            </w:pPr>
            <w:r>
              <w:rPr/>
              <w:t>No CUG info</w:t>
            </w:r>
          </w:p>
        </w:tc>
        <w:tc>
          <w:tcPr>
            <w:tcW w:w="1595" w:type="dxa"/>
            <w:tcBorders>
              <w:top w:val="double" w:sz="6" w:space="0" w:color="000000"/>
              <w:left w:val="single" w:sz="6" w:space="0" w:color="000000"/>
              <w:bottom w:val="double" w:sz="6" w:space="0" w:color="000000"/>
              <w:right w:val="single" w:sz="6" w:space="0" w:color="000000"/>
            </w:tcBorders>
          </w:tcPr>
          <w:p>
            <w:pPr>
              <w:pStyle w:val="Normal"/>
              <w:keepLines/>
              <w:spacing w:before="0" w:after="180"/>
              <w:rPr/>
            </w:pPr>
            <w:r>
              <w:rPr/>
              <w:t>CUG index or CUG index and suppress pref. CUG</w:t>
            </w:r>
          </w:p>
        </w:tc>
        <w:tc>
          <w:tcPr>
            <w:tcW w:w="1595" w:type="dxa"/>
            <w:tcBorders>
              <w:top w:val="double" w:sz="6" w:space="0" w:color="000000"/>
              <w:left w:val="single" w:sz="6" w:space="0" w:color="000000"/>
              <w:bottom w:val="double" w:sz="6" w:space="0" w:color="000000"/>
              <w:right w:val="single" w:sz="6" w:space="0" w:color="000000"/>
            </w:tcBorders>
          </w:tcPr>
          <w:p>
            <w:pPr>
              <w:pStyle w:val="Normal"/>
              <w:keepLines/>
              <w:spacing w:before="0" w:after="180"/>
              <w:rPr/>
            </w:pPr>
            <w:r>
              <w:rPr/>
              <w:t>Suppress OA</w:t>
            </w:r>
          </w:p>
        </w:tc>
        <w:tc>
          <w:tcPr>
            <w:tcW w:w="1595" w:type="dxa"/>
            <w:tcBorders>
              <w:top w:val="double" w:sz="6" w:space="0" w:color="000000"/>
              <w:left w:val="single" w:sz="6" w:space="0" w:color="000000"/>
              <w:bottom w:val="double" w:sz="6" w:space="0" w:color="000000"/>
              <w:right w:val="single" w:sz="6" w:space="0" w:color="000000"/>
            </w:tcBorders>
          </w:tcPr>
          <w:p>
            <w:pPr>
              <w:pStyle w:val="Normal"/>
              <w:keepLines/>
              <w:spacing w:before="0" w:after="180"/>
              <w:rPr/>
            </w:pPr>
            <w:r>
              <w:rPr/>
              <w:t>Suppress pref. CUG</w:t>
            </w:r>
          </w:p>
        </w:tc>
        <w:tc>
          <w:tcPr>
            <w:tcW w:w="1595" w:type="dxa"/>
            <w:tcBorders>
              <w:top w:val="double" w:sz="6" w:space="0" w:color="000000"/>
              <w:left w:val="single" w:sz="6" w:space="0" w:color="000000"/>
              <w:bottom w:val="double" w:sz="6" w:space="0" w:color="000000"/>
              <w:right w:val="double" w:sz="6" w:space="0" w:color="000000"/>
            </w:tcBorders>
          </w:tcPr>
          <w:p>
            <w:pPr>
              <w:pStyle w:val="Normal"/>
              <w:keepLines/>
              <w:spacing w:before="0" w:after="180"/>
              <w:rPr/>
            </w:pPr>
            <w:r>
              <w:rPr/>
              <w:t>CUG index and suppress OA or CUG index and suppress OA and suppress pref CUG</w:t>
            </w:r>
          </w:p>
        </w:tc>
      </w:tr>
      <w:tr>
        <w:trPr/>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User without preferential CUG and without OA</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Reject call</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Establish call using CUG index provided</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Reject call</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Reject call</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Establish call using CUG index provided</w:t>
            </w:r>
          </w:p>
        </w:tc>
      </w:tr>
      <w:tr>
        <w:trPr/>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User with preferential CUG but without OA</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Establish call using pref CUG</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Establish call using CUG index provided</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Establish call using pref CUG</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Reject call</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Establish call using CUG index provided</w:t>
            </w:r>
          </w:p>
        </w:tc>
      </w:tr>
      <w:tr>
        <w:trPr/>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User without preferential CUG but with OA</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Establish call without any CUG info i.e. a normal call</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Establish call using CUG index provided and OA indicator</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Reject call</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Establish call without any CUG info i.e. a normal call</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Establish call using CUG index provided</w:t>
            </w:r>
          </w:p>
        </w:tc>
      </w:tr>
      <w:tr>
        <w:trPr/>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User with preferential CUG and with OA</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Establish call using pref CUG and OA indicator</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Establish call using CUG index provided and OA indicator</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Establish call using pref CUG</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Establish call without any CUG info i.e. a normal call</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Establish call using CUG index provided</w:t>
            </w:r>
          </w:p>
        </w:tc>
      </w:tr>
      <w:tr>
        <w:trPr/>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User without the CUG SS</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Normal call</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Normal call</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Normal call</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Normal call</w:t>
            </w:r>
          </w:p>
        </w:tc>
        <w:tc>
          <w:tcPr>
            <w:tcW w:w="1595" w:type="dxa"/>
            <w:tcBorders>
              <w:top w:val="single" w:sz="6" w:space="0" w:color="000000"/>
              <w:left w:val="single" w:sz="6" w:space="0" w:color="000000"/>
              <w:bottom w:val="single" w:sz="6" w:space="0" w:color="000000"/>
              <w:right w:val="single" w:sz="6" w:space="0" w:color="000000"/>
            </w:tcBorders>
          </w:tcPr>
          <w:p>
            <w:pPr>
              <w:pStyle w:val="Normal"/>
              <w:keepLines/>
              <w:spacing w:before="0" w:after="180"/>
              <w:rPr/>
            </w:pPr>
            <w:r>
              <w:rPr/>
              <w:t>Normal call</w:t>
            </w:r>
          </w:p>
        </w:tc>
      </w:tr>
    </w:tbl>
    <w:p>
      <w:pPr>
        <w:pStyle w:val="Normal"/>
        <w:rPr/>
      </w:pPr>
      <w:r>
        <w:rPr/>
      </w:r>
    </w:p>
    <w:p>
      <w:pPr>
        <w:pStyle w:val="NO"/>
        <w:rPr/>
      </w:pPr>
      <w:r>
        <w:rPr/>
        <w:t>NOTE 1:</w:t>
        <w:tab/>
        <w:t>If a CUG user enters a non-allocated CUG index the call shall be rejected.</w:t>
      </w:r>
    </w:p>
    <w:p>
      <w:pPr>
        <w:pStyle w:val="NO"/>
        <w:rPr/>
      </w:pPr>
      <w:r>
        <w:rPr/>
        <w:t>NOTE 2:</w:t>
        <w:tab/>
        <w:t>If a user, subscribing to the CUG Supplementary Service and having the OA capability, originates a call and enters a CUG index (without suppressing the OA capability), while having the restriction of outgoing calls barred within that CUG, the call shall be established without any CUG information i.e. as a normal call.</w:t>
      </w:r>
      <w:r>
        <w:br w:type="page"/>
      </w:r>
    </w:p>
    <w:p>
      <w:pPr>
        <w:pStyle w:val="Heading8"/>
        <w:ind w:left="0" w:hanging="0"/>
        <w:rPr/>
      </w:pPr>
      <w:bookmarkStart w:id="48" w:name="__RefHeading___Toc296331957"/>
      <w:bookmarkEnd w:id="48"/>
      <w:r>
        <w:rPr/>
        <w:t>Annex 3 (normative):</w:t>
        <w:br/>
        <w:t>Terminating PLMN actions</w:t>
      </w:r>
    </w:p>
    <w:p>
      <w:pPr>
        <w:pStyle w:val="Normal"/>
        <w:rPr/>
      </w:pPr>
      <w:r>
        <w:rPr/>
        <w:t>This table shows the type of call request sent to the destination user or that a rejection indication is returned to the calling user, as a result of the CUG checks on the destination network side.</w:t>
      </w:r>
    </w:p>
    <w:p>
      <w:pPr>
        <w:pStyle w:val="Normal"/>
        <w:rPr/>
      </w:pPr>
      <w:r>
        <w:rPr/>
        <w:t>Network actions on call requests on the called user's side</w:t>
      </w:r>
    </w:p>
    <w:tbl>
      <w:tblPr>
        <w:tblW w:w="8645" w:type="dxa"/>
        <w:jc w:val="center"/>
        <w:tblInd w:w="0" w:type="dxa"/>
        <w:tblLayout w:type="fixed"/>
        <w:tblCellMar>
          <w:top w:w="0" w:type="dxa"/>
          <w:left w:w="28" w:type="dxa"/>
          <w:bottom w:w="0" w:type="dxa"/>
          <w:right w:w="28" w:type="dxa"/>
        </w:tblCellMar>
      </w:tblPr>
      <w:tblGrid>
        <w:gridCol w:w="1352"/>
        <w:gridCol w:w="425"/>
        <w:gridCol w:w="1418"/>
        <w:gridCol w:w="1418"/>
        <w:gridCol w:w="1418"/>
        <w:gridCol w:w="1412"/>
        <w:gridCol w:w="1202"/>
      </w:tblGrid>
      <w:tr>
        <w:trPr/>
        <w:tc>
          <w:tcPr>
            <w:tcW w:w="1352" w:type="dxa"/>
            <w:tcBorders>
              <w:top w:val="single" w:sz="6" w:space="0" w:color="000000"/>
              <w:left w:val="single" w:sz="6" w:space="0" w:color="000000"/>
              <w:right w:val="single" w:sz="6" w:space="0" w:color="000000"/>
            </w:tcBorders>
          </w:tcPr>
          <w:p>
            <w:pPr>
              <w:pStyle w:val="TAH"/>
              <w:rPr/>
            </w:pPr>
            <w:r>
              <w:rPr/>
              <w:t>Type of CUG indication</w:t>
            </w:r>
          </w:p>
        </w:tc>
        <w:tc>
          <w:tcPr>
            <w:tcW w:w="425" w:type="dxa"/>
            <w:tcBorders>
              <w:top w:val="single" w:sz="6" w:space="0" w:color="000000"/>
              <w:left w:val="single" w:sz="6" w:space="0" w:color="000000"/>
              <w:right w:val="single" w:sz="18" w:space="0" w:color="000000"/>
            </w:tcBorders>
          </w:tcPr>
          <w:p>
            <w:pPr>
              <w:pStyle w:val="TAH"/>
              <w:rPr/>
            </w:pPr>
            <w:r>
              <w:rPr/>
              <w:t>M or</w:t>
            </w:r>
          </w:p>
        </w:tc>
        <w:tc>
          <w:tcPr>
            <w:tcW w:w="5666" w:type="dxa"/>
            <w:gridSpan w:val="4"/>
            <w:tcBorders>
              <w:top w:val="single" w:sz="6" w:space="0" w:color="000000"/>
              <w:bottom w:val="single" w:sz="6" w:space="0" w:color="000000"/>
              <w:right w:val="single" w:sz="6" w:space="0" w:color="000000"/>
            </w:tcBorders>
          </w:tcPr>
          <w:p>
            <w:pPr>
              <w:pStyle w:val="TAH"/>
              <w:rPr/>
            </w:pPr>
            <w:r>
              <w:rPr/>
              <w:t>CUG attributes of the forwarding user for requested basic service group</w:t>
            </w:r>
          </w:p>
        </w:tc>
        <w:tc>
          <w:tcPr>
            <w:tcW w:w="1202" w:type="dxa"/>
            <w:tcBorders>
              <w:top w:val="single" w:sz="6" w:space="0" w:color="000000"/>
              <w:left w:val="single" w:sz="6" w:space="0" w:color="000000"/>
              <w:right w:val="single" w:sz="6" w:space="0" w:color="000000"/>
            </w:tcBorders>
          </w:tcPr>
          <w:p>
            <w:pPr>
              <w:pStyle w:val="TAH"/>
              <w:rPr/>
            </w:pPr>
            <w:r>
              <w:rPr/>
              <w:t>forwarding user is a non</w:t>
            </w:r>
          </w:p>
        </w:tc>
      </w:tr>
      <w:tr>
        <w:trPr/>
        <w:tc>
          <w:tcPr>
            <w:tcW w:w="1352" w:type="dxa"/>
            <w:tcBorders>
              <w:left w:val="single" w:sz="6" w:space="0" w:color="000000"/>
              <w:right w:val="single" w:sz="6" w:space="0" w:color="000000"/>
            </w:tcBorders>
          </w:tcPr>
          <w:p>
            <w:pPr>
              <w:pStyle w:val="TAL"/>
              <w:rPr/>
            </w:pPr>
            <w:r>
              <w:rPr/>
              <w:t>from the</w:t>
            </w:r>
          </w:p>
        </w:tc>
        <w:tc>
          <w:tcPr>
            <w:tcW w:w="425" w:type="dxa"/>
            <w:tcBorders>
              <w:left w:val="single" w:sz="6" w:space="0" w:color="000000"/>
              <w:right w:val="single" w:sz="18" w:space="0" w:color="000000"/>
            </w:tcBorders>
          </w:tcPr>
          <w:p>
            <w:pPr>
              <w:pStyle w:val="TAL"/>
              <w:rPr/>
            </w:pPr>
            <w:r>
              <w:rPr/>
              <w:t>NM</w:t>
            </w:r>
          </w:p>
        </w:tc>
        <w:tc>
          <w:tcPr>
            <w:tcW w:w="2836" w:type="dxa"/>
            <w:gridSpan w:val="2"/>
            <w:tcBorders>
              <w:top w:val="single" w:sz="6" w:space="0" w:color="000000"/>
              <w:bottom w:val="single" w:sz="6" w:space="0" w:color="000000"/>
              <w:right w:val="single" w:sz="6" w:space="0" w:color="000000"/>
            </w:tcBorders>
          </w:tcPr>
          <w:p>
            <w:pPr>
              <w:pStyle w:val="TAC"/>
              <w:rPr/>
            </w:pPr>
            <w:r>
              <w:rPr/>
              <w:t>IA not allowed</w:t>
            </w:r>
          </w:p>
        </w:tc>
        <w:tc>
          <w:tcPr>
            <w:tcW w:w="2830" w:type="dxa"/>
            <w:gridSpan w:val="2"/>
            <w:tcBorders>
              <w:left w:val="single" w:sz="6" w:space="0" w:color="000000"/>
              <w:right w:val="single" w:sz="6" w:space="0" w:color="000000"/>
            </w:tcBorders>
          </w:tcPr>
          <w:p>
            <w:pPr>
              <w:pStyle w:val="TAC"/>
              <w:rPr/>
            </w:pPr>
            <w:r>
              <w:rPr/>
              <w:t>IA allowed</w:t>
            </w:r>
          </w:p>
        </w:tc>
        <w:tc>
          <w:tcPr>
            <w:tcW w:w="1202" w:type="dxa"/>
            <w:tcBorders>
              <w:left w:val="single" w:sz="6" w:space="0" w:color="000000"/>
              <w:right w:val="single" w:sz="6" w:space="0" w:color="000000"/>
            </w:tcBorders>
          </w:tcPr>
          <w:p>
            <w:pPr>
              <w:pStyle w:val="TAL"/>
              <w:rPr/>
            </w:pPr>
            <w:r>
              <w:rPr/>
              <w:t>CUG user</w:t>
            </w:r>
          </w:p>
        </w:tc>
      </w:tr>
      <w:tr>
        <w:trPr/>
        <w:tc>
          <w:tcPr>
            <w:tcW w:w="1352" w:type="dxa"/>
            <w:tcBorders>
              <w:left w:val="single" w:sz="6" w:space="0" w:color="000000"/>
              <w:bottom w:val="single" w:sz="18" w:space="0" w:color="000000"/>
              <w:right w:val="single" w:sz="6" w:space="0" w:color="000000"/>
            </w:tcBorders>
          </w:tcPr>
          <w:p>
            <w:pPr>
              <w:pStyle w:val="TAL"/>
              <w:rPr/>
            </w:pPr>
            <w:r>
              <w:rPr/>
              <w:t>network</w:t>
            </w:r>
          </w:p>
        </w:tc>
        <w:tc>
          <w:tcPr>
            <w:tcW w:w="425" w:type="dxa"/>
            <w:tcBorders>
              <w:left w:val="single" w:sz="6" w:space="0" w:color="000000"/>
              <w:bottom w:val="single" w:sz="18" w:space="0" w:color="000000"/>
              <w:right w:val="single" w:sz="18" w:space="0" w:color="000000"/>
            </w:tcBorders>
          </w:tcPr>
          <w:p>
            <w:pPr>
              <w:pStyle w:val="TAL"/>
              <w:snapToGrid w:val="false"/>
              <w:rPr/>
            </w:pPr>
            <w:r>
              <w:rPr/>
            </w:r>
          </w:p>
        </w:tc>
        <w:tc>
          <w:tcPr>
            <w:tcW w:w="1418" w:type="dxa"/>
            <w:tcBorders>
              <w:top w:val="single" w:sz="6" w:space="0" w:color="000000"/>
              <w:bottom w:val="single" w:sz="18" w:space="0" w:color="000000"/>
              <w:right w:val="single" w:sz="6" w:space="0" w:color="000000"/>
            </w:tcBorders>
          </w:tcPr>
          <w:p>
            <w:pPr>
              <w:pStyle w:val="TAC"/>
              <w:rPr/>
            </w:pPr>
            <w:r>
              <w:rPr/>
              <w:t>not icb</w:t>
            </w:r>
          </w:p>
        </w:tc>
        <w:tc>
          <w:tcPr>
            <w:tcW w:w="1418" w:type="dxa"/>
            <w:tcBorders>
              <w:left w:val="single" w:sz="6" w:space="0" w:color="000000"/>
              <w:bottom w:val="single" w:sz="18" w:space="0" w:color="000000"/>
              <w:right w:val="single" w:sz="6" w:space="0" w:color="000000"/>
            </w:tcBorders>
          </w:tcPr>
          <w:p>
            <w:pPr>
              <w:pStyle w:val="TAC"/>
              <w:rPr/>
            </w:pPr>
            <w:r>
              <w:rPr/>
              <w:t>icb</w:t>
            </w:r>
          </w:p>
        </w:tc>
        <w:tc>
          <w:tcPr>
            <w:tcW w:w="1418" w:type="dxa"/>
            <w:tcBorders>
              <w:top w:val="single" w:sz="6" w:space="0" w:color="000000"/>
              <w:left w:val="single" w:sz="6" w:space="0" w:color="000000"/>
              <w:bottom w:val="single" w:sz="18" w:space="0" w:color="000000"/>
              <w:right w:val="single" w:sz="6" w:space="0" w:color="000000"/>
            </w:tcBorders>
          </w:tcPr>
          <w:p>
            <w:pPr>
              <w:pStyle w:val="TAL"/>
              <w:rPr/>
            </w:pPr>
            <w:r>
              <w:rPr/>
              <w:t>not icb</w:t>
            </w:r>
          </w:p>
        </w:tc>
        <w:tc>
          <w:tcPr>
            <w:tcW w:w="1412" w:type="dxa"/>
            <w:tcBorders>
              <w:top w:val="single" w:sz="6" w:space="0" w:color="000000"/>
              <w:left w:val="single" w:sz="6" w:space="0" w:color="000000"/>
              <w:bottom w:val="single" w:sz="18" w:space="0" w:color="000000"/>
              <w:right w:val="single" w:sz="6" w:space="0" w:color="000000"/>
            </w:tcBorders>
          </w:tcPr>
          <w:p>
            <w:pPr>
              <w:pStyle w:val="TAL"/>
              <w:rPr/>
            </w:pPr>
            <w:r>
              <w:rPr/>
              <w:t>icb</w:t>
            </w:r>
          </w:p>
        </w:tc>
        <w:tc>
          <w:tcPr>
            <w:tcW w:w="1202" w:type="dxa"/>
            <w:tcBorders>
              <w:left w:val="single" w:sz="6" w:space="0" w:color="000000"/>
              <w:bottom w:val="single" w:sz="18" w:space="0" w:color="000000"/>
              <w:right w:val="single" w:sz="6" w:space="0" w:color="000000"/>
            </w:tcBorders>
          </w:tcPr>
          <w:p>
            <w:pPr>
              <w:pStyle w:val="TAL"/>
              <w:snapToGrid w:val="false"/>
              <w:rPr/>
            </w:pPr>
            <w:r>
              <w:rPr/>
            </w:r>
          </w:p>
        </w:tc>
      </w:tr>
      <w:tr>
        <w:trPr/>
        <w:tc>
          <w:tcPr>
            <w:tcW w:w="1352" w:type="dxa"/>
            <w:tcBorders>
              <w:left w:val="single" w:sz="6" w:space="0" w:color="000000"/>
              <w:right w:val="single" w:sz="6" w:space="0" w:color="000000"/>
            </w:tcBorders>
          </w:tcPr>
          <w:p>
            <w:pPr>
              <w:pStyle w:val="TAL"/>
              <w:rPr/>
            </w:pPr>
            <w:r>
              <w:rPr/>
              <w:t>CUG call with no OA</w:t>
            </w:r>
          </w:p>
        </w:tc>
        <w:tc>
          <w:tcPr>
            <w:tcW w:w="425" w:type="dxa"/>
            <w:tcBorders>
              <w:left w:val="single" w:sz="6" w:space="0" w:color="000000"/>
              <w:bottom w:val="single" w:sz="6" w:space="0" w:color="000000"/>
              <w:right w:val="single" w:sz="18" w:space="0" w:color="000000"/>
            </w:tcBorders>
          </w:tcPr>
          <w:p>
            <w:pPr>
              <w:pStyle w:val="TAL"/>
              <w:rPr/>
            </w:pPr>
            <w:r>
              <w:rPr/>
              <w:t>M</w:t>
            </w:r>
          </w:p>
        </w:tc>
        <w:tc>
          <w:tcPr>
            <w:tcW w:w="1418" w:type="dxa"/>
            <w:tcBorders>
              <w:bottom w:val="single" w:sz="6" w:space="0" w:color="000000"/>
              <w:right w:val="single" w:sz="6" w:space="0" w:color="000000"/>
            </w:tcBorders>
          </w:tcPr>
          <w:p>
            <w:pPr>
              <w:pStyle w:val="TAC"/>
              <w:rPr/>
            </w:pPr>
            <w:r>
              <w:rPr/>
              <w:t>CUG call</w:t>
            </w:r>
          </w:p>
        </w:tc>
        <w:tc>
          <w:tcPr>
            <w:tcW w:w="1418" w:type="dxa"/>
            <w:tcBorders>
              <w:left w:val="single" w:sz="6" w:space="0" w:color="000000"/>
              <w:bottom w:val="single" w:sz="6" w:space="0" w:color="000000"/>
              <w:right w:val="single" w:sz="6" w:space="0" w:color="000000"/>
            </w:tcBorders>
          </w:tcPr>
          <w:p>
            <w:pPr>
              <w:pStyle w:val="TAC"/>
              <w:rPr/>
            </w:pPr>
            <w:r>
              <w:rPr/>
              <w:t>rejected</w:t>
            </w:r>
          </w:p>
        </w:tc>
        <w:tc>
          <w:tcPr>
            <w:tcW w:w="1418" w:type="dxa"/>
            <w:tcBorders>
              <w:left w:val="single" w:sz="6" w:space="0" w:color="000000"/>
              <w:right w:val="single" w:sz="6" w:space="0" w:color="000000"/>
            </w:tcBorders>
          </w:tcPr>
          <w:p>
            <w:pPr>
              <w:pStyle w:val="TAL"/>
              <w:rPr/>
            </w:pPr>
            <w:r>
              <w:rPr/>
              <w:t>CUG call</w:t>
            </w:r>
          </w:p>
        </w:tc>
        <w:tc>
          <w:tcPr>
            <w:tcW w:w="1412" w:type="dxa"/>
            <w:tcBorders>
              <w:left w:val="single" w:sz="6" w:space="0" w:color="000000"/>
              <w:right w:val="single" w:sz="6" w:space="0" w:color="000000"/>
            </w:tcBorders>
          </w:tcPr>
          <w:p>
            <w:pPr>
              <w:pStyle w:val="TAL"/>
              <w:rPr/>
            </w:pPr>
            <w:r>
              <w:rPr/>
              <w:t>rejected</w:t>
            </w:r>
          </w:p>
        </w:tc>
        <w:tc>
          <w:tcPr>
            <w:tcW w:w="1202" w:type="dxa"/>
            <w:tcBorders>
              <w:left w:val="single" w:sz="6" w:space="0" w:color="000000"/>
              <w:right w:val="single" w:sz="6" w:space="0" w:color="000000"/>
            </w:tcBorders>
          </w:tcPr>
          <w:p>
            <w:pPr>
              <w:pStyle w:val="TAL"/>
              <w:snapToGrid w:val="false"/>
              <w:rPr/>
            </w:pPr>
            <w:r>
              <w:rPr/>
            </w:r>
          </w:p>
          <w:p>
            <w:pPr>
              <w:pStyle w:val="TAL"/>
              <w:rPr/>
            </w:pPr>
            <w:r>
              <w:rPr/>
              <w:t>rejected</w:t>
            </w:r>
          </w:p>
        </w:tc>
      </w:tr>
      <w:tr>
        <w:trPr/>
        <w:tc>
          <w:tcPr>
            <w:tcW w:w="1352" w:type="dxa"/>
            <w:tcBorders>
              <w:left w:val="single" w:sz="6" w:space="0" w:color="000000"/>
              <w:bottom w:val="single" w:sz="6" w:space="0" w:color="000000"/>
              <w:right w:val="single" w:sz="6" w:space="0" w:color="000000"/>
            </w:tcBorders>
          </w:tcPr>
          <w:p>
            <w:pPr>
              <w:pStyle w:val="TAL"/>
              <w:rPr/>
            </w:pPr>
            <w:r>
              <w:rPr/>
              <w:t>indication</w:t>
            </w:r>
          </w:p>
        </w:tc>
        <w:tc>
          <w:tcPr>
            <w:tcW w:w="425" w:type="dxa"/>
            <w:tcBorders>
              <w:top w:val="single" w:sz="6" w:space="0" w:color="000000"/>
              <w:left w:val="single" w:sz="6" w:space="0" w:color="000000"/>
              <w:bottom w:val="single" w:sz="6" w:space="0" w:color="000000"/>
              <w:right w:val="single" w:sz="18" w:space="0" w:color="000000"/>
            </w:tcBorders>
          </w:tcPr>
          <w:p>
            <w:pPr>
              <w:pStyle w:val="TAL"/>
              <w:rPr/>
            </w:pPr>
            <w:r>
              <w:rPr/>
              <w:t>NM</w:t>
            </w:r>
          </w:p>
        </w:tc>
        <w:tc>
          <w:tcPr>
            <w:tcW w:w="2836" w:type="dxa"/>
            <w:gridSpan w:val="2"/>
            <w:tcBorders>
              <w:top w:val="single" w:sz="6" w:space="0" w:color="000000"/>
              <w:bottom w:val="single" w:sz="6" w:space="0" w:color="000000"/>
              <w:right w:val="single" w:sz="6" w:space="0" w:color="000000"/>
            </w:tcBorders>
          </w:tcPr>
          <w:p>
            <w:pPr>
              <w:pStyle w:val="TAC"/>
              <w:rPr/>
            </w:pPr>
            <w:r>
              <w:rPr/>
              <w:t>rejected</w:t>
            </w:r>
          </w:p>
        </w:tc>
        <w:tc>
          <w:tcPr>
            <w:tcW w:w="2830" w:type="dxa"/>
            <w:gridSpan w:val="2"/>
            <w:tcBorders>
              <w:top w:val="single" w:sz="6" w:space="0" w:color="000000"/>
              <w:left w:val="single" w:sz="6" w:space="0" w:color="000000"/>
              <w:bottom w:val="single" w:sz="6" w:space="0" w:color="000000"/>
              <w:right w:val="single" w:sz="6" w:space="0" w:color="000000"/>
            </w:tcBorders>
          </w:tcPr>
          <w:p>
            <w:pPr>
              <w:pStyle w:val="TAC"/>
              <w:rPr/>
            </w:pPr>
            <w:r>
              <w:rPr/>
              <w:t>rejected</w:t>
            </w:r>
          </w:p>
        </w:tc>
        <w:tc>
          <w:tcPr>
            <w:tcW w:w="1202" w:type="dxa"/>
            <w:tcBorders>
              <w:left w:val="single" w:sz="6" w:space="0" w:color="000000"/>
              <w:bottom w:val="single" w:sz="6" w:space="0" w:color="000000"/>
              <w:right w:val="single" w:sz="6" w:space="0" w:color="000000"/>
            </w:tcBorders>
          </w:tcPr>
          <w:p>
            <w:pPr>
              <w:pStyle w:val="TAL"/>
              <w:snapToGrid w:val="false"/>
              <w:rPr/>
            </w:pPr>
            <w:r>
              <w:rPr/>
            </w:r>
          </w:p>
        </w:tc>
      </w:tr>
      <w:tr>
        <w:trPr/>
        <w:tc>
          <w:tcPr>
            <w:tcW w:w="1352" w:type="dxa"/>
            <w:tcBorders>
              <w:top w:val="single" w:sz="6" w:space="0" w:color="000000"/>
              <w:left w:val="single" w:sz="6" w:space="0" w:color="000000"/>
              <w:right w:val="single" w:sz="6" w:space="0" w:color="000000"/>
            </w:tcBorders>
          </w:tcPr>
          <w:p>
            <w:pPr>
              <w:pStyle w:val="TAL"/>
              <w:rPr/>
            </w:pPr>
            <w:r>
              <w:rPr/>
              <w:t>CUG call with OA indication</w:t>
            </w:r>
          </w:p>
        </w:tc>
        <w:tc>
          <w:tcPr>
            <w:tcW w:w="425" w:type="dxa"/>
            <w:tcBorders>
              <w:top w:val="single" w:sz="6" w:space="0" w:color="000000"/>
              <w:left w:val="single" w:sz="6" w:space="0" w:color="000000"/>
              <w:bottom w:val="single" w:sz="6" w:space="0" w:color="000000"/>
              <w:right w:val="single" w:sz="18" w:space="0" w:color="000000"/>
            </w:tcBorders>
          </w:tcPr>
          <w:p>
            <w:pPr>
              <w:pStyle w:val="TAL"/>
              <w:rPr/>
            </w:pPr>
            <w:r>
              <w:rPr/>
              <w:t>M</w:t>
            </w:r>
          </w:p>
        </w:tc>
        <w:tc>
          <w:tcPr>
            <w:tcW w:w="1418" w:type="dxa"/>
            <w:tcBorders>
              <w:top w:val="single" w:sz="6" w:space="0" w:color="000000"/>
              <w:bottom w:val="single" w:sz="6" w:space="0" w:color="000000"/>
              <w:right w:val="single" w:sz="6" w:space="0" w:color="000000"/>
            </w:tcBorders>
          </w:tcPr>
          <w:p>
            <w:pPr>
              <w:pStyle w:val="TAC"/>
              <w:rPr/>
            </w:pPr>
            <w:r>
              <w:rPr/>
              <w:t>CUG call</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rejected</w:t>
            </w:r>
          </w:p>
        </w:tc>
        <w:tc>
          <w:tcPr>
            <w:tcW w:w="1418" w:type="dxa"/>
            <w:tcBorders>
              <w:top w:val="single" w:sz="6" w:space="0" w:color="000000"/>
              <w:left w:val="single" w:sz="6" w:space="0" w:color="000000"/>
              <w:right w:val="single" w:sz="6" w:space="0" w:color="000000"/>
            </w:tcBorders>
          </w:tcPr>
          <w:p>
            <w:pPr>
              <w:pStyle w:val="TAL"/>
              <w:rPr/>
            </w:pPr>
            <w:r>
              <w:rPr/>
              <w:t>CUG call</w:t>
            </w:r>
          </w:p>
        </w:tc>
        <w:tc>
          <w:tcPr>
            <w:tcW w:w="1412" w:type="dxa"/>
            <w:tcBorders>
              <w:top w:val="single" w:sz="6" w:space="0" w:color="000000"/>
              <w:left w:val="single" w:sz="6" w:space="0" w:color="000000"/>
              <w:right w:val="single" w:sz="6" w:space="0" w:color="000000"/>
            </w:tcBorders>
          </w:tcPr>
          <w:p>
            <w:pPr>
              <w:pStyle w:val="TAL"/>
              <w:rPr/>
            </w:pPr>
            <w:r>
              <w:rPr/>
              <w:t>normal call</w:t>
            </w:r>
          </w:p>
        </w:tc>
        <w:tc>
          <w:tcPr>
            <w:tcW w:w="1202" w:type="dxa"/>
            <w:tcBorders>
              <w:top w:val="single" w:sz="6" w:space="0" w:color="000000"/>
              <w:left w:val="single" w:sz="6" w:space="0" w:color="000000"/>
              <w:right w:val="single" w:sz="6" w:space="0" w:color="000000"/>
            </w:tcBorders>
          </w:tcPr>
          <w:p>
            <w:pPr>
              <w:pStyle w:val="TAL"/>
              <w:rPr/>
            </w:pPr>
            <w:r>
              <w:rPr/>
              <w:t>normal call</w:t>
            </w:r>
          </w:p>
        </w:tc>
      </w:tr>
      <w:tr>
        <w:trPr/>
        <w:tc>
          <w:tcPr>
            <w:tcW w:w="1352" w:type="dxa"/>
            <w:tcBorders>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18" w:space="0" w:color="000000"/>
            </w:tcBorders>
          </w:tcPr>
          <w:p>
            <w:pPr>
              <w:pStyle w:val="TAL"/>
              <w:rPr/>
            </w:pPr>
            <w:r>
              <w:rPr/>
              <w:t>NM</w:t>
            </w:r>
          </w:p>
        </w:tc>
        <w:tc>
          <w:tcPr>
            <w:tcW w:w="2836" w:type="dxa"/>
            <w:gridSpan w:val="2"/>
            <w:tcBorders>
              <w:top w:val="single" w:sz="6" w:space="0" w:color="000000"/>
              <w:bottom w:val="single" w:sz="6" w:space="0" w:color="000000"/>
              <w:right w:val="single" w:sz="6" w:space="0" w:color="000000"/>
            </w:tcBorders>
          </w:tcPr>
          <w:p>
            <w:pPr>
              <w:pStyle w:val="TAC"/>
              <w:rPr/>
            </w:pPr>
            <w:r>
              <w:rPr/>
              <w:t>rejected</w:t>
            </w:r>
          </w:p>
        </w:tc>
        <w:tc>
          <w:tcPr>
            <w:tcW w:w="2830" w:type="dxa"/>
            <w:gridSpan w:val="2"/>
            <w:tcBorders>
              <w:top w:val="single" w:sz="6" w:space="0" w:color="000000"/>
              <w:left w:val="single" w:sz="6" w:space="0" w:color="000000"/>
              <w:bottom w:val="single" w:sz="6" w:space="0" w:color="000000"/>
              <w:right w:val="single" w:sz="6" w:space="0" w:color="000000"/>
            </w:tcBorders>
          </w:tcPr>
          <w:p>
            <w:pPr>
              <w:pStyle w:val="TAC"/>
              <w:rPr/>
            </w:pPr>
            <w:r>
              <w:rPr/>
              <w:t>normal call</w:t>
            </w:r>
          </w:p>
        </w:tc>
        <w:tc>
          <w:tcPr>
            <w:tcW w:w="1202" w:type="dxa"/>
            <w:tcBorders>
              <w:left w:val="single" w:sz="6" w:space="0" w:color="000000"/>
              <w:bottom w:val="single" w:sz="6" w:space="0" w:color="000000"/>
              <w:right w:val="single" w:sz="6" w:space="0" w:color="000000"/>
            </w:tcBorders>
          </w:tcPr>
          <w:p>
            <w:pPr>
              <w:pStyle w:val="TAL"/>
              <w:snapToGrid w:val="false"/>
              <w:rPr/>
            </w:pPr>
            <w:r>
              <w:rPr/>
            </w:r>
          </w:p>
        </w:tc>
      </w:tr>
      <w:tr>
        <w:trPr/>
        <w:tc>
          <w:tcPr>
            <w:tcW w:w="1352" w:type="dxa"/>
            <w:tcBorders>
              <w:top w:val="single" w:sz="6" w:space="0" w:color="000000"/>
              <w:left w:val="single" w:sz="6" w:space="0" w:color="000000"/>
              <w:bottom w:val="single" w:sz="6" w:space="0" w:color="000000"/>
              <w:right w:val="single" w:sz="6" w:space="0" w:color="000000"/>
            </w:tcBorders>
          </w:tcPr>
          <w:p>
            <w:pPr>
              <w:pStyle w:val="TAL"/>
              <w:rPr/>
            </w:pPr>
            <w:r>
              <w:rPr/>
              <w:t>Normal call</w:t>
            </w:r>
          </w:p>
        </w:tc>
        <w:tc>
          <w:tcPr>
            <w:tcW w:w="425" w:type="dxa"/>
            <w:tcBorders>
              <w:top w:val="single" w:sz="6" w:space="0" w:color="000000"/>
              <w:left w:val="single" w:sz="6" w:space="0" w:color="000000"/>
              <w:bottom w:val="single" w:sz="6" w:space="0" w:color="000000"/>
              <w:right w:val="single" w:sz="18" w:space="0" w:color="000000"/>
            </w:tcBorders>
          </w:tcPr>
          <w:p>
            <w:pPr>
              <w:pStyle w:val="TAL"/>
              <w:rPr/>
            </w:pPr>
            <w:r>
              <w:rPr/>
              <w:t>--</w:t>
            </w:r>
          </w:p>
        </w:tc>
        <w:tc>
          <w:tcPr>
            <w:tcW w:w="2836" w:type="dxa"/>
            <w:gridSpan w:val="2"/>
            <w:tcBorders>
              <w:top w:val="single" w:sz="6" w:space="0" w:color="000000"/>
              <w:bottom w:val="single" w:sz="6" w:space="0" w:color="000000"/>
              <w:right w:val="single" w:sz="6" w:space="0" w:color="000000"/>
            </w:tcBorders>
          </w:tcPr>
          <w:p>
            <w:pPr>
              <w:pStyle w:val="TAC"/>
              <w:rPr/>
            </w:pPr>
            <w:r>
              <w:rPr/>
              <w:t>rejected</w:t>
            </w:r>
          </w:p>
        </w:tc>
        <w:tc>
          <w:tcPr>
            <w:tcW w:w="2830" w:type="dxa"/>
            <w:gridSpan w:val="2"/>
            <w:tcBorders>
              <w:top w:val="single" w:sz="6" w:space="0" w:color="000000"/>
              <w:left w:val="single" w:sz="6" w:space="0" w:color="000000"/>
              <w:bottom w:val="single" w:sz="6" w:space="0" w:color="000000"/>
              <w:right w:val="single" w:sz="6" w:space="0" w:color="000000"/>
            </w:tcBorders>
          </w:tcPr>
          <w:p>
            <w:pPr>
              <w:pStyle w:val="TAC"/>
              <w:rPr/>
            </w:pPr>
            <w:r>
              <w:rPr/>
              <w:t>normal call</w:t>
            </w:r>
          </w:p>
        </w:tc>
        <w:tc>
          <w:tcPr>
            <w:tcW w:w="1202" w:type="dxa"/>
            <w:tcBorders>
              <w:top w:val="single" w:sz="6" w:space="0" w:color="000000"/>
              <w:left w:val="single" w:sz="6" w:space="0" w:color="000000"/>
              <w:bottom w:val="single" w:sz="6" w:space="0" w:color="000000"/>
              <w:right w:val="single" w:sz="6" w:space="0" w:color="000000"/>
            </w:tcBorders>
          </w:tcPr>
          <w:p>
            <w:pPr>
              <w:pStyle w:val="TAL"/>
              <w:rPr/>
            </w:pPr>
            <w:r>
              <w:rPr/>
              <w:t>normal call</w:t>
            </w:r>
          </w:p>
        </w:tc>
      </w:tr>
    </w:tbl>
    <w:p>
      <w:pPr>
        <w:pStyle w:val="Normal"/>
        <w:rPr/>
      </w:pPr>
      <w:r>
        <w:rPr/>
      </w:r>
    </w:p>
    <w:p>
      <w:pPr>
        <w:pStyle w:val="Normal"/>
        <w:rPr/>
      </w:pPr>
      <w:r>
        <w:rPr/>
        <w:t>M:</w:t>
        <w:tab/>
        <w:t>match with any of the called subscriber's CUGs for the requested basic service group.</w:t>
      </w:r>
    </w:p>
    <w:p>
      <w:pPr>
        <w:pStyle w:val="Normal"/>
        <w:rPr/>
      </w:pPr>
      <w:r>
        <w:rPr/>
        <w:t>NM:</w:t>
        <w:tab/>
        <w:t>no match with any of the called subscriber's CUGs for the requested basic service group.</w:t>
      </w:r>
      <w:r>
        <w:br w:type="page"/>
      </w:r>
    </w:p>
    <w:p>
      <w:pPr>
        <w:pStyle w:val="Heading8"/>
        <w:ind w:left="0" w:hanging="0"/>
        <w:rPr/>
      </w:pPr>
      <w:bookmarkStart w:id="49" w:name="__RefHeading___Toc296331958"/>
      <w:bookmarkEnd w:id="49"/>
      <w:r>
        <w:rPr/>
        <w:t>Annex 4 (normative):</w:t>
        <w:br/>
        <w:t>CUG interaction with the call forwarding Supplementary Services</w:t>
      </w:r>
    </w:p>
    <w:p>
      <w:pPr>
        <w:pStyle w:val="Normal"/>
        <w:rPr/>
      </w:pPr>
      <w:r>
        <w:rPr/>
        <w:t>This table shows under what circumstances a call shall be allowed to be forwarded.</w:t>
      </w:r>
    </w:p>
    <w:tbl>
      <w:tblPr>
        <w:tblW w:w="8645" w:type="dxa"/>
        <w:jc w:val="center"/>
        <w:tblInd w:w="0" w:type="dxa"/>
        <w:tblLayout w:type="fixed"/>
        <w:tblCellMar>
          <w:top w:w="0" w:type="dxa"/>
          <w:left w:w="28" w:type="dxa"/>
          <w:bottom w:w="0" w:type="dxa"/>
          <w:right w:w="28" w:type="dxa"/>
        </w:tblCellMar>
      </w:tblPr>
      <w:tblGrid>
        <w:gridCol w:w="1352"/>
        <w:gridCol w:w="425"/>
        <w:gridCol w:w="1418"/>
        <w:gridCol w:w="1418"/>
        <w:gridCol w:w="1418"/>
        <w:gridCol w:w="1412"/>
        <w:gridCol w:w="1202"/>
      </w:tblGrid>
      <w:tr>
        <w:trPr/>
        <w:tc>
          <w:tcPr>
            <w:tcW w:w="1352" w:type="dxa"/>
            <w:tcBorders>
              <w:top w:val="single" w:sz="6" w:space="0" w:color="000000"/>
              <w:left w:val="single" w:sz="6" w:space="0" w:color="000000"/>
              <w:right w:val="single" w:sz="6" w:space="0" w:color="000000"/>
            </w:tcBorders>
          </w:tcPr>
          <w:p>
            <w:pPr>
              <w:pStyle w:val="TAH"/>
              <w:rPr/>
            </w:pPr>
            <w:r>
              <w:rPr/>
              <w:t>Type of CUG indication</w:t>
            </w:r>
          </w:p>
        </w:tc>
        <w:tc>
          <w:tcPr>
            <w:tcW w:w="425" w:type="dxa"/>
            <w:tcBorders>
              <w:top w:val="single" w:sz="6" w:space="0" w:color="000000"/>
              <w:left w:val="single" w:sz="6" w:space="0" w:color="000000"/>
              <w:right w:val="single" w:sz="18" w:space="0" w:color="000000"/>
            </w:tcBorders>
          </w:tcPr>
          <w:p>
            <w:pPr>
              <w:pStyle w:val="TAH"/>
              <w:rPr/>
            </w:pPr>
            <w:r>
              <w:rPr/>
              <w:t>M or</w:t>
            </w:r>
          </w:p>
        </w:tc>
        <w:tc>
          <w:tcPr>
            <w:tcW w:w="5666" w:type="dxa"/>
            <w:gridSpan w:val="4"/>
            <w:tcBorders>
              <w:top w:val="single" w:sz="6" w:space="0" w:color="000000"/>
              <w:bottom w:val="single" w:sz="6" w:space="0" w:color="000000"/>
              <w:right w:val="single" w:sz="6" w:space="0" w:color="000000"/>
            </w:tcBorders>
          </w:tcPr>
          <w:p>
            <w:pPr>
              <w:pStyle w:val="TAH"/>
              <w:rPr/>
            </w:pPr>
            <w:r>
              <w:rPr/>
              <w:t>CUG attributes of the forwarding user for requested basic service group</w:t>
            </w:r>
          </w:p>
        </w:tc>
        <w:tc>
          <w:tcPr>
            <w:tcW w:w="1202" w:type="dxa"/>
            <w:tcBorders>
              <w:top w:val="single" w:sz="6" w:space="0" w:color="000000"/>
              <w:left w:val="single" w:sz="6" w:space="0" w:color="000000"/>
              <w:right w:val="single" w:sz="6" w:space="0" w:color="000000"/>
            </w:tcBorders>
          </w:tcPr>
          <w:p>
            <w:pPr>
              <w:pStyle w:val="TAH"/>
              <w:rPr/>
            </w:pPr>
            <w:r>
              <w:rPr/>
              <w:t>forwarding user is a non</w:t>
            </w:r>
          </w:p>
        </w:tc>
      </w:tr>
      <w:tr>
        <w:trPr/>
        <w:tc>
          <w:tcPr>
            <w:tcW w:w="1352" w:type="dxa"/>
            <w:tcBorders>
              <w:left w:val="single" w:sz="6" w:space="0" w:color="000000"/>
              <w:right w:val="single" w:sz="6" w:space="0" w:color="000000"/>
            </w:tcBorders>
          </w:tcPr>
          <w:p>
            <w:pPr>
              <w:pStyle w:val="TAL"/>
              <w:rPr/>
            </w:pPr>
            <w:r>
              <w:rPr/>
              <w:t>from the</w:t>
            </w:r>
          </w:p>
        </w:tc>
        <w:tc>
          <w:tcPr>
            <w:tcW w:w="425" w:type="dxa"/>
            <w:tcBorders>
              <w:left w:val="single" w:sz="6" w:space="0" w:color="000000"/>
              <w:right w:val="single" w:sz="18" w:space="0" w:color="000000"/>
            </w:tcBorders>
          </w:tcPr>
          <w:p>
            <w:pPr>
              <w:pStyle w:val="TAL"/>
              <w:rPr/>
            </w:pPr>
            <w:r>
              <w:rPr/>
              <w:t>NM</w:t>
            </w:r>
          </w:p>
        </w:tc>
        <w:tc>
          <w:tcPr>
            <w:tcW w:w="2836" w:type="dxa"/>
            <w:gridSpan w:val="2"/>
            <w:tcBorders>
              <w:top w:val="single" w:sz="6" w:space="0" w:color="000000"/>
              <w:bottom w:val="single" w:sz="6" w:space="0" w:color="000000"/>
              <w:right w:val="single" w:sz="6" w:space="0" w:color="000000"/>
            </w:tcBorders>
          </w:tcPr>
          <w:p>
            <w:pPr>
              <w:pStyle w:val="TAC"/>
              <w:rPr/>
            </w:pPr>
            <w:r>
              <w:rPr/>
              <w:t>OA not allowed</w:t>
            </w:r>
          </w:p>
        </w:tc>
        <w:tc>
          <w:tcPr>
            <w:tcW w:w="2830" w:type="dxa"/>
            <w:gridSpan w:val="2"/>
            <w:tcBorders>
              <w:left w:val="single" w:sz="6" w:space="0" w:color="000000"/>
              <w:right w:val="single" w:sz="6" w:space="0" w:color="000000"/>
            </w:tcBorders>
          </w:tcPr>
          <w:p>
            <w:pPr>
              <w:pStyle w:val="TAC"/>
              <w:rPr/>
            </w:pPr>
            <w:r>
              <w:rPr/>
              <w:t>OA allowed</w:t>
            </w:r>
          </w:p>
        </w:tc>
        <w:tc>
          <w:tcPr>
            <w:tcW w:w="1202" w:type="dxa"/>
            <w:tcBorders>
              <w:left w:val="single" w:sz="6" w:space="0" w:color="000000"/>
              <w:right w:val="single" w:sz="6" w:space="0" w:color="000000"/>
            </w:tcBorders>
          </w:tcPr>
          <w:p>
            <w:pPr>
              <w:pStyle w:val="TAL"/>
              <w:rPr/>
            </w:pPr>
            <w:r>
              <w:rPr/>
              <w:t>CUG user</w:t>
            </w:r>
          </w:p>
        </w:tc>
      </w:tr>
      <w:tr>
        <w:trPr/>
        <w:tc>
          <w:tcPr>
            <w:tcW w:w="1352" w:type="dxa"/>
            <w:tcBorders>
              <w:left w:val="single" w:sz="6" w:space="0" w:color="000000"/>
              <w:bottom w:val="single" w:sz="18" w:space="0" w:color="000000"/>
              <w:right w:val="single" w:sz="6" w:space="0" w:color="000000"/>
            </w:tcBorders>
          </w:tcPr>
          <w:p>
            <w:pPr>
              <w:pStyle w:val="TAL"/>
              <w:rPr/>
            </w:pPr>
            <w:r>
              <w:rPr/>
              <w:t>network</w:t>
            </w:r>
          </w:p>
        </w:tc>
        <w:tc>
          <w:tcPr>
            <w:tcW w:w="425" w:type="dxa"/>
            <w:tcBorders>
              <w:left w:val="single" w:sz="6" w:space="0" w:color="000000"/>
              <w:bottom w:val="single" w:sz="18" w:space="0" w:color="000000"/>
              <w:right w:val="single" w:sz="18" w:space="0" w:color="000000"/>
            </w:tcBorders>
          </w:tcPr>
          <w:p>
            <w:pPr>
              <w:pStyle w:val="TAL"/>
              <w:rPr/>
            </w:pPr>
            <w:r>
              <w:rPr/>
              <w:t>1)</w:t>
            </w:r>
          </w:p>
        </w:tc>
        <w:tc>
          <w:tcPr>
            <w:tcW w:w="1418" w:type="dxa"/>
            <w:tcBorders>
              <w:top w:val="single" w:sz="6" w:space="0" w:color="000000"/>
              <w:bottom w:val="single" w:sz="18" w:space="0" w:color="000000"/>
              <w:right w:val="single" w:sz="6" w:space="0" w:color="000000"/>
            </w:tcBorders>
          </w:tcPr>
          <w:p>
            <w:pPr>
              <w:pStyle w:val="TAC"/>
              <w:rPr/>
            </w:pPr>
            <w:r>
              <w:rPr/>
              <w:t>not ocb</w:t>
            </w:r>
          </w:p>
        </w:tc>
        <w:tc>
          <w:tcPr>
            <w:tcW w:w="1418" w:type="dxa"/>
            <w:tcBorders>
              <w:left w:val="single" w:sz="6" w:space="0" w:color="000000"/>
              <w:bottom w:val="single" w:sz="18" w:space="0" w:color="000000"/>
              <w:right w:val="single" w:sz="6" w:space="0" w:color="000000"/>
            </w:tcBorders>
          </w:tcPr>
          <w:p>
            <w:pPr>
              <w:pStyle w:val="TAC"/>
              <w:rPr/>
            </w:pPr>
            <w:r>
              <w:rPr/>
              <w:t>ocb</w:t>
            </w:r>
          </w:p>
        </w:tc>
        <w:tc>
          <w:tcPr>
            <w:tcW w:w="1418" w:type="dxa"/>
            <w:tcBorders>
              <w:top w:val="single" w:sz="6" w:space="0" w:color="000000"/>
              <w:left w:val="single" w:sz="6" w:space="0" w:color="000000"/>
              <w:bottom w:val="single" w:sz="18" w:space="0" w:color="000000"/>
              <w:right w:val="single" w:sz="6" w:space="0" w:color="000000"/>
            </w:tcBorders>
          </w:tcPr>
          <w:p>
            <w:pPr>
              <w:pStyle w:val="TAL"/>
              <w:rPr/>
            </w:pPr>
            <w:r>
              <w:rPr/>
              <w:t>not ocb</w:t>
            </w:r>
          </w:p>
        </w:tc>
        <w:tc>
          <w:tcPr>
            <w:tcW w:w="1412" w:type="dxa"/>
            <w:tcBorders>
              <w:top w:val="single" w:sz="6" w:space="0" w:color="000000"/>
              <w:left w:val="single" w:sz="6" w:space="0" w:color="000000"/>
              <w:bottom w:val="single" w:sz="18" w:space="0" w:color="000000"/>
              <w:right w:val="single" w:sz="6" w:space="0" w:color="000000"/>
            </w:tcBorders>
          </w:tcPr>
          <w:p>
            <w:pPr>
              <w:pStyle w:val="TAL"/>
              <w:rPr/>
            </w:pPr>
            <w:r>
              <w:rPr/>
              <w:t>ocb</w:t>
            </w:r>
          </w:p>
        </w:tc>
        <w:tc>
          <w:tcPr>
            <w:tcW w:w="1202" w:type="dxa"/>
            <w:tcBorders>
              <w:left w:val="single" w:sz="6" w:space="0" w:color="000000"/>
              <w:bottom w:val="single" w:sz="18" w:space="0" w:color="000000"/>
              <w:right w:val="single" w:sz="6" w:space="0" w:color="000000"/>
            </w:tcBorders>
          </w:tcPr>
          <w:p>
            <w:pPr>
              <w:pStyle w:val="TAL"/>
              <w:snapToGrid w:val="false"/>
              <w:rPr/>
            </w:pPr>
            <w:r>
              <w:rPr/>
            </w:r>
          </w:p>
        </w:tc>
      </w:tr>
      <w:tr>
        <w:trPr/>
        <w:tc>
          <w:tcPr>
            <w:tcW w:w="1352" w:type="dxa"/>
            <w:tcBorders>
              <w:left w:val="single" w:sz="6" w:space="0" w:color="000000"/>
              <w:right w:val="single" w:sz="6" w:space="0" w:color="000000"/>
            </w:tcBorders>
          </w:tcPr>
          <w:p>
            <w:pPr>
              <w:pStyle w:val="TAL"/>
              <w:rPr/>
            </w:pPr>
            <w:r>
              <w:rPr/>
              <w:t>CUG call with no OA</w:t>
            </w:r>
          </w:p>
        </w:tc>
        <w:tc>
          <w:tcPr>
            <w:tcW w:w="425" w:type="dxa"/>
            <w:tcBorders>
              <w:left w:val="single" w:sz="6" w:space="0" w:color="000000"/>
              <w:bottom w:val="single" w:sz="6" w:space="0" w:color="000000"/>
              <w:right w:val="single" w:sz="18" w:space="0" w:color="000000"/>
            </w:tcBorders>
          </w:tcPr>
          <w:p>
            <w:pPr>
              <w:pStyle w:val="TAL"/>
              <w:rPr/>
            </w:pPr>
            <w:r>
              <w:rPr/>
              <w:t>M</w:t>
            </w:r>
          </w:p>
        </w:tc>
        <w:tc>
          <w:tcPr>
            <w:tcW w:w="1418" w:type="dxa"/>
            <w:tcBorders>
              <w:bottom w:val="single" w:sz="6" w:space="0" w:color="000000"/>
              <w:right w:val="single" w:sz="6" w:space="0" w:color="000000"/>
            </w:tcBorders>
          </w:tcPr>
          <w:p>
            <w:pPr>
              <w:pStyle w:val="TAC"/>
              <w:rPr/>
            </w:pPr>
            <w:r>
              <w:rPr/>
              <w:t>CF</w:t>
            </w:r>
          </w:p>
        </w:tc>
        <w:tc>
          <w:tcPr>
            <w:tcW w:w="1418" w:type="dxa"/>
            <w:tcBorders>
              <w:left w:val="single" w:sz="6" w:space="0" w:color="000000"/>
              <w:bottom w:val="single" w:sz="6" w:space="0" w:color="000000"/>
              <w:right w:val="single" w:sz="6" w:space="0" w:color="000000"/>
            </w:tcBorders>
          </w:tcPr>
          <w:p>
            <w:pPr>
              <w:pStyle w:val="TAC"/>
              <w:rPr/>
            </w:pPr>
            <w:r>
              <w:rPr/>
              <w:t>rejected</w:t>
            </w:r>
          </w:p>
        </w:tc>
        <w:tc>
          <w:tcPr>
            <w:tcW w:w="1418" w:type="dxa"/>
            <w:tcBorders>
              <w:left w:val="single" w:sz="6" w:space="0" w:color="000000"/>
              <w:right w:val="single" w:sz="6" w:space="0" w:color="000000"/>
            </w:tcBorders>
          </w:tcPr>
          <w:p>
            <w:pPr>
              <w:pStyle w:val="TAL"/>
              <w:rPr/>
            </w:pPr>
            <w:r>
              <w:rPr/>
              <w:t>CF</w:t>
            </w:r>
          </w:p>
        </w:tc>
        <w:tc>
          <w:tcPr>
            <w:tcW w:w="1412" w:type="dxa"/>
            <w:tcBorders>
              <w:left w:val="single" w:sz="6" w:space="0" w:color="000000"/>
              <w:right w:val="single" w:sz="6" w:space="0" w:color="000000"/>
            </w:tcBorders>
          </w:tcPr>
          <w:p>
            <w:pPr>
              <w:pStyle w:val="TAL"/>
              <w:rPr/>
            </w:pPr>
            <w:r>
              <w:rPr/>
              <w:t>rejected</w:t>
            </w:r>
          </w:p>
        </w:tc>
        <w:tc>
          <w:tcPr>
            <w:tcW w:w="1202" w:type="dxa"/>
            <w:tcBorders>
              <w:left w:val="single" w:sz="6" w:space="0" w:color="000000"/>
              <w:right w:val="single" w:sz="6" w:space="0" w:color="000000"/>
            </w:tcBorders>
          </w:tcPr>
          <w:p>
            <w:pPr>
              <w:pStyle w:val="TAL"/>
              <w:snapToGrid w:val="false"/>
              <w:rPr/>
            </w:pPr>
            <w:r>
              <w:rPr/>
            </w:r>
          </w:p>
          <w:p>
            <w:pPr>
              <w:pStyle w:val="TAL"/>
              <w:rPr/>
            </w:pPr>
            <w:r>
              <w:rPr/>
              <w:t>rejected</w:t>
            </w:r>
          </w:p>
        </w:tc>
      </w:tr>
      <w:tr>
        <w:trPr/>
        <w:tc>
          <w:tcPr>
            <w:tcW w:w="1352" w:type="dxa"/>
            <w:tcBorders>
              <w:left w:val="single" w:sz="6" w:space="0" w:color="000000"/>
              <w:bottom w:val="single" w:sz="6" w:space="0" w:color="000000"/>
              <w:right w:val="single" w:sz="6" w:space="0" w:color="000000"/>
            </w:tcBorders>
          </w:tcPr>
          <w:p>
            <w:pPr>
              <w:pStyle w:val="TAL"/>
              <w:rPr/>
            </w:pPr>
            <w:r>
              <w:rPr/>
              <w:t>indication</w:t>
            </w:r>
          </w:p>
        </w:tc>
        <w:tc>
          <w:tcPr>
            <w:tcW w:w="425" w:type="dxa"/>
            <w:tcBorders>
              <w:top w:val="single" w:sz="6" w:space="0" w:color="000000"/>
              <w:left w:val="single" w:sz="6" w:space="0" w:color="000000"/>
              <w:bottom w:val="single" w:sz="6" w:space="0" w:color="000000"/>
              <w:right w:val="single" w:sz="18" w:space="0" w:color="000000"/>
            </w:tcBorders>
          </w:tcPr>
          <w:p>
            <w:pPr>
              <w:pStyle w:val="TAL"/>
              <w:rPr/>
            </w:pPr>
            <w:r>
              <w:rPr/>
              <w:t>NM</w:t>
            </w:r>
          </w:p>
        </w:tc>
        <w:tc>
          <w:tcPr>
            <w:tcW w:w="2836" w:type="dxa"/>
            <w:gridSpan w:val="2"/>
            <w:tcBorders>
              <w:top w:val="single" w:sz="6" w:space="0" w:color="000000"/>
              <w:bottom w:val="single" w:sz="6" w:space="0" w:color="000000"/>
              <w:right w:val="single" w:sz="6" w:space="0" w:color="000000"/>
            </w:tcBorders>
          </w:tcPr>
          <w:p>
            <w:pPr>
              <w:pStyle w:val="TAC"/>
              <w:rPr/>
            </w:pPr>
            <w:r>
              <w:rPr/>
              <w:t>rejected</w:t>
            </w:r>
          </w:p>
        </w:tc>
        <w:tc>
          <w:tcPr>
            <w:tcW w:w="2830" w:type="dxa"/>
            <w:gridSpan w:val="2"/>
            <w:tcBorders>
              <w:top w:val="single" w:sz="6" w:space="0" w:color="000000"/>
              <w:left w:val="single" w:sz="6" w:space="0" w:color="000000"/>
              <w:bottom w:val="single" w:sz="6" w:space="0" w:color="000000"/>
              <w:right w:val="single" w:sz="6" w:space="0" w:color="000000"/>
            </w:tcBorders>
          </w:tcPr>
          <w:p>
            <w:pPr>
              <w:pStyle w:val="TAC"/>
              <w:rPr/>
            </w:pPr>
            <w:r>
              <w:rPr/>
              <w:t>rejected</w:t>
            </w:r>
          </w:p>
        </w:tc>
        <w:tc>
          <w:tcPr>
            <w:tcW w:w="1202" w:type="dxa"/>
            <w:tcBorders>
              <w:left w:val="single" w:sz="6" w:space="0" w:color="000000"/>
              <w:bottom w:val="single" w:sz="6" w:space="0" w:color="000000"/>
              <w:right w:val="single" w:sz="6" w:space="0" w:color="000000"/>
            </w:tcBorders>
          </w:tcPr>
          <w:p>
            <w:pPr>
              <w:pStyle w:val="TAL"/>
              <w:snapToGrid w:val="false"/>
              <w:rPr/>
            </w:pPr>
            <w:r>
              <w:rPr/>
            </w:r>
          </w:p>
        </w:tc>
      </w:tr>
      <w:tr>
        <w:trPr/>
        <w:tc>
          <w:tcPr>
            <w:tcW w:w="1352" w:type="dxa"/>
            <w:tcBorders>
              <w:top w:val="single" w:sz="6" w:space="0" w:color="000000"/>
              <w:left w:val="single" w:sz="6" w:space="0" w:color="000000"/>
              <w:right w:val="single" w:sz="6" w:space="0" w:color="000000"/>
            </w:tcBorders>
          </w:tcPr>
          <w:p>
            <w:pPr>
              <w:pStyle w:val="TAL"/>
              <w:rPr/>
            </w:pPr>
            <w:r>
              <w:rPr/>
              <w:t>CUG call with OA indication</w:t>
            </w:r>
          </w:p>
        </w:tc>
        <w:tc>
          <w:tcPr>
            <w:tcW w:w="425" w:type="dxa"/>
            <w:tcBorders>
              <w:top w:val="single" w:sz="6" w:space="0" w:color="000000"/>
              <w:left w:val="single" w:sz="6" w:space="0" w:color="000000"/>
              <w:bottom w:val="single" w:sz="6" w:space="0" w:color="000000"/>
              <w:right w:val="single" w:sz="18" w:space="0" w:color="000000"/>
            </w:tcBorders>
          </w:tcPr>
          <w:p>
            <w:pPr>
              <w:pStyle w:val="TAL"/>
              <w:rPr/>
            </w:pPr>
            <w:r>
              <w:rPr/>
              <w:t>M</w:t>
            </w:r>
          </w:p>
        </w:tc>
        <w:tc>
          <w:tcPr>
            <w:tcW w:w="1418" w:type="dxa"/>
            <w:tcBorders>
              <w:top w:val="single" w:sz="6" w:space="0" w:color="000000"/>
              <w:bottom w:val="single" w:sz="6" w:space="0" w:color="000000"/>
              <w:right w:val="single" w:sz="6" w:space="0" w:color="000000"/>
            </w:tcBorders>
          </w:tcPr>
          <w:p>
            <w:pPr>
              <w:pStyle w:val="TAC"/>
              <w:rPr/>
            </w:pPr>
            <w:r>
              <w:rPr/>
              <w:t>CFm 2)</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rejected</w:t>
            </w:r>
          </w:p>
        </w:tc>
        <w:tc>
          <w:tcPr>
            <w:tcW w:w="1418" w:type="dxa"/>
            <w:tcBorders>
              <w:top w:val="single" w:sz="6" w:space="0" w:color="000000"/>
              <w:left w:val="single" w:sz="6" w:space="0" w:color="000000"/>
              <w:right w:val="single" w:sz="6" w:space="0" w:color="000000"/>
            </w:tcBorders>
          </w:tcPr>
          <w:p>
            <w:pPr>
              <w:pStyle w:val="TAL"/>
              <w:rPr/>
            </w:pPr>
            <w:r>
              <w:rPr/>
              <w:t>CF</w:t>
            </w:r>
          </w:p>
        </w:tc>
        <w:tc>
          <w:tcPr>
            <w:tcW w:w="1412" w:type="dxa"/>
            <w:tcBorders>
              <w:top w:val="single" w:sz="6" w:space="0" w:color="000000"/>
              <w:left w:val="single" w:sz="6" w:space="0" w:color="000000"/>
              <w:right w:val="single" w:sz="6" w:space="0" w:color="000000"/>
            </w:tcBorders>
          </w:tcPr>
          <w:p>
            <w:pPr>
              <w:pStyle w:val="TAL"/>
              <w:rPr/>
            </w:pPr>
            <w:r>
              <w:rPr/>
              <w:t>CFn</w:t>
            </w:r>
          </w:p>
        </w:tc>
        <w:tc>
          <w:tcPr>
            <w:tcW w:w="1202" w:type="dxa"/>
            <w:tcBorders>
              <w:top w:val="single" w:sz="6" w:space="0" w:color="000000"/>
              <w:left w:val="single" w:sz="6" w:space="0" w:color="000000"/>
              <w:right w:val="single" w:sz="6" w:space="0" w:color="000000"/>
            </w:tcBorders>
          </w:tcPr>
          <w:p>
            <w:pPr>
              <w:pStyle w:val="TAL"/>
              <w:rPr/>
            </w:pPr>
            <w:r>
              <w:rPr/>
              <w:t>CF</w:t>
            </w:r>
          </w:p>
        </w:tc>
      </w:tr>
      <w:tr>
        <w:trPr/>
        <w:tc>
          <w:tcPr>
            <w:tcW w:w="1352" w:type="dxa"/>
            <w:tcBorders>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18" w:space="0" w:color="000000"/>
            </w:tcBorders>
          </w:tcPr>
          <w:p>
            <w:pPr>
              <w:pStyle w:val="TAL"/>
              <w:rPr/>
            </w:pPr>
            <w:r>
              <w:rPr/>
              <w:t>NM</w:t>
            </w:r>
          </w:p>
        </w:tc>
        <w:tc>
          <w:tcPr>
            <w:tcW w:w="2836" w:type="dxa"/>
            <w:gridSpan w:val="2"/>
            <w:tcBorders>
              <w:top w:val="single" w:sz="6" w:space="0" w:color="000000"/>
              <w:bottom w:val="single" w:sz="6" w:space="0" w:color="000000"/>
              <w:right w:val="single" w:sz="6" w:space="0" w:color="000000"/>
            </w:tcBorders>
          </w:tcPr>
          <w:p>
            <w:pPr>
              <w:pStyle w:val="TAC"/>
              <w:rPr/>
            </w:pPr>
            <w:r>
              <w:rPr/>
              <w:t>rejected</w:t>
            </w:r>
          </w:p>
        </w:tc>
        <w:tc>
          <w:tcPr>
            <w:tcW w:w="2830" w:type="dxa"/>
            <w:gridSpan w:val="2"/>
            <w:tcBorders>
              <w:top w:val="single" w:sz="6" w:space="0" w:color="000000"/>
              <w:left w:val="single" w:sz="6" w:space="0" w:color="000000"/>
              <w:bottom w:val="single" w:sz="6" w:space="0" w:color="000000"/>
              <w:right w:val="single" w:sz="6" w:space="0" w:color="000000"/>
            </w:tcBorders>
          </w:tcPr>
          <w:p>
            <w:pPr>
              <w:pStyle w:val="TAC"/>
              <w:rPr/>
            </w:pPr>
            <w:r>
              <w:rPr/>
              <w:t>CF  3)</w:t>
            </w:r>
          </w:p>
        </w:tc>
        <w:tc>
          <w:tcPr>
            <w:tcW w:w="1202" w:type="dxa"/>
            <w:tcBorders>
              <w:left w:val="single" w:sz="6" w:space="0" w:color="000000"/>
              <w:bottom w:val="single" w:sz="6" w:space="0" w:color="000000"/>
              <w:right w:val="single" w:sz="6" w:space="0" w:color="000000"/>
            </w:tcBorders>
          </w:tcPr>
          <w:p>
            <w:pPr>
              <w:pStyle w:val="TAL"/>
              <w:snapToGrid w:val="false"/>
              <w:rPr/>
            </w:pPr>
            <w:r>
              <w:rPr/>
            </w:r>
          </w:p>
        </w:tc>
      </w:tr>
      <w:tr>
        <w:trPr/>
        <w:tc>
          <w:tcPr>
            <w:tcW w:w="1352" w:type="dxa"/>
            <w:tcBorders>
              <w:top w:val="single" w:sz="6" w:space="0" w:color="000000"/>
              <w:left w:val="single" w:sz="6" w:space="0" w:color="000000"/>
              <w:bottom w:val="single" w:sz="6" w:space="0" w:color="000000"/>
              <w:right w:val="single" w:sz="6" w:space="0" w:color="000000"/>
            </w:tcBorders>
          </w:tcPr>
          <w:p>
            <w:pPr>
              <w:pStyle w:val="TAL"/>
              <w:rPr/>
            </w:pPr>
            <w:r>
              <w:rPr/>
              <w:t>Normal call</w:t>
            </w:r>
          </w:p>
        </w:tc>
        <w:tc>
          <w:tcPr>
            <w:tcW w:w="425" w:type="dxa"/>
            <w:tcBorders>
              <w:top w:val="single" w:sz="6" w:space="0" w:color="000000"/>
              <w:left w:val="single" w:sz="6" w:space="0" w:color="000000"/>
              <w:bottom w:val="single" w:sz="6" w:space="0" w:color="000000"/>
              <w:right w:val="single" w:sz="18" w:space="0" w:color="000000"/>
            </w:tcBorders>
          </w:tcPr>
          <w:p>
            <w:pPr>
              <w:pStyle w:val="TAL"/>
              <w:rPr/>
            </w:pPr>
            <w:r>
              <w:rPr/>
              <w:t>--</w:t>
            </w:r>
          </w:p>
        </w:tc>
        <w:tc>
          <w:tcPr>
            <w:tcW w:w="2836" w:type="dxa"/>
            <w:gridSpan w:val="2"/>
            <w:tcBorders>
              <w:top w:val="single" w:sz="6" w:space="0" w:color="000000"/>
              <w:bottom w:val="single" w:sz="6" w:space="0" w:color="000000"/>
              <w:right w:val="single" w:sz="6" w:space="0" w:color="000000"/>
            </w:tcBorders>
          </w:tcPr>
          <w:p>
            <w:pPr>
              <w:pStyle w:val="TAC"/>
              <w:rPr/>
            </w:pPr>
            <w:r>
              <w:rPr/>
              <w:t>rejected</w:t>
            </w:r>
          </w:p>
        </w:tc>
        <w:tc>
          <w:tcPr>
            <w:tcW w:w="2830" w:type="dxa"/>
            <w:gridSpan w:val="2"/>
            <w:tcBorders>
              <w:top w:val="single" w:sz="6" w:space="0" w:color="000000"/>
              <w:left w:val="single" w:sz="6" w:space="0" w:color="000000"/>
              <w:bottom w:val="single" w:sz="6" w:space="0" w:color="000000"/>
              <w:right w:val="single" w:sz="6" w:space="0" w:color="000000"/>
            </w:tcBorders>
          </w:tcPr>
          <w:p>
            <w:pPr>
              <w:pStyle w:val="TAC"/>
              <w:rPr/>
            </w:pPr>
            <w:r>
              <w:rPr/>
              <w:t>CF  3)</w:t>
            </w:r>
          </w:p>
        </w:tc>
        <w:tc>
          <w:tcPr>
            <w:tcW w:w="1202" w:type="dxa"/>
            <w:tcBorders>
              <w:top w:val="single" w:sz="6" w:space="0" w:color="000000"/>
              <w:left w:val="single" w:sz="6" w:space="0" w:color="000000"/>
              <w:bottom w:val="single" w:sz="6" w:space="0" w:color="000000"/>
              <w:right w:val="single" w:sz="6" w:space="0" w:color="000000"/>
            </w:tcBorders>
          </w:tcPr>
          <w:p>
            <w:pPr>
              <w:pStyle w:val="TAL"/>
              <w:rPr/>
            </w:pPr>
            <w:r>
              <w:rPr/>
              <w:t>CF</w:t>
            </w:r>
          </w:p>
        </w:tc>
      </w:tr>
    </w:tbl>
    <w:p>
      <w:pPr>
        <w:pStyle w:val="Normal"/>
        <w:rPr/>
      </w:pPr>
      <w:r>
        <w:rPr/>
      </w:r>
    </w:p>
    <w:p>
      <w:pPr>
        <w:pStyle w:val="Normal"/>
        <w:rPr/>
      </w:pPr>
      <w:r>
        <w:rPr/>
        <w:t>Abbreviations:</w:t>
      </w:r>
    </w:p>
    <w:p>
      <w:pPr>
        <w:pStyle w:val="B1"/>
        <w:rPr/>
      </w:pPr>
      <w:r>
        <w:rPr/>
        <w:t>CF:</w:t>
        <w:tab/>
        <w:t>Forward call using the calling subscriber's parameters</w:t>
      </w:r>
    </w:p>
    <w:p>
      <w:pPr>
        <w:pStyle w:val="B1"/>
        <w:rPr/>
      </w:pPr>
      <w:r>
        <w:rPr/>
        <w:t>CFm:</w:t>
        <w:tab/>
        <w:t>Forward call using modified calling subscriber's parameters</w:t>
      </w:r>
    </w:p>
    <w:p>
      <w:pPr>
        <w:pStyle w:val="B1"/>
        <w:rPr/>
      </w:pPr>
      <w:r>
        <w:rPr/>
        <w:t>CFn:</w:t>
        <w:tab/>
        <w:t>The call is forwarded as a normal call.</w:t>
      </w:r>
    </w:p>
    <w:p>
      <w:pPr>
        <w:pStyle w:val="NO"/>
        <w:rPr/>
      </w:pPr>
      <w:r>
        <w:rPr/>
        <w:t>NOTE 1:</w:t>
        <w:tab/>
        <w:t>M:</w:t>
        <w:tab/>
        <w:t>match with any of the called subscriber's CUGs for the requested basic service group.</w:t>
      </w:r>
    </w:p>
    <w:p>
      <w:pPr>
        <w:pStyle w:val="NO"/>
        <w:rPr/>
      </w:pPr>
      <w:r>
        <w:rPr/>
        <w:tab/>
        <w:t>NM:</w:t>
        <w:tab/>
        <w:t>no match with any of the called subscriber's CUGs for the requested basic service group.</w:t>
      </w:r>
    </w:p>
    <w:p>
      <w:pPr>
        <w:pStyle w:val="NO"/>
        <w:rPr/>
      </w:pPr>
      <w:r>
        <w:rPr/>
        <w:t>NOTE 2:</w:t>
        <w:tab/>
        <w:t>Only the interlock code is sent from the forwarding subscriber towards the forwarded to subscriber.</w:t>
      </w:r>
    </w:p>
    <w:p>
      <w:pPr>
        <w:pStyle w:val="NO"/>
        <w:rPr/>
      </w:pPr>
      <w:r>
        <w:rPr/>
        <w:t>NOTE 3:</w:t>
        <w:tab/>
        <w:t>The subscription option outgoing calls barred within a CUG (ocb), is not relevant in this case.</w:t>
      </w:r>
      <w:r>
        <w:br w:type="page"/>
      </w:r>
    </w:p>
    <w:p>
      <w:pPr>
        <w:pStyle w:val="Heading8"/>
        <w:ind w:left="0" w:hanging="0"/>
        <w:rPr/>
      </w:pPr>
      <w:bookmarkStart w:id="50" w:name="__RefHeading___Toc296331959"/>
      <w:bookmarkEnd w:id="50"/>
      <w:r>
        <w:rPr/>
        <w:t>Annex 5 (informative):</w:t>
        <w:br/>
        <w:t>Change history</w:t>
      </w:r>
    </w:p>
    <w:p>
      <w:pPr>
        <w:pStyle w:val="Normal"/>
        <w:rPr/>
      </w:pPr>
      <w:r>
        <w:rPr/>
      </w:r>
    </w:p>
    <w:tbl>
      <w:tblPr>
        <w:tblW w:w="9636" w:type="dxa"/>
        <w:jc w:val="left"/>
        <w:tblInd w:w="-7" w:type="dxa"/>
        <w:tblLayout w:type="fixed"/>
        <w:tblCellMar>
          <w:top w:w="0" w:type="dxa"/>
          <w:left w:w="40" w:type="dxa"/>
          <w:bottom w:w="0" w:type="dxa"/>
          <w:right w:w="40" w:type="dxa"/>
        </w:tblCellMar>
      </w:tblPr>
      <w:tblGrid>
        <w:gridCol w:w="797"/>
        <w:gridCol w:w="899"/>
        <w:gridCol w:w="990"/>
        <w:gridCol w:w="708"/>
        <w:gridCol w:w="575"/>
        <w:gridCol w:w="277"/>
        <w:gridCol w:w="595"/>
        <w:gridCol w:w="394"/>
        <w:gridCol w:w="2408"/>
        <w:gridCol w:w="568"/>
        <w:gridCol w:w="568"/>
        <w:gridCol w:w="850"/>
        <w:gridCol w:w="7"/>
      </w:tblGrid>
      <w:tr>
        <w:trPr>
          <w:trHeight w:val="272" w:hRule="atLeast"/>
          <w:cantSplit w:val="true"/>
        </w:trPr>
        <w:tc>
          <w:tcPr>
            <w:tcW w:w="9636" w:type="dxa"/>
            <w:gridSpan w:val="1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b/>
              </w:rPr>
              <w:t>Change history</w:t>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TSG SA#</w:t>
            </w:r>
          </w:p>
        </w:tc>
        <w:tc>
          <w:tcPr>
            <w:tcW w:w="8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Spec</w:t>
            </w:r>
          </w:p>
        </w:tc>
        <w:tc>
          <w:tcPr>
            <w:tcW w:w="57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7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1999</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GSM </w:t>
            </w:r>
          </w:p>
          <w:p>
            <w:pPr>
              <w:pStyle w:val="TAL"/>
              <w:rPr>
                <w:sz w:val="16"/>
              </w:rPr>
            </w:pPr>
            <w:r>
              <w:rPr>
                <w:sz w:val="16"/>
              </w:rPr>
              <w:t>02.85</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7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SA1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SA#04</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22.085</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7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SA1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0" w:hRule="atLeast"/>
        </w:trPr>
        <w:tc>
          <w:tcPr>
            <w:tcW w:w="7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SP-05</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SP-99479</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S1-99632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22.085</w:t>
            </w:r>
          </w:p>
        </w:tc>
        <w:tc>
          <w:tcPr>
            <w:tcW w:w="57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27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 for alignment</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w:t>
            </w:r>
          </w:p>
        </w:tc>
      </w:tr>
      <w:tr>
        <w:trPr>
          <w:trHeight w:val="270" w:hRule="atLeast"/>
        </w:trPr>
        <w:tc>
          <w:tcPr>
            <w:tcW w:w="7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SP-06</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SP-99519</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S1-99999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22.085</w:t>
            </w:r>
          </w:p>
        </w:tc>
        <w:tc>
          <w:tcPr>
            <w:tcW w:w="57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002</w:t>
            </w:r>
          </w:p>
        </w:tc>
        <w:tc>
          <w:tcPr>
            <w:tcW w:w="27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update for GSM/3GPP use.</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SP-010065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S1-010258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22.085</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7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Release 4</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SP-15</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SP-020045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S1-020457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22.085</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w:t>
            </w:r>
          </w:p>
        </w:tc>
        <w:tc>
          <w:tcPr>
            <w:tcW w:w="2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CR to correct terms and references</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4.1.0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rPr>
            </w:pPr>
            <w:r>
              <w:rPr>
                <w:sz w:val="14"/>
              </w:rPr>
              <w:t>CORRECT</w:t>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SP-020267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S1-021043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22.085</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7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4.1.0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SP-26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SP-040744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S1-040997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22.085</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7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Rel-5 to Rel-6</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22.085</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7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Rel-7</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Rel-6 to Rel-7</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SP-42</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7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Rel-7 to Rel-8</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Rel-9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8.0.0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Rel-10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SP-52</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SP-110376</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S1-111408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22.085</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0004</w:t>
            </w:r>
          </w:p>
        </w:tc>
        <w:tc>
          <w:tcPr>
            <w:tcW w:w="2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Rel-11</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Addition of Anonymous Call Rejection as a SS</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ACR_CS</w:t>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2014-10</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Rel-12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2015-12</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Rel-13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2017-03</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Rel-14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2018-06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Rel-15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SA#88e</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Rel-16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bl>
    <w:p>
      <w:pPr>
        <w:pStyle w:val="Normal"/>
        <w:rPr/>
      </w:pPr>
      <w:r>
        <w:rPr/>
      </w:r>
    </w:p>
    <w:p>
      <w:pPr>
        <w:pStyle w:val="CRfront"/>
        <w:spacing w:before="0" w:after="180"/>
        <w:rPr>
          <w:rFonts w:ascii="Times New Roman" w:hAnsi="Times New Roman" w:cs="Times New Roman"/>
        </w:rPr>
      </w:pPr>
      <w:r>
        <w:rPr>
          <w:rFonts w:cs="Times New Roman" w:ascii="Times New Roman" w:hAnsi="Times New Roman"/>
        </w:rPr>
      </w:r>
    </w:p>
    <w:sectPr>
      <w:headerReference w:type="default" r:id="rId7"/>
      <w:footerReference w:type="default" r:id="rId8"/>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67"/>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22.085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22.085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567"/>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left="567" w:right="425" w:hanging="567"/>
    </w:pPr>
    <w:rPr>
      <w:sz w:val="22"/>
      <w:lang w:val="en-US" w:eastAsia="en-US"/>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jc w:val="right"/>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2011-06-20T09:13:00Z</dcterms:created>
  <dc:creator>MCC Support</dc:creator>
  <dc:description/>
  <cp:keywords>LTE-Advanced LTE GSM UMTS CUG supplementary service stage 1</cp:keywords>
  <dc:language>en-US</dc:language>
  <cp:lastModifiedBy>Alain Sultan</cp:lastModifiedBy>
  <cp:lastPrinted>1999-05-20T09:50:00Z</cp:lastPrinted>
  <dcterms:modified xsi:type="dcterms:W3CDTF">2020-07-16T09:28:00Z</dcterms:modified>
  <cp:revision>11</cp:revision>
  <dc:subject>Closed User Group (CUG) Supplementary Services - Stage 1 (Release 10)</dc:subject>
  <dc:title>3GPP TS 22.085</dc:title>
</cp:coreProperties>
</file>