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22.119 </w:t>
                            </w:r>
                            <w:r>
                              <w:rPr/>
                              <w:t xml:space="preserve">V16.2.0 </w:t>
                            </w:r>
                            <w:r>
                              <w:rPr>
                                <w:sz w:val="32"/>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22.119 </w:t>
                      </w:r>
                      <w:r>
                        <w:rPr/>
                        <w:t xml:space="preserve">V16.2.0 </w:t>
                      </w:r>
                      <w:r>
                        <w:rPr>
                          <w:sz w:val="32"/>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eastAsia="ko-KR"/>
                              </w:rPr>
                              <w:t xml:space="preserve">Maritime Communication Services </w:t>
                            </w:r>
                            <w:r>
                              <w:rPr>
                                <w:lang w:eastAsia="ko-KR"/>
                              </w:rPr>
                              <w:t>over 3GPP system</w:t>
                            </w:r>
                            <w:r>
                              <w:rPr/>
                              <w:t>;</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eastAsia="ko-KR"/>
                        </w:rPr>
                        <w:t xml:space="preserve">Maritime Communication Services </w:t>
                      </w:r>
                      <w:r>
                        <w:rPr>
                          <w:lang w:eastAsia="ko-KR"/>
                        </w:rPr>
                        <w:t>over 3GPP system</w:t>
                      </w:r>
                      <w:r>
                        <w:rPr/>
                        <w:t>;</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Maritime, Requirements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Maritime, Requirements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52642088">
            <w:r>
              <w:rPr>
                <w:rStyle w:val="IndexLink"/>
                <w:rFonts w:eastAsia="Malgun Gothic"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2642089">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2642090">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2642091">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2642092">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52642093">
            <w:r>
              <w:rPr>
                <w:rStyle w:val="IndexLink"/>
              </w:rPr>
              <w:t>5</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52642094">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Overview</w:t>
            <w:tab/>
          </w:r>
          <w:hyperlink w:anchor="__RefHeading___Toc52642095">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Requirements of basic capabilities</w:t>
            <w:tab/>
          </w:r>
          <w:hyperlink w:anchor="__RefHeading___Toc52642096">
            <w:r>
              <w:rPr>
                <w:rStyle w:val="IndexLink"/>
              </w:rPr>
              <w:t>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Network connection and service continuity</w:t>
            <w:tab/>
          </w:r>
          <w:hyperlink w:anchor="__RefHeading___Toc52642097">
            <w:r>
              <w:rPr>
                <w:rStyle w:val="IndexLink"/>
              </w:rPr>
              <w:t>6</w:t>
            </w:r>
          </w:hyperlink>
        </w:p>
        <w:p>
          <w:pPr>
            <w:pStyle w:val="Contents3"/>
            <w:rPr>
              <w:rFonts w:ascii="Calibri" w:hAnsi="Calibri" w:eastAsia="Times New Roman" w:cs="Calibri"/>
              <w:sz w:val="22"/>
              <w:szCs w:val="22"/>
              <w:lang w:val="fr-FR" w:eastAsia="en-US"/>
            </w:rPr>
          </w:pPr>
          <w:r>
            <w:rPr/>
            <w:t>5.1.1</w:t>
          </w:r>
          <w:r>
            <w:rPr>
              <w:rFonts w:eastAsia="Times New Roman" w:cs="Calibri" w:ascii="Calibri" w:hAnsi="Calibri"/>
              <w:sz w:val="22"/>
              <w:szCs w:val="22"/>
            </w:rPr>
            <w:tab/>
          </w:r>
          <w:r>
            <w:rPr>
              <w:lang w:val="fr-FR" w:eastAsia="en-US"/>
            </w:rPr>
            <w:t>Description</w:t>
            <w:tab/>
          </w:r>
          <w:hyperlink w:anchor="__RefHeading___Toc52642098">
            <w:r>
              <w:rPr>
                <w:rStyle w:val="IndexLink"/>
                <w:lang w:val="fr-FR" w:eastAsia="en-US"/>
              </w:rPr>
              <w:t>6</w:t>
            </w:r>
          </w:hyperlink>
        </w:p>
        <w:p>
          <w:pPr>
            <w:pStyle w:val="Contents3"/>
            <w:rPr>
              <w:rFonts w:ascii="Calibri" w:hAnsi="Calibri" w:eastAsia="Times New Roman" w:cs="Calibri"/>
              <w:sz w:val="22"/>
              <w:szCs w:val="22"/>
              <w:lang w:val="fr-FR" w:eastAsia="en-US"/>
            </w:rPr>
          </w:pPr>
          <w:r>
            <w:rPr/>
            <w:t>5.1.2</w:t>
          </w:r>
          <w:r>
            <w:rPr>
              <w:rFonts w:eastAsia="Times New Roman" w:cs="Calibri" w:ascii="Calibri" w:hAnsi="Calibri"/>
              <w:sz w:val="22"/>
              <w:szCs w:val="22"/>
            </w:rPr>
            <w:tab/>
          </w:r>
          <w:r>
            <w:rPr>
              <w:lang w:val="fr-FR" w:eastAsia="en-US"/>
            </w:rPr>
            <w:t>Void</w:t>
            <w:tab/>
          </w:r>
          <w:hyperlink w:anchor="__RefHeading___Toc52642099">
            <w:r>
              <w:rPr>
                <w:rStyle w:val="IndexLink"/>
                <w:lang w:val="fr-FR" w:eastAsia="en-US"/>
              </w:rPr>
              <w:t>7</w:t>
            </w:r>
          </w:hyperlink>
        </w:p>
        <w:p>
          <w:pPr>
            <w:pStyle w:val="Contents2"/>
            <w:rPr>
              <w:rFonts w:ascii="Calibri" w:hAnsi="Calibri" w:eastAsia="Times New Roman" w:cs="Calibri"/>
              <w:sz w:val="22"/>
              <w:szCs w:val="22"/>
              <w:lang w:val="fr-FR" w:eastAsia="en-US"/>
            </w:rPr>
          </w:pPr>
          <w:r>
            <w:rPr/>
            <w:t>5.2</w:t>
          </w:r>
          <w:r>
            <w:rPr>
              <w:rFonts w:eastAsia="Times New Roman" w:cs="Calibri" w:ascii="Calibri" w:hAnsi="Calibri"/>
              <w:sz w:val="22"/>
              <w:szCs w:val="22"/>
              <w:lang w:val="en-US" w:eastAsia="en-US"/>
            </w:rPr>
            <w:tab/>
          </w:r>
          <w:r>
            <w:rPr>
              <w:lang w:val="fr-FR" w:eastAsia="en-US"/>
            </w:rPr>
            <w:t>Identification</w:t>
            <w:tab/>
          </w:r>
          <w:hyperlink w:anchor="__RefHeading___Toc52642100">
            <w:r>
              <w:rPr>
                <w:rStyle w:val="IndexLink"/>
                <w:lang w:val="fr-FR" w:eastAsia="en-US"/>
              </w:rPr>
              <w:t>7</w:t>
            </w:r>
          </w:hyperlink>
        </w:p>
        <w:p>
          <w:pPr>
            <w:pStyle w:val="Contents3"/>
            <w:rPr>
              <w:rFonts w:ascii="Calibri" w:hAnsi="Calibri" w:eastAsia="Times New Roman" w:cs="Calibri"/>
              <w:sz w:val="22"/>
              <w:szCs w:val="22"/>
              <w:lang w:val="fr-FR" w:eastAsia="en-US"/>
            </w:rPr>
          </w:pPr>
          <w:r>
            <w:rPr/>
            <w:t>5.2.1</w:t>
          </w:r>
          <w:r>
            <w:rPr>
              <w:rFonts w:eastAsia="Times New Roman" w:cs="Calibri" w:ascii="Calibri" w:hAnsi="Calibri"/>
              <w:sz w:val="22"/>
              <w:szCs w:val="22"/>
            </w:rPr>
            <w:tab/>
          </w:r>
          <w:r>
            <w:rPr>
              <w:lang w:val="fr-FR" w:eastAsia="en-US"/>
            </w:rPr>
            <w:t>Description</w:t>
            <w:tab/>
          </w:r>
          <w:hyperlink w:anchor="__RefHeading___Toc52642101">
            <w:r>
              <w:rPr>
                <w:rStyle w:val="IndexLink"/>
                <w:lang w:val="fr-FR" w:eastAsia="en-US"/>
              </w:rPr>
              <w:t>7</w:t>
            </w:r>
          </w:hyperlink>
        </w:p>
        <w:p>
          <w:pPr>
            <w:pStyle w:val="Contents3"/>
            <w:rPr>
              <w:rFonts w:ascii="Calibri" w:hAnsi="Calibri" w:eastAsia="Times New Roman" w:cs="Calibri"/>
              <w:sz w:val="22"/>
              <w:szCs w:val="22"/>
              <w:lang w:val="fr-FR" w:eastAsia="en-US"/>
            </w:rPr>
          </w:pPr>
          <w:r>
            <w:rPr/>
            <w:t>5.2.2</w:t>
          </w:r>
          <w:r>
            <w:rPr>
              <w:rFonts w:eastAsia="Times New Roman" w:cs="Calibri" w:ascii="Calibri" w:hAnsi="Calibri"/>
              <w:sz w:val="22"/>
              <w:szCs w:val="22"/>
            </w:rPr>
            <w:tab/>
          </w:r>
          <w:r>
            <w:rPr>
              <w:lang w:val="fr-FR" w:eastAsia="en-US"/>
            </w:rPr>
            <w:t>Requirements</w:t>
            <w:tab/>
          </w:r>
          <w:hyperlink w:anchor="__RefHeading___Toc52642102">
            <w:r>
              <w:rPr>
                <w:rStyle w:val="IndexLink"/>
                <w:lang w:val="fr-FR" w:eastAsia="en-US"/>
              </w:rPr>
              <w:t>7</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Requirements of multi-access and seamless mobility</w:t>
            <w:tab/>
          </w:r>
          <w:hyperlink w:anchor="__RefHeading___Toc52642103">
            <w:r>
              <w:rPr>
                <w:rStyle w:val="IndexLink"/>
              </w:rPr>
              <w:t>7</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Seamless mobility</w:t>
            <w:tab/>
          </w:r>
          <w:hyperlink w:anchor="__RefHeading___Toc52642104">
            <w:r>
              <w:rPr>
                <w:rStyle w:val="IndexLink"/>
              </w:rPr>
              <w:t>7</w:t>
            </w:r>
          </w:hyperlink>
        </w:p>
        <w:p>
          <w:pPr>
            <w:pStyle w:val="Contents3"/>
            <w:rPr>
              <w:rFonts w:ascii="Calibri" w:hAnsi="Calibri" w:eastAsia="Times New Roman" w:cs="Calibri"/>
              <w:sz w:val="22"/>
              <w:szCs w:val="22"/>
              <w:lang w:val="en-US" w:eastAsia="en-US"/>
            </w:rPr>
          </w:pPr>
          <w:r>
            <w:rPr/>
            <w:t>6.1.1</w:t>
          </w:r>
          <w:r>
            <w:rPr>
              <w:rFonts w:eastAsia="Times New Roman" w:cs="Calibri" w:ascii="Calibri" w:hAnsi="Calibri"/>
              <w:sz w:val="22"/>
              <w:szCs w:val="22"/>
            </w:rPr>
            <w:tab/>
          </w:r>
          <w:r>
            <w:rPr>
              <w:lang w:val="en-US" w:eastAsia="en-US"/>
            </w:rPr>
            <w:t>Description</w:t>
          </w:r>
          <w:r>
            <w:rPr/>
            <w:tab/>
          </w:r>
          <w:hyperlink w:anchor="__RefHeading___Toc52642105">
            <w:r>
              <w:rPr>
                <w:rStyle w:val="IndexLink"/>
              </w:rPr>
              <w:t>7</w:t>
            </w:r>
          </w:hyperlink>
        </w:p>
        <w:p>
          <w:pPr>
            <w:pStyle w:val="Contents3"/>
            <w:rPr>
              <w:rFonts w:ascii="Calibri" w:hAnsi="Calibri" w:eastAsia="Times New Roman" w:cs="Calibri"/>
              <w:sz w:val="22"/>
              <w:szCs w:val="22"/>
              <w:lang w:val="en-US" w:eastAsia="en-US"/>
            </w:rPr>
          </w:pPr>
          <w:r>
            <w:rPr/>
            <w:t>6.1.2</w:t>
          </w:r>
          <w:r>
            <w:rPr>
              <w:rFonts w:eastAsia="Times New Roman" w:cs="Calibri" w:ascii="Calibri" w:hAnsi="Calibri"/>
              <w:sz w:val="22"/>
              <w:szCs w:val="22"/>
            </w:rPr>
            <w:tab/>
          </w:r>
          <w:r>
            <w:rPr>
              <w:lang w:val="en-US" w:eastAsia="en-US"/>
            </w:rPr>
            <w:t>Requirements</w:t>
          </w:r>
          <w:r>
            <w:rPr/>
            <w:tab/>
          </w:r>
          <w:hyperlink w:anchor="__RefHeading___Toc52642106">
            <w:r>
              <w:rPr>
                <w:rStyle w:val="IndexLink"/>
              </w:rPr>
              <w:t>7</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Requirements of warning notification and emergency request</w:t>
            <w:tab/>
          </w:r>
          <w:hyperlink w:anchor="__RefHeading___Toc52642107">
            <w:r>
              <w:rPr>
                <w:rStyle w:val="IndexLink"/>
              </w:rPr>
              <w:t>8</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Notification for maritime safety</w:t>
            <w:tab/>
          </w:r>
          <w:hyperlink w:anchor="__RefHeading___Toc52642108">
            <w:r>
              <w:rPr>
                <w:rStyle w:val="IndexLink"/>
              </w:rPr>
              <w:t>8</w:t>
            </w:r>
          </w:hyperlink>
        </w:p>
        <w:p>
          <w:pPr>
            <w:pStyle w:val="Contents3"/>
            <w:rPr>
              <w:rFonts w:ascii="Calibri" w:hAnsi="Calibri" w:eastAsia="Times New Roman" w:cs="Calibri"/>
              <w:sz w:val="22"/>
              <w:szCs w:val="22"/>
              <w:lang w:val="en-US" w:eastAsia="en-US"/>
            </w:rPr>
          </w:pPr>
          <w:r>
            <w:rPr/>
            <w:t>7.1.1</w:t>
          </w:r>
          <w:r>
            <w:rPr>
              <w:rFonts w:eastAsia="Times New Roman" w:cs="Calibri" w:ascii="Calibri" w:hAnsi="Calibri"/>
              <w:sz w:val="22"/>
              <w:szCs w:val="22"/>
            </w:rPr>
            <w:tab/>
          </w:r>
          <w:r>
            <w:rPr>
              <w:lang w:val="en-US" w:eastAsia="en-US"/>
            </w:rPr>
            <w:t>Description</w:t>
          </w:r>
          <w:r>
            <w:rPr/>
            <w:tab/>
          </w:r>
          <w:hyperlink w:anchor="__RefHeading___Toc52642109">
            <w:r>
              <w:rPr>
                <w:rStyle w:val="IndexLink"/>
              </w:rPr>
              <w:t>8</w:t>
            </w:r>
          </w:hyperlink>
        </w:p>
        <w:p>
          <w:pPr>
            <w:pStyle w:val="Contents3"/>
            <w:rPr>
              <w:rFonts w:ascii="Calibri" w:hAnsi="Calibri" w:eastAsia="Times New Roman" w:cs="Calibri"/>
              <w:sz w:val="22"/>
              <w:szCs w:val="22"/>
              <w:lang w:val="en-US" w:eastAsia="en-US"/>
            </w:rPr>
          </w:pPr>
          <w:r>
            <w:rPr/>
            <w:t>7.1.2</w:t>
          </w:r>
          <w:r>
            <w:rPr>
              <w:rFonts w:eastAsia="Times New Roman" w:cs="Calibri" w:ascii="Calibri" w:hAnsi="Calibri"/>
              <w:sz w:val="22"/>
              <w:szCs w:val="22"/>
            </w:rPr>
            <w:tab/>
          </w:r>
          <w:r>
            <w:rPr>
              <w:lang w:val="en-US" w:eastAsia="en-US"/>
            </w:rPr>
            <w:t>Requirements</w:t>
          </w:r>
          <w:r>
            <w:rPr/>
            <w:tab/>
          </w:r>
          <w:hyperlink w:anchor="__RefHeading___Toc52642110">
            <w:r>
              <w:rPr>
                <w:rStyle w:val="IndexLink"/>
              </w:rPr>
              <w:t>8</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Emergency request for maritime safety</w:t>
            <w:tab/>
          </w:r>
          <w:hyperlink w:anchor="__RefHeading___Toc52642111">
            <w:r>
              <w:rPr>
                <w:rStyle w:val="IndexLink"/>
              </w:rPr>
              <w:t>8</w:t>
            </w:r>
          </w:hyperlink>
        </w:p>
        <w:p>
          <w:pPr>
            <w:pStyle w:val="Contents3"/>
            <w:rPr>
              <w:rFonts w:ascii="Calibri" w:hAnsi="Calibri" w:eastAsia="Times New Roman" w:cs="Calibri"/>
              <w:sz w:val="22"/>
              <w:szCs w:val="22"/>
              <w:lang w:val="en-US" w:eastAsia="en-US"/>
            </w:rPr>
          </w:pPr>
          <w:r>
            <w:rPr/>
            <w:t>7.2.1</w:t>
          </w:r>
          <w:r>
            <w:rPr>
              <w:rFonts w:eastAsia="Times New Roman" w:cs="Calibri" w:ascii="Calibri" w:hAnsi="Calibri"/>
              <w:sz w:val="22"/>
              <w:szCs w:val="22"/>
            </w:rPr>
            <w:tab/>
          </w:r>
          <w:r>
            <w:rPr>
              <w:lang w:val="en-US" w:eastAsia="en-US"/>
            </w:rPr>
            <w:t>Description</w:t>
          </w:r>
          <w:r>
            <w:rPr/>
            <w:tab/>
          </w:r>
          <w:hyperlink w:anchor="__RefHeading___Toc52642112">
            <w:r>
              <w:rPr>
                <w:rStyle w:val="IndexLink"/>
              </w:rPr>
              <w:t>8</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rPr>
            <w:tab/>
          </w:r>
          <w:r>
            <w:rPr>
              <w:lang w:val="en-US" w:eastAsia="en-US"/>
            </w:rPr>
            <w:t>Requirements</w:t>
          </w:r>
          <w:r>
            <w:rPr/>
            <w:tab/>
          </w:r>
          <w:hyperlink w:anchor="__RefHeading___Toc52642113">
            <w:r>
              <w:rPr>
                <w:rStyle w:val="IndexLink"/>
              </w:rPr>
              <w:t>8</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A</w:t>
          </w:r>
          <w:r>
            <w:rPr/>
            <w:t xml:space="preserve"> (informative):</w:t>
            <w:tab/>
            <w:t>Status of legacy communication methods used for the navigation</w:t>
            <w:tab/>
          </w:r>
          <w:hyperlink w:anchor="__RefHeading___Toc52642114">
            <w:r>
              <w:rPr>
                <w:rStyle w:val="IndexLink"/>
              </w:rPr>
              <w:t>9</w:t>
            </w:r>
          </w:hyperlink>
        </w:p>
        <w:p>
          <w:pPr>
            <w:pStyle w:val="Contents8"/>
            <w:rPr>
              <w:rFonts w:ascii="Calibri" w:hAnsi="Calibri" w:eastAsia="Times New Roman" w:cs="Calibri"/>
              <w:b w:val="false"/>
              <w:b w:val="false"/>
              <w:szCs w:val="22"/>
              <w:lang w:val="en-US" w:eastAsia="en-US"/>
            </w:rPr>
          </w:pPr>
          <w:r>
            <w:rPr/>
            <w:t>Annex B (informative):</w:t>
            <w:tab/>
            <w:t>Status of legacy communication methods used by equipment inside a vessel</w:t>
            <w:tab/>
          </w:r>
          <w:hyperlink w:anchor="__RefHeading___Toc52642115">
            <w:r>
              <w:rPr>
                <w:rStyle w:val="IndexLink"/>
              </w:rPr>
              <w:t>10</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52642116">
            <w:r>
              <w:rPr>
                <w:rStyle w:val="IndexLink"/>
                <w:b w:val="false"/>
              </w:rPr>
              <w:t>11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52642088"/>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2642089"/>
      <w:bookmarkEnd w:id="9"/>
      <w:r>
        <w:rPr/>
        <w:t>1</w:t>
        <w:tab/>
        <w:t>Scope</w:t>
      </w:r>
    </w:p>
    <w:p>
      <w:pPr>
        <w:pStyle w:val="Normal"/>
        <w:rPr/>
      </w:pPr>
      <w:r>
        <w:rPr>
          <w:lang w:eastAsia="ko-KR"/>
        </w:rPr>
        <w:t>Th</w:t>
      </w:r>
      <w:r>
        <w:rPr>
          <w:lang w:eastAsia="ko-KR"/>
        </w:rPr>
        <w:t>e</w:t>
      </w:r>
      <w:r>
        <w:rPr>
          <w:lang w:eastAsia="ko-KR"/>
        </w:rPr>
        <w:t xml:space="preserve"> present document describes service requirements </w:t>
      </w:r>
      <w:r>
        <w:rPr>
          <w:lang w:eastAsia="ko-KR"/>
        </w:rPr>
        <w:t>to enable</w:t>
      </w:r>
      <w:r>
        <w:rPr>
          <w:lang w:eastAsia="ko-KR"/>
        </w:rPr>
        <w:t xml:space="preserve"> maritime communication services</w:t>
      </w:r>
      <w:r>
        <w:rPr>
          <w:lang w:eastAsia="ko-KR"/>
        </w:rPr>
        <w:t xml:space="preserve"> to be supported</w:t>
      </w:r>
      <w:r>
        <w:rPr>
          <w:lang w:eastAsia="ko-KR"/>
        </w:rPr>
        <w:t xml:space="preserve"> over </w:t>
      </w:r>
      <w:r>
        <w:rPr>
          <w:lang w:eastAsia="ko-KR"/>
        </w:rPr>
        <w:t xml:space="preserve">a </w:t>
      </w:r>
      <w:r>
        <w:rPr>
          <w:lang w:eastAsia="ko-KR"/>
        </w:rPr>
        <w:t>3GPP system.</w:t>
      </w:r>
      <w:r>
        <w:rPr>
          <w:lang w:eastAsia="ko-KR"/>
        </w:rPr>
        <w:t xml:space="preserve"> Requirements for MC services applicable to general maritime usage are specified in 3GPP Technical Specifications dedicated to MC services [2], [3], [4], [5].</w:t>
      </w:r>
    </w:p>
    <w:p>
      <w:pPr>
        <w:pStyle w:val="Normal"/>
        <w:rPr>
          <w:lang w:eastAsia="ko-KR"/>
        </w:rPr>
      </w:pPr>
      <w:r>
        <w:rPr>
          <w:lang w:eastAsia="ko-KR"/>
        </w:rPr>
        <w:t>Requirements in the present document are specific to maritime usage.</w:t>
      </w:r>
    </w:p>
    <w:p>
      <w:pPr>
        <w:pStyle w:val="Heading1"/>
        <w:ind w:left="1134" w:hanging="1134"/>
        <w:rPr/>
      </w:pPr>
      <w:bookmarkStart w:id="10" w:name="__RefHeading___Toc52642090"/>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22.280: "Mission Critical Services Common Requirements (MCCoRe); Stage 1".</w:t>
      </w:r>
    </w:p>
    <w:p>
      <w:pPr>
        <w:pStyle w:val="EX"/>
        <w:rPr/>
      </w:pPr>
      <w:r>
        <w:rPr/>
        <w:t>[3]</w:t>
        <w:tab/>
        <w:t>3GPP TS 22.179: "Mission Critical Push to Talk (MCPTT); Stage 1".</w:t>
      </w:r>
    </w:p>
    <w:p>
      <w:pPr>
        <w:pStyle w:val="EX"/>
        <w:rPr/>
      </w:pPr>
      <w:r>
        <w:rPr/>
        <w:t>[4]</w:t>
        <w:tab/>
        <w:t>3GPP TS 22.281: "Mission Critical (MC) video".</w:t>
      </w:r>
    </w:p>
    <w:p>
      <w:pPr>
        <w:pStyle w:val="EX"/>
        <w:rPr/>
      </w:pPr>
      <w:r>
        <w:rPr/>
        <w:t>[5]</w:t>
        <w:tab/>
        <w:t>3GPP TS 22.282: "Mission Critical (MC) data".</w:t>
      </w:r>
    </w:p>
    <w:p>
      <w:pPr>
        <w:pStyle w:val="Heading1"/>
        <w:ind w:left="1134" w:hanging="1134"/>
        <w:rPr/>
      </w:pPr>
      <w:bookmarkStart w:id="19" w:name="__RefHeading___Toc52642091"/>
      <w:bookmarkEnd w:id="19"/>
      <w:r>
        <w:rPr/>
        <w:t>3</w:t>
        <w:tab/>
        <w:t>Definitions, symbols and abbreviations</w:t>
      </w:r>
    </w:p>
    <w:p>
      <w:pPr>
        <w:pStyle w:val="Heading2"/>
        <w:rPr/>
      </w:pPr>
      <w:bookmarkStart w:id="20" w:name="__RefHeading___Toc52642092"/>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EW"/>
        <w:rPr/>
      </w:pPr>
      <w:r>
        <w:rPr/>
        <w:t>(none)</w:t>
      </w:r>
    </w:p>
    <w:p>
      <w:pPr>
        <w:pStyle w:val="Heading2"/>
        <w:rPr/>
      </w:pPr>
      <w:bookmarkStart w:id="24" w:name="__RefHeading___Toc52642093"/>
      <w:bookmarkEnd w:id="24"/>
      <w:r>
        <w:rPr/>
        <w:t>3.2</w:t>
        <w:tab/>
        <w:t>Symbols</w:t>
      </w:r>
    </w:p>
    <w:p>
      <w:pPr>
        <w:pStyle w:val="Normal"/>
        <w:keepNext w:val="true"/>
        <w:rPr/>
      </w:pPr>
      <w:r>
        <w:rPr/>
        <w:t>For the purposes of the present document, the following symbols apply:</w:t>
      </w:r>
    </w:p>
    <w:p>
      <w:pPr>
        <w:pStyle w:val="EW"/>
        <w:rPr/>
      </w:pPr>
      <w:r>
        <w:rPr/>
        <w:t>(none)</w:t>
      </w:r>
    </w:p>
    <w:p>
      <w:pPr>
        <w:pStyle w:val="Heading2"/>
        <w:rPr/>
      </w:pPr>
      <w:bookmarkStart w:id="25" w:name="__RefHeading___Toc52642094"/>
      <w:bookmarkEnd w:id="2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ICT</w:t>
        <w:tab/>
        <w:t>Information and Communication Technologies</w:t>
      </w:r>
    </w:p>
    <w:p>
      <w:pPr>
        <w:pStyle w:val="EW"/>
        <w:rPr/>
      </w:pPr>
      <w:r>
        <w:rPr/>
        <w:t>IMO</w:t>
        <w:tab/>
        <w:t>International Maritime Organization</w:t>
      </w:r>
    </w:p>
    <w:p>
      <w:pPr>
        <w:pStyle w:val="EW"/>
        <w:rPr/>
      </w:pPr>
      <w:r>
        <w:rPr/>
        <w:t>MC</w:t>
        <w:tab/>
        <w:t>Mission Critical</w:t>
      </w:r>
    </w:p>
    <w:p>
      <w:pPr>
        <w:pStyle w:val="EW"/>
        <w:rPr/>
      </w:pPr>
      <w:r>
        <w:rPr/>
        <w:t>MCS</w:t>
        <w:tab/>
        <w:t>Mission Critical Services</w:t>
      </w:r>
    </w:p>
    <w:p>
      <w:pPr>
        <w:pStyle w:val="EW"/>
        <w:rPr/>
      </w:pPr>
      <w:r>
        <w:rPr/>
        <w:t>NM</w:t>
        <w:tab/>
        <w:t>nautical mile</w:t>
      </w:r>
    </w:p>
    <w:p>
      <w:pPr>
        <w:pStyle w:val="EW"/>
        <w:rPr/>
      </w:pPr>
      <w:r>
        <w:rPr/>
        <w:t>SOLAS</w:t>
        <w:tab/>
        <w:t>International Convention for the Safety of Life at Sea</w:t>
      </w:r>
    </w:p>
    <w:p>
      <w:pPr>
        <w:pStyle w:val="Heading1"/>
        <w:ind w:left="1134" w:hanging="1134"/>
        <w:rPr>
          <w:lang w:eastAsia="ko-KR"/>
        </w:rPr>
      </w:pPr>
      <w:bookmarkStart w:id="26" w:name="__RefHeading___Toc52642095"/>
      <w:bookmarkEnd w:id="26"/>
      <w:r>
        <w:rPr/>
        <w:t>4</w:t>
        <w:tab/>
        <w:t>Overview</w:t>
      </w:r>
    </w:p>
    <w:p>
      <w:pPr>
        <w:pStyle w:val="Normal"/>
        <w:rPr/>
      </w:pPr>
      <w:r>
        <w:rPr>
          <w:rFonts w:eastAsia="Batang;바탕"/>
          <w:lang w:eastAsia="ko-KR"/>
        </w:rPr>
        <w:t xml:space="preserve">The maritime domain, one of the 5G vertical domains in 3GPP is moving forward with the </w:t>
      </w:r>
      <w:r>
        <w:rPr>
          <w:lang w:eastAsia="ko-KR"/>
        </w:rPr>
        <w:t xml:space="preserve">digitalisation and mobilisation of commercial as well as safety fields. Legacy 3GPP-based technologies and solutions can be beneficial to the digitalisation and mobilisation of the maritime domain though some of the legacy 3GPP enabling technologies and solutions may not be able to fully support the performances required by the maritime domain. The maritime radio environment was not originally considered by 3GPP when the technical specifications and solutions were standardised for LTE and 5G. </w:t>
      </w:r>
    </w:p>
    <w:p>
      <w:pPr>
        <w:pStyle w:val="Normal"/>
        <w:rPr>
          <w:lang w:eastAsia="ko-KR"/>
        </w:rPr>
      </w:pPr>
      <w:r>
        <w:rPr>
          <w:lang w:eastAsia="ko-KR"/>
        </w:rPr>
        <w:t>However, most of the legacy mobile services and IoT services based on capabilities of EPS and 5GS specified in 3GPP specifications are applicable to maritime usage for the support of mobile broadband services, and for the support of IoT services or machine-type communication services in a vessel at sea.</w:t>
      </w:r>
      <w:r>
        <w:rPr/>
        <w:t xml:space="preserve"> </w:t>
      </w:r>
    </w:p>
    <w:p>
      <w:pPr>
        <w:pStyle w:val="Normal"/>
        <w:rPr/>
      </w:pPr>
      <w:r>
        <w:rPr>
          <w:lang w:eastAsia="ko-KR"/>
        </w:rPr>
        <w:t>In addition, there are service scenarios and requirements specified in 3GPP specifications based on requirements of other related vertical domains (e.g. public safety domain, automotive domain, factory automation domain, and satellite industrial domain). Some requirements derived from service scenarios pertaining to these related vertical domains are applicable to the maritime domain. Thus, it is beneficial to use 3GPP enabling technologies developed to satisfy those requirements for the maritime domain in terms of economy of scale.</w:t>
      </w:r>
    </w:p>
    <w:p>
      <w:pPr>
        <w:pStyle w:val="Normal"/>
        <w:rPr/>
      </w:pPr>
      <w:r>
        <w:rPr>
          <w:lang w:eastAsia="ko-KR"/>
        </w:rPr>
        <w:t xml:space="preserve">For example, satellite access is one of the 3GPP radio access networks supported over the 5G system, </w:t>
      </w:r>
      <w:r>
        <w:rPr/>
        <w:t>so it is possible to provide seamless maritime mobile services by integrating multiple access technologies including satellite access depending on the service scenarios. In addition, 5G LAN-type access that can replace Ethernet-based access is applicable to indoor maritime mobile services inside a vessel.</w:t>
      </w:r>
    </w:p>
    <w:p>
      <w:pPr>
        <w:pStyle w:val="Normal"/>
        <w:rPr>
          <w:lang w:eastAsia="ko-KR"/>
        </w:rPr>
      </w:pPr>
      <w:r>
        <w:rPr>
          <w:lang w:eastAsia="ko-KR"/>
        </w:rPr>
        <w:t xml:space="preserve">MC Services specified in 3GPP specifications are applicable to commercial and maritime safety fields. Some similarities exist between the public safety domain and the maritime domain in terms of service scenarios that are essentially the same. For example, in some situations, mobile communication services are supported on or amongst UEs while disconnected from their networks, i.e. off-network mode, or under isolated conditions. </w:t>
      </w:r>
    </w:p>
    <w:p>
      <w:pPr>
        <w:pStyle w:val="Normal"/>
        <w:rPr/>
      </w:pPr>
      <w:r>
        <w:rPr>
          <w:lang w:eastAsia="ko-KR"/>
        </w:rPr>
        <w:t>However, the maritime domain also has specific situations that do not pertain in other vertical domains or in the legacy ICT industrial domain. New 3GPP enabling technologies dedicated to the maritime domain can be used to address such specific situations based on requirements derived from maritime use cases. Other vertical domains may benefit from such new 3GPP enabling technologies that consider maritime domain scenarios and may need more robust technologies or solutions than those that currently exist for those vertical domains.</w:t>
      </w:r>
    </w:p>
    <w:p>
      <w:pPr>
        <w:pStyle w:val="Normal"/>
        <w:rPr/>
      </w:pPr>
      <w:r>
        <w:rPr>
          <w:lang w:eastAsia="ko-KR"/>
        </w:rPr>
        <w:t>The present document provides the stage 1 requirements specific to maritime usage over a 3GPP system for commercial as well as safety purposes. The stage 1 requirements derived from specific maritime usage but also related to MC services are specified in 3GPP technical specifications dedicated to MC services.</w:t>
      </w:r>
    </w:p>
    <w:p>
      <w:pPr>
        <w:pStyle w:val="Heading1"/>
        <w:ind w:left="1134" w:hanging="1134"/>
        <w:rPr/>
      </w:pPr>
      <w:bookmarkStart w:id="27" w:name="__RefHeading___Toc52642096"/>
      <w:bookmarkEnd w:id="27"/>
      <w:r>
        <w:rPr/>
        <w:t>5</w:t>
        <w:tab/>
        <w:t>Requirements of basic capabilities</w:t>
      </w:r>
    </w:p>
    <w:p>
      <w:pPr>
        <w:pStyle w:val="Heading2"/>
        <w:rPr/>
      </w:pPr>
      <w:bookmarkStart w:id="28" w:name="__RefHeading___Toc52642097"/>
      <w:r>
        <w:rPr/>
        <w:t>5.1</w:t>
        <w:tab/>
        <w:t>Network connection and service continuity</w:t>
      </w:r>
      <w:bookmarkEnd w:id="28"/>
      <w:r>
        <w:rPr/>
        <w:t xml:space="preserve"> </w:t>
      </w:r>
    </w:p>
    <w:p>
      <w:pPr>
        <w:pStyle w:val="Heading3"/>
        <w:rPr>
          <w:lang w:eastAsia="ko-KR"/>
        </w:rPr>
      </w:pPr>
      <w:bookmarkStart w:id="29" w:name="__RefHeading___Toc52642098"/>
      <w:bookmarkEnd w:id="29"/>
      <w:r>
        <w:rPr>
          <w:lang w:eastAsia="ko-KR"/>
        </w:rPr>
        <w:t>5.1.1</w:t>
        <w:tab/>
        <w:t>Description</w:t>
      </w:r>
    </w:p>
    <w:p>
      <w:pPr>
        <w:pStyle w:val="Normal"/>
        <w:rPr>
          <w:lang w:eastAsia="ko-KR"/>
        </w:rPr>
      </w:pPr>
      <w:r>
        <w:rPr>
          <w:color w:val="000000"/>
          <w:lang w:eastAsia="ko-KR"/>
        </w:rPr>
        <w:t>General 3GPP procedures of network connection and service continuity are applicable to maritime usage</w:t>
      </w:r>
      <w:r>
        <w:rPr>
          <w:color w:val="000000"/>
          <w:lang w:eastAsia="ko-KR"/>
        </w:rPr>
        <w:t xml:space="preserve"> within 3GPP communication range</w:t>
      </w:r>
      <w:r>
        <w:rPr>
          <w:color w:val="000000"/>
          <w:lang w:eastAsia="ko-KR"/>
        </w:rPr>
        <w:t xml:space="preserve">. </w:t>
      </w:r>
      <w:r>
        <w:rPr>
          <w:color w:val="000000"/>
          <w:lang w:eastAsia="ko-KR"/>
        </w:rPr>
        <w:t>For example, a UE mapped to a vessel needs to perform network reselection when a vessel arrives at a port where 3GPP networks are available different from the 3GPP network that a vessel was previously connected to but disconnected from when the vessel started a voyage and moved out of coverage of that network. Additional capabilities for the establishment of a 3GPP network connection and for service continuity could improve user experiences on maritime communication services over a 3GPP system despite some constraints from the maritime communication environment including the communication environment inside a vessel that is usually made of steel.</w:t>
      </w:r>
    </w:p>
    <w:p>
      <w:pPr>
        <w:pStyle w:val="Heading3"/>
        <w:rPr>
          <w:lang w:eastAsia="ko-KR"/>
        </w:rPr>
      </w:pPr>
      <w:bookmarkStart w:id="30" w:name="__RefHeading___Toc52642099"/>
      <w:bookmarkEnd w:id="30"/>
      <w:r>
        <w:rPr>
          <w:lang w:eastAsia="ko-KR"/>
        </w:rPr>
        <w:t>5.1.2</w:t>
        <w:tab/>
        <w:t>Void</w:t>
      </w:r>
    </w:p>
    <w:p>
      <w:pPr>
        <w:pStyle w:val="Heading2"/>
        <w:rPr/>
      </w:pPr>
      <w:bookmarkStart w:id="31" w:name="__RefHeading___Toc52642100"/>
      <w:r>
        <w:rPr/>
        <w:t>5.2</w:t>
        <w:tab/>
      </w:r>
      <w:r>
        <w:rPr>
          <w:lang w:eastAsia="ko-KR"/>
        </w:rPr>
        <w:t>Identification</w:t>
      </w:r>
      <w:bookmarkEnd w:id="31"/>
      <w:r>
        <w:rPr>
          <w:lang w:eastAsia="ko-KR"/>
        </w:rPr>
        <w:t xml:space="preserve"> </w:t>
      </w:r>
    </w:p>
    <w:p>
      <w:pPr>
        <w:pStyle w:val="Heading3"/>
        <w:rPr/>
      </w:pPr>
      <w:bookmarkStart w:id="32" w:name="__RefHeading___Toc52642101"/>
      <w:bookmarkEnd w:id="32"/>
      <w:r>
        <w:rPr>
          <w:lang w:eastAsia="ko-KR"/>
        </w:rPr>
        <w:t>5.2.1</w:t>
        <w:tab/>
        <w:t>Description</w:t>
      </w:r>
    </w:p>
    <w:p>
      <w:pPr>
        <w:pStyle w:val="Normal"/>
        <w:rPr>
          <w:color w:val="000000"/>
          <w:lang w:eastAsia="ko-KR"/>
        </w:rPr>
      </w:pPr>
      <w:r>
        <w:rPr>
          <w:color w:val="000000"/>
          <w:lang w:eastAsia="ko-KR"/>
        </w:rPr>
        <w:t xml:space="preserve">A UE identity specified in 3GPP specifications is applicable to maritime usage. </w:t>
      </w:r>
      <w:r>
        <w:rPr>
          <w:color w:val="000000"/>
          <w:lang w:eastAsia="ko-KR"/>
        </w:rPr>
        <w:t>There are vessel identities</w:t>
      </w:r>
      <w:r>
        <w:rPr>
          <w:color w:val="000000"/>
          <w:lang w:eastAsia="ko-KR"/>
        </w:rPr>
        <w:t xml:space="preserve"> for the identification of a vessel</w:t>
      </w:r>
      <w:r>
        <w:rPr>
          <w:color w:val="000000"/>
          <w:lang w:eastAsia="ko-KR"/>
        </w:rPr>
        <w:t xml:space="preserve"> as a unique identity</w:t>
      </w:r>
      <w:r>
        <w:rPr>
          <w:color w:val="000000"/>
          <w:lang w:eastAsia="ko-KR"/>
        </w:rPr>
        <w:t xml:space="preserve"> in maritime communication services</w:t>
      </w:r>
      <w:r>
        <w:rPr>
          <w:color w:val="000000"/>
          <w:lang w:eastAsia="ko-KR"/>
        </w:rPr>
        <w:t xml:space="preserve">. </w:t>
      </w:r>
      <w:r>
        <w:rPr>
          <w:color w:val="000000"/>
          <w:lang w:eastAsia="ko-KR"/>
        </w:rPr>
        <w:t>Mapping a UE identity with a vessel identity is needed to support identification procedures based on vessel identities in maritime domain when a vessel itself plays the role of a UE in a 3GPP system.</w:t>
      </w:r>
    </w:p>
    <w:p>
      <w:pPr>
        <w:pStyle w:val="Heading3"/>
        <w:rPr>
          <w:lang w:eastAsia="ko-KR"/>
        </w:rPr>
      </w:pPr>
      <w:bookmarkStart w:id="33" w:name="__RefHeading___Toc52642102"/>
      <w:bookmarkEnd w:id="33"/>
      <w:r>
        <w:rPr>
          <w:lang w:eastAsia="ko-KR"/>
        </w:rPr>
        <w:t>5.2.2</w:t>
        <w:tab/>
        <w:t>Requirements</w:t>
      </w:r>
    </w:p>
    <w:p>
      <w:pPr>
        <w:pStyle w:val="Normal"/>
        <w:rPr>
          <w:i/>
          <w:i/>
        </w:rPr>
      </w:pPr>
      <w:r>
        <w:rPr>
          <w:lang w:eastAsia="ko-KR"/>
        </w:rPr>
        <w:t>The 3GPP system shall provide a mechanism to associate a UE identity with a vessel identity.</w:t>
      </w:r>
    </w:p>
    <w:p>
      <w:pPr>
        <w:pStyle w:val="Heading1"/>
        <w:ind w:left="1134" w:hanging="1134"/>
        <w:rPr/>
      </w:pPr>
      <w:bookmarkStart w:id="34" w:name="__RefHeading___Toc52642103"/>
      <w:bookmarkEnd w:id="34"/>
      <w:r>
        <w:rPr/>
        <w:t>6</w:t>
        <w:tab/>
        <w:t>Requirements of multi-access and seamless mobility</w:t>
      </w:r>
    </w:p>
    <w:p>
      <w:pPr>
        <w:pStyle w:val="Heading2"/>
        <w:rPr/>
      </w:pPr>
      <w:bookmarkStart w:id="35" w:name="__RefHeading___Toc52642104"/>
      <w:bookmarkEnd w:id="35"/>
      <w:r>
        <w:rPr/>
        <w:t>6.1</w:t>
        <w:tab/>
        <w:t>Seamless mobility</w:t>
      </w:r>
    </w:p>
    <w:p>
      <w:pPr>
        <w:pStyle w:val="Heading3"/>
        <w:rPr>
          <w:lang w:eastAsia="ko-KR"/>
        </w:rPr>
      </w:pPr>
      <w:bookmarkStart w:id="36" w:name="__RefHeading___Toc52642105"/>
      <w:bookmarkEnd w:id="36"/>
      <w:r>
        <w:rPr>
          <w:lang w:eastAsia="ko-KR"/>
        </w:rPr>
        <w:t>6.1.1</w:t>
        <w:tab/>
        <w:t>Description</w:t>
      </w:r>
    </w:p>
    <w:p>
      <w:pPr>
        <w:pStyle w:val="Normal"/>
        <w:rPr/>
      </w:pPr>
      <w:r>
        <w:rPr>
          <w:lang w:eastAsia="ko-KR"/>
        </w:rPr>
        <w:t xml:space="preserve">Network deployment scenarios are to be taken into account for maritime communication </w:t>
      </w:r>
      <w:r>
        <w:rPr>
          <w:lang w:eastAsia="ko-KR"/>
        </w:rPr>
        <w:t>and these may differ from</w:t>
      </w:r>
      <w:r>
        <w:rPr>
          <w:lang w:eastAsia="ko-KR"/>
        </w:rPr>
        <w:t xml:space="preserve"> terrestrial communication </w:t>
      </w:r>
      <w:r>
        <w:rPr>
          <w:lang w:eastAsia="ko-KR"/>
        </w:rPr>
        <w:t>in order to provide seamless mobile services within a vessel at sea or</w:t>
      </w:r>
      <w:r>
        <w:rPr>
          <w:color w:val="FF0000"/>
          <w:lang w:eastAsia="ko-KR"/>
        </w:rPr>
        <w:t xml:space="preserve"> on </w:t>
      </w:r>
      <w:r>
        <w:rPr>
          <w:lang w:eastAsia="ko-KR"/>
        </w:rPr>
        <w:t>inland waterways. The usage of moving networks, isolated networks or satellite access networks may be more commonly applicable for maritime safety services compared with general commercial services over 3GPP networks because fixed mobile network deployments are used for most terrestrial mobile services.</w:t>
      </w:r>
    </w:p>
    <w:p>
      <w:pPr>
        <w:pStyle w:val="Normal"/>
        <w:rPr>
          <w:lang w:eastAsia="ko-KR"/>
        </w:rPr>
      </w:pPr>
      <w:r>
        <w:rPr>
          <w:lang w:eastAsia="ko-KR"/>
        </w:rPr>
        <w:t xml:space="preserve">The communication range may depend on </w:t>
      </w:r>
      <w:r>
        <w:rPr>
          <w:lang w:eastAsia="ko-KR"/>
        </w:rPr>
        <w:t>a number of factors such as the power level transmitted, the height of the antenna, the type of vessel, the particular service scenario and propagation conditions. Thus, it may not be easy to provide a single value for the communication range between two vessels, and for a vessel that is applicable for all maritime service scenarios.</w:t>
      </w:r>
    </w:p>
    <w:p>
      <w:pPr>
        <w:pStyle w:val="Heading3"/>
        <w:rPr>
          <w:lang w:eastAsia="ko-KR"/>
        </w:rPr>
      </w:pPr>
      <w:bookmarkStart w:id="37" w:name="__RefHeading___Toc52642106"/>
      <w:bookmarkEnd w:id="37"/>
      <w:r>
        <w:rPr>
          <w:lang w:eastAsia="ko-KR"/>
        </w:rPr>
        <w:t>6.1.2</w:t>
        <w:tab/>
        <w:t>Requirements</w:t>
      </w:r>
    </w:p>
    <w:p>
      <w:pPr>
        <w:pStyle w:val="Normal"/>
        <w:rPr/>
      </w:pPr>
      <w:r>
        <w:rPr>
          <w:color w:val="000000"/>
          <w:lang w:eastAsia="ko-KR"/>
        </w:rPr>
        <w:t>T</w:t>
      </w:r>
      <w:r>
        <w:rPr>
          <w:color w:val="000000"/>
          <w:lang w:eastAsia="ko-KR"/>
        </w:rPr>
        <w:t>he minimum communication range between vessels shall be equal to the maximum line-of-sight range between antennas mounted on two vessels at sea or on inland waterways.</w:t>
      </w:r>
    </w:p>
    <w:p>
      <w:pPr>
        <w:pStyle w:val="NO"/>
        <w:rPr/>
      </w:pPr>
      <w:r>
        <w:rPr>
          <w:lang w:eastAsia="ko-KR"/>
        </w:rPr>
        <w:t>NOTE:</w:t>
        <w:tab/>
        <w:t>The communication range between vessels is measured in nautical miles (NMs) and 1 NM equals 1852 metres.</w:t>
      </w:r>
    </w:p>
    <w:p>
      <w:pPr>
        <w:pStyle w:val="NO"/>
        <w:rPr>
          <w:lang w:eastAsia="ko-KR"/>
        </w:rPr>
      </w:pPr>
      <w:r>
        <w:rPr>
          <w:lang w:eastAsia="ko-KR"/>
        </w:rPr>
        <w:t>EXAMPLE:</w:t>
        <w:tab/>
        <w:t>In the case of non-SOLAS vessels with antenna heights 4 metres above sea level, the minimum communication range is 10 NMs when applying the formula defined in IMO Resolution A.801(19).</w:t>
      </w:r>
    </w:p>
    <w:p>
      <w:pPr>
        <w:pStyle w:val="Heading1"/>
        <w:ind w:left="1134" w:hanging="1134"/>
        <w:rPr/>
      </w:pPr>
      <w:bookmarkStart w:id="38" w:name="__RefHeading___Toc52642107"/>
      <w:bookmarkEnd w:id="38"/>
      <w:r>
        <w:rPr/>
        <w:t>7</w:t>
        <w:tab/>
        <w:t>Requirements of warning notification and emergency request</w:t>
      </w:r>
    </w:p>
    <w:p>
      <w:pPr>
        <w:pStyle w:val="Heading2"/>
        <w:rPr/>
      </w:pPr>
      <w:bookmarkStart w:id="39" w:name="__RefHeading___Toc52642108"/>
      <w:r>
        <w:rPr/>
        <w:t>7.1</w:t>
        <w:tab/>
        <w:t>Notification for maritime safety</w:t>
      </w:r>
      <w:bookmarkEnd w:id="39"/>
      <w:r>
        <w:rPr/>
        <w:t xml:space="preserve"> </w:t>
      </w:r>
    </w:p>
    <w:p>
      <w:pPr>
        <w:pStyle w:val="Heading3"/>
        <w:rPr/>
      </w:pPr>
      <w:bookmarkStart w:id="40" w:name="__RefHeading___Toc52642109"/>
      <w:bookmarkEnd w:id="40"/>
      <w:r>
        <w:rPr>
          <w:lang w:eastAsia="ko-KR"/>
        </w:rPr>
        <w:t>7.1.1</w:t>
        <w:tab/>
        <w:t>Description</w:t>
      </w:r>
    </w:p>
    <w:p>
      <w:pPr>
        <w:pStyle w:val="Normal"/>
        <w:rPr>
          <w:lang w:eastAsia="ko-KR"/>
        </w:rPr>
      </w:pPr>
      <w:r>
        <w:rPr>
          <w:lang w:eastAsia="ko-KR"/>
        </w:rPr>
        <w:t>Notifications for maritime safety are transmitted by authorities to maritime mobile users at sea. Notifications can be used to inform vessels of the location of a vessel in danger. A vessel that receives notifications relating to maritime safety needs to be able to relay such notifications to neighbouring vessels that are not in coverage of the 3GPP system.</w:t>
      </w:r>
    </w:p>
    <w:p>
      <w:pPr>
        <w:pStyle w:val="Heading3"/>
        <w:rPr>
          <w:lang w:eastAsia="ko-KR"/>
        </w:rPr>
      </w:pPr>
      <w:bookmarkStart w:id="41" w:name="__RefHeading___Toc52642110"/>
      <w:bookmarkEnd w:id="41"/>
      <w:r>
        <w:rPr>
          <w:lang w:eastAsia="ko-KR"/>
        </w:rPr>
        <w:t>7.1.2</w:t>
        <w:tab/>
        <w:t>Requirements</w:t>
      </w:r>
    </w:p>
    <w:p>
      <w:pPr>
        <w:pStyle w:val="Normal"/>
        <w:rPr/>
      </w:pPr>
      <w:r>
        <w:rPr>
          <w:lang w:eastAsia="ko-KR"/>
        </w:rPr>
        <w:t>The 3GPP system shall provide a mechanism of including the position, heading and speed of other UEs in a maritime notification transmitted only to a dedicated UE requesting maritime safety information.</w:t>
      </w:r>
    </w:p>
    <w:p>
      <w:pPr>
        <w:pStyle w:val="Heading2"/>
        <w:rPr/>
      </w:pPr>
      <w:bookmarkStart w:id="42" w:name="__RefHeading___Toc52642111"/>
      <w:r>
        <w:rPr/>
        <w:t>7.2</w:t>
        <w:tab/>
        <w:t>Emergency request for maritime safety</w:t>
      </w:r>
      <w:bookmarkEnd w:id="42"/>
      <w:r>
        <w:rPr/>
        <w:t xml:space="preserve"> </w:t>
      </w:r>
    </w:p>
    <w:p>
      <w:pPr>
        <w:pStyle w:val="Heading3"/>
        <w:rPr>
          <w:lang w:eastAsia="ko-KR"/>
        </w:rPr>
      </w:pPr>
      <w:bookmarkStart w:id="43" w:name="__RefHeading___Toc52642112"/>
      <w:bookmarkEnd w:id="43"/>
      <w:r>
        <w:rPr>
          <w:lang w:eastAsia="ko-KR"/>
        </w:rPr>
        <w:t>7.2.1</w:t>
        <w:tab/>
        <w:t>Description</w:t>
      </w:r>
    </w:p>
    <w:p>
      <w:pPr>
        <w:pStyle w:val="Normal"/>
        <w:rPr>
          <w:lang w:eastAsia="ko-KR"/>
        </w:rPr>
      </w:pPr>
      <w:r>
        <w:rPr>
          <w:lang w:eastAsia="ko-KR"/>
        </w:rPr>
        <w:t>Maritime accidents such as "man overboard" need to be handled quickly and effectively by the 3GPP system. 3GPP specifications provides several mechanisms for reporting emergencies to and requesting assistance from  the appropriate authorities. In addition to legacy emergency request mechanisms, additional capabilities could make a 3GPP system more powerful for maritime safety.</w:t>
      </w:r>
    </w:p>
    <w:p>
      <w:pPr>
        <w:pStyle w:val="Heading3"/>
        <w:rPr>
          <w:lang w:eastAsia="ko-KR"/>
        </w:rPr>
      </w:pPr>
      <w:bookmarkStart w:id="44" w:name="__RefHeading___Toc52642113"/>
      <w:bookmarkEnd w:id="44"/>
      <w:r>
        <w:rPr>
          <w:lang w:eastAsia="ko-KR"/>
        </w:rPr>
        <w:t>7.2.2</w:t>
        <w:tab/>
        <w:t>Requirements</w:t>
      </w:r>
    </w:p>
    <w:p>
      <w:pPr>
        <w:pStyle w:val="Normal"/>
        <w:rPr/>
      </w:pPr>
      <w:r>
        <w:rPr>
          <w:lang w:eastAsia="ko-KR"/>
        </w:rPr>
        <w:t>The 3GPP system shall provide a mechanism of distributing a maritime emergency request received from a UE to all UEs on that vessel.</w:t>
      </w:r>
    </w:p>
    <w:p>
      <w:pPr>
        <w:pStyle w:val="Normal"/>
        <w:rPr/>
      </w:pPr>
      <w:r>
        <w:rPr>
          <w:lang w:eastAsia="ko-KR"/>
        </w:rPr>
        <w:t xml:space="preserve">A UE dedicated to a vessel shall support the capability of sending maritime emergency requests </w:t>
      </w:r>
      <w:r>
        <w:rPr>
          <w:lang w:eastAsia="ko-KR"/>
        </w:rPr>
        <w:t>including</w:t>
      </w:r>
      <w:r>
        <w:rPr>
          <w:lang w:eastAsia="ko-KR"/>
        </w:rPr>
        <w:t xml:space="preserve"> the vessel-dedicated UE’s actual position (e.g. current position, heading and speed of the vessel and scheduled navigational routes).</w:t>
      </w:r>
      <w:r>
        <w:br w:type="page"/>
      </w:r>
    </w:p>
    <w:p>
      <w:pPr>
        <w:pStyle w:val="Heading8"/>
        <w:ind w:left="0" w:hanging="0"/>
        <w:rPr/>
      </w:pPr>
      <w:bookmarkStart w:id="45" w:name="__RefHeading___Toc52642114"/>
      <w:bookmarkEnd w:id="45"/>
      <w:r>
        <w:rPr/>
        <w:t xml:space="preserve">Annex </w:t>
      </w:r>
      <w:r>
        <w:rPr>
          <w:lang w:eastAsia="ko-KR"/>
        </w:rPr>
        <w:t>A</w:t>
      </w:r>
      <w:r>
        <w:rPr/>
        <w:t xml:space="preserve"> (informative): Status of legacy communication methods used for the navigation</w:t>
      </w:r>
    </w:p>
    <w:p>
      <w:pPr>
        <w:pStyle w:val="Normal"/>
        <w:rPr/>
      </w:pPr>
      <w:r>
        <w:rPr/>
        <w:t>Void</w:t>
      </w:r>
      <w:r>
        <w:br w:type="page"/>
      </w:r>
    </w:p>
    <w:p>
      <w:pPr>
        <w:pStyle w:val="Normal"/>
        <w:rPr/>
      </w:pPr>
      <w:r>
        <w:rPr/>
      </w:r>
    </w:p>
    <w:p>
      <w:pPr>
        <w:pStyle w:val="Heading8"/>
        <w:ind w:left="0" w:hanging="0"/>
        <w:rPr/>
      </w:pPr>
      <w:bookmarkStart w:id="46" w:name="__RefHeading___Toc52642115"/>
      <w:bookmarkEnd w:id="46"/>
      <w:r>
        <w:rPr/>
        <w:t>Annex B (informative): Status of legacy communication methods used by equipment inside a vessel</w:t>
      </w:r>
    </w:p>
    <w:p>
      <w:pPr>
        <w:pStyle w:val="Normal"/>
        <w:rPr/>
      </w:pPr>
      <w:r>
        <w:rPr/>
        <w:t>Void</w:t>
      </w:r>
      <w:r>
        <w:br w:type="page"/>
      </w:r>
    </w:p>
    <w:p>
      <w:pPr>
        <w:pStyle w:val="Heading8"/>
        <w:ind w:left="0" w:hanging="0"/>
        <w:rPr/>
      </w:pPr>
      <w:bookmarkStart w:id="47" w:name="__RefHeading___Toc52642116"/>
      <w:bookmarkStart w:id="48" w:name="historyclause"/>
      <w:bookmarkEnd w:id="47"/>
      <w:r>
        <w:rPr/>
        <w:t>Annex C (informative): Change history</w:t>
      </w:r>
      <w:bookmarkEnd w:id="48"/>
    </w:p>
    <w:tbl>
      <w:tblPr>
        <w:tblW w:w="9639" w:type="dxa"/>
        <w:jc w:val="left"/>
        <w:tblInd w:w="-7" w:type="dxa"/>
        <w:tblLayout w:type="fixed"/>
        <w:tblCellMar>
          <w:top w:w="0" w:type="dxa"/>
          <w:left w:w="40" w:type="dxa"/>
          <w:bottom w:w="0" w:type="dxa"/>
          <w:right w:w="40" w:type="dxa"/>
        </w:tblCellMar>
      </w:tblPr>
      <w:tblGrid>
        <w:gridCol w:w="800"/>
        <w:gridCol w:w="48"/>
        <w:gridCol w:w="752"/>
        <w:gridCol w:w="48"/>
        <w:gridCol w:w="1046"/>
        <w:gridCol w:w="425"/>
        <w:gridCol w:w="48"/>
        <w:gridCol w:w="377"/>
        <w:gridCol w:w="48"/>
        <w:gridCol w:w="377"/>
        <w:gridCol w:w="4962"/>
        <w:gridCol w:w="708"/>
      </w:tblGrid>
      <w:tr>
        <w:trPr>
          <w:cantSplit w:val="true"/>
        </w:trPr>
        <w:tc>
          <w:tcPr>
            <w:tcW w:w="9639"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2018-08</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SA1#83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S1-182608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TS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2018-08</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SA1#83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ko-KR"/>
              </w:rPr>
              <w:t>S1-182609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Scope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2018-08</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SA1#83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S1-182610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Overview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2018-08</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SA1#83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S1-182611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ko-KR"/>
              </w:rPr>
              <w:t>Requirements of basic capabilities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2018-08</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SA1#83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S1-182726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Requirements of maritime notification and emergency request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2018-09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SA#81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SP-180762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Raised by MCC to v.1.0.0 for presentation to SA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2018-11</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SA1#84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S1-183615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Requirement on the communication range between vessels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SA#82</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SP-181004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ko-KR"/>
              </w:rPr>
              <w:t>Raised by MCC to v.2.0.0 for presentation to SA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SA#82</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SP-181004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ko-KR"/>
              </w:rPr>
              <w:t>Raised by MCC to v.16.0.0 following SA#82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SA#85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SP-190802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szCs w:val="16"/>
              </w:rPr>
            </w:pPr>
            <w:r>
              <w:rPr>
                <w:sz w:val="14"/>
                <w:szCs w:val="16"/>
              </w:rPr>
              <w:t>0002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4"/>
                <w:szCs w:val="16"/>
              </w:rPr>
            </w:pPr>
            <w:r>
              <w:rPr>
                <w:sz w:val="14"/>
                <w:szCs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4"/>
                <w:szCs w:val="16"/>
              </w:rPr>
            </w:pPr>
            <w:r>
              <w:rPr>
                <w:sz w:val="14"/>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Clarification and editorial updates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16.1.0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SA#89e</w:t>
            </w:r>
          </w:p>
        </w:tc>
        <w:tc>
          <w:tcPr>
            <w:tcW w:w="104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SP-200785</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0003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1</w:t>
            </w:r>
          </w:p>
        </w:tc>
        <w:tc>
          <w:tcPr>
            <w:tcW w:w="37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ko-KR"/>
              </w:rPr>
            </w:pPr>
            <w:r>
              <w:rPr>
                <w:sz w:val="16"/>
                <w:szCs w:val="16"/>
                <w:lang w:eastAsia="ko-KR"/>
              </w:rPr>
              <w:t>R16 CR to TS22.119 for Requirement alignment for Relay</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16.2.0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SA#89e</w:t>
            </w:r>
          </w:p>
        </w:tc>
        <w:tc>
          <w:tcPr>
            <w:tcW w:w="104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SP-200786</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0004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1</w:t>
            </w:r>
          </w:p>
        </w:tc>
        <w:tc>
          <w:tcPr>
            <w:tcW w:w="37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ko-KR"/>
              </w:rPr>
            </w:pPr>
            <w:r>
              <w:rPr>
                <w:sz w:val="16"/>
                <w:szCs w:val="16"/>
                <w:lang w:eastAsia="ko-KR"/>
              </w:rPr>
              <w:t>Clarification and disambiguation of text, provision of missing abbreviations and references</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ko-KR"/>
              </w:rPr>
            </w:pPr>
            <w:r>
              <w:rPr>
                <w:sz w:val="16"/>
                <w:szCs w:val="16"/>
                <w:lang w:eastAsia="ko-KR"/>
              </w:rPr>
              <w:t>16.2.0</w:t>
            </w:r>
          </w:p>
        </w:tc>
      </w:tr>
    </w:tbl>
    <w:p>
      <w:pPr>
        <w:pStyle w:val="Guidance"/>
        <w:spacing w:before="0" w:after="180"/>
        <w:rPr>
          <w:i w:val="false"/>
          <w:i w:val="false"/>
        </w:rPr>
      </w:pPr>
      <w:r>
        <w:rPr>
          <w:i w:val="false"/>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algun Gothic">
    <w:charset w:val="81"/>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22.119 V16.2.0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22.119 V16.2.0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Malgun Gothic" w:hAnsi="Malgun Gothic" w:eastAsia="Malgun Gothic" w:cs="Times New Roman"/>
      <w:sz w:val="18"/>
      <w:szCs w:val="18"/>
      <w:lang w:val="en-GB"/>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 w:cs="Arial"/>
      <w:b/>
      <w:color w:val="auto"/>
      <w:sz w:val="18"/>
      <w:szCs w:val="20"/>
      <w:lang w:val="en-GB" w:eastAsia="en-US" w:bidi="ar-SA"/>
    </w:rPr>
  </w:style>
  <w:style w:type="paragraph" w:styleId="ZD">
    <w:name w:val="ZD"/>
    <w:qFormat/>
    <w:pPr>
      <w:widowControl w:val="false"/>
      <w:bidi w:val="0"/>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Malgun Gothic" w:hAnsi="Malgun Gothic" w:cs="Malgun Gothic"/>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2020-10-03T16:25:00Z</dcterms:created>
  <dc:creator>MCC Support</dc:creator>
  <dc:description/>
  <cp:keywords>&lt;keyword[ keyword ]&gt;</cp:keywords>
  <dc:language>en-US</dc:language>
  <cp:lastModifiedBy>Alain Sultan</cp:lastModifiedBy>
  <dcterms:modified xsi:type="dcterms:W3CDTF">2020-10-03T16:52:00Z</dcterms:modified>
  <cp:revision>4</cp:revision>
  <dc:subject>&lt;Title 1; Title 2&gt; (Release 14 | 13 |12)</dc:subject>
  <dc:title>3GPP TS ab.cde</dc:title>
</cp:coreProperties>
</file>