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22.135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22.135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Multicall; Service description;</w:t>
                            </w:r>
                          </w:p>
                          <w:p>
                            <w:pPr>
                              <w:pStyle w:val="ZT"/>
                              <w:rPr/>
                            </w:pPr>
                            <w:r>
                              <w:rPr/>
                              <w:t>Stage 1</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Multicall; Service description;</w:t>
                      </w:r>
                    </w:p>
                    <w:p>
                      <w:pPr>
                        <w:pStyle w:val="ZT"/>
                        <w:rPr/>
                      </w:pPr>
                      <w:r>
                        <w:rPr/>
                        <w:t>Stage 1</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32230"/>
                <wp:effectExtent l="0" t="0" r="0" b="0"/>
                <wp:wrapTopAndBottom/>
                <wp:docPr id="4" name="Frame4"/>
                <a:graphic xmlns:a="http://schemas.openxmlformats.org/drawingml/2006/main">
                  <a:graphicData uri="http://schemas.microsoft.com/office/word/2010/wordprocessingShape">
                    <wps:wsp>
                      <wps:cNvSpPr txBox="1"/>
                      <wps:spPr>
                        <a:xfrm>
                          <a:off x="0" y="0"/>
                          <a:ext cx="6480810" cy="133223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104.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p>
                      <w:pPr>
                        <w:pStyle w:val="ZU"/>
                        <w:tabs>
                          <w:tab w:val="clear" w:pos="284"/>
                          <w:tab w:val="right" w:pos="10206" w:leader="none"/>
                        </w:tabs>
                        <w:jc w:val="left"/>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lang w:val="en-AU"/>
                              </w:rPr>
                            </w:pPr>
                            <w:r>
                              <w:rPr>
                                <w:lang w:val="en-AU"/>
                              </w:rPr>
                              <w:t>Keywords</w:t>
                            </w:r>
                          </w:p>
                          <w:p>
                            <w:pPr>
                              <w:pStyle w:val="FP"/>
                              <w:ind w:left="2835" w:right="2835" w:hanging="0"/>
                              <w:jc w:val="center"/>
                              <w:rPr/>
                            </w:pPr>
                            <w:r>
                              <w:rPr>
                                <w:rFonts w:cs="Arial" w:ascii="Arial" w:hAnsi="Arial"/>
                                <w:sz w:val="18"/>
                                <w:lang w:val="en-AU"/>
                              </w:rPr>
                              <w:t>LTE, UMTS, multicall,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lang w:val="en-AU"/>
                        </w:rPr>
                      </w:pPr>
                      <w:r>
                        <w:rPr>
                          <w:lang w:val="en-AU"/>
                        </w:rPr>
                        <w:t>Keywords</w:t>
                      </w:r>
                    </w:p>
                    <w:p>
                      <w:pPr>
                        <w:pStyle w:val="FP"/>
                        <w:ind w:left="2835" w:right="2835" w:hanging="0"/>
                        <w:jc w:val="center"/>
                        <w:rPr/>
                      </w:pPr>
                      <w:r>
                        <w:rPr>
                          <w:rFonts w:cs="Arial" w:ascii="Arial" w:hAnsi="Arial"/>
                          <w:sz w:val="18"/>
                          <w:lang w:val="en-AU"/>
                        </w:rPr>
                        <w:t>LTE, UMTS, multicall,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730445">
            <w:r>
              <w:rPr>
                <w:rStyle w:val="IndexLink"/>
                <w:sz w:val="22"/>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730446">
            <w:r>
              <w:rPr>
                <w:rStyle w:val="IndexLink"/>
                <w:lang w:val="en-US" w:eastAsia="en-US"/>
              </w:rPr>
              <w:t>6</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217730447">
            <w:r>
              <w:rPr>
                <w:rStyle w:val="IndexLink"/>
                <w:lang w:val="en-US" w:eastAsia="en-US"/>
              </w:rPr>
              <w:t>6</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Definitions, symbols and abbreviations</w:t>
            <w:tab/>
          </w:r>
          <w:hyperlink w:anchor="__RefHeading___Toc217730448">
            <w:r>
              <w:rPr>
                <w:rStyle w:val="IndexLink"/>
                <w:lang w:val="en-US" w:eastAsia="en-US"/>
              </w:rPr>
              <w:t>6</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Definitions</w:t>
            <w:tab/>
          </w:r>
          <w:hyperlink w:anchor="__RefHeading___Toc217730449">
            <w:r>
              <w:rPr>
                <w:rStyle w:val="IndexLink"/>
                <w:lang w:val="en-US" w:eastAsia="en-US"/>
              </w:rPr>
              <w:t>6</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Description</w:t>
            <w:tab/>
          </w:r>
          <w:hyperlink w:anchor="__RefHeading___Toc217730450">
            <w:r>
              <w:rPr>
                <w:rStyle w:val="IndexLink"/>
                <w:lang w:val="en-US" w:eastAsia="en-US"/>
              </w:rPr>
              <w:t>7</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Description of multicall</w:t>
            <w:tab/>
          </w:r>
          <w:hyperlink w:anchor="__RefHeading___Toc217730451">
            <w:r>
              <w:rPr>
                <w:rStyle w:val="IndexLink"/>
                <w:lang w:val="en-US" w:eastAsia="en-US"/>
              </w:rPr>
              <w:t>7</w:t>
            </w:r>
          </w:hyperlink>
        </w:p>
        <w:p>
          <w:pPr>
            <w:pStyle w:val="Contents2"/>
            <w:rPr>
              <w:rFonts w:eastAsia="MS Mincho;ＭＳ 明朝"/>
              <w:sz w:val="24"/>
              <w:szCs w:val="24"/>
              <w:lang w:val="en-US" w:eastAsia="en-US"/>
            </w:rPr>
          </w:pPr>
          <w:r>
            <w:rPr/>
            <w:t>4.2</w:t>
          </w:r>
          <w:r>
            <w:rPr>
              <w:rFonts w:eastAsia="MS Mincho;ＭＳ 明朝"/>
              <w:sz w:val="24"/>
              <w:szCs w:val="24"/>
              <w:lang w:eastAsia="ja-JP"/>
            </w:rPr>
            <w:tab/>
          </w:r>
          <w:r>
            <w:rPr>
              <w:lang w:val="en-US" w:eastAsia="en-US"/>
            </w:rPr>
            <w:t>Applicability to telecommunication services</w:t>
            <w:tab/>
          </w:r>
          <w:hyperlink w:anchor="__RefHeading___Toc217730452">
            <w:r>
              <w:rPr>
                <w:rStyle w:val="IndexLink"/>
                <w:lang w:val="en-US" w:eastAsia="en-US"/>
              </w:rPr>
              <w:t>7</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Functional requirements</w:t>
            <w:tab/>
          </w:r>
          <w:hyperlink w:anchor="__RefHeading___Toc217730453">
            <w:r>
              <w:rPr>
                <w:rStyle w:val="IndexLink"/>
                <w:lang w:val="en-US" w:eastAsia="en-US"/>
              </w:rPr>
              <w:t>7</w:t>
            </w:r>
          </w:hyperlink>
        </w:p>
        <w:p>
          <w:pPr>
            <w:pStyle w:val="Contents2"/>
            <w:rPr>
              <w:rFonts w:eastAsia="MS Mincho;ＭＳ 明朝"/>
              <w:sz w:val="24"/>
              <w:szCs w:val="24"/>
              <w:lang w:val="en-US" w:eastAsia="en-US"/>
            </w:rPr>
          </w:pPr>
          <w:r>
            <w:rPr/>
            <w:t>5.1</w:t>
          </w:r>
          <w:r>
            <w:rPr>
              <w:rFonts w:eastAsia="MS Mincho;ＭＳ 明朝"/>
              <w:sz w:val="24"/>
              <w:szCs w:val="24"/>
              <w:lang w:eastAsia="ja-JP"/>
            </w:rPr>
            <w:tab/>
          </w:r>
          <w:r>
            <w:rPr>
              <w:lang w:val="en-US" w:eastAsia="en-US"/>
            </w:rPr>
            <w:t>Provision</w:t>
            <w:tab/>
          </w:r>
          <w:hyperlink w:anchor="__RefHeading___Toc217730454">
            <w:r>
              <w:rPr>
                <w:rStyle w:val="IndexLink"/>
                <w:lang w:val="en-US" w:eastAsia="en-US"/>
              </w:rPr>
              <w:t>7</w:t>
            </w:r>
          </w:hyperlink>
        </w:p>
        <w:p>
          <w:pPr>
            <w:pStyle w:val="Contents2"/>
            <w:rPr>
              <w:rFonts w:eastAsia="MS Mincho;ＭＳ 明朝"/>
              <w:sz w:val="24"/>
              <w:szCs w:val="24"/>
              <w:lang w:val="en-US" w:eastAsia="en-US"/>
            </w:rPr>
          </w:pPr>
          <w:r>
            <w:rPr/>
            <w:t>5.2</w:t>
          </w:r>
          <w:r>
            <w:rPr>
              <w:rFonts w:eastAsia="MS Mincho;ＭＳ 明朝"/>
              <w:sz w:val="24"/>
              <w:szCs w:val="24"/>
              <w:lang w:eastAsia="ja-JP"/>
            </w:rPr>
            <w:tab/>
          </w:r>
          <w:r>
            <w:rPr>
              <w:lang w:val="en-US" w:eastAsia="en-US"/>
            </w:rPr>
            <w:t>Withdrawal</w:t>
            <w:tab/>
          </w:r>
          <w:hyperlink w:anchor="__RefHeading___Toc217730455">
            <w:r>
              <w:rPr>
                <w:rStyle w:val="IndexLink"/>
                <w:lang w:val="en-US" w:eastAsia="en-US"/>
              </w:rPr>
              <w:t>7</w:t>
            </w:r>
          </w:hyperlink>
        </w:p>
        <w:p>
          <w:pPr>
            <w:pStyle w:val="Contents2"/>
            <w:rPr>
              <w:rFonts w:eastAsia="MS Mincho;ＭＳ 明朝"/>
              <w:sz w:val="24"/>
              <w:szCs w:val="24"/>
              <w:lang w:val="en-US" w:eastAsia="en-US"/>
            </w:rPr>
          </w:pPr>
          <w:r>
            <w:rPr/>
            <w:t>5.3</w:t>
          </w:r>
          <w:r>
            <w:rPr>
              <w:rFonts w:eastAsia="MS Mincho;ＭＳ 明朝"/>
              <w:sz w:val="24"/>
              <w:szCs w:val="24"/>
              <w:lang w:eastAsia="ja-JP"/>
            </w:rPr>
            <w:tab/>
          </w:r>
          <w:r>
            <w:rPr>
              <w:lang w:val="en-US" w:eastAsia="en-US"/>
            </w:rPr>
            <w:t>Registration</w:t>
            <w:tab/>
          </w:r>
          <w:hyperlink w:anchor="__RefHeading___Toc217730456">
            <w:r>
              <w:rPr>
                <w:rStyle w:val="IndexLink"/>
                <w:lang w:val="en-US" w:eastAsia="en-US"/>
              </w:rPr>
              <w:t>8</w:t>
            </w:r>
          </w:hyperlink>
        </w:p>
        <w:p>
          <w:pPr>
            <w:pStyle w:val="Contents2"/>
            <w:rPr>
              <w:rFonts w:eastAsia="MS Mincho;ＭＳ 明朝"/>
              <w:sz w:val="24"/>
              <w:szCs w:val="24"/>
              <w:lang w:val="en-US" w:eastAsia="en-US"/>
            </w:rPr>
          </w:pPr>
          <w:r>
            <w:rPr/>
            <w:t>5.4</w:t>
          </w:r>
          <w:r>
            <w:rPr>
              <w:rFonts w:eastAsia="MS Mincho;ＭＳ 明朝"/>
              <w:sz w:val="24"/>
              <w:szCs w:val="24"/>
              <w:lang w:eastAsia="ja-JP"/>
            </w:rPr>
            <w:tab/>
          </w:r>
          <w:r>
            <w:rPr>
              <w:lang w:val="en-US" w:eastAsia="en-US"/>
            </w:rPr>
            <w:t>Erasure</w:t>
            <w:tab/>
          </w:r>
          <w:hyperlink w:anchor="__RefHeading___Toc217730457">
            <w:r>
              <w:rPr>
                <w:rStyle w:val="IndexLink"/>
                <w:lang w:val="en-US" w:eastAsia="en-US"/>
              </w:rPr>
              <w:t>8</w:t>
            </w:r>
          </w:hyperlink>
        </w:p>
        <w:p>
          <w:pPr>
            <w:pStyle w:val="Contents2"/>
            <w:rPr>
              <w:rFonts w:eastAsia="MS Mincho;ＭＳ 明朝"/>
              <w:sz w:val="24"/>
              <w:szCs w:val="24"/>
              <w:lang w:val="en-US" w:eastAsia="en-US"/>
            </w:rPr>
          </w:pPr>
          <w:r>
            <w:rPr/>
            <w:t>5.5</w:t>
          </w:r>
          <w:r>
            <w:rPr>
              <w:rFonts w:eastAsia="MS Mincho;ＭＳ 明朝"/>
              <w:sz w:val="24"/>
              <w:szCs w:val="24"/>
              <w:lang w:eastAsia="ja-JP"/>
            </w:rPr>
            <w:tab/>
          </w:r>
          <w:r>
            <w:rPr>
              <w:lang w:val="en-US" w:eastAsia="en-US"/>
            </w:rPr>
            <w:t>Activation</w:t>
            <w:tab/>
          </w:r>
          <w:hyperlink w:anchor="__RefHeading___Toc217730458">
            <w:r>
              <w:rPr>
                <w:rStyle w:val="IndexLink"/>
                <w:lang w:val="en-US" w:eastAsia="en-US"/>
              </w:rPr>
              <w:t>8</w:t>
            </w:r>
          </w:hyperlink>
        </w:p>
        <w:p>
          <w:pPr>
            <w:pStyle w:val="Contents2"/>
            <w:rPr>
              <w:rFonts w:eastAsia="MS Mincho;ＭＳ 明朝"/>
              <w:sz w:val="24"/>
              <w:szCs w:val="24"/>
              <w:lang w:val="en-US" w:eastAsia="en-US"/>
            </w:rPr>
          </w:pPr>
          <w:r>
            <w:rPr/>
            <w:t>5.6</w:t>
          </w:r>
          <w:r>
            <w:rPr>
              <w:rFonts w:eastAsia="MS Mincho;ＭＳ 明朝"/>
              <w:sz w:val="24"/>
              <w:szCs w:val="24"/>
              <w:lang w:eastAsia="ja-JP"/>
            </w:rPr>
            <w:tab/>
          </w:r>
          <w:r>
            <w:rPr>
              <w:lang w:val="en-US" w:eastAsia="en-US"/>
            </w:rPr>
            <w:t>Deactivation</w:t>
            <w:tab/>
          </w:r>
          <w:hyperlink w:anchor="__RefHeading___Toc217730459">
            <w:r>
              <w:rPr>
                <w:rStyle w:val="IndexLink"/>
                <w:lang w:val="en-US" w:eastAsia="en-US"/>
              </w:rPr>
              <w:t>8</w:t>
            </w:r>
          </w:hyperlink>
        </w:p>
        <w:p>
          <w:pPr>
            <w:pStyle w:val="Contents2"/>
            <w:rPr>
              <w:rFonts w:eastAsia="MS Mincho;ＭＳ 明朝"/>
              <w:sz w:val="24"/>
              <w:szCs w:val="24"/>
              <w:lang w:val="en-US" w:eastAsia="en-US"/>
            </w:rPr>
          </w:pPr>
          <w:r>
            <w:rPr/>
            <w:t>5.7</w:t>
          </w:r>
          <w:r>
            <w:rPr>
              <w:rFonts w:eastAsia="MS Mincho;ＭＳ 明朝"/>
              <w:sz w:val="24"/>
              <w:szCs w:val="24"/>
              <w:lang w:eastAsia="ja-JP"/>
            </w:rPr>
            <w:tab/>
          </w:r>
          <w:r>
            <w:rPr>
              <w:lang w:val="en-US" w:eastAsia="en-US"/>
            </w:rPr>
            <w:t>Invocation</w:t>
            <w:tab/>
          </w:r>
          <w:hyperlink w:anchor="__RefHeading___Toc217730460">
            <w:r>
              <w:rPr>
                <w:rStyle w:val="IndexLink"/>
                <w:lang w:val="en-US" w:eastAsia="en-US"/>
              </w:rPr>
              <w:t>8</w:t>
            </w:r>
          </w:hyperlink>
        </w:p>
        <w:p>
          <w:pPr>
            <w:pStyle w:val="Contents2"/>
            <w:rPr>
              <w:rFonts w:eastAsia="MS Mincho;ＭＳ 明朝"/>
              <w:sz w:val="24"/>
              <w:szCs w:val="24"/>
              <w:lang w:val="en-US" w:eastAsia="en-US"/>
            </w:rPr>
          </w:pPr>
          <w:r>
            <w:rPr/>
            <w:t>5.8</w:t>
          </w:r>
          <w:r>
            <w:rPr>
              <w:rFonts w:eastAsia="MS Mincho;ＭＳ 明朝"/>
              <w:sz w:val="24"/>
              <w:szCs w:val="24"/>
              <w:lang w:eastAsia="ja-JP"/>
            </w:rPr>
            <w:tab/>
          </w:r>
          <w:r>
            <w:rPr>
              <w:lang w:val="en-US" w:eastAsia="en-US"/>
            </w:rPr>
            <w:t>Interrogation</w:t>
            <w:tab/>
          </w:r>
          <w:hyperlink w:anchor="__RefHeading___Toc217730461">
            <w:r>
              <w:rPr>
                <w:rStyle w:val="IndexLink"/>
                <w:lang w:val="en-US" w:eastAsia="en-US"/>
              </w:rPr>
              <w:t>8</w:t>
            </w:r>
          </w:hyperlink>
        </w:p>
        <w:p>
          <w:pPr>
            <w:pStyle w:val="Contents2"/>
            <w:rPr>
              <w:rFonts w:eastAsia="MS Mincho;ＭＳ 明朝"/>
              <w:sz w:val="24"/>
              <w:szCs w:val="24"/>
              <w:lang w:val="en-US" w:eastAsia="en-US"/>
            </w:rPr>
          </w:pPr>
          <w:r>
            <w:rPr/>
            <w:t>5.9</w:t>
          </w:r>
          <w:r>
            <w:rPr>
              <w:rFonts w:eastAsia="MS Mincho;ＭＳ 明朝"/>
              <w:sz w:val="24"/>
              <w:szCs w:val="24"/>
              <w:lang w:eastAsia="ja-JP"/>
            </w:rPr>
            <w:tab/>
          </w:r>
          <w:r>
            <w:rPr>
              <w:lang w:val="en-US" w:eastAsia="en-US"/>
            </w:rPr>
            <w:t>Call related procedures</w:t>
            <w:tab/>
          </w:r>
          <w:hyperlink w:anchor="__RefHeading___Toc217730462">
            <w:r>
              <w:rPr>
                <w:rStyle w:val="IndexLink"/>
                <w:lang w:val="en-US" w:eastAsia="en-US"/>
              </w:rPr>
              <w:t>8</w:t>
            </w:r>
          </w:hyperlink>
        </w:p>
        <w:p>
          <w:pPr>
            <w:pStyle w:val="Contents3"/>
            <w:rPr>
              <w:rFonts w:eastAsia="MS Mincho;ＭＳ 明朝"/>
              <w:sz w:val="24"/>
              <w:szCs w:val="24"/>
              <w:lang w:val="en-US" w:eastAsia="en-US"/>
            </w:rPr>
          </w:pPr>
          <w:r>
            <w:rPr/>
            <w:t>5.9.1</w:t>
          </w:r>
          <w:r>
            <w:rPr>
              <w:rFonts w:eastAsia="MS Mincho;ＭＳ 明朝"/>
              <w:sz w:val="24"/>
              <w:szCs w:val="24"/>
              <w:lang w:eastAsia="ja-JP"/>
            </w:rPr>
            <w:tab/>
          </w:r>
          <w:r>
            <w:rPr>
              <w:lang w:val="en-US" w:eastAsia="en-US"/>
            </w:rPr>
            <w:t>Terminating CS call</w:t>
            <w:tab/>
          </w:r>
          <w:hyperlink w:anchor="__RefHeading___Toc217730463">
            <w:r>
              <w:rPr>
                <w:rStyle w:val="IndexLink"/>
                <w:lang w:val="en-US" w:eastAsia="en-US"/>
              </w:rPr>
              <w:t>8</w:t>
            </w:r>
          </w:hyperlink>
        </w:p>
        <w:p>
          <w:pPr>
            <w:pStyle w:val="Contents3"/>
            <w:rPr>
              <w:rFonts w:eastAsia="MS Mincho;ＭＳ 明朝"/>
              <w:sz w:val="24"/>
              <w:szCs w:val="24"/>
              <w:lang w:val="en-US" w:eastAsia="en-US"/>
            </w:rPr>
          </w:pPr>
          <w:r>
            <w:rPr/>
            <w:t>5.9.2</w:t>
          </w:r>
          <w:r>
            <w:rPr>
              <w:rFonts w:eastAsia="MS Mincho;ＭＳ 明朝"/>
              <w:sz w:val="24"/>
              <w:szCs w:val="24"/>
              <w:lang w:eastAsia="ja-JP"/>
            </w:rPr>
            <w:tab/>
          </w:r>
          <w:r>
            <w:rPr>
              <w:lang w:val="en-US" w:eastAsia="en-US"/>
            </w:rPr>
            <w:t>Originating CS call</w:t>
            <w:tab/>
          </w:r>
          <w:hyperlink w:anchor="__RefHeading___Toc217730464">
            <w:r>
              <w:rPr>
                <w:rStyle w:val="IndexLink"/>
                <w:lang w:val="en-US" w:eastAsia="en-US"/>
              </w:rPr>
              <w:t>9</w:t>
            </w:r>
          </w:hyperlink>
        </w:p>
        <w:p>
          <w:pPr>
            <w:pStyle w:val="Contents2"/>
            <w:rPr>
              <w:rFonts w:eastAsia="MS Mincho;ＭＳ 明朝"/>
              <w:sz w:val="24"/>
              <w:szCs w:val="24"/>
              <w:lang w:val="en-US" w:eastAsia="en-US"/>
            </w:rPr>
          </w:pPr>
          <w:r>
            <w:rPr/>
            <w:t>5.10</w:t>
          </w:r>
          <w:r>
            <w:rPr>
              <w:rFonts w:eastAsia="MS Mincho;ＭＳ 明朝"/>
              <w:sz w:val="24"/>
              <w:szCs w:val="24"/>
              <w:lang w:eastAsia="ja-JP"/>
            </w:rPr>
            <w:tab/>
          </w:r>
          <w:r>
            <w:rPr>
              <w:lang w:val="en-US" w:eastAsia="en-US"/>
            </w:rPr>
            <w:t>Charging requirements</w:t>
            <w:tab/>
          </w:r>
          <w:hyperlink w:anchor="__RefHeading___Toc217730465">
            <w:r>
              <w:rPr>
                <w:rStyle w:val="IndexLink"/>
                <w:lang w:val="en-US" w:eastAsia="en-US"/>
              </w:rPr>
              <w:t>9</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Exceptional procedures or unsuccessful outcome</w:t>
            <w:tab/>
          </w:r>
          <w:hyperlink w:anchor="__RefHeading___Toc217730466">
            <w:r>
              <w:rPr>
                <w:rStyle w:val="IndexLink"/>
                <w:lang w:val="en-US" w:eastAsia="en-US"/>
              </w:rPr>
              <w:t>9</w:t>
            </w:r>
          </w:hyperlink>
        </w:p>
        <w:p>
          <w:pPr>
            <w:pStyle w:val="Contents2"/>
            <w:rPr>
              <w:rFonts w:eastAsia="MS Mincho;ＭＳ 明朝"/>
              <w:sz w:val="24"/>
              <w:szCs w:val="24"/>
              <w:lang w:val="en-US" w:eastAsia="en-US"/>
            </w:rPr>
          </w:pPr>
          <w:r>
            <w:rPr/>
            <w:t>6.1</w:t>
          </w:r>
          <w:r>
            <w:rPr>
              <w:rFonts w:eastAsia="MS Mincho;ＭＳ 明朝"/>
              <w:sz w:val="24"/>
              <w:szCs w:val="24"/>
              <w:lang w:eastAsia="ja-JP"/>
            </w:rPr>
            <w:tab/>
          </w:r>
          <w:r>
            <w:rPr>
              <w:lang w:val="en-US" w:eastAsia="en-US"/>
            </w:rPr>
            <w:t>Exceptional operation or unsuccessful outcome</w:t>
            <w:tab/>
          </w:r>
          <w:hyperlink w:anchor="__RefHeading___Toc217730467">
            <w:r>
              <w:rPr>
                <w:rStyle w:val="IndexLink"/>
                <w:lang w:val="en-US" w:eastAsia="en-US"/>
              </w:rPr>
              <w:t>9</w:t>
            </w:r>
          </w:hyperlink>
        </w:p>
        <w:p>
          <w:pPr>
            <w:pStyle w:val="Contents2"/>
            <w:rPr>
              <w:rFonts w:eastAsia="MS Mincho;ＭＳ 明朝"/>
              <w:sz w:val="24"/>
              <w:szCs w:val="24"/>
              <w:lang w:val="en-US" w:eastAsia="en-US"/>
            </w:rPr>
          </w:pPr>
          <w:r>
            <w:rPr/>
            <w:t>6.2</w:t>
          </w:r>
          <w:r>
            <w:rPr>
              <w:rFonts w:eastAsia="MS Mincho;ＭＳ 明朝"/>
              <w:sz w:val="24"/>
              <w:szCs w:val="24"/>
              <w:lang w:eastAsia="ja-JP"/>
            </w:rPr>
            <w:tab/>
          </w:r>
          <w:r>
            <w:rPr>
              <w:lang w:val="en-US" w:eastAsia="en-US"/>
            </w:rPr>
            <w:t>Registration</w:t>
            <w:tab/>
          </w:r>
          <w:hyperlink w:anchor="__RefHeading___Toc217730468">
            <w:r>
              <w:rPr>
                <w:rStyle w:val="IndexLink"/>
                <w:lang w:val="en-US" w:eastAsia="en-US"/>
              </w:rPr>
              <w:t>9</w:t>
            </w:r>
          </w:hyperlink>
        </w:p>
        <w:p>
          <w:pPr>
            <w:pStyle w:val="Contents2"/>
            <w:rPr>
              <w:rFonts w:eastAsia="MS Mincho;ＭＳ 明朝"/>
              <w:sz w:val="24"/>
              <w:szCs w:val="24"/>
              <w:lang w:val="en-US" w:eastAsia="en-US"/>
            </w:rPr>
          </w:pPr>
          <w:r>
            <w:rPr/>
            <w:t>6.3</w:t>
          </w:r>
          <w:r>
            <w:rPr>
              <w:rFonts w:eastAsia="MS Mincho;ＭＳ 明朝"/>
              <w:sz w:val="24"/>
              <w:szCs w:val="24"/>
              <w:lang w:eastAsia="ja-JP"/>
            </w:rPr>
            <w:tab/>
          </w:r>
          <w:r>
            <w:rPr>
              <w:lang w:val="en-US" w:eastAsia="en-US"/>
            </w:rPr>
            <w:t>Erasure</w:t>
            <w:tab/>
          </w:r>
          <w:hyperlink w:anchor="__RefHeading___Toc217730469">
            <w:r>
              <w:rPr>
                <w:rStyle w:val="IndexLink"/>
                <w:lang w:val="en-US" w:eastAsia="en-US"/>
              </w:rPr>
              <w:t>9</w:t>
            </w:r>
          </w:hyperlink>
        </w:p>
        <w:p>
          <w:pPr>
            <w:pStyle w:val="Contents2"/>
            <w:rPr>
              <w:rFonts w:eastAsia="MS Mincho;ＭＳ 明朝"/>
              <w:sz w:val="24"/>
              <w:szCs w:val="24"/>
              <w:lang w:val="en-US" w:eastAsia="en-US"/>
            </w:rPr>
          </w:pPr>
          <w:r>
            <w:rPr/>
            <w:t>6.4</w:t>
          </w:r>
          <w:r>
            <w:rPr>
              <w:rFonts w:eastAsia="MS Mincho;ＭＳ 明朝"/>
              <w:sz w:val="24"/>
              <w:szCs w:val="24"/>
              <w:lang w:eastAsia="ja-JP"/>
            </w:rPr>
            <w:tab/>
          </w:r>
          <w:r>
            <w:rPr>
              <w:lang w:val="en-US" w:eastAsia="en-US"/>
            </w:rPr>
            <w:t>Activation</w:t>
            <w:tab/>
          </w:r>
          <w:hyperlink w:anchor="__RefHeading___Toc217730470">
            <w:r>
              <w:rPr>
                <w:rStyle w:val="IndexLink"/>
                <w:lang w:val="en-US" w:eastAsia="en-US"/>
              </w:rPr>
              <w:t>10</w:t>
            </w:r>
          </w:hyperlink>
        </w:p>
        <w:p>
          <w:pPr>
            <w:pStyle w:val="Contents2"/>
            <w:rPr>
              <w:rFonts w:eastAsia="MS Mincho;ＭＳ 明朝"/>
              <w:sz w:val="24"/>
              <w:szCs w:val="24"/>
              <w:lang w:val="en-US" w:eastAsia="en-US"/>
            </w:rPr>
          </w:pPr>
          <w:r>
            <w:rPr/>
            <w:t>6.5</w:t>
          </w:r>
          <w:r>
            <w:rPr>
              <w:rFonts w:eastAsia="MS Mincho;ＭＳ 明朝"/>
              <w:sz w:val="24"/>
              <w:szCs w:val="24"/>
              <w:lang w:eastAsia="ja-JP"/>
            </w:rPr>
            <w:tab/>
          </w:r>
          <w:r>
            <w:rPr>
              <w:lang w:val="en-US" w:eastAsia="en-US"/>
            </w:rPr>
            <w:t>Deactivation</w:t>
            <w:tab/>
          </w:r>
          <w:hyperlink w:anchor="__RefHeading___Toc217730471">
            <w:r>
              <w:rPr>
                <w:rStyle w:val="IndexLink"/>
                <w:lang w:val="en-US" w:eastAsia="en-US"/>
              </w:rPr>
              <w:t>10</w:t>
            </w:r>
          </w:hyperlink>
        </w:p>
        <w:p>
          <w:pPr>
            <w:pStyle w:val="Contents2"/>
            <w:rPr>
              <w:rFonts w:eastAsia="MS Mincho;ＭＳ 明朝"/>
              <w:sz w:val="24"/>
              <w:szCs w:val="24"/>
              <w:lang w:val="en-US" w:eastAsia="en-US"/>
            </w:rPr>
          </w:pPr>
          <w:r>
            <w:rPr/>
            <w:t>6.6</w:t>
          </w:r>
          <w:r>
            <w:rPr>
              <w:rFonts w:eastAsia="MS Mincho;ＭＳ 明朝"/>
              <w:sz w:val="24"/>
              <w:szCs w:val="24"/>
              <w:lang w:eastAsia="ja-JP"/>
            </w:rPr>
            <w:tab/>
          </w:r>
          <w:r>
            <w:rPr>
              <w:lang w:val="en-US" w:eastAsia="en-US"/>
            </w:rPr>
            <w:t>Invocation</w:t>
            <w:tab/>
          </w:r>
          <w:hyperlink w:anchor="__RefHeading___Toc217730472">
            <w:r>
              <w:rPr>
                <w:rStyle w:val="IndexLink"/>
                <w:lang w:val="en-US" w:eastAsia="en-US"/>
              </w:rPr>
              <w:t>10</w:t>
            </w:r>
          </w:hyperlink>
        </w:p>
        <w:p>
          <w:pPr>
            <w:pStyle w:val="Contents2"/>
            <w:rPr>
              <w:rFonts w:eastAsia="MS Mincho;ＭＳ 明朝"/>
              <w:sz w:val="24"/>
              <w:szCs w:val="24"/>
              <w:lang w:val="en-US" w:eastAsia="en-US"/>
            </w:rPr>
          </w:pPr>
          <w:r>
            <w:rPr/>
            <w:t>6.7</w:t>
          </w:r>
          <w:r>
            <w:rPr>
              <w:rFonts w:eastAsia="MS Mincho;ＭＳ 明朝"/>
              <w:sz w:val="24"/>
              <w:szCs w:val="24"/>
              <w:lang w:eastAsia="ja-JP"/>
            </w:rPr>
            <w:tab/>
          </w:r>
          <w:r>
            <w:rPr>
              <w:lang w:val="en-US" w:eastAsia="en-US"/>
            </w:rPr>
            <w:t>Interrogation</w:t>
            <w:tab/>
          </w:r>
          <w:hyperlink w:anchor="__RefHeading___Toc217730473">
            <w:r>
              <w:rPr>
                <w:rStyle w:val="IndexLink"/>
                <w:lang w:val="en-US" w:eastAsia="en-US"/>
              </w:rPr>
              <w:t>10</w:t>
            </w:r>
          </w:hyperlink>
        </w:p>
        <w:p>
          <w:pPr>
            <w:pStyle w:val="Contents2"/>
            <w:rPr>
              <w:rFonts w:eastAsia="MS Mincho;ＭＳ 明朝"/>
              <w:sz w:val="24"/>
              <w:szCs w:val="24"/>
              <w:lang w:val="en-US" w:eastAsia="en-US"/>
            </w:rPr>
          </w:pPr>
          <w:r>
            <w:rPr/>
            <w:t>6.8</w:t>
          </w:r>
          <w:r>
            <w:rPr>
              <w:rFonts w:eastAsia="MS Mincho;ＭＳ 明朝"/>
              <w:sz w:val="24"/>
              <w:szCs w:val="24"/>
              <w:lang w:eastAsia="ja-JP"/>
            </w:rPr>
            <w:tab/>
          </w:r>
          <w:r>
            <w:rPr>
              <w:lang w:val="en-US" w:eastAsia="en-US"/>
            </w:rPr>
            <w:t>Roaming in non-supporting networks</w:t>
            <w:tab/>
          </w:r>
          <w:hyperlink w:anchor="__RefHeading___Toc217730474">
            <w:r>
              <w:rPr>
                <w:rStyle w:val="IndexLink"/>
                <w:lang w:val="en-US" w:eastAsia="en-US"/>
              </w:rPr>
              <w:t>10</w:t>
            </w:r>
          </w:hyperlink>
        </w:p>
        <w:p>
          <w:pPr>
            <w:pStyle w:val="Contents1"/>
            <w:rPr>
              <w:rFonts w:eastAsia="MS Mincho;ＭＳ 明朝"/>
              <w:sz w:val="24"/>
              <w:szCs w:val="24"/>
              <w:lang w:val="en-US" w:eastAsia="en-US"/>
            </w:rPr>
          </w:pPr>
          <w:r>
            <w:rPr/>
            <w:t>7</w:t>
          </w:r>
          <w:r>
            <w:rPr>
              <w:rFonts w:eastAsia="MS Mincho;ＭＳ 明朝"/>
              <w:sz w:val="24"/>
              <w:szCs w:val="24"/>
              <w:lang w:eastAsia="ja-JP"/>
            </w:rPr>
            <w:tab/>
          </w:r>
          <w:r>
            <w:rPr>
              <w:lang w:val="en-US" w:eastAsia="en-US"/>
            </w:rPr>
            <w:t>Interaction with other services</w:t>
            <w:tab/>
          </w:r>
          <w:hyperlink w:anchor="__RefHeading___Toc217730475">
            <w:r>
              <w:rPr>
                <w:rStyle w:val="IndexLink"/>
                <w:lang w:val="en-US" w:eastAsia="en-US"/>
              </w:rPr>
              <w:t>10</w:t>
            </w:r>
          </w:hyperlink>
        </w:p>
        <w:p>
          <w:pPr>
            <w:pStyle w:val="Contents2"/>
            <w:rPr>
              <w:rFonts w:eastAsia="MS Mincho;ＭＳ 明朝"/>
              <w:sz w:val="24"/>
              <w:szCs w:val="24"/>
              <w:lang w:val="en-US" w:eastAsia="en-US"/>
            </w:rPr>
          </w:pPr>
          <w:r>
            <w:rPr/>
            <w:t>7.1</w:t>
          </w:r>
          <w:r>
            <w:rPr>
              <w:rFonts w:eastAsia="MS Mincho;ＭＳ 明朝"/>
              <w:sz w:val="24"/>
              <w:szCs w:val="24"/>
              <w:lang w:eastAsia="ja-JP"/>
            </w:rPr>
            <w:tab/>
          </w:r>
          <w:r>
            <w:rPr>
              <w:lang w:val="en-US" w:eastAsia="en-US"/>
            </w:rPr>
            <w:t>Line Identification</w:t>
            <w:tab/>
          </w:r>
          <w:hyperlink w:anchor="__RefHeading___Toc217730476">
            <w:r>
              <w:rPr>
                <w:rStyle w:val="IndexLink"/>
                <w:lang w:val="en-US" w:eastAsia="en-US"/>
              </w:rPr>
              <w:t>10</w:t>
            </w:r>
          </w:hyperlink>
        </w:p>
        <w:p>
          <w:pPr>
            <w:pStyle w:val="Contents3"/>
            <w:rPr>
              <w:rFonts w:eastAsia="MS Mincho;ＭＳ 明朝"/>
              <w:sz w:val="24"/>
              <w:szCs w:val="24"/>
              <w:lang w:val="en-US" w:eastAsia="en-US"/>
            </w:rPr>
          </w:pPr>
          <w:r>
            <w:rPr/>
            <w:t>7.1.1</w:t>
          </w:r>
          <w:r>
            <w:rPr>
              <w:rFonts w:eastAsia="MS Mincho;ＭＳ 明朝"/>
              <w:sz w:val="24"/>
              <w:szCs w:val="24"/>
              <w:lang w:eastAsia="ja-JP"/>
            </w:rPr>
            <w:tab/>
          </w:r>
          <w:r>
            <w:rPr>
              <w:lang w:val="en-US" w:eastAsia="en-US"/>
            </w:rPr>
            <w:t>Calling Line Identification Presentation (CLIP)</w:t>
            <w:tab/>
          </w:r>
          <w:hyperlink w:anchor="__RefHeading___Toc217730477">
            <w:r>
              <w:rPr>
                <w:rStyle w:val="IndexLink"/>
                <w:lang w:val="en-US" w:eastAsia="en-US"/>
              </w:rPr>
              <w:t>10</w:t>
            </w:r>
          </w:hyperlink>
        </w:p>
        <w:p>
          <w:pPr>
            <w:pStyle w:val="Contents3"/>
            <w:rPr>
              <w:rFonts w:eastAsia="MS Mincho;ＭＳ 明朝"/>
              <w:sz w:val="24"/>
              <w:szCs w:val="24"/>
              <w:lang w:val="en-US" w:eastAsia="en-US"/>
            </w:rPr>
          </w:pPr>
          <w:r>
            <w:rPr/>
            <w:t>7.1.2</w:t>
          </w:r>
          <w:r>
            <w:rPr>
              <w:rFonts w:eastAsia="MS Mincho;ＭＳ 明朝"/>
              <w:sz w:val="24"/>
              <w:szCs w:val="24"/>
              <w:lang w:eastAsia="ja-JP"/>
            </w:rPr>
            <w:tab/>
          </w:r>
          <w:r>
            <w:rPr>
              <w:lang w:val="en-US" w:eastAsia="en-US"/>
            </w:rPr>
            <w:t>Calling Line Identification Restriction (CLIR)</w:t>
            <w:tab/>
          </w:r>
          <w:hyperlink w:anchor="__RefHeading___Toc217730478">
            <w:r>
              <w:rPr>
                <w:rStyle w:val="IndexLink"/>
                <w:lang w:val="en-US" w:eastAsia="en-US"/>
              </w:rPr>
              <w:t>10</w:t>
            </w:r>
          </w:hyperlink>
        </w:p>
        <w:p>
          <w:pPr>
            <w:pStyle w:val="Contents3"/>
            <w:rPr>
              <w:rFonts w:eastAsia="MS Mincho;ＭＳ 明朝"/>
              <w:sz w:val="24"/>
              <w:szCs w:val="24"/>
              <w:lang w:val="en-US" w:eastAsia="en-US"/>
            </w:rPr>
          </w:pPr>
          <w:r>
            <w:rPr/>
            <w:t>7.1.3</w:t>
          </w:r>
          <w:r>
            <w:rPr>
              <w:rFonts w:eastAsia="MS Mincho;ＭＳ 明朝"/>
              <w:sz w:val="24"/>
              <w:szCs w:val="24"/>
              <w:lang w:eastAsia="ja-JP"/>
            </w:rPr>
            <w:tab/>
          </w:r>
          <w:r>
            <w:rPr>
              <w:lang w:val="en-US" w:eastAsia="en-US"/>
            </w:rPr>
            <w:t>Connected Line Identification Presentation (COLP)</w:t>
            <w:tab/>
          </w:r>
          <w:hyperlink w:anchor="__RefHeading___Toc217730479">
            <w:r>
              <w:rPr>
                <w:rStyle w:val="IndexLink"/>
                <w:lang w:val="en-US" w:eastAsia="en-US"/>
              </w:rPr>
              <w:t>10</w:t>
            </w:r>
          </w:hyperlink>
        </w:p>
        <w:p>
          <w:pPr>
            <w:pStyle w:val="Contents3"/>
            <w:rPr>
              <w:rFonts w:eastAsia="MS Mincho;ＭＳ 明朝"/>
              <w:sz w:val="24"/>
              <w:szCs w:val="24"/>
              <w:lang w:val="en-US" w:eastAsia="en-US"/>
            </w:rPr>
          </w:pPr>
          <w:r>
            <w:rPr/>
            <w:t>7.1.4</w:t>
          </w:r>
          <w:r>
            <w:rPr>
              <w:rFonts w:eastAsia="MS Mincho;ＭＳ 明朝"/>
              <w:sz w:val="24"/>
              <w:szCs w:val="24"/>
              <w:lang w:eastAsia="ja-JP"/>
            </w:rPr>
            <w:tab/>
          </w:r>
          <w:r>
            <w:rPr>
              <w:lang w:val="en-US" w:eastAsia="en-US"/>
            </w:rPr>
            <w:t>Connected Line Identification Restriction (COLR)</w:t>
            <w:tab/>
          </w:r>
          <w:hyperlink w:anchor="__RefHeading___Toc217730480">
            <w:r>
              <w:rPr>
                <w:rStyle w:val="IndexLink"/>
                <w:lang w:val="en-US" w:eastAsia="en-US"/>
              </w:rPr>
              <w:t>10</w:t>
            </w:r>
          </w:hyperlink>
        </w:p>
        <w:p>
          <w:pPr>
            <w:pStyle w:val="Contents2"/>
            <w:rPr>
              <w:rFonts w:eastAsia="MS Mincho;ＭＳ 明朝"/>
              <w:sz w:val="24"/>
              <w:szCs w:val="24"/>
              <w:lang w:val="en-US" w:eastAsia="en-US"/>
            </w:rPr>
          </w:pPr>
          <w:r>
            <w:rPr/>
            <w:t>7.2</w:t>
          </w:r>
          <w:r>
            <w:rPr>
              <w:rFonts w:eastAsia="MS Mincho;ＭＳ 明朝"/>
              <w:sz w:val="24"/>
              <w:szCs w:val="24"/>
              <w:lang w:eastAsia="ja-JP"/>
            </w:rPr>
            <w:tab/>
          </w:r>
          <w:r>
            <w:rPr>
              <w:lang w:val="en-US" w:eastAsia="en-US"/>
            </w:rPr>
            <w:t>Call Forwarding</w:t>
            <w:tab/>
          </w:r>
          <w:hyperlink w:anchor="__RefHeading___Toc217730481">
            <w:r>
              <w:rPr>
                <w:rStyle w:val="IndexLink"/>
                <w:lang w:val="en-US" w:eastAsia="en-US"/>
              </w:rPr>
              <w:t>11</w:t>
            </w:r>
          </w:hyperlink>
        </w:p>
        <w:p>
          <w:pPr>
            <w:pStyle w:val="Contents3"/>
            <w:rPr>
              <w:rFonts w:eastAsia="MS Mincho;ＭＳ 明朝"/>
              <w:sz w:val="24"/>
              <w:szCs w:val="24"/>
              <w:lang w:val="en-US" w:eastAsia="en-US"/>
            </w:rPr>
          </w:pPr>
          <w:r>
            <w:rPr/>
            <w:t>7.2.1</w:t>
          </w:r>
          <w:r>
            <w:rPr>
              <w:rFonts w:eastAsia="MS Mincho;ＭＳ 明朝"/>
              <w:sz w:val="24"/>
              <w:szCs w:val="24"/>
              <w:lang w:eastAsia="ja-JP"/>
            </w:rPr>
            <w:tab/>
          </w:r>
          <w:r>
            <w:rPr>
              <w:lang w:val="en-US" w:eastAsia="en-US"/>
            </w:rPr>
            <w:t>Call Forwarding Unconditional (CFU)</w:t>
            <w:tab/>
          </w:r>
          <w:hyperlink w:anchor="__RefHeading___Toc217730482">
            <w:r>
              <w:rPr>
                <w:rStyle w:val="IndexLink"/>
                <w:lang w:val="en-US" w:eastAsia="en-US"/>
              </w:rPr>
              <w:t>11</w:t>
            </w:r>
          </w:hyperlink>
        </w:p>
        <w:p>
          <w:pPr>
            <w:pStyle w:val="Contents3"/>
            <w:rPr>
              <w:rFonts w:eastAsia="MS Mincho;ＭＳ 明朝"/>
              <w:sz w:val="24"/>
              <w:szCs w:val="24"/>
              <w:lang w:val="en-US" w:eastAsia="en-US"/>
            </w:rPr>
          </w:pPr>
          <w:r>
            <w:rPr/>
            <w:t>7.2.2</w:t>
          </w:r>
          <w:r>
            <w:rPr>
              <w:rFonts w:eastAsia="MS Mincho;ＭＳ 明朝"/>
              <w:sz w:val="24"/>
              <w:szCs w:val="24"/>
              <w:lang w:eastAsia="ja-JP"/>
            </w:rPr>
            <w:tab/>
          </w:r>
          <w:r>
            <w:rPr>
              <w:lang w:val="en-US" w:eastAsia="en-US"/>
            </w:rPr>
            <w:t>Call Forwarding on Busy (CFB)</w:t>
            <w:tab/>
          </w:r>
          <w:hyperlink w:anchor="__RefHeading___Toc217730483">
            <w:r>
              <w:rPr>
                <w:rStyle w:val="IndexLink"/>
                <w:lang w:val="en-US" w:eastAsia="en-US"/>
              </w:rPr>
              <w:t>11</w:t>
            </w:r>
          </w:hyperlink>
        </w:p>
        <w:p>
          <w:pPr>
            <w:pStyle w:val="Contents3"/>
            <w:rPr>
              <w:rFonts w:eastAsia="MS Mincho;ＭＳ 明朝"/>
              <w:sz w:val="24"/>
              <w:szCs w:val="24"/>
              <w:lang w:val="en-US" w:eastAsia="en-US"/>
            </w:rPr>
          </w:pPr>
          <w:r>
            <w:rPr/>
            <w:t>7.2.3</w:t>
          </w:r>
          <w:r>
            <w:rPr>
              <w:rFonts w:eastAsia="MS Mincho;ＭＳ 明朝"/>
              <w:sz w:val="24"/>
              <w:szCs w:val="24"/>
              <w:lang w:eastAsia="ja-JP"/>
            </w:rPr>
            <w:tab/>
          </w:r>
          <w:r>
            <w:rPr>
              <w:lang w:val="en-US" w:eastAsia="en-US"/>
            </w:rPr>
            <w:t>Call Forwarding on No Reply (CFNRy)</w:t>
            <w:tab/>
          </w:r>
          <w:hyperlink w:anchor="__RefHeading___Toc217730484">
            <w:r>
              <w:rPr>
                <w:rStyle w:val="IndexLink"/>
                <w:lang w:val="en-US" w:eastAsia="en-US"/>
              </w:rPr>
              <w:t>11</w:t>
            </w:r>
          </w:hyperlink>
        </w:p>
        <w:p>
          <w:pPr>
            <w:pStyle w:val="Contents3"/>
            <w:rPr>
              <w:rFonts w:eastAsia="MS Mincho;ＭＳ 明朝"/>
              <w:sz w:val="24"/>
              <w:szCs w:val="24"/>
              <w:lang w:val="en-US" w:eastAsia="en-US"/>
            </w:rPr>
          </w:pPr>
          <w:r>
            <w:rPr/>
            <w:t>7.2.4</w:t>
          </w:r>
          <w:r>
            <w:rPr>
              <w:rFonts w:eastAsia="MS Mincho;ＭＳ 明朝"/>
              <w:sz w:val="24"/>
              <w:szCs w:val="24"/>
              <w:lang w:eastAsia="ja-JP"/>
            </w:rPr>
            <w:tab/>
          </w:r>
          <w:r>
            <w:rPr>
              <w:lang w:val="en-US" w:eastAsia="en-US"/>
            </w:rPr>
            <w:t>Call Forwarding on Not Reachable (CFNRc)</w:t>
            <w:tab/>
          </w:r>
          <w:hyperlink w:anchor="__RefHeading___Toc217730485">
            <w:r>
              <w:rPr>
                <w:rStyle w:val="IndexLink"/>
                <w:lang w:val="en-US" w:eastAsia="en-US"/>
              </w:rPr>
              <w:t>11</w:t>
            </w:r>
          </w:hyperlink>
        </w:p>
        <w:p>
          <w:pPr>
            <w:pStyle w:val="Contents2"/>
            <w:rPr>
              <w:rFonts w:eastAsia="MS Mincho;ＭＳ 明朝"/>
              <w:sz w:val="24"/>
              <w:szCs w:val="24"/>
              <w:lang w:val="en-US" w:eastAsia="en-US"/>
            </w:rPr>
          </w:pPr>
          <w:r>
            <w:rPr/>
            <w:t>7.3</w:t>
          </w:r>
          <w:r>
            <w:rPr>
              <w:rFonts w:eastAsia="MS Mincho;ＭＳ 明朝"/>
              <w:sz w:val="24"/>
              <w:szCs w:val="24"/>
              <w:lang w:eastAsia="ja-JP"/>
            </w:rPr>
            <w:tab/>
          </w:r>
          <w:r>
            <w:rPr>
              <w:lang w:val="en-US" w:eastAsia="en-US"/>
            </w:rPr>
            <w:t>Call Completion</w:t>
            <w:tab/>
          </w:r>
          <w:hyperlink w:anchor="__RefHeading___Toc217730486">
            <w:r>
              <w:rPr>
                <w:rStyle w:val="IndexLink"/>
                <w:lang w:val="en-US" w:eastAsia="en-US"/>
              </w:rPr>
              <w:t>11</w:t>
            </w:r>
          </w:hyperlink>
        </w:p>
        <w:p>
          <w:pPr>
            <w:pStyle w:val="Contents3"/>
            <w:rPr>
              <w:rFonts w:eastAsia="MS Mincho;ＭＳ 明朝"/>
              <w:sz w:val="24"/>
              <w:szCs w:val="24"/>
              <w:lang w:val="en-US" w:eastAsia="en-US"/>
            </w:rPr>
          </w:pPr>
          <w:r>
            <w:rPr/>
            <w:t>7.3.1</w:t>
          </w:r>
          <w:r>
            <w:rPr>
              <w:rFonts w:eastAsia="MS Mincho;ＭＳ 明朝"/>
              <w:sz w:val="24"/>
              <w:szCs w:val="24"/>
              <w:lang w:eastAsia="ja-JP"/>
            </w:rPr>
            <w:tab/>
          </w:r>
          <w:r>
            <w:rPr>
              <w:lang w:val="en-US" w:eastAsia="en-US"/>
            </w:rPr>
            <w:t>Call Hold (CH)</w:t>
            <w:tab/>
          </w:r>
          <w:hyperlink w:anchor="__RefHeading___Toc217730487">
            <w:r>
              <w:rPr>
                <w:rStyle w:val="IndexLink"/>
                <w:lang w:val="en-US" w:eastAsia="en-US"/>
              </w:rPr>
              <w:t>11</w:t>
            </w:r>
          </w:hyperlink>
        </w:p>
        <w:p>
          <w:pPr>
            <w:pStyle w:val="Contents3"/>
            <w:rPr>
              <w:rFonts w:eastAsia="MS Mincho;ＭＳ 明朝"/>
              <w:sz w:val="24"/>
              <w:szCs w:val="24"/>
              <w:lang w:val="en-US" w:eastAsia="en-US"/>
            </w:rPr>
          </w:pPr>
          <w:r>
            <w:rPr/>
            <w:t>7.3.2</w:t>
          </w:r>
          <w:r>
            <w:rPr>
              <w:rFonts w:eastAsia="MS Mincho;ＭＳ 明朝"/>
              <w:sz w:val="24"/>
              <w:szCs w:val="24"/>
              <w:lang w:eastAsia="ja-JP"/>
            </w:rPr>
            <w:tab/>
          </w:r>
          <w:r>
            <w:rPr>
              <w:lang w:val="en-US" w:eastAsia="en-US"/>
            </w:rPr>
            <w:t>Call Waiting (CW)</w:t>
            <w:tab/>
          </w:r>
          <w:hyperlink w:anchor="__RefHeading___Toc217730488">
            <w:r>
              <w:rPr>
                <w:rStyle w:val="IndexLink"/>
                <w:lang w:val="en-US" w:eastAsia="en-US"/>
              </w:rPr>
              <w:t>11</w:t>
            </w:r>
          </w:hyperlink>
        </w:p>
        <w:p>
          <w:pPr>
            <w:pStyle w:val="Contents2"/>
            <w:rPr>
              <w:rFonts w:eastAsia="MS Mincho;ＭＳ 明朝"/>
              <w:sz w:val="24"/>
              <w:szCs w:val="24"/>
              <w:lang w:val="en-US" w:eastAsia="en-US"/>
            </w:rPr>
          </w:pPr>
          <w:r>
            <w:rPr/>
            <w:t>7.4</w:t>
          </w:r>
          <w:r>
            <w:rPr>
              <w:rFonts w:eastAsia="MS Mincho;ＭＳ 明朝"/>
              <w:sz w:val="24"/>
              <w:szCs w:val="24"/>
              <w:lang w:eastAsia="ja-JP"/>
            </w:rPr>
            <w:tab/>
          </w:r>
          <w:r>
            <w:rPr>
              <w:lang w:val="en-US" w:eastAsia="en-US"/>
            </w:rPr>
            <w:t>Multi Party (MPTY)</w:t>
            <w:tab/>
          </w:r>
          <w:hyperlink w:anchor="__RefHeading___Toc217730489">
            <w:r>
              <w:rPr>
                <w:rStyle w:val="IndexLink"/>
                <w:lang w:val="en-US" w:eastAsia="en-US"/>
              </w:rPr>
              <w:t>12</w:t>
            </w:r>
          </w:hyperlink>
        </w:p>
        <w:p>
          <w:pPr>
            <w:pStyle w:val="Contents2"/>
            <w:rPr>
              <w:rFonts w:eastAsia="MS Mincho;ＭＳ 明朝"/>
              <w:sz w:val="24"/>
              <w:szCs w:val="24"/>
              <w:lang w:val="en-US" w:eastAsia="en-US"/>
            </w:rPr>
          </w:pPr>
          <w:r>
            <w:rPr/>
            <w:t>7.5</w:t>
          </w:r>
          <w:r>
            <w:rPr>
              <w:rFonts w:eastAsia="MS Mincho;ＭＳ 明朝"/>
              <w:sz w:val="24"/>
              <w:szCs w:val="24"/>
              <w:lang w:eastAsia="ja-JP"/>
            </w:rPr>
            <w:tab/>
          </w:r>
          <w:r>
            <w:rPr>
              <w:lang w:val="en-US" w:eastAsia="en-US"/>
            </w:rPr>
            <w:t>Closed User Group (CUG)</w:t>
            <w:tab/>
          </w:r>
          <w:hyperlink w:anchor="__RefHeading___Toc217730490">
            <w:r>
              <w:rPr>
                <w:rStyle w:val="IndexLink"/>
                <w:lang w:val="en-US" w:eastAsia="en-US"/>
              </w:rPr>
              <w:t>12</w:t>
            </w:r>
          </w:hyperlink>
        </w:p>
        <w:p>
          <w:pPr>
            <w:pStyle w:val="Contents2"/>
            <w:rPr>
              <w:rFonts w:eastAsia="MS Mincho;ＭＳ 明朝"/>
              <w:sz w:val="24"/>
              <w:szCs w:val="24"/>
              <w:lang w:val="en-US" w:eastAsia="en-US"/>
            </w:rPr>
          </w:pPr>
          <w:r>
            <w:rPr/>
            <w:t>7.6</w:t>
          </w:r>
          <w:r>
            <w:rPr>
              <w:rFonts w:eastAsia="MS Mincho;ＭＳ 明朝"/>
              <w:sz w:val="24"/>
              <w:szCs w:val="24"/>
              <w:lang w:eastAsia="ja-JP"/>
            </w:rPr>
            <w:tab/>
          </w:r>
          <w:r>
            <w:rPr>
              <w:lang w:val="en-US" w:eastAsia="en-US"/>
            </w:rPr>
            <w:t>Advice of Charge (AoC)</w:t>
            <w:tab/>
          </w:r>
          <w:hyperlink w:anchor="__RefHeading___Toc217730491">
            <w:r>
              <w:rPr>
                <w:rStyle w:val="IndexLink"/>
                <w:lang w:val="en-US" w:eastAsia="en-US"/>
              </w:rPr>
              <w:t>12</w:t>
            </w:r>
          </w:hyperlink>
        </w:p>
        <w:p>
          <w:pPr>
            <w:pStyle w:val="Contents2"/>
            <w:rPr>
              <w:rFonts w:eastAsia="MS Mincho;ＭＳ 明朝"/>
              <w:sz w:val="24"/>
              <w:szCs w:val="24"/>
              <w:lang w:val="en-US" w:eastAsia="en-US"/>
            </w:rPr>
          </w:pPr>
          <w:r>
            <w:rPr/>
            <w:t>7.7</w:t>
          </w:r>
          <w:r>
            <w:rPr>
              <w:rFonts w:eastAsia="MS Mincho;ＭＳ 明朝"/>
              <w:sz w:val="24"/>
              <w:szCs w:val="24"/>
              <w:lang w:eastAsia="ja-JP"/>
            </w:rPr>
            <w:tab/>
          </w:r>
          <w:r>
            <w:rPr>
              <w:lang w:val="en-US" w:eastAsia="en-US"/>
            </w:rPr>
            <w:t>Call Barring</w:t>
            <w:tab/>
          </w:r>
          <w:hyperlink w:anchor="__RefHeading___Toc217730492">
            <w:r>
              <w:rPr>
                <w:rStyle w:val="IndexLink"/>
                <w:lang w:val="en-US" w:eastAsia="en-US"/>
              </w:rPr>
              <w:t>12</w:t>
            </w:r>
          </w:hyperlink>
        </w:p>
        <w:p>
          <w:pPr>
            <w:pStyle w:val="Contents3"/>
            <w:rPr>
              <w:rFonts w:eastAsia="MS Mincho;ＭＳ 明朝"/>
              <w:sz w:val="24"/>
              <w:szCs w:val="24"/>
              <w:lang w:val="en-US" w:eastAsia="en-US"/>
            </w:rPr>
          </w:pPr>
          <w:r>
            <w:rPr/>
            <w:t>7.7.1</w:t>
          </w:r>
          <w:r>
            <w:rPr>
              <w:rFonts w:eastAsia="MS Mincho;ＭＳ 明朝"/>
              <w:sz w:val="24"/>
              <w:szCs w:val="24"/>
              <w:lang w:eastAsia="ja-JP"/>
            </w:rPr>
            <w:tab/>
          </w:r>
          <w:r>
            <w:rPr>
              <w:lang w:val="en-US" w:eastAsia="en-US"/>
            </w:rPr>
            <w:t>Barring of all outgoing calls</w:t>
            <w:tab/>
          </w:r>
          <w:hyperlink w:anchor="__RefHeading___Toc217730493">
            <w:r>
              <w:rPr>
                <w:rStyle w:val="IndexLink"/>
                <w:lang w:val="en-US" w:eastAsia="en-US"/>
              </w:rPr>
              <w:t>12</w:t>
            </w:r>
          </w:hyperlink>
        </w:p>
        <w:p>
          <w:pPr>
            <w:pStyle w:val="Contents3"/>
            <w:rPr>
              <w:rFonts w:eastAsia="MS Mincho;ＭＳ 明朝"/>
              <w:sz w:val="24"/>
              <w:szCs w:val="24"/>
              <w:lang w:val="en-US" w:eastAsia="en-US"/>
            </w:rPr>
          </w:pPr>
          <w:r>
            <w:rPr/>
            <w:t>7.7.2</w:t>
          </w:r>
          <w:r>
            <w:rPr>
              <w:rFonts w:eastAsia="MS Mincho;ＭＳ 明朝"/>
              <w:sz w:val="24"/>
              <w:szCs w:val="24"/>
              <w:lang w:eastAsia="ja-JP"/>
            </w:rPr>
            <w:tab/>
          </w:r>
          <w:r>
            <w:rPr>
              <w:lang w:val="en-US" w:eastAsia="en-US"/>
            </w:rPr>
            <w:t>Barring of outgoing international calls</w:t>
            <w:tab/>
          </w:r>
          <w:hyperlink w:anchor="__RefHeading___Toc217730494">
            <w:r>
              <w:rPr>
                <w:rStyle w:val="IndexLink"/>
                <w:lang w:val="en-US" w:eastAsia="en-US"/>
              </w:rPr>
              <w:t>12</w:t>
            </w:r>
          </w:hyperlink>
        </w:p>
        <w:p>
          <w:pPr>
            <w:pStyle w:val="Contents3"/>
            <w:rPr>
              <w:rFonts w:eastAsia="MS Mincho;ＭＳ 明朝"/>
              <w:sz w:val="24"/>
              <w:szCs w:val="24"/>
              <w:lang w:val="en-US" w:eastAsia="en-US"/>
            </w:rPr>
          </w:pPr>
          <w:r>
            <w:rPr/>
            <w:t>7.7.3</w:t>
          </w:r>
          <w:r>
            <w:rPr>
              <w:rFonts w:eastAsia="MS Mincho;ＭＳ 明朝"/>
              <w:sz w:val="24"/>
              <w:szCs w:val="24"/>
              <w:lang w:eastAsia="ja-JP"/>
            </w:rPr>
            <w:tab/>
          </w:r>
          <w:r>
            <w:rPr>
              <w:lang w:val="en-US" w:eastAsia="en-US"/>
            </w:rPr>
            <w:t>Barring of outgoing international calls except those directed to the HPLMN country</w:t>
            <w:tab/>
          </w:r>
          <w:hyperlink w:anchor="__RefHeading___Toc217730495">
            <w:r>
              <w:rPr>
                <w:rStyle w:val="IndexLink"/>
                <w:lang w:val="en-US" w:eastAsia="en-US"/>
              </w:rPr>
              <w:t>12</w:t>
            </w:r>
          </w:hyperlink>
        </w:p>
        <w:p>
          <w:pPr>
            <w:pStyle w:val="Contents3"/>
            <w:rPr>
              <w:rFonts w:eastAsia="MS Mincho;ＭＳ 明朝"/>
              <w:sz w:val="24"/>
              <w:szCs w:val="24"/>
              <w:lang w:val="en-US" w:eastAsia="en-US"/>
            </w:rPr>
          </w:pPr>
          <w:r>
            <w:rPr/>
            <w:t>7.7.4</w:t>
          </w:r>
          <w:r>
            <w:rPr>
              <w:rFonts w:eastAsia="MS Mincho;ＭＳ 明朝"/>
              <w:sz w:val="24"/>
              <w:szCs w:val="24"/>
              <w:lang w:eastAsia="ja-JP"/>
            </w:rPr>
            <w:tab/>
          </w:r>
          <w:r>
            <w:rPr>
              <w:lang w:val="en-US" w:eastAsia="en-US"/>
            </w:rPr>
            <w:t>Barring of all incoming calls</w:t>
            <w:tab/>
          </w:r>
          <w:hyperlink w:anchor="__RefHeading___Toc217730496">
            <w:r>
              <w:rPr>
                <w:rStyle w:val="IndexLink"/>
                <w:lang w:val="en-US" w:eastAsia="en-US"/>
              </w:rPr>
              <w:t>12</w:t>
            </w:r>
          </w:hyperlink>
        </w:p>
        <w:p>
          <w:pPr>
            <w:pStyle w:val="Contents3"/>
            <w:rPr>
              <w:rFonts w:eastAsia="MS Mincho;ＭＳ 明朝"/>
              <w:sz w:val="24"/>
              <w:szCs w:val="24"/>
              <w:lang w:val="en-US" w:eastAsia="en-US"/>
            </w:rPr>
          </w:pPr>
          <w:r>
            <w:rPr/>
            <w:t>7.7.5</w:t>
          </w:r>
          <w:r>
            <w:rPr>
              <w:rFonts w:eastAsia="MS Mincho;ＭＳ 明朝"/>
              <w:sz w:val="24"/>
              <w:szCs w:val="24"/>
              <w:lang w:eastAsia="ja-JP"/>
            </w:rPr>
            <w:tab/>
          </w:r>
          <w:r>
            <w:rPr>
              <w:lang w:val="en-US" w:eastAsia="en-US"/>
            </w:rPr>
            <w:t>Barring of incoming calls when roaming</w:t>
            <w:tab/>
          </w:r>
          <w:hyperlink w:anchor="__RefHeading___Toc217730497">
            <w:r>
              <w:rPr>
                <w:rStyle w:val="IndexLink"/>
                <w:lang w:val="en-US" w:eastAsia="en-US"/>
              </w:rPr>
              <w:t>12</w:t>
            </w:r>
          </w:hyperlink>
        </w:p>
        <w:p>
          <w:pPr>
            <w:pStyle w:val="Contents2"/>
            <w:rPr>
              <w:rFonts w:eastAsia="MS Mincho;ＭＳ 明朝"/>
              <w:sz w:val="24"/>
              <w:szCs w:val="24"/>
              <w:lang w:val="en-US" w:eastAsia="en-US"/>
            </w:rPr>
          </w:pPr>
          <w:r>
            <w:rPr/>
            <w:t>7.8</w:t>
          </w:r>
          <w:r>
            <w:rPr>
              <w:rFonts w:eastAsia="MS Mincho;ＭＳ 明朝"/>
              <w:sz w:val="24"/>
              <w:szCs w:val="24"/>
              <w:lang w:eastAsia="ja-JP"/>
            </w:rPr>
            <w:tab/>
          </w:r>
          <w:r>
            <w:rPr>
              <w:lang w:val="en-US" w:eastAsia="en-US"/>
            </w:rPr>
            <w:t>Explicit Call Transfer (ECT)</w:t>
            <w:tab/>
          </w:r>
          <w:hyperlink w:anchor="__RefHeading___Toc217730498">
            <w:r>
              <w:rPr>
                <w:rStyle w:val="IndexLink"/>
                <w:lang w:val="en-US" w:eastAsia="en-US"/>
              </w:rPr>
              <w:t>12</w:t>
            </w:r>
          </w:hyperlink>
        </w:p>
        <w:p>
          <w:pPr>
            <w:pStyle w:val="Contents2"/>
            <w:rPr>
              <w:rFonts w:eastAsia="MS Mincho;ＭＳ 明朝"/>
              <w:sz w:val="24"/>
              <w:szCs w:val="24"/>
              <w:lang w:val="en-US" w:eastAsia="en-US"/>
            </w:rPr>
          </w:pPr>
          <w:r>
            <w:rPr/>
            <w:t>7.9</w:t>
          </w:r>
          <w:r>
            <w:rPr>
              <w:rFonts w:eastAsia="MS Mincho;ＭＳ 明朝"/>
              <w:sz w:val="24"/>
              <w:szCs w:val="24"/>
              <w:lang w:eastAsia="ja-JP"/>
            </w:rPr>
            <w:tab/>
          </w:r>
          <w:r>
            <w:rPr>
              <w:lang w:val="en-US" w:eastAsia="en-US"/>
            </w:rPr>
            <w:t>Completion of Call to Busy Subscriber (CCBS)</w:t>
            <w:tab/>
          </w:r>
          <w:hyperlink w:anchor="__RefHeading___Toc217730499">
            <w:r>
              <w:rPr>
                <w:rStyle w:val="IndexLink"/>
                <w:lang w:val="en-US" w:eastAsia="en-US"/>
              </w:rPr>
              <w:t>13</w:t>
            </w:r>
          </w:hyperlink>
        </w:p>
        <w:p>
          <w:pPr>
            <w:pStyle w:val="Contents2"/>
            <w:rPr>
              <w:rFonts w:eastAsia="MS Mincho;ＭＳ 明朝"/>
              <w:sz w:val="24"/>
              <w:szCs w:val="24"/>
              <w:lang w:val="en-US" w:eastAsia="en-US"/>
            </w:rPr>
          </w:pPr>
          <w:r>
            <w:rPr/>
            <w:t>7.10</w:t>
          </w:r>
          <w:r>
            <w:rPr>
              <w:rFonts w:eastAsia="MS Mincho;ＭＳ 明朝"/>
              <w:sz w:val="24"/>
              <w:szCs w:val="24"/>
              <w:lang w:eastAsia="ja-JP"/>
            </w:rPr>
            <w:tab/>
          </w:r>
          <w:r>
            <w:rPr>
              <w:lang w:val="en-US" w:eastAsia="en-US"/>
            </w:rPr>
            <w:t>Multiple Subscriber Profile (MSP)</w:t>
            <w:tab/>
          </w:r>
          <w:hyperlink w:anchor="__RefHeading___Toc217730500">
            <w:r>
              <w:rPr>
                <w:rStyle w:val="IndexLink"/>
                <w:lang w:val="en-US" w:eastAsia="en-US"/>
              </w:rPr>
              <w:t>13</w:t>
            </w:r>
          </w:hyperlink>
        </w:p>
        <w:p>
          <w:pPr>
            <w:pStyle w:val="Contents2"/>
            <w:rPr>
              <w:rFonts w:eastAsia="MS Mincho;ＭＳ 明朝"/>
              <w:sz w:val="24"/>
              <w:szCs w:val="24"/>
              <w:lang w:val="en-US" w:eastAsia="en-US"/>
            </w:rPr>
          </w:pPr>
          <w:r>
            <w:rPr/>
            <w:t>7.11</w:t>
          </w:r>
          <w:r>
            <w:rPr>
              <w:rFonts w:eastAsia="MS Mincho;ＭＳ 明朝"/>
              <w:sz w:val="24"/>
              <w:szCs w:val="24"/>
              <w:lang w:eastAsia="ja-JP"/>
            </w:rPr>
            <w:tab/>
          </w:r>
          <w:r>
            <w:rPr>
              <w:lang w:val="en-US" w:eastAsia="en-US"/>
            </w:rPr>
            <w:t>Calling Name Presentation (CNAP)</w:t>
            <w:tab/>
          </w:r>
          <w:hyperlink w:anchor="__RefHeading___Toc217730501">
            <w:r>
              <w:rPr>
                <w:rStyle w:val="IndexLink"/>
                <w:lang w:val="en-US" w:eastAsia="en-US"/>
              </w:rPr>
              <w:t>13</w:t>
            </w:r>
          </w:hyperlink>
        </w:p>
        <w:p>
          <w:pPr>
            <w:pStyle w:val="Contents2"/>
            <w:rPr>
              <w:rFonts w:eastAsia="MS Mincho;ＭＳ 明朝"/>
              <w:sz w:val="24"/>
              <w:szCs w:val="24"/>
              <w:lang w:val="en-US" w:eastAsia="en-US"/>
            </w:rPr>
          </w:pPr>
          <w:r>
            <w:rPr/>
            <w:t>7.12</w:t>
          </w:r>
          <w:r>
            <w:rPr>
              <w:rFonts w:eastAsia="MS Mincho;ＭＳ 明朝"/>
              <w:sz w:val="24"/>
              <w:szCs w:val="24"/>
              <w:lang w:eastAsia="ja-JP"/>
            </w:rPr>
            <w:tab/>
          </w:r>
          <w:r>
            <w:rPr>
              <w:lang w:val="en-US" w:eastAsia="en-US"/>
            </w:rPr>
            <w:t>User-to-User Signalling (UUS)</w:t>
            <w:tab/>
          </w:r>
          <w:hyperlink w:anchor="__RefHeading___Toc217730502">
            <w:r>
              <w:rPr>
                <w:rStyle w:val="IndexLink"/>
                <w:lang w:val="en-US" w:eastAsia="en-US"/>
              </w:rPr>
              <w:t>13</w:t>
            </w:r>
          </w:hyperlink>
        </w:p>
        <w:p>
          <w:pPr>
            <w:pStyle w:val="Contents2"/>
            <w:rPr>
              <w:rFonts w:eastAsia="MS Mincho;ＭＳ 明朝"/>
              <w:sz w:val="24"/>
              <w:szCs w:val="24"/>
              <w:lang w:val="en-US" w:eastAsia="en-US"/>
            </w:rPr>
          </w:pPr>
          <w:r>
            <w:rPr/>
            <w:t>7.13</w:t>
          </w:r>
          <w:r>
            <w:rPr>
              <w:rFonts w:eastAsia="MS Mincho;ＭＳ 明朝"/>
              <w:sz w:val="24"/>
              <w:szCs w:val="24"/>
              <w:lang w:eastAsia="ja-JP"/>
            </w:rPr>
            <w:tab/>
          </w:r>
          <w:r>
            <w:rPr>
              <w:lang w:val="en-US" w:eastAsia="en-US"/>
            </w:rPr>
            <w:t>enhanced Multi-Level Precedence and Pre-emption service (eMLPP)</w:t>
            <w:tab/>
          </w:r>
          <w:hyperlink w:anchor="__RefHeading___Toc217730503">
            <w:r>
              <w:rPr>
                <w:rStyle w:val="IndexLink"/>
                <w:lang w:val="en-US" w:eastAsia="en-US"/>
              </w:rPr>
              <w:t>13</w:t>
            </w:r>
          </w:hyperlink>
        </w:p>
        <w:p>
          <w:pPr>
            <w:pStyle w:val="Contents2"/>
            <w:rPr>
              <w:rFonts w:eastAsia="MS Mincho;ＭＳ 明朝"/>
              <w:sz w:val="24"/>
              <w:szCs w:val="24"/>
              <w:lang w:val="en-US" w:eastAsia="en-US"/>
            </w:rPr>
          </w:pPr>
          <w:r>
            <w:rPr/>
            <w:t>7.14</w:t>
          </w:r>
          <w:r>
            <w:rPr>
              <w:rFonts w:eastAsia="MS Mincho;ＭＳ 明朝"/>
              <w:sz w:val="24"/>
              <w:szCs w:val="24"/>
              <w:lang w:eastAsia="ja-JP"/>
            </w:rPr>
            <w:tab/>
          </w:r>
          <w:r>
            <w:rPr>
              <w:lang w:val="en-US" w:eastAsia="en-US"/>
            </w:rPr>
            <w:t>Call Deflection (CD)</w:t>
            <w:tab/>
          </w:r>
          <w:hyperlink w:anchor="__RefHeading___Toc217730504">
            <w:r>
              <w:rPr>
                <w:rStyle w:val="IndexLink"/>
                <w:lang w:val="en-US" w:eastAsia="en-US"/>
              </w:rPr>
              <w:t>13</w:t>
            </w:r>
          </w:hyperlink>
        </w:p>
        <w:p>
          <w:pPr>
            <w:pStyle w:val="Contents1"/>
            <w:rPr>
              <w:rFonts w:eastAsia="MS Mincho;ＭＳ 明朝"/>
              <w:sz w:val="24"/>
              <w:szCs w:val="24"/>
              <w:lang w:val="en-US" w:eastAsia="en-US"/>
            </w:rPr>
          </w:pPr>
          <w:r>
            <w:rPr/>
            <w:t>8</w:t>
          </w:r>
          <w:r>
            <w:rPr>
              <w:rFonts w:eastAsia="MS Mincho;ＭＳ 明朝"/>
              <w:sz w:val="24"/>
              <w:szCs w:val="24"/>
              <w:lang w:eastAsia="ja-JP"/>
            </w:rPr>
            <w:tab/>
          </w:r>
          <w:r>
            <w:rPr>
              <w:lang w:val="en-US" w:eastAsia="en-US"/>
            </w:rPr>
            <w:t>Interaction with other network features and services</w:t>
            <w:tab/>
          </w:r>
          <w:hyperlink w:anchor="__RefHeading___Toc217730505">
            <w:r>
              <w:rPr>
                <w:rStyle w:val="IndexLink"/>
                <w:lang w:val="en-US" w:eastAsia="en-US"/>
              </w:rPr>
              <w:t>13</w:t>
            </w:r>
          </w:hyperlink>
        </w:p>
        <w:p>
          <w:pPr>
            <w:pStyle w:val="Contents2"/>
            <w:rPr>
              <w:rFonts w:eastAsia="MS Mincho;ＭＳ 明朝"/>
              <w:sz w:val="24"/>
              <w:szCs w:val="24"/>
              <w:lang w:val="en-US" w:eastAsia="en-US"/>
            </w:rPr>
          </w:pPr>
          <w:r>
            <w:rPr/>
            <w:t>8.1</w:t>
          </w:r>
          <w:r>
            <w:rPr>
              <w:rFonts w:eastAsia="MS Mincho;ＭＳ 明朝"/>
              <w:sz w:val="24"/>
              <w:szCs w:val="24"/>
              <w:lang w:eastAsia="ja-JP"/>
            </w:rPr>
            <w:tab/>
          </w:r>
          <w:r>
            <w:rPr>
              <w:lang w:val="en-US" w:eastAsia="en-US"/>
            </w:rPr>
            <w:t>CAMEL</w:t>
            <w:tab/>
          </w:r>
          <w:hyperlink w:anchor="__RefHeading___Toc217730506">
            <w:r>
              <w:rPr>
                <w:rStyle w:val="IndexLink"/>
                <w:lang w:val="en-US" w:eastAsia="en-US"/>
              </w:rPr>
              <w:t>13</w:t>
            </w:r>
          </w:hyperlink>
        </w:p>
        <w:p>
          <w:pPr>
            <w:pStyle w:val="Contents2"/>
            <w:rPr>
              <w:rFonts w:eastAsia="MS Mincho;ＭＳ 明朝"/>
              <w:sz w:val="24"/>
              <w:szCs w:val="24"/>
              <w:lang w:val="en-US" w:eastAsia="en-US"/>
            </w:rPr>
          </w:pPr>
          <w:r>
            <w:rPr/>
            <w:t>8.2</w:t>
          </w:r>
          <w:r>
            <w:rPr>
              <w:rFonts w:eastAsia="MS Mincho;ＭＳ 明朝"/>
              <w:sz w:val="24"/>
              <w:szCs w:val="24"/>
              <w:lang w:eastAsia="ja-JP"/>
            </w:rPr>
            <w:tab/>
          </w:r>
          <w:r>
            <w:rPr>
              <w:lang w:val="en-US" w:eastAsia="en-US"/>
            </w:rPr>
            <w:t>IST</w:t>
            <w:tab/>
          </w:r>
          <w:hyperlink w:anchor="__RefHeading___Toc217730507">
            <w:r>
              <w:rPr>
                <w:rStyle w:val="IndexLink"/>
                <w:lang w:val="en-US" w:eastAsia="en-US"/>
              </w:rPr>
              <w:t>13</w:t>
            </w:r>
          </w:hyperlink>
        </w:p>
        <w:p>
          <w:pPr>
            <w:pStyle w:val="Contents2"/>
            <w:rPr>
              <w:rFonts w:eastAsia="MS Mincho;ＭＳ 明朝"/>
              <w:sz w:val="24"/>
              <w:szCs w:val="24"/>
              <w:lang w:val="en-US" w:eastAsia="en-US"/>
            </w:rPr>
          </w:pPr>
          <w:r>
            <w:rPr/>
            <w:t>8.3</w:t>
          </w:r>
          <w:r>
            <w:rPr>
              <w:rFonts w:eastAsia="MS Mincho;ＭＳ 明朝"/>
              <w:sz w:val="24"/>
              <w:szCs w:val="24"/>
              <w:lang w:eastAsia="ja-JP"/>
            </w:rPr>
            <w:tab/>
          </w:r>
          <w:r>
            <w:rPr>
              <w:lang w:val="en-US" w:eastAsia="en-US"/>
            </w:rPr>
            <w:t>ODB</w:t>
            <w:tab/>
          </w:r>
          <w:hyperlink w:anchor="__RefHeading___Toc217730508">
            <w:r>
              <w:rPr>
                <w:rStyle w:val="IndexLink"/>
                <w:lang w:val="en-US" w:eastAsia="en-US"/>
              </w:rPr>
              <w:t>13</w:t>
            </w:r>
          </w:hyperlink>
        </w:p>
        <w:p>
          <w:pPr>
            <w:pStyle w:val="Contents2"/>
            <w:rPr>
              <w:rFonts w:eastAsia="MS Mincho;ＭＳ 明朝"/>
              <w:sz w:val="24"/>
              <w:szCs w:val="24"/>
              <w:lang w:val="en-US" w:eastAsia="en-US"/>
            </w:rPr>
          </w:pPr>
          <w:r>
            <w:rPr/>
            <w:t>8.4</w:t>
          </w:r>
          <w:r>
            <w:rPr>
              <w:rFonts w:eastAsia="MS Mincho;ＭＳ 明朝"/>
              <w:sz w:val="24"/>
              <w:szCs w:val="24"/>
              <w:lang w:eastAsia="ja-JP"/>
            </w:rPr>
            <w:tab/>
          </w:r>
          <w:r>
            <w:rPr>
              <w:lang w:val="en-US" w:eastAsia="en-US"/>
            </w:rPr>
            <w:t>Emergency Calls</w:t>
            <w:tab/>
          </w:r>
          <w:hyperlink w:anchor="__RefHeading___Toc217730509">
            <w:r>
              <w:rPr>
                <w:rStyle w:val="IndexLink"/>
                <w:lang w:val="en-US" w:eastAsia="en-US"/>
              </w:rPr>
              <w:t>13</w:t>
            </w:r>
          </w:hyperlink>
        </w:p>
        <w:p>
          <w:pPr>
            <w:pStyle w:val="Contents8"/>
            <w:rPr>
              <w:rFonts w:eastAsia="MS Mincho;ＭＳ 明朝"/>
              <w:b w:val="false"/>
              <w:b w:val="false"/>
              <w:sz w:val="24"/>
              <w:szCs w:val="24"/>
              <w:lang w:val="en-US" w:eastAsia="en-US"/>
            </w:rPr>
          </w:pPr>
          <w:r>
            <w:rPr/>
            <w:t>Annex A (normative):</w:t>
            <w:tab/>
            <w:t>Busy definition</w:t>
            <w:tab/>
          </w:r>
          <w:hyperlink w:anchor="__RefHeading___Toc217730510">
            <w:r>
              <w:rPr>
                <w:rStyle w:val="IndexLink"/>
                <w:lang w:val="en-US" w:eastAsia="en-US"/>
              </w:rPr>
              <w:t>15</w:t>
            </w:r>
          </w:hyperlink>
        </w:p>
        <w:p>
          <w:pPr>
            <w:pStyle w:val="Contents8"/>
            <w:rPr>
              <w:rFonts w:eastAsia="MS Mincho;ＭＳ 明朝"/>
              <w:b w:val="false"/>
              <w:b w:val="false"/>
              <w:sz w:val="24"/>
              <w:szCs w:val="24"/>
              <w:lang w:val="en-US" w:eastAsia="en-US"/>
            </w:rPr>
          </w:pPr>
          <w:r>
            <w:rPr/>
            <w:t>Annex B (informative):</w:t>
            <w:tab/>
            <w:t>Cross Phase Compatibility</w:t>
            <w:tab/>
          </w:r>
          <w:hyperlink w:anchor="__RefHeading___Toc217730511">
            <w:r>
              <w:rPr>
                <w:rStyle w:val="IndexLink"/>
                <w:lang w:val="en-US" w:eastAsia="en-US"/>
              </w:rPr>
              <w:t>16</w:t>
            </w:r>
          </w:hyperlink>
        </w:p>
        <w:p>
          <w:pPr>
            <w:pStyle w:val="Contents1"/>
            <w:rPr>
              <w:rFonts w:eastAsia="MS Mincho;ＭＳ 明朝"/>
              <w:sz w:val="24"/>
              <w:szCs w:val="24"/>
              <w:lang w:val="en-US" w:eastAsia="en-US"/>
            </w:rPr>
          </w:pPr>
          <w:r>
            <w:rPr/>
            <w:t>B.1</w:t>
          </w:r>
          <w:r>
            <w:rPr>
              <w:rFonts w:eastAsia="MS Mincho;ＭＳ 明朝"/>
              <w:sz w:val="24"/>
              <w:szCs w:val="24"/>
              <w:lang w:eastAsia="ja-JP"/>
            </w:rPr>
            <w:tab/>
          </w:r>
          <w:r>
            <w:rPr>
              <w:lang w:val="en-US" w:eastAsia="en-US"/>
            </w:rPr>
            <w:t>Compatibility With Existing Standards</w:t>
            <w:tab/>
          </w:r>
          <w:hyperlink w:anchor="__RefHeading___Toc217730512">
            <w:r>
              <w:rPr>
                <w:rStyle w:val="IndexLink"/>
                <w:lang w:val="en-US" w:eastAsia="en-US"/>
              </w:rPr>
              <w:t>16</w:t>
            </w:r>
          </w:hyperlink>
        </w:p>
        <w:p>
          <w:pPr>
            <w:pStyle w:val="Contents1"/>
            <w:rPr>
              <w:rFonts w:eastAsia="MS Mincho;ＭＳ 明朝"/>
              <w:sz w:val="24"/>
              <w:szCs w:val="24"/>
              <w:lang w:val="en-US" w:eastAsia="en-US"/>
            </w:rPr>
          </w:pPr>
          <w:r>
            <w:rPr/>
            <w:t>B.2</w:t>
          </w:r>
          <w:r>
            <w:rPr>
              <w:rFonts w:eastAsia="MS Mincho;ＭＳ 明朝"/>
              <w:sz w:val="24"/>
              <w:szCs w:val="24"/>
              <w:lang w:eastAsia="ja-JP"/>
            </w:rPr>
            <w:tab/>
          </w:r>
          <w:r>
            <w:rPr>
              <w:lang w:val="en-US" w:eastAsia="en-US"/>
            </w:rPr>
            <w:t>Compatibility With Future Releases</w:t>
            <w:tab/>
          </w:r>
          <w:hyperlink w:anchor="__RefHeading___Toc217730513">
            <w:r>
              <w:rPr>
                <w:rStyle w:val="IndexLink"/>
                <w:lang w:val="en-US" w:eastAsia="en-US"/>
              </w:rPr>
              <w:t>16</w:t>
            </w:r>
          </w:hyperlink>
        </w:p>
        <w:p>
          <w:pPr>
            <w:pStyle w:val="Contents2"/>
            <w:rPr>
              <w:rFonts w:eastAsia="MS Mincho;ＭＳ 明朝"/>
              <w:sz w:val="24"/>
              <w:szCs w:val="24"/>
              <w:lang w:val="en-US" w:eastAsia="en-US"/>
            </w:rPr>
          </w:pPr>
          <w:r>
            <w:rPr/>
            <w:t>B.2.1</w:t>
          </w:r>
          <w:r>
            <w:rPr>
              <w:rFonts w:eastAsia="MS Mincho;ＭＳ 明朝"/>
              <w:sz w:val="24"/>
              <w:szCs w:val="24"/>
              <w:lang w:eastAsia="ja-JP"/>
            </w:rPr>
            <w:tab/>
          </w:r>
          <w:r>
            <w:rPr>
              <w:lang w:val="en-US" w:eastAsia="en-US"/>
            </w:rPr>
            <w:t>Multicall configuration</w:t>
            <w:tab/>
          </w:r>
          <w:hyperlink w:anchor="__RefHeading___Toc217730514">
            <w:r>
              <w:rPr>
                <w:rStyle w:val="IndexLink"/>
                <w:lang w:val="en-US" w:eastAsia="en-US"/>
              </w:rPr>
              <w:t>16</w:t>
            </w:r>
          </w:hyperlink>
        </w:p>
        <w:p>
          <w:pPr>
            <w:pStyle w:val="Contents2"/>
            <w:rPr>
              <w:rFonts w:eastAsia="MS Mincho;ＭＳ 明朝"/>
              <w:sz w:val="24"/>
              <w:szCs w:val="24"/>
              <w:lang w:val="en-US" w:eastAsia="en-US"/>
            </w:rPr>
          </w:pPr>
          <w:r>
            <w:rPr/>
            <w:t>B.2.2</w:t>
          </w:r>
          <w:r>
            <w:rPr>
              <w:rFonts w:eastAsia="MS Mincho;ＭＳ 明朝"/>
              <w:sz w:val="24"/>
              <w:szCs w:val="24"/>
              <w:lang w:eastAsia="ja-JP"/>
            </w:rPr>
            <w:tab/>
          </w:r>
          <w:r>
            <w:rPr>
              <w:lang w:val="en-US" w:eastAsia="en-US"/>
            </w:rPr>
            <w:t>Several simultaneous speech calls / bearers</w:t>
            <w:tab/>
          </w:r>
          <w:hyperlink w:anchor="__RefHeading___Toc217730515">
            <w:r>
              <w:rPr>
                <w:rStyle w:val="IndexLink"/>
                <w:lang w:val="en-US" w:eastAsia="en-US"/>
              </w:rPr>
              <w:t>17</w:t>
            </w:r>
          </w:hyperlink>
        </w:p>
        <w:p>
          <w:pPr>
            <w:pStyle w:val="Contents2"/>
            <w:rPr>
              <w:rFonts w:eastAsia="MS Mincho;ＭＳ 明朝"/>
              <w:sz w:val="24"/>
              <w:szCs w:val="24"/>
              <w:lang w:val="en-US" w:eastAsia="en-US"/>
            </w:rPr>
          </w:pPr>
          <w:r>
            <w:rPr/>
            <w:t>B.2.3</w:t>
          </w:r>
          <w:r>
            <w:rPr>
              <w:rFonts w:eastAsia="MS Mincho;ＭＳ 明朝"/>
              <w:sz w:val="24"/>
              <w:szCs w:val="24"/>
              <w:lang w:eastAsia="ja-JP"/>
            </w:rPr>
            <w:tab/>
          </w:r>
          <w:r>
            <w:rPr>
              <w:lang w:val="en-US" w:eastAsia="en-US"/>
            </w:rPr>
            <w:t>CCBS</w:t>
            <w:tab/>
          </w:r>
          <w:hyperlink w:anchor="__RefHeading___Toc217730516">
            <w:r>
              <w:rPr>
                <w:rStyle w:val="IndexLink"/>
                <w:lang w:val="en-US" w:eastAsia="en-US"/>
              </w:rPr>
              <w:t>17</w:t>
            </w:r>
          </w:hyperlink>
        </w:p>
        <w:p>
          <w:pPr>
            <w:pStyle w:val="Contents8"/>
            <w:rPr>
              <w:rFonts w:eastAsia="MS Mincho;ＭＳ 明朝"/>
              <w:sz w:val="24"/>
              <w:szCs w:val="24"/>
              <w:lang w:val="en-US" w:eastAsia="en-US"/>
            </w:rPr>
          </w:pPr>
          <w:r>
            <w:rPr>
              <w:b w:val="false"/>
            </w:rPr>
            <w:t>Annex C (informative):</w:t>
            <w:tab/>
            <w:t>Change history</w:t>
            <w:tab/>
          </w:r>
          <w:hyperlink w:anchor="__RefHeading___Toc217730517">
            <w:r>
              <w:rPr>
                <w:rStyle w:val="IndexLink"/>
                <w:b w:val="false"/>
                <w:lang w:val="en-US" w:eastAsia="en-US"/>
              </w:rPr>
              <w:t>18</w:t>
            </w:r>
          </w:hyperlink>
          <w:r>
            <w:rPr>
              <w:rStyle w:val="IndexLink"/>
              <w:b w:val="false"/>
              <w:lang w:val="en-US" w:eastAsia="en-US"/>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0445"/>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6" w:name="__RefHeading___Toc217730446"/>
      <w:bookmarkEnd w:id="6"/>
      <w:r>
        <w:rPr/>
        <w:t>1</w:t>
        <w:tab/>
        <w:t>Scope</w:t>
      </w:r>
    </w:p>
    <w:p>
      <w:pPr>
        <w:pStyle w:val="Normal"/>
        <w:rPr/>
      </w:pPr>
      <w:r>
        <w:rPr/>
        <w:t xml:space="preserve">The present document presents </w:t>
      </w:r>
      <w:r>
        <w:rPr/>
        <w:t>describes Multicall supplementary service</w:t>
      </w:r>
      <w:r>
        <w:rPr/>
        <w:t>.</w:t>
      </w:r>
    </w:p>
    <w:p>
      <w:pPr>
        <w:pStyle w:val="Normal"/>
        <w:rPr>
          <w:rFonts w:eastAsia="?? ??;Arial Unicode MS"/>
        </w:rPr>
      </w:pPr>
      <w:r>
        <w:rPr/>
        <w:t>The general aspects, including definitions and recommended provision, of the description of the 3GPP Supplementary Services are given in 3GPP TS 22.004.</w:t>
      </w:r>
    </w:p>
    <w:p>
      <w:pPr>
        <w:pStyle w:val="Heading1"/>
        <w:ind w:left="1134" w:hanging="1134"/>
        <w:rPr/>
      </w:pPr>
      <w:bookmarkStart w:id="7" w:name="__RefHeading___Toc217730447"/>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left="568" w:hanging="284"/>
        <w:rPr/>
      </w:pPr>
      <w:r>
        <w:rPr/>
        <w:t>References are either specific (identified by date of publication, edition number, version number, etc.) or non</w:t>
        <w:noBreakHyphen/>
        <w:t>specific.</w:t>
      </w:r>
    </w:p>
    <w:p>
      <w:pPr>
        <w:pStyle w:val="ListBullet"/>
        <w:numPr>
          <w:ilvl w:val="0"/>
          <w:numId w:val="7"/>
        </w:numPr>
        <w:ind w:left="568" w:hanging="284"/>
        <w:rPr/>
      </w:pPr>
      <w:r>
        <w:rPr/>
        <w:t>For a specific reference, subsequent revisions do not apply.</w:t>
      </w:r>
    </w:p>
    <w:p>
      <w:pPr>
        <w:pStyle w:val="ListBullet"/>
        <w:numPr>
          <w:ilvl w:val="0"/>
          <w:numId w:val="7"/>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rFonts w:ascii="TimesNewRoman;Times New Roman" w:hAnsi="TimesNewRoman;Times New Roman" w:cs="TimesNewRoman;Times New Roman"/>
          <w:lang w:val="en-AU"/>
        </w:rPr>
      </w:pPr>
      <w:r>
        <w:rPr/>
        <w:t>[</w:t>
      </w:r>
      <w:r>
        <w:rPr/>
        <w:t>1</w:t>
      </w:r>
      <w:r>
        <w:rPr/>
        <w:t>]</w:t>
        <w:tab/>
      </w:r>
      <w:r>
        <w:rPr/>
        <w:t>3GPP TS</w:t>
      </w:r>
      <w:r>
        <w:rPr>
          <w:lang w:val="en-AU"/>
        </w:rPr>
        <w:t xml:space="preserve"> </w:t>
      </w:r>
      <w:r>
        <w:rPr>
          <w:lang w:val="en-AU"/>
        </w:rPr>
        <w:t>2</w:t>
      </w:r>
      <w:r>
        <w:rPr>
          <w:lang w:val="en-AU"/>
        </w:rPr>
        <w:t>2.0</w:t>
      </w:r>
      <w:r>
        <w:rPr>
          <w:lang w:val="en-AU"/>
        </w:rPr>
        <w:t>0</w:t>
      </w:r>
      <w:r>
        <w:rPr>
          <w:lang w:val="en-AU"/>
        </w:rPr>
        <w:t>1</w:t>
      </w:r>
      <w:r>
        <w:rPr>
          <w:lang w:val="en-AU"/>
        </w:rPr>
        <w:t>:</w:t>
      </w:r>
      <w:r>
        <w:rPr>
          <w:lang w:val="en-AU"/>
        </w:rPr>
        <w:t xml:space="preserve"> </w:t>
      </w:r>
      <w:r>
        <w:rPr/>
        <w:t>"</w:t>
      </w:r>
      <w:r>
        <w:rPr>
          <w:lang w:val="en-AU"/>
        </w:rPr>
        <w:t xml:space="preserve">Principles of </w:t>
      </w:r>
      <w:r>
        <w:rPr>
          <w:lang w:val="en-AU"/>
        </w:rPr>
        <w:t xml:space="preserve">circuit </w:t>
      </w:r>
      <w:r>
        <w:rPr>
          <w:lang w:val="en-AU"/>
        </w:rPr>
        <w:t>telecommunication services supported by a Public Land Mobile Network (PLMN)</w:t>
      </w:r>
      <w:r>
        <w:rPr/>
        <w:t>".</w:t>
      </w:r>
    </w:p>
    <w:p>
      <w:pPr>
        <w:pStyle w:val="EX"/>
        <w:rPr/>
      </w:pPr>
      <w:r>
        <w:rPr>
          <w:lang w:val="en-AU"/>
        </w:rPr>
        <w:t>[2]</w:t>
      </w:r>
      <w:r>
        <w:rPr>
          <w:lang w:val="en-AU"/>
        </w:rPr>
        <w:tab/>
      </w:r>
      <w:r>
        <w:rPr/>
        <w:t xml:space="preserve">3GPP TS </w:t>
      </w:r>
      <w:r>
        <w:rPr/>
        <w:t>22.004</w:t>
      </w:r>
      <w:r>
        <w:rPr/>
        <w:t>:</w:t>
      </w:r>
      <w:r>
        <w:rPr/>
        <w:t xml:space="preserve"> "General on Supplementary Services".</w:t>
      </w:r>
    </w:p>
    <w:p>
      <w:pPr>
        <w:pStyle w:val="EX"/>
        <w:rPr/>
      </w:pPr>
      <w:r>
        <w:rPr/>
        <w:t>[3]</w:t>
        <w:tab/>
        <w:t xml:space="preserve">3GPP TS 22.024: </w:t>
      </w:r>
      <w:r>
        <w:rPr/>
        <w:t>"Description of Charge Advice Information (CAI)".</w:t>
      </w:r>
    </w:p>
    <w:p>
      <w:pPr>
        <w:pStyle w:val="EX"/>
        <w:rPr/>
      </w:pPr>
      <w:r>
        <w:rPr/>
        <w:t>[4]</w:t>
        <w:tab/>
        <w:t>3GPP TS</w:t>
      </w:r>
      <w:r>
        <w:rPr/>
        <w:t> </w:t>
      </w:r>
      <w:r>
        <w:rPr/>
        <w:t>2</w:t>
      </w:r>
      <w:r>
        <w:rPr/>
        <w:t>2.</w:t>
      </w:r>
      <w:r>
        <w:rPr/>
        <w:t>0</w:t>
      </w:r>
      <w:r>
        <w:rPr/>
        <w:t>30</w:t>
      </w:r>
      <w:r>
        <w:rPr/>
        <w:t>:</w:t>
      </w:r>
      <w:r>
        <w:rPr/>
        <w:t xml:space="preserve"> "Man</w:t>
        <w:noBreakHyphen/>
        <w:t>Machine Interface (MMI) of the Mobile Station (MS)".</w:t>
      </w:r>
    </w:p>
    <w:p>
      <w:pPr>
        <w:pStyle w:val="EX"/>
        <w:rPr/>
      </w:pPr>
      <w:r>
        <w:rPr/>
        <w:t>[5]</w:t>
        <w:tab/>
        <w:t>3GPP TS</w:t>
      </w:r>
      <w:r>
        <w:rPr/>
        <w:t xml:space="preserve"> </w:t>
      </w:r>
      <w:r>
        <w:rPr/>
        <w:t xml:space="preserve">22.100: </w:t>
      </w:r>
      <w:r>
        <w:rPr/>
        <w:t>"</w:t>
      </w:r>
      <w:r>
        <w:rPr/>
        <w:t>UMTS Phase 1 Release 99</w:t>
      </w:r>
      <w:r>
        <w:rPr/>
        <w:t>".</w:t>
      </w:r>
    </w:p>
    <w:p>
      <w:pPr>
        <w:pStyle w:val="EX"/>
        <w:rPr/>
      </w:pPr>
      <w:r>
        <w:rPr/>
        <w:t>[6]</w:t>
        <w:tab/>
        <w:t xml:space="preserve">3GPP TS 22.129: </w:t>
      </w:r>
      <w:r>
        <w:rPr/>
        <w:t>"</w:t>
      </w:r>
      <w:r>
        <w:rPr/>
        <w:t xml:space="preserve">Handover Requirement between </w:t>
      </w:r>
      <w:r>
        <w:rPr/>
        <w:t>UTRAN</w:t>
      </w:r>
      <w:r>
        <w:rPr/>
        <w:t xml:space="preserve"> and G</w:t>
      </w:r>
      <w:r>
        <w:rPr/>
        <w:t>ERAN</w:t>
      </w:r>
      <w:r>
        <w:rPr/>
        <w:t xml:space="preserve"> or other Radio Systems</w:t>
      </w:r>
      <w:r>
        <w:rPr/>
        <w:t>".</w:t>
      </w:r>
    </w:p>
    <w:p>
      <w:pPr>
        <w:pStyle w:val="EX"/>
        <w:rPr/>
      </w:pPr>
      <w:r>
        <w:rPr/>
        <w:t>[7]</w:t>
        <w:tab/>
        <w:t xml:space="preserve">3GPP TS 22.097: </w:t>
      </w:r>
      <w:r>
        <w:rPr/>
        <w:t>"</w:t>
      </w:r>
      <w:r>
        <w:rPr/>
        <w:t>Multiple Subscriber Profile (MSP)</w:t>
      </w:r>
      <w:r>
        <w:rPr/>
        <w:t xml:space="preserve"> "</w:t>
      </w:r>
      <w:r>
        <w:rPr/>
        <w:t xml:space="preserve">. </w:t>
      </w:r>
    </w:p>
    <w:p>
      <w:pPr>
        <w:pStyle w:val="Heading1"/>
        <w:ind w:left="1134" w:hanging="1134"/>
        <w:rPr/>
      </w:pPr>
      <w:bookmarkStart w:id="8" w:name="__RefHeading___Toc217730448"/>
      <w:bookmarkEnd w:id="8"/>
      <w:r>
        <w:rPr/>
        <w:t>3</w:t>
        <w:tab/>
        <w:t>Definitions, symbols and abbreviations</w:t>
      </w:r>
    </w:p>
    <w:p>
      <w:pPr>
        <w:pStyle w:val="Heading2"/>
        <w:rPr/>
      </w:pPr>
      <w:bookmarkStart w:id="9" w:name="__RefHeading___Toc217730449"/>
      <w:bookmarkEnd w:id="9"/>
      <w:r>
        <w:rPr/>
        <w:t>3.1</w:t>
        <w:tab/>
        <w:t>Definitions</w:t>
      </w:r>
    </w:p>
    <w:p>
      <w:pPr>
        <w:pStyle w:val="Normal"/>
        <w:rPr/>
      </w:pPr>
      <w:r>
        <w:rPr>
          <w:b/>
        </w:rPr>
        <w:t>CS Call</w:t>
      </w:r>
      <w:r>
        <w:rPr/>
        <w:t>: Circuit switched call. A call routed through CS domain. CS call can be for example a speech call, fax call or data call. One call shall only use one bearer at the time</w:t>
      </w:r>
    </w:p>
    <w:p>
      <w:pPr>
        <w:pStyle w:val="Normal"/>
        <w:rPr/>
      </w:pPr>
      <w:r>
        <w:rPr>
          <w:b/>
        </w:rPr>
        <w:t>Multiparty</w:t>
      </w:r>
      <w:r>
        <w:rPr/>
        <w:t>: Supplementary Service for speech conference service</w:t>
      </w:r>
    </w:p>
    <w:p>
      <w:pPr>
        <w:pStyle w:val="Normal"/>
        <w:rPr/>
      </w:pPr>
      <w:r>
        <w:rPr>
          <w:b/>
        </w:rPr>
        <w:t>N</w:t>
      </w:r>
      <w:r>
        <w:rPr>
          <w:b/>
          <w:vertAlign w:val="subscript"/>
        </w:rPr>
        <w:t xml:space="preserve">cs </w:t>
      </w:r>
      <w:r>
        <w:rPr>
          <w:b/>
        </w:rPr>
        <w:t>MO</w:t>
      </w:r>
      <w:r>
        <w:rPr/>
        <w:t xml:space="preserve">: maximum number of simultaneous mobile originating CS calls. The value of </w:t>
      </w:r>
      <w:r>
        <w:rPr/>
        <w:t xml:space="preserve">The Value of </w:t>
      </w:r>
      <w:r>
        <w:rPr/>
        <w:t>N</w:t>
      </w:r>
      <w:r>
        <w:rPr>
          <w:b/>
          <w:vertAlign w:val="subscript"/>
        </w:rPr>
        <w:t>cs</w:t>
      </w:r>
      <w:r>
        <w:rPr>
          <w:b/>
          <w:vertAlign w:val="subscript"/>
        </w:rPr>
        <w:t>_</w:t>
      </w:r>
      <w:r>
        <w:rPr>
          <w:b/>
        </w:rPr>
        <w:t>MO</w:t>
      </w:r>
      <w:r>
        <w:rPr/>
        <w:t xml:space="preserve">is 7. If </w:t>
      </w:r>
      <w:r>
        <w:rPr/>
        <w:t>N</w:t>
      </w:r>
      <w:r>
        <w:rPr>
          <w:b/>
          <w:vertAlign w:val="subscript"/>
        </w:rPr>
        <w:t>cs</w:t>
      </w:r>
      <w:r>
        <w:rPr>
          <w:b/>
          <w:vertAlign w:val="subscript"/>
        </w:rPr>
        <w:t>_</w:t>
      </w:r>
      <w:r>
        <w:rPr>
          <w:b/>
        </w:rPr>
        <w:t>MO</w:t>
      </w:r>
      <w:r>
        <w:rPr/>
        <w:t xml:space="preserve"> has</w:t>
      </w:r>
      <w:r>
        <w:rPr/>
        <w:t xml:space="preserve"> been reached, no more MO calls can be set</w:t>
      </w:r>
      <w:r>
        <w:rPr/>
        <w:t>–</w:t>
      </w:r>
      <w:r>
        <w:rPr/>
        <w:t>up</w:t>
      </w:r>
    </w:p>
    <w:p>
      <w:pPr>
        <w:pStyle w:val="Normal"/>
        <w:rPr/>
      </w:pPr>
      <w:r>
        <w:rPr>
          <w:b/>
        </w:rPr>
        <w:t>N</w:t>
      </w:r>
      <w:r>
        <w:rPr>
          <w:b/>
          <w:vertAlign w:val="subscript"/>
        </w:rPr>
        <w:t>CS_</w:t>
      </w:r>
      <w:r>
        <w:rPr>
          <w:b/>
        </w:rPr>
        <w:t>MT</w:t>
      </w:r>
      <w:r>
        <w:rPr/>
        <w:t>: Maximum number of simultaneous mobile terminating CS calls. The value of N</w:t>
      </w:r>
      <w:r>
        <w:rPr>
          <w:vertAlign w:val="subscript"/>
        </w:rPr>
        <w:t>CS_</w:t>
      </w:r>
      <w:r>
        <w:rPr/>
        <w:t>MT is 7. If N</w:t>
      </w:r>
      <w:r>
        <w:rPr>
          <w:vertAlign w:val="subscript"/>
        </w:rPr>
        <w:t>CS_</w:t>
      </w:r>
      <w:r>
        <w:rPr/>
        <w:t>MT has been reached, additional MT call attempts shall fail without any indication to the called subscriber</w:t>
      </w:r>
    </w:p>
    <w:p>
      <w:pPr>
        <w:pStyle w:val="Normal"/>
        <w:rPr/>
      </w:pPr>
      <w:r>
        <w:rPr>
          <w:b/>
        </w:rPr>
        <w:t>N</w:t>
      </w:r>
      <w:r>
        <w:rPr>
          <w:b/>
          <w:vertAlign w:val="subscript"/>
        </w:rPr>
        <w:t>br</w:t>
      </w:r>
      <w:r>
        <w:rPr/>
        <w:t>: Maximum number of simultaneous CS bearers. The value of N</w:t>
      </w:r>
      <w:r>
        <w:rPr>
          <w:b/>
          <w:vertAlign w:val="subscript"/>
        </w:rPr>
        <w:t>br</w:t>
      </w:r>
      <w:r>
        <w:rPr/>
        <w:t xml:space="preserve"> is the smallest value within the N</w:t>
      </w:r>
      <w:r>
        <w:rPr>
          <w:b/>
          <w:vertAlign w:val="subscript"/>
        </w:rPr>
        <w:t>br</w:t>
      </w:r>
      <w:r>
        <w:rPr/>
        <w:t>_User, N</w:t>
      </w:r>
      <w:r>
        <w:rPr>
          <w:b/>
          <w:vertAlign w:val="subscript"/>
        </w:rPr>
        <w:t>br</w:t>
      </w:r>
      <w:r>
        <w:rPr/>
        <w:t>_UE, and N</w:t>
      </w:r>
      <w:r>
        <w:rPr>
          <w:b/>
          <w:vertAlign w:val="subscript"/>
        </w:rPr>
        <w:t>br</w:t>
      </w:r>
      <w:r>
        <w:rPr/>
        <w:t>_SN</w:t>
      </w:r>
    </w:p>
    <w:p>
      <w:pPr>
        <w:pStyle w:val="Normal"/>
        <w:rPr/>
      </w:pPr>
      <w:r>
        <w:rPr/>
        <w:t>N</w:t>
      </w:r>
      <w:r>
        <w:rPr>
          <w:b/>
          <w:vertAlign w:val="subscript"/>
        </w:rPr>
        <w:t>br</w:t>
      </w:r>
      <w:r>
        <w:rPr/>
        <w:t>_User: Maximum number of simultaneous CS bearers allowed, as defined by the user within the limits given by N</w:t>
      </w:r>
      <w:r>
        <w:rPr>
          <w:b/>
          <w:vertAlign w:val="subscript"/>
        </w:rPr>
        <w:t>br</w:t>
      </w:r>
      <w:r>
        <w:rPr/>
        <w:t>_SB</w:t>
      </w:r>
    </w:p>
    <w:p>
      <w:pPr>
        <w:pStyle w:val="Normal"/>
        <w:rPr/>
      </w:pPr>
      <w:r>
        <w:rPr/>
        <w:t>N</w:t>
      </w:r>
      <w:r>
        <w:rPr>
          <w:b/>
          <w:vertAlign w:val="subscript"/>
        </w:rPr>
        <w:t>br</w:t>
      </w:r>
      <w:r>
        <w:rPr/>
        <w:t>_SB: Maximum number of simultaneous CS bearers allowed, defined by the service provider in the Multicall subscription</w:t>
      </w:r>
    </w:p>
    <w:p>
      <w:pPr>
        <w:pStyle w:val="Normal"/>
        <w:rPr/>
      </w:pPr>
      <w:r>
        <w:rPr/>
        <w:t>N</w:t>
      </w:r>
      <w:r>
        <w:rPr>
          <w:b/>
          <w:vertAlign w:val="subscript"/>
        </w:rPr>
        <w:t>br</w:t>
      </w:r>
      <w:r>
        <w:rPr/>
        <w:t>_UE: Maximum number of simultaneous CS bearers supported by the UE</w:t>
      </w:r>
    </w:p>
    <w:p>
      <w:pPr>
        <w:pStyle w:val="Normal"/>
        <w:rPr>
          <w:rFonts w:eastAsia="MS Mincho;ＭＳ 明朝"/>
          <w:lang w:eastAsia="ja-JP"/>
        </w:rPr>
      </w:pPr>
      <w:r>
        <w:rPr/>
        <w:t>N</w:t>
      </w:r>
      <w:r>
        <w:rPr>
          <w:b/>
          <w:vertAlign w:val="subscript"/>
        </w:rPr>
        <w:t>br</w:t>
      </w:r>
      <w:r>
        <w:rPr/>
        <w:t>_SN: Maximum number of simultaneous CS bearers supported by the serving network</w:t>
      </w:r>
    </w:p>
    <w:p>
      <w:pPr>
        <w:pStyle w:val="Heading1"/>
        <w:ind w:left="1134" w:hanging="1134"/>
        <w:rPr/>
      </w:pPr>
      <w:bookmarkStart w:id="10" w:name="__RefHeading___Toc217730450"/>
      <w:bookmarkEnd w:id="10"/>
      <w:r>
        <w:rPr/>
        <w:t>4</w:t>
        <w:tab/>
        <w:t>Description</w:t>
      </w:r>
    </w:p>
    <w:p>
      <w:pPr>
        <w:pStyle w:val="Heading2"/>
        <w:rPr/>
      </w:pPr>
      <w:bookmarkStart w:id="11" w:name="__RefHeading___Toc217730451"/>
      <w:bookmarkEnd w:id="11"/>
      <w:r>
        <w:rPr/>
        <w:t>4.1</w:t>
        <w:tab/>
        <w:t>Description of multicall</w:t>
      </w:r>
    </w:p>
    <w:p>
      <w:pPr>
        <w:pStyle w:val="Normal"/>
        <w:rPr/>
      </w:pPr>
      <w:r>
        <w:rPr>
          <w:rFonts w:eastAsia="?? ??;Arial Unicode MS"/>
        </w:rPr>
        <w:t xml:space="preserve">The Multicall supplementary service enables a mobile subscriber to </w:t>
      </w:r>
      <w:r>
        <w:rPr>
          <w:rFonts w:eastAsia="?? ??;Arial Unicode MS"/>
        </w:rPr>
        <w:t xml:space="preserve">have </w:t>
      </w:r>
      <w:r>
        <w:rPr>
          <w:rFonts w:eastAsia="?? ??;Arial Unicode MS"/>
        </w:rPr>
        <w:t xml:space="preserve"> several </w:t>
      </w:r>
      <w:r>
        <w:rPr>
          <w:rFonts w:eastAsia="?? ??;Arial Unicode MS"/>
        </w:rPr>
        <w:t xml:space="preserve">simultaneous </w:t>
      </w:r>
      <w:r>
        <w:rPr>
          <w:rFonts w:eastAsia="?? ??;Arial Unicode MS"/>
        </w:rPr>
        <w:t xml:space="preserve">CS calls, each call using </w:t>
      </w:r>
      <w:r>
        <w:rPr>
          <w:rFonts w:eastAsia="?? ??;Arial Unicode MS"/>
        </w:rPr>
        <w:t xml:space="preserve">its </w:t>
      </w:r>
      <w:r>
        <w:rPr>
          <w:rFonts w:eastAsia="?? ??;Arial Unicode MS"/>
        </w:rPr>
        <w:t>own dedicated bearer.</w:t>
      </w:r>
    </w:p>
    <w:p>
      <w:pPr>
        <w:pStyle w:val="Normal"/>
        <w:rPr/>
      </w:pPr>
      <w:r>
        <w:rPr/>
        <w:t xml:space="preserve">Only one CS bearer can </w:t>
      </w:r>
      <w:r>
        <w:rPr/>
        <w:t xml:space="preserve">used for speech </w:t>
      </w:r>
      <w:r>
        <w:rPr/>
        <w:t>at any one times</w:t>
      </w:r>
      <w:r>
        <w:rPr/>
        <w:t>.</w:t>
      </w:r>
    </w:p>
    <w:p>
      <w:pPr>
        <w:pStyle w:val="Normal"/>
        <w:rPr/>
      </w:pPr>
      <w:r>
        <w:rPr/>
        <w:t>A speech call is one of TS11 (Telephony), TS12 (Emergency Calls), and TS61 (Alternate speech/fax). If the bearer capability information is not available, e.g. the call is originated/transited by a PSTN, the basic service cannot be deduced and the network shall, for multicall purposes, handle the call as telephony.</w:t>
      </w:r>
    </w:p>
    <w:p>
      <w:pPr>
        <w:pStyle w:val="Normal"/>
        <w:rPr>
          <w:rFonts w:eastAsia="?? ??;Arial Unicode MS"/>
        </w:rPr>
      </w:pPr>
      <w:r>
        <w:rPr/>
        <w:t>A held call shall be regarded as using the bearer used while the call was active.</w:t>
      </w:r>
    </w:p>
    <w:p>
      <w:pPr>
        <w:pStyle w:val="NO"/>
        <w:rPr/>
      </w:pPr>
      <w:r>
        <w:rPr>
          <w:rFonts w:eastAsia="?? ??;Arial Unicode MS"/>
        </w:rPr>
        <w:t>NOTE:</w:t>
        <w:tab/>
      </w:r>
      <w:r>
        <w:rPr/>
        <w:t xml:space="preserve">The 3GPP protocol architecture allows several parallel CS calls, the limitation being that there is only one traffic channel in GERAN, which the different CS calls share. This is facilitated by e.g. the Call Waiting, Call Hold, Call Transfer and Multiparty Supplementary Services. </w:t>
      </w:r>
      <w:r>
        <w:rPr>
          <w:rFonts w:eastAsia="?? ??;Arial Unicode MS"/>
        </w:rPr>
        <w:t>Call configurations related to supplementary services are not considered as Multicall. See clause 7 for interaction.</w:t>
      </w:r>
    </w:p>
    <w:p>
      <w:pPr>
        <w:pStyle w:val="Normal"/>
        <w:rPr/>
      </w:pPr>
      <w:r>
        <w:rPr/>
        <w:t xml:space="preserve">It shall be possible for each CS call to use a dedicated bearer of independent traffic and performance characteristics. It shall be possible to release each active CS call </w:t>
      </w:r>
      <w:r>
        <w:rPr/>
        <w:t>independently of any other CS call</w:t>
      </w:r>
      <w:r>
        <w:rPr/>
        <w:t>.</w:t>
      </w:r>
    </w:p>
    <w:p>
      <w:pPr>
        <w:pStyle w:val="Heading2"/>
        <w:rPr/>
      </w:pPr>
      <w:bookmarkStart w:id="12" w:name="__RefHeading___Toc217730452"/>
      <w:bookmarkEnd w:id="12"/>
      <w:r>
        <w:rPr/>
        <w:t>4.2</w:t>
        <w:tab/>
        <w:t>Applicability to telecommunication services</w:t>
      </w:r>
    </w:p>
    <w:p>
      <w:pPr>
        <w:pStyle w:val="Normal"/>
        <w:rPr/>
      </w:pPr>
      <w:r>
        <w:rPr/>
        <w:t>The applicability of this Supplementary Service is defined in 3GPP TS 22.004.</w:t>
      </w:r>
    </w:p>
    <w:p>
      <w:pPr>
        <w:pStyle w:val="Heading1"/>
        <w:ind w:left="1134" w:hanging="1134"/>
        <w:rPr/>
      </w:pPr>
      <w:bookmarkStart w:id="13" w:name="__RefHeading___Toc217730453"/>
      <w:bookmarkStart w:id="14" w:name="_Ref446418717"/>
      <w:bookmarkEnd w:id="13"/>
      <w:r>
        <w:rPr/>
        <w:t>5</w:t>
        <w:tab/>
        <w:t>Functional requirements</w:t>
      </w:r>
    </w:p>
    <w:p>
      <w:pPr>
        <w:pStyle w:val="Heading2"/>
        <w:rPr/>
      </w:pPr>
      <w:bookmarkStart w:id="15" w:name="__RefHeading___Toc217730454"/>
      <w:bookmarkEnd w:id="15"/>
      <w:r>
        <w:rPr/>
        <w:t>5.1</w:t>
        <w:tab/>
        <w:t>Provision</w:t>
      </w:r>
    </w:p>
    <w:p>
      <w:pPr>
        <w:pStyle w:val="Normal"/>
        <w:rPr/>
      </w:pPr>
      <w:r>
        <w:rPr/>
        <w:t xml:space="preserve">Multicall is provided by prior arrangement with the </w:t>
      </w:r>
      <w:r>
        <w:rPr/>
        <w:t>service provider</w:t>
      </w:r>
      <w:r>
        <w:rPr/>
        <w:t>.</w:t>
      </w:r>
    </w:p>
    <w:p>
      <w:pPr>
        <w:pStyle w:val="Normal"/>
        <w:rPr/>
      </w:pPr>
      <w:r>
        <w:rPr/>
        <w:t>Multicall shall be provisioned for all Basic Services (BS) subscribed to and to which it is applicable, i.e. not to any subset of these BS.</w:t>
      </w:r>
    </w:p>
    <w:p>
      <w:pPr>
        <w:pStyle w:val="Normal"/>
        <w:rPr/>
      </w:pPr>
      <w:r>
        <w:rPr/>
        <w:t xml:space="preserve">When the </w:t>
      </w:r>
      <w:r>
        <w:rPr/>
        <w:t>M</w:t>
      </w:r>
      <w:r>
        <w:rPr/>
        <w:t xml:space="preserve">ulticall </w:t>
      </w:r>
      <w:r>
        <w:rPr/>
        <w:t xml:space="preserve">supplementary </w:t>
      </w:r>
      <w:r>
        <w:rPr/>
        <w:t>service is provisioned the maximum number of simultaneous CS beares available to the subscriber (</w:t>
      </w:r>
      <w:r>
        <w:rPr/>
        <w:t>N</w:t>
      </w:r>
      <w:r>
        <w:rPr>
          <w:b/>
          <w:vertAlign w:val="subscript"/>
        </w:rPr>
        <w:t>br</w:t>
      </w:r>
      <w:r>
        <w:rPr/>
        <w:t>_SB</w:t>
      </w:r>
      <w:r>
        <w:rPr/>
        <w:t xml:space="preserve">) shall be defined as part of the subscription. The </w:t>
      </w:r>
      <w:r>
        <w:rPr>
          <w:rFonts w:eastAsia="MS PGothic"/>
        </w:rPr>
        <w:t>value for</w:t>
      </w:r>
      <w:r>
        <w:rPr/>
        <w:t xml:space="preserve"> N</w:t>
      </w:r>
      <w:r>
        <w:rPr>
          <w:b/>
          <w:vertAlign w:val="subscript"/>
        </w:rPr>
        <w:t>br</w:t>
      </w:r>
      <w:r>
        <w:rPr/>
        <w:t>_SB shall</w:t>
      </w:r>
      <w:r>
        <w:rPr/>
        <w:t xml:space="preserve"> in the range from </w:t>
      </w:r>
      <w:r>
        <w:rPr/>
        <w:t xml:space="preserve">2 </w:t>
      </w:r>
      <w:r>
        <w:rPr/>
        <w:t>up to </w:t>
      </w:r>
      <w:r>
        <w:rPr/>
        <w:t>7</w:t>
      </w:r>
      <w:r>
        <w:rPr/>
        <w:t>.</w:t>
      </w:r>
    </w:p>
    <w:p>
      <w:pPr>
        <w:pStyle w:val="Heading2"/>
        <w:rPr/>
      </w:pPr>
      <w:bookmarkStart w:id="16" w:name="__RefHeading___Toc217730455"/>
      <w:bookmarkEnd w:id="16"/>
      <w:r>
        <w:rPr/>
        <w:t>5.2</w:t>
        <w:tab/>
        <w:t>Withdrawal</w:t>
      </w:r>
    </w:p>
    <w:p>
      <w:pPr>
        <w:pStyle w:val="Normal"/>
        <w:rPr/>
      </w:pPr>
      <w:r>
        <w:rPr/>
        <w:t xml:space="preserve">It shall be possible to withdraw the </w:t>
      </w:r>
      <w:r>
        <w:rPr/>
        <w:t>M</w:t>
      </w:r>
      <w:r>
        <w:rPr/>
        <w:t xml:space="preserve">ulticall </w:t>
      </w:r>
      <w:r>
        <w:rPr/>
        <w:t xml:space="preserve">supplementary </w:t>
      </w:r>
      <w:r>
        <w:rPr/>
        <w:t>service subscription on request of the subscriber or for administrative reasons.</w:t>
      </w:r>
    </w:p>
    <w:p>
      <w:pPr>
        <w:pStyle w:val="Heading2"/>
        <w:rPr/>
      </w:pPr>
      <w:bookmarkStart w:id="17" w:name="__RefHeading___Toc217730456"/>
      <w:bookmarkEnd w:id="17"/>
      <w:r>
        <w:rPr/>
        <w:t>5.3</w:t>
        <w:tab/>
      </w:r>
      <w:r>
        <w:rPr/>
        <w:t>Registration</w:t>
      </w:r>
    </w:p>
    <w:p>
      <w:pPr>
        <w:pStyle w:val="Normal"/>
        <w:rPr/>
      </w:pPr>
      <w:r>
        <w:rPr>
          <w:rFonts w:eastAsia="MS PGothic"/>
        </w:rPr>
        <w:t>The u</w:t>
      </w:r>
      <w:r>
        <w:rPr>
          <w:rFonts w:eastAsia="MS PGothic"/>
        </w:rPr>
        <w:t xml:space="preserve">ser shall be able to modify the maximum number of </w:t>
      </w:r>
      <w:r>
        <w:rPr/>
        <w:t>CS bearers available (N</w:t>
      </w:r>
      <w:r>
        <w:rPr>
          <w:b/>
          <w:vertAlign w:val="subscript"/>
        </w:rPr>
        <w:t>br</w:t>
      </w:r>
      <w:r>
        <w:rPr/>
        <w:t>_User)</w:t>
      </w:r>
      <w:r>
        <w:rPr/>
        <w:t xml:space="preserve"> within the limitations set </w:t>
      </w:r>
      <w:r>
        <w:rPr/>
        <w:t xml:space="preserve">by the service provider.  </w:t>
      </w:r>
      <w:r>
        <w:rPr/>
        <w:t>(</w:t>
      </w:r>
      <w:r>
        <w:rPr/>
        <w:t>N</w:t>
      </w:r>
      <w:r>
        <w:rPr>
          <w:b/>
          <w:vertAlign w:val="subscript"/>
        </w:rPr>
        <w:t>br</w:t>
      </w:r>
      <w:r>
        <w:rPr/>
        <w:t>_SB</w:t>
      </w:r>
      <w:r>
        <w:rPr/>
        <w:t>).</w:t>
      </w:r>
    </w:p>
    <w:p>
      <w:pPr>
        <w:pStyle w:val="Normal"/>
        <w:rPr/>
      </w:pPr>
      <w:r>
        <w:rPr/>
        <w:t xml:space="preserve">If the subscriber </w:t>
      </w:r>
      <w:r>
        <w:rPr/>
        <w:t>attempts to register a value for</w:t>
      </w:r>
      <w:r>
        <w:rPr/>
        <w:t xml:space="preserve"> N</w:t>
      </w:r>
      <w:r>
        <w:rPr>
          <w:b/>
          <w:vertAlign w:val="subscript"/>
        </w:rPr>
        <w:t>br</w:t>
      </w:r>
      <w:r>
        <w:rPr/>
        <w:t>_U</w:t>
      </w:r>
      <w:r>
        <w:rPr/>
        <w:t xml:space="preserve">ser </w:t>
      </w:r>
      <w:r>
        <w:rPr/>
        <w:t xml:space="preserve">that is </w:t>
      </w:r>
      <w:r>
        <w:rPr/>
        <w:t xml:space="preserve">higher than </w:t>
      </w:r>
      <w:r>
        <w:rPr/>
        <w:t>the value of N</w:t>
      </w:r>
      <w:r>
        <w:rPr>
          <w:b/>
          <w:vertAlign w:val="subscript"/>
        </w:rPr>
        <w:t>br</w:t>
      </w:r>
      <w:r>
        <w:rPr/>
        <w:t>_SB</w:t>
      </w:r>
      <w:r>
        <w:rPr/>
        <w:t xml:space="preserve">, </w:t>
      </w:r>
      <w:r>
        <w:rPr/>
        <w:t xml:space="preserve">the </w:t>
      </w:r>
      <w:r>
        <w:rPr/>
        <w:t>request shall be rejected and the subscriber shall be informed on the unsuccessful outcome o</w:t>
      </w:r>
      <w:r>
        <w:rPr/>
        <w:t>n</w:t>
      </w:r>
      <w:r>
        <w:rPr/>
        <w:t xml:space="preserve"> the request.</w:t>
      </w:r>
    </w:p>
    <w:p>
      <w:pPr>
        <w:pStyle w:val="Heading2"/>
        <w:rPr/>
      </w:pPr>
      <w:bookmarkStart w:id="18" w:name="__RefHeading___Toc217730457"/>
      <w:bookmarkEnd w:id="18"/>
      <w:r>
        <w:rPr/>
        <w:t>5.4</w:t>
        <w:tab/>
        <w:t>Erasure</w:t>
      </w:r>
    </w:p>
    <w:p>
      <w:pPr>
        <w:pStyle w:val="Normal"/>
        <w:rPr/>
      </w:pPr>
      <w:r>
        <w:rPr/>
        <w:t>D</w:t>
      </w:r>
      <w:r>
        <w:rPr/>
        <w:t xml:space="preserve">ata related to the Multicall </w:t>
      </w:r>
      <w:r>
        <w:rPr/>
        <w:t xml:space="preserve">supplementary </w:t>
      </w:r>
      <w:r>
        <w:rPr/>
        <w:t>service shall be erased by the service provider as a result of withdrawal.</w:t>
      </w:r>
    </w:p>
    <w:p>
      <w:pPr>
        <w:pStyle w:val="Heading2"/>
        <w:rPr/>
      </w:pPr>
      <w:bookmarkStart w:id="19" w:name="__RefHeading___Toc217730458"/>
      <w:bookmarkEnd w:id="19"/>
      <w:r>
        <w:rPr/>
        <w:t>5.5</w:t>
        <w:tab/>
        <w:t>Activation</w:t>
      </w:r>
    </w:p>
    <w:p>
      <w:pPr>
        <w:pStyle w:val="Normal"/>
        <w:rPr/>
      </w:pPr>
      <w:r>
        <w:rPr/>
        <w:t xml:space="preserve">The Multicall </w:t>
      </w:r>
      <w:r>
        <w:rPr/>
        <w:t xml:space="preserve">supplementary </w:t>
      </w:r>
      <w:r>
        <w:rPr/>
        <w:t>service shall be activated by the service provider as a result of provision.</w:t>
      </w:r>
    </w:p>
    <w:p>
      <w:pPr>
        <w:pStyle w:val="Heading2"/>
        <w:rPr/>
      </w:pPr>
      <w:bookmarkStart w:id="20" w:name="__RefHeading___Toc217730459"/>
      <w:bookmarkEnd w:id="20"/>
      <w:r>
        <w:rPr/>
        <w:t>5.6</w:t>
        <w:tab/>
        <w:t>Deactivation</w:t>
      </w:r>
    </w:p>
    <w:p>
      <w:pPr>
        <w:pStyle w:val="Normal"/>
        <w:rPr/>
      </w:pPr>
      <w:r>
        <w:rPr/>
        <w:t xml:space="preserve">The Multicall </w:t>
      </w:r>
      <w:r>
        <w:rPr/>
        <w:t xml:space="preserve">supplementary </w:t>
      </w:r>
      <w:r>
        <w:rPr/>
        <w:t>service shall be deactivated by the service provider as a result of withdrawal.</w:t>
      </w:r>
    </w:p>
    <w:p>
      <w:pPr>
        <w:pStyle w:val="Heading2"/>
        <w:rPr/>
      </w:pPr>
      <w:bookmarkStart w:id="21" w:name="__RefHeading___Toc217730460"/>
      <w:bookmarkEnd w:id="21"/>
      <w:r>
        <w:rPr/>
        <w:t>5.7</w:t>
        <w:tab/>
        <w:t>Invocation</w:t>
      </w:r>
    </w:p>
    <w:p>
      <w:pPr>
        <w:pStyle w:val="Normal"/>
        <w:rPr/>
      </w:pPr>
      <w:r>
        <w:rPr/>
        <w:t xml:space="preserve">The Multicall </w:t>
      </w:r>
      <w:r>
        <w:rPr/>
        <w:t xml:space="preserve">supplementary </w:t>
      </w:r>
      <w:r>
        <w:rPr/>
        <w:t xml:space="preserve">service shall be invoked by the system when at least one call is in progress and another call with a dedicated bearer is to be set up. The Multicall service applies to mobile originating and </w:t>
      </w:r>
      <w:r>
        <w:rPr/>
        <w:t xml:space="preserve">mobile </w:t>
      </w:r>
      <w:r>
        <w:rPr/>
        <w:t>terminating calls.</w:t>
      </w:r>
    </w:p>
    <w:p>
      <w:pPr>
        <w:pStyle w:val="Heading2"/>
        <w:rPr/>
      </w:pPr>
      <w:bookmarkStart w:id="22" w:name="__RefHeading___Toc217730461"/>
      <w:bookmarkEnd w:id="22"/>
      <w:r>
        <w:rPr/>
        <w:t>5.8</w:t>
        <w:tab/>
      </w:r>
      <w:r>
        <w:rPr/>
        <w:t>Interrogation</w:t>
      </w:r>
    </w:p>
    <w:p>
      <w:pPr>
        <w:pStyle w:val="Normal"/>
        <w:rPr/>
      </w:pPr>
      <w:r>
        <w:rPr>
          <w:rFonts w:eastAsia="MS PGothic"/>
        </w:rPr>
        <w:t>The u</w:t>
      </w:r>
      <w:r>
        <w:rPr>
          <w:rFonts w:eastAsia="MS PGothic"/>
        </w:rPr>
        <w:t xml:space="preserve">ser shall be able to interrogate </w:t>
      </w:r>
      <w:r>
        <w:rPr>
          <w:rFonts w:eastAsia="MS PGothic"/>
        </w:rPr>
        <w:t xml:space="preserve">the network for the values of </w:t>
      </w:r>
      <w:r>
        <w:rPr/>
        <w:t>N</w:t>
      </w:r>
      <w:r>
        <w:rPr>
          <w:b/>
          <w:vertAlign w:val="subscript"/>
        </w:rPr>
        <w:t>br</w:t>
      </w:r>
      <w:r>
        <w:rPr/>
        <w:t>_User, N</w:t>
      </w:r>
      <w:r>
        <w:rPr>
          <w:b/>
          <w:vertAlign w:val="subscript"/>
        </w:rPr>
        <w:t>br</w:t>
      </w:r>
      <w:r>
        <w:rPr/>
        <w:t>_SB and N</w:t>
      </w:r>
      <w:r>
        <w:rPr>
          <w:b/>
          <w:vertAlign w:val="subscript"/>
        </w:rPr>
        <w:t>br</w:t>
      </w:r>
      <w:r>
        <w:rPr/>
        <w:t>_SN</w:t>
      </w:r>
      <w:r>
        <w:rPr>
          <w:rFonts w:eastAsia="MS PGothic"/>
        </w:rPr>
        <w:t>.</w:t>
      </w:r>
    </w:p>
    <w:p>
      <w:pPr>
        <w:pStyle w:val="Heading2"/>
        <w:rPr/>
      </w:pPr>
      <w:bookmarkStart w:id="23" w:name="__RefHeading___Toc217730462"/>
      <w:bookmarkEnd w:id="23"/>
      <w:r>
        <w:rPr/>
        <w:t>5</w:t>
      </w:r>
      <w:r>
        <w:rPr/>
        <w:t>.</w:t>
      </w:r>
      <w:r>
        <w:rPr/>
        <w:t>9</w:t>
      </w:r>
      <w:r>
        <w:rPr/>
        <w:tab/>
      </w:r>
      <w:r>
        <w:rPr/>
        <w:t>Call related procedures</w:t>
      </w:r>
    </w:p>
    <w:p>
      <w:pPr>
        <w:pStyle w:val="Heading3"/>
        <w:rPr/>
      </w:pPr>
      <w:bookmarkStart w:id="24" w:name="__RefHeading___Toc217730463"/>
      <w:bookmarkEnd w:id="24"/>
      <w:r>
        <w:rPr/>
        <w:t>5</w:t>
      </w:r>
      <w:r>
        <w:rPr/>
        <w:t>.</w:t>
      </w:r>
      <w:r>
        <w:rPr/>
        <w:t>9</w:t>
      </w:r>
      <w:r>
        <w:rPr/>
        <w:t>.1</w:t>
        <w:tab/>
        <w:t>Terminating CS call</w:t>
      </w:r>
    </w:p>
    <w:p>
      <w:pPr>
        <w:pStyle w:val="Normal"/>
        <w:rPr>
          <w:rFonts w:eastAsia="MS PGothic"/>
        </w:rPr>
      </w:pPr>
      <w:r>
        <w:rPr>
          <w:rFonts w:eastAsia="MS PGothic"/>
        </w:rPr>
        <w:t xml:space="preserve">The indication of </w:t>
      </w:r>
      <w:r>
        <w:rPr>
          <w:rFonts w:eastAsia="MS PGothic"/>
        </w:rPr>
        <w:t xml:space="preserve">a </w:t>
      </w:r>
      <w:r>
        <w:rPr>
          <w:rFonts w:eastAsia="MS PGothic"/>
        </w:rPr>
        <w:t xml:space="preserve">terminating CS call to </w:t>
      </w:r>
      <w:r>
        <w:rPr>
          <w:rFonts w:eastAsia="MS PGothic"/>
        </w:rPr>
        <w:t xml:space="preserve">the </w:t>
      </w:r>
      <w:r>
        <w:rPr>
          <w:rFonts w:eastAsia="MS PGothic"/>
        </w:rPr>
        <w:t xml:space="preserve">mobile terminal will be done </w:t>
      </w:r>
      <w:r>
        <w:rPr>
          <w:rFonts w:eastAsia="MS PGothic"/>
        </w:rPr>
        <w:t xml:space="preserve">by the Multicall supplementary service </w:t>
      </w:r>
      <w:r>
        <w:rPr>
          <w:rFonts w:eastAsia="MS PGothic"/>
        </w:rPr>
        <w:t xml:space="preserve">until </w:t>
      </w:r>
      <w:r>
        <w:rPr>
          <w:rFonts w:eastAsia="MS PGothic"/>
        </w:rPr>
        <w:t xml:space="preserve">either </w:t>
      </w:r>
      <w:r>
        <w:rPr>
          <w:rFonts w:eastAsia="MS PGothic"/>
        </w:rPr>
        <w:t xml:space="preserve">the maximum number of </w:t>
      </w:r>
      <w:r>
        <w:rPr>
          <w:rFonts w:eastAsia="MS PGothic"/>
        </w:rPr>
        <w:t>bearer (N</w:t>
      </w:r>
      <w:r>
        <w:rPr>
          <w:rFonts w:eastAsia="MS PGothic"/>
          <w:vertAlign w:val="subscript"/>
        </w:rPr>
        <w:t>br</w:t>
      </w:r>
      <w:r>
        <w:rPr>
          <w:rFonts w:eastAsia="MS PGothic"/>
        </w:rPr>
        <w:t xml:space="preserve">) or the maximum number of </w:t>
      </w:r>
      <w:r>
        <w:rPr>
          <w:rFonts w:eastAsia="MS PGothic"/>
        </w:rPr>
        <w:t xml:space="preserve">CS </w:t>
      </w:r>
      <w:r>
        <w:rPr>
          <w:rFonts w:eastAsia="MS PGothic"/>
        </w:rPr>
        <w:t xml:space="preserve">mobile terminating </w:t>
      </w:r>
      <w:r>
        <w:rPr>
          <w:rFonts w:eastAsia="MS PGothic"/>
        </w:rPr>
        <w:t>calls (</w:t>
      </w:r>
      <w:r>
        <w:rPr/>
        <w:t>N</w:t>
      </w:r>
      <w:r>
        <w:rPr>
          <w:b/>
          <w:vertAlign w:val="subscript"/>
        </w:rPr>
        <w:t>cs</w:t>
      </w:r>
      <w:r>
        <w:rPr>
          <w:b/>
          <w:vertAlign w:val="subscript"/>
        </w:rPr>
        <w:t>_</w:t>
      </w:r>
      <w:r>
        <w:rPr>
          <w:b/>
        </w:rPr>
        <w:t>MT</w:t>
      </w:r>
      <w:r>
        <w:rPr>
          <w:rFonts w:eastAsia="MS PGothic"/>
        </w:rPr>
        <w:t>) has been reached.</w:t>
      </w:r>
    </w:p>
    <w:p>
      <w:pPr>
        <w:pStyle w:val="Normal"/>
        <w:rPr>
          <w:rFonts w:eastAsia="MS PGothic"/>
        </w:rPr>
      </w:pPr>
      <w:r>
        <w:rPr>
          <w:rFonts w:eastAsia="MS PGothic"/>
        </w:rPr>
        <w:t>If the maximum number of terminating calls (N</w:t>
      </w:r>
      <w:r>
        <w:rPr>
          <w:rFonts w:eastAsia="MS PGothic"/>
          <w:vertAlign w:val="subscript"/>
        </w:rPr>
        <w:t>cs</w:t>
      </w:r>
      <w:r>
        <w:rPr>
          <w:rFonts w:eastAsia="MS PGothic"/>
        </w:rPr>
        <w:t>_MT) has been reached, and additional terminating call shall be reject without any indication to the subscriber.</w:t>
      </w:r>
    </w:p>
    <w:p>
      <w:pPr>
        <w:pStyle w:val="Normal"/>
        <w:rPr>
          <w:rFonts w:eastAsia="MS PGothic"/>
        </w:rPr>
      </w:pPr>
      <w:r>
        <w:rPr>
          <w:rFonts w:eastAsia="MS PGothic"/>
        </w:rPr>
        <w:t xml:space="preserve">If the maximum number </w:t>
      </w:r>
      <w:r>
        <w:rPr>
          <w:rFonts w:eastAsia="MS PGothic"/>
        </w:rPr>
        <w:t>of bearers (</w:t>
      </w:r>
      <w:r>
        <w:rPr/>
        <w:t>N</w:t>
      </w:r>
      <w:r>
        <w:rPr>
          <w:b/>
          <w:vertAlign w:val="subscript"/>
        </w:rPr>
        <w:t>br</w:t>
      </w:r>
      <w:r>
        <w:rPr>
          <w:rFonts w:eastAsia="MS PGothic"/>
        </w:rPr>
        <w:t xml:space="preserve">) </w:t>
      </w:r>
      <w:r>
        <w:rPr>
          <w:rFonts w:eastAsia="MS PGothic"/>
        </w:rPr>
        <w:t xml:space="preserve">has been reached an additional terminating call will be only indicated to the user if the </w:t>
      </w:r>
      <w:r>
        <w:rPr>
          <w:rFonts w:eastAsia="MS PGothic"/>
        </w:rPr>
        <w:t xml:space="preserve">user has </w:t>
      </w:r>
      <w:r>
        <w:rPr>
          <w:rFonts w:eastAsia="MS PGothic"/>
        </w:rPr>
        <w:t xml:space="preserve"> the Call Waiting </w:t>
      </w:r>
      <w:r>
        <w:rPr>
          <w:rFonts w:eastAsia="MS PGothic"/>
        </w:rPr>
        <w:t xml:space="preserve">supplementary service </w:t>
      </w:r>
      <w:r>
        <w:rPr>
          <w:rFonts w:eastAsia="MS PGothic"/>
        </w:rPr>
        <w:t>active</w:t>
      </w:r>
      <w:r>
        <w:rPr>
          <w:rFonts w:eastAsia="MS PGothic"/>
        </w:rPr>
        <w:t>, s</w:t>
      </w:r>
      <w:r>
        <w:rPr>
          <w:rFonts w:eastAsia="MS PGothic"/>
        </w:rPr>
        <w:t xml:space="preserve">ee chapter </w:t>
      </w:r>
      <w:r>
        <w:rPr>
          <w:rFonts w:eastAsia="MS PGothic"/>
        </w:rPr>
        <w:t>7</w:t>
      </w:r>
      <w:r>
        <w:rPr>
          <w:rFonts w:eastAsia="MS PGothic"/>
        </w:rPr>
        <w:t xml:space="preserve">.4.2 for </w:t>
      </w:r>
      <w:r>
        <w:rPr>
          <w:rFonts w:eastAsia="MS PGothic"/>
        </w:rPr>
        <w:t>interactions</w:t>
      </w:r>
      <w:r>
        <w:rPr>
          <w:rFonts w:eastAsia="MS PGothic"/>
        </w:rPr>
        <w:t xml:space="preserve"> with Call Waiting. </w:t>
      </w:r>
    </w:p>
    <w:p>
      <w:pPr>
        <w:pStyle w:val="Normal"/>
        <w:rPr/>
      </w:pPr>
      <w:r>
        <w:rPr>
          <w:rFonts w:eastAsia="MS PGothic"/>
        </w:rPr>
        <w:t xml:space="preserve">If </w:t>
      </w:r>
      <w:r>
        <w:rPr/>
        <w:t>N</w:t>
      </w:r>
      <w:r>
        <w:rPr>
          <w:b/>
          <w:vertAlign w:val="subscript"/>
        </w:rPr>
        <w:t>br</w:t>
      </w:r>
      <w:r>
        <w:rPr>
          <w:b/>
          <w:vertAlign w:val="subscript"/>
        </w:rPr>
        <w:t xml:space="preserve"> </w:t>
      </w:r>
      <w:r>
        <w:rPr/>
        <w:t>and N</w:t>
      </w:r>
      <w:r>
        <w:rPr>
          <w:vertAlign w:val="subscript"/>
        </w:rPr>
        <w:t>cs</w:t>
      </w:r>
      <w:r>
        <w:rPr/>
        <w:t>_MT</w:t>
      </w:r>
      <w:r>
        <w:rPr>
          <w:vertAlign w:val="subscript"/>
        </w:rPr>
        <w:t xml:space="preserve"> </w:t>
      </w:r>
      <w:r>
        <w:rPr/>
        <w:t>have</w:t>
      </w:r>
      <w:r>
        <w:rPr>
          <w:rFonts w:eastAsia="MS PGothic"/>
        </w:rPr>
        <w:t>not been reached</w:t>
      </w:r>
      <w:r>
        <w:rPr>
          <w:rFonts w:eastAsia="MS PGothic"/>
        </w:rPr>
        <w:t>,</w:t>
      </w:r>
      <w:r>
        <w:rPr>
          <w:rFonts w:eastAsia="MS PGothic"/>
        </w:rPr>
        <w:t xml:space="preserve"> a terminating call is indicated to the user </w:t>
      </w:r>
      <w:r>
        <w:rPr>
          <w:rFonts w:eastAsia="MS PGothic"/>
        </w:rPr>
        <w:t xml:space="preserve">and </w:t>
      </w:r>
      <w:r>
        <w:rPr>
          <w:rFonts w:eastAsia="MS PGothic"/>
        </w:rPr>
        <w:t>she may react in the following way:</w:t>
      </w:r>
    </w:p>
    <w:p>
      <w:pPr>
        <w:pStyle w:val="B1"/>
        <w:rPr/>
      </w:pPr>
      <w:r>
        <w:rPr>
          <w:rFonts w:eastAsia="MS PGothic"/>
        </w:rPr>
        <w:t>a)</w:t>
        <w:tab/>
      </w:r>
      <w:r>
        <w:rPr>
          <w:rFonts w:eastAsia="MS PGothic"/>
        </w:rPr>
        <w:t>A</w:t>
      </w:r>
      <w:r>
        <w:rPr>
          <w:rFonts w:eastAsia="MS PGothic"/>
        </w:rPr>
        <w:t>ccept the terminating call:</w:t>
      </w:r>
    </w:p>
    <w:p>
      <w:pPr>
        <w:pStyle w:val="B2"/>
        <w:rPr/>
      </w:pPr>
      <w:r>
        <w:rPr>
          <w:rFonts w:eastAsia="MS PGothic"/>
        </w:rPr>
        <w:t>-</w:t>
        <w:tab/>
      </w:r>
      <w:r>
        <w:rPr>
          <w:rFonts w:eastAsia="MS PGothic"/>
        </w:rPr>
        <w:t>T</w:t>
      </w:r>
      <w:r>
        <w:rPr>
          <w:rFonts w:eastAsia="MS PGothic"/>
        </w:rPr>
        <w:t xml:space="preserve">he user/user applications shall have the possibility to allocate a new bearer for the terminating call. </w:t>
      </w:r>
    </w:p>
    <w:p>
      <w:pPr>
        <w:pStyle w:val="B2"/>
        <w:rPr/>
      </w:pPr>
      <w:r>
        <w:rPr>
          <w:rFonts w:eastAsia="MS PGothic"/>
        </w:rPr>
        <w:t>-</w:t>
        <w:tab/>
      </w:r>
      <w:r>
        <w:rPr>
          <w:rFonts w:eastAsia="MS PGothic"/>
        </w:rPr>
        <w:t xml:space="preserve">If the user has the Call Hold SS active, </w:t>
      </w:r>
      <w:r>
        <w:rPr>
          <w:rFonts w:eastAsia="MS PGothic"/>
        </w:rPr>
        <w:t>the user shall have the possibility to reuse/share an already established bearer (e.g. release existing calls or put an speech on hold and accept the terminating call</w:t>
      </w:r>
      <w:r>
        <w:rPr>
          <w:rFonts w:eastAsia="MS PGothic"/>
        </w:rPr>
        <w:t>)</w:t>
      </w:r>
      <w:r>
        <w:rPr>
          <w:rFonts w:eastAsia="MS PGothic"/>
        </w:rPr>
        <w:t>.</w:t>
      </w:r>
    </w:p>
    <w:p>
      <w:pPr>
        <w:pStyle w:val="B1"/>
        <w:rPr>
          <w:rFonts w:eastAsia="MS PGothic"/>
        </w:rPr>
      </w:pPr>
      <w:r>
        <w:rPr>
          <w:rFonts w:eastAsia="MS PGothic"/>
        </w:rPr>
        <w:t>b)</w:t>
        <w:tab/>
        <w:t>Rejecting the terminating call:</w:t>
      </w:r>
    </w:p>
    <w:p>
      <w:pPr>
        <w:pStyle w:val="B2"/>
        <w:rPr>
          <w:rFonts w:eastAsia="MS PGothic"/>
        </w:rPr>
      </w:pPr>
      <w:r>
        <w:rPr>
          <w:rFonts w:eastAsia="MS PGothic"/>
        </w:rPr>
        <w:t>-</w:t>
        <w:tab/>
      </w:r>
      <w:r>
        <w:rPr>
          <w:rFonts w:eastAsia="MS PGothic"/>
        </w:rPr>
        <w:t>If the user rejects the terminating call the call shall be released in a normal way</w:t>
      </w:r>
      <w:r>
        <w:rPr>
          <w:rFonts w:eastAsia="MS PGothic"/>
        </w:rPr>
        <w:t>.</w:t>
      </w:r>
    </w:p>
    <w:p>
      <w:pPr>
        <w:pStyle w:val="B1"/>
        <w:rPr/>
      </w:pPr>
      <w:r>
        <w:rPr>
          <w:rFonts w:eastAsia="MS PGothic"/>
        </w:rPr>
        <w:t>c)</w:t>
        <w:tab/>
      </w:r>
      <w:r>
        <w:rPr>
          <w:rFonts w:eastAsia="MS PGothic"/>
        </w:rPr>
        <w:t xml:space="preserve">Ignore </w:t>
      </w:r>
      <w:r>
        <w:rPr>
          <w:rFonts w:eastAsia="MS PGothic"/>
        </w:rPr>
        <w:t>the incoming call:</w:t>
      </w:r>
    </w:p>
    <w:p>
      <w:pPr>
        <w:pStyle w:val="B2"/>
        <w:ind w:left="600" w:hanging="0"/>
        <w:rPr>
          <w:rFonts w:eastAsia="MS PGothic"/>
        </w:rPr>
      </w:pPr>
      <w:r>
        <w:rPr>
          <w:rFonts w:eastAsia="MS PGothic"/>
        </w:rPr>
        <w:t>-</w:t>
        <w:tab/>
      </w:r>
      <w:r>
        <w:rPr>
          <w:rFonts w:eastAsia="MS PGothic"/>
        </w:rPr>
        <w:t xml:space="preserve">If the user ignores the indication of the terminating call (i.e. </w:t>
      </w:r>
      <w:r>
        <w:rPr>
          <w:rFonts w:eastAsia="MS PGothic"/>
        </w:rPr>
        <w:t xml:space="preserve">neither </w:t>
      </w:r>
      <w:r>
        <w:rPr>
          <w:rFonts w:eastAsia="MS PGothic"/>
        </w:rPr>
        <w:t>accepts nor rejects</w:t>
      </w:r>
      <w:r>
        <w:rPr>
          <w:rFonts w:eastAsia="MS PGothic"/>
        </w:rPr>
        <w:t xml:space="preserve"> it </w:t>
      </w:r>
      <w:r>
        <w:rPr>
          <w:rFonts w:eastAsia="MS PGothic"/>
        </w:rPr>
        <w:t>)</w:t>
      </w:r>
      <w:r>
        <w:rPr>
          <w:rFonts w:eastAsia="MS PGothic"/>
        </w:rPr>
        <w:t>,</w:t>
      </w:r>
      <w:r>
        <w:rPr>
          <w:rFonts w:eastAsia="MS PGothic"/>
        </w:rPr>
        <w:t xml:space="preserve"> the normal call handling shall apply, e.g. after the Alerting Timer expires the call will be released.</w:t>
      </w:r>
    </w:p>
    <w:p>
      <w:pPr>
        <w:pStyle w:val="Normal"/>
        <w:rPr/>
      </w:pPr>
      <w:r>
        <w:rPr/>
        <w:t xml:space="preserve">If there is a terminating speech call attempt and an ongoing speech call (active or held), the terminating call shall not be indicated to user by the Multicall service. </w:t>
      </w:r>
      <w:r>
        <w:rPr/>
        <w:t>The</w:t>
      </w:r>
      <w:r>
        <w:rPr/>
        <w:t xml:space="preserve"> Call waiting call SS shall be invoked if applicable, see chapter 7.4.2 for interactions with Call Waiting SS.</w:t>
      </w:r>
    </w:p>
    <w:p>
      <w:pPr>
        <w:pStyle w:val="Normal"/>
        <w:rPr/>
      </w:pPr>
      <w:r>
        <w:rPr/>
        <w:t xml:space="preserve">The user </w:t>
      </w:r>
      <w:r>
        <w:rPr/>
        <w:t xml:space="preserve">can </w:t>
      </w:r>
      <w:r>
        <w:rPr/>
        <w:t xml:space="preserve">have </w:t>
      </w:r>
      <w:r>
        <w:rPr/>
        <w:t>possibility</w:t>
      </w:r>
      <w:r>
        <w:rPr/>
        <w:t xml:space="preserve"> to reuse/</w:t>
      </w:r>
      <w:r>
        <w:rPr/>
        <w:t>share</w:t>
      </w:r>
      <w:r>
        <w:rPr/>
        <w:t xml:space="preserve"> a bearer only when she is </w:t>
      </w:r>
      <w:r>
        <w:rPr/>
        <w:t>provisioned</w:t>
      </w:r>
      <w:r>
        <w:rPr/>
        <w:t xml:space="preserve"> for Call Hold SS. See subclause 7.4.1 for interaction with Call Hold SS.</w:t>
      </w:r>
    </w:p>
    <w:p>
      <w:pPr>
        <w:pStyle w:val="Heading3"/>
        <w:rPr/>
      </w:pPr>
      <w:bookmarkStart w:id="25" w:name="__RefHeading___Toc217730464"/>
      <w:bookmarkEnd w:id="25"/>
      <w:r>
        <w:rPr/>
        <w:t>5</w:t>
      </w:r>
      <w:r>
        <w:rPr/>
        <w:t>.</w:t>
      </w:r>
      <w:r>
        <w:rPr/>
        <w:t>9</w:t>
      </w:r>
      <w:r>
        <w:rPr/>
        <w:t>.2</w:t>
        <w:tab/>
        <w:t>Originating CS call</w:t>
      </w:r>
    </w:p>
    <w:p>
      <w:pPr>
        <w:pStyle w:val="Normal"/>
        <w:rPr/>
      </w:pPr>
      <w:r>
        <w:rPr>
          <w:rFonts w:eastAsia="MS PGothic"/>
        </w:rPr>
        <w:t>If neither N</w:t>
      </w:r>
      <w:r>
        <w:rPr>
          <w:rFonts w:eastAsia="MS PGothic"/>
          <w:vertAlign w:val="subscript"/>
        </w:rPr>
        <w:t>br</w:t>
      </w:r>
      <w:r>
        <w:rPr>
          <w:rFonts w:eastAsia="MS PGothic"/>
        </w:rPr>
        <w:t xml:space="preserve"> nor N</w:t>
      </w:r>
      <w:r>
        <w:rPr>
          <w:rFonts w:eastAsia="MS PGothic"/>
          <w:vertAlign w:val="subscript"/>
        </w:rPr>
        <w:t>cs</w:t>
      </w:r>
      <w:r>
        <w:rPr>
          <w:rFonts w:eastAsia="MS PGothic"/>
        </w:rPr>
        <w:t xml:space="preserve">_MO have not been reached </w:t>
      </w:r>
      <w:r>
        <w:rPr>
          <w:rFonts w:eastAsia="MS PGothic"/>
        </w:rPr>
        <w:t>and the user wants to establish a new originating CS call she may act in the following way:</w:t>
      </w:r>
    </w:p>
    <w:p>
      <w:pPr>
        <w:pStyle w:val="B2"/>
        <w:numPr>
          <w:ilvl w:val="0"/>
          <w:numId w:val="6"/>
        </w:numPr>
        <w:rPr/>
      </w:pPr>
      <w:r>
        <w:rPr/>
        <w:t>allocate a new bearer for the originating call;</w:t>
      </w:r>
    </w:p>
    <w:p>
      <w:pPr>
        <w:pStyle w:val="B2"/>
        <w:numPr>
          <w:ilvl w:val="0"/>
          <w:numId w:val="6"/>
        </w:numPr>
        <w:rPr/>
      </w:pPr>
      <w:r>
        <w:rPr/>
        <w:t>reuse/share an already established bearer (e.g. to put an speech on hold and set-up a new call</w:t>
      </w:r>
      <w:r>
        <w:rPr/>
        <w:t>)</w:t>
      </w:r>
      <w:r>
        <w:rPr/>
        <w:t>.</w:t>
      </w:r>
    </w:p>
    <w:p>
      <w:pPr>
        <w:pStyle w:val="Normal"/>
        <w:rPr/>
      </w:pPr>
      <w:r>
        <w:rPr/>
        <w:t xml:space="preserve">The user </w:t>
      </w:r>
      <w:r>
        <w:rPr/>
        <w:t xml:space="preserve">can </w:t>
      </w:r>
      <w:r>
        <w:rPr/>
        <w:t xml:space="preserve">have </w:t>
      </w:r>
      <w:r>
        <w:rPr/>
        <w:t>possibility</w:t>
      </w:r>
      <w:r>
        <w:rPr/>
        <w:t xml:space="preserve"> to reuse/</w:t>
      </w:r>
      <w:r>
        <w:rPr/>
        <w:t>share</w:t>
      </w:r>
      <w:r>
        <w:rPr/>
        <w:t xml:space="preserve"> a bearer only when she is </w:t>
      </w:r>
      <w:r>
        <w:rPr/>
        <w:t>provisioned</w:t>
      </w:r>
      <w:r>
        <w:rPr/>
        <w:t xml:space="preserve"> for Call Hold SS. See subclause 7.4.1 for interaction with Call Hold SS. The mobile terminal shall not originate a speech call requesting a new bearer when there is already an active speech call.</w:t>
      </w:r>
    </w:p>
    <w:p>
      <w:pPr>
        <w:pStyle w:val="Heading2"/>
        <w:rPr/>
      </w:pPr>
      <w:bookmarkStart w:id="26" w:name="__RefHeading___Toc217730465"/>
      <w:bookmarkEnd w:id="26"/>
      <w:r>
        <w:rPr/>
        <w:t>5</w:t>
      </w:r>
      <w:r>
        <w:rPr/>
        <w:t>.</w:t>
      </w:r>
      <w:r>
        <w:rPr/>
        <w:t>10</w:t>
      </w:r>
      <w:r>
        <w:rPr/>
        <w:tab/>
        <w:t xml:space="preserve">Charging </w:t>
      </w:r>
      <w:r>
        <w:rPr/>
        <w:t>requirements</w:t>
      </w:r>
    </w:p>
    <w:p>
      <w:pPr>
        <w:pStyle w:val="Normal"/>
        <w:rPr/>
      </w:pPr>
      <w:r>
        <w:rPr/>
        <w:t xml:space="preserve">Each of the calls </w:t>
      </w:r>
      <w:r>
        <w:rPr/>
        <w:t xml:space="preserve">using </w:t>
      </w:r>
      <w:r>
        <w:rPr/>
        <w:t>a dedicated bearer shall be charged individually.</w:t>
      </w:r>
    </w:p>
    <w:p>
      <w:pPr>
        <w:pStyle w:val="Normal"/>
        <w:rPr/>
      </w:pPr>
      <w:r>
        <w:rPr/>
        <w:t>Allocation of a dedicated bearer shall be visible in the charging data.</w:t>
      </w:r>
    </w:p>
    <w:p>
      <w:pPr>
        <w:pStyle w:val="Heading1"/>
        <w:ind w:left="1134" w:hanging="1134"/>
        <w:rPr/>
      </w:pPr>
      <w:bookmarkStart w:id="27" w:name="__RefHeading___Toc217730466"/>
      <w:bookmarkEnd w:id="27"/>
      <w:r>
        <w:rPr/>
        <w:t>6</w:t>
        <w:tab/>
        <w:t>Exceptional procedures or unsuccessful outcome</w:t>
      </w:r>
    </w:p>
    <w:p>
      <w:pPr>
        <w:pStyle w:val="Heading2"/>
        <w:rPr/>
      </w:pPr>
      <w:bookmarkStart w:id="28" w:name="__RefHeading___Toc217730467"/>
      <w:bookmarkEnd w:id="28"/>
      <w:r>
        <w:rPr/>
        <w:t>6.1</w:t>
        <w:tab/>
        <w:t>Exceptional operation or unsuccessful outcome</w:t>
      </w:r>
    </w:p>
    <w:p>
      <w:pPr>
        <w:pStyle w:val="Normal"/>
        <w:rPr/>
      </w:pPr>
      <w:r>
        <w:rPr/>
        <w:t xml:space="preserve">The number of simultaneous CS bearers supported by the system may vary in different regions. For instance, after handover the number </w:t>
      </w:r>
      <w:r>
        <w:rPr/>
        <w:t xml:space="preserve">of </w:t>
      </w:r>
      <w:r>
        <w:rPr/>
        <w:t>simultaneous bearers available to the served subscriber may be lower than the number of already established bearers. Such events shall trigger changes to individual calls in any multicall scenario.</w:t>
      </w:r>
    </w:p>
    <w:p>
      <w:pPr>
        <w:pStyle w:val="Normal"/>
        <w:rPr/>
      </w:pPr>
      <w:r>
        <w:rPr/>
        <w:t>The handover requirements for multicall are specified in 3GPP TS 22.129 [6].</w:t>
      </w:r>
    </w:p>
    <w:p>
      <w:pPr>
        <w:pStyle w:val="Heading2"/>
        <w:rPr/>
      </w:pPr>
      <w:bookmarkStart w:id="29" w:name="__RefHeading___Toc217730468"/>
      <w:bookmarkEnd w:id="29"/>
      <w:r>
        <w:rPr/>
        <w:t>6.2</w:t>
        <w:tab/>
        <w:t>Registration</w:t>
      </w:r>
    </w:p>
    <w:p>
      <w:pPr>
        <w:pStyle w:val="Normal"/>
        <w:rPr/>
      </w:pPr>
      <w:r>
        <w:rPr/>
        <w:t>If the system cannot accept a registration request, the served mobile subscriber shall receive a notification that Multicall registration was not successful. Possible causes are:</w:t>
      </w:r>
    </w:p>
    <w:p>
      <w:pPr>
        <w:pStyle w:val="B1"/>
        <w:rPr/>
      </w:pPr>
      <w:r>
        <w:rPr/>
        <w:t>-</w:t>
        <w:tab/>
        <w:t>service not subscribed to;</w:t>
      </w:r>
    </w:p>
    <w:p>
      <w:pPr>
        <w:pStyle w:val="B1"/>
        <w:numPr>
          <w:ilvl w:val="0"/>
          <w:numId w:val="4"/>
        </w:numPr>
        <w:rPr/>
      </w:pPr>
      <w:r>
        <w:rPr/>
        <w:t>N</w:t>
      </w:r>
      <w:r>
        <w:rPr>
          <w:b/>
          <w:vertAlign w:val="subscript"/>
        </w:rPr>
        <w:t>br</w:t>
      </w:r>
      <w:r>
        <w:rPr/>
        <w:t xml:space="preserve">_User </w:t>
      </w:r>
      <w:r>
        <w:rPr/>
        <w:t>&gt;</w:t>
      </w:r>
      <w:r>
        <w:rPr/>
        <w:t xml:space="preserve"> N</w:t>
      </w:r>
      <w:r>
        <w:rPr>
          <w:b/>
          <w:vertAlign w:val="subscript"/>
        </w:rPr>
        <w:t>br</w:t>
      </w:r>
      <w:r>
        <w:rPr>
          <w:vertAlign w:val="subscript"/>
        </w:rPr>
        <w:t>_</w:t>
      </w:r>
      <w:r>
        <w:rPr/>
        <w:t>SB</w:t>
      </w:r>
      <w:r>
        <w:rPr/>
        <w:t>;</w:t>
      </w:r>
    </w:p>
    <w:p>
      <w:pPr>
        <w:pStyle w:val="B1"/>
        <w:numPr>
          <w:ilvl w:val="0"/>
          <w:numId w:val="4"/>
        </w:numPr>
        <w:rPr/>
      </w:pPr>
      <w:r>
        <w:rPr/>
        <w:t>insufficient information.</w:t>
      </w:r>
    </w:p>
    <w:p>
      <w:pPr>
        <w:pStyle w:val="Heading2"/>
        <w:rPr/>
      </w:pPr>
      <w:bookmarkStart w:id="30" w:name="__RefHeading___Toc217730469"/>
      <w:bookmarkEnd w:id="30"/>
      <w:r>
        <w:rPr/>
        <w:t>6.3</w:t>
        <w:tab/>
        <w:t>Erasure</w:t>
      </w:r>
    </w:p>
    <w:p>
      <w:pPr>
        <w:pStyle w:val="Normal"/>
        <w:rPr/>
      </w:pPr>
      <w:r>
        <w:rPr/>
        <w:t>No exceptional operation identified.</w:t>
      </w:r>
    </w:p>
    <w:p>
      <w:pPr>
        <w:pStyle w:val="Heading2"/>
        <w:rPr/>
      </w:pPr>
      <w:bookmarkStart w:id="31" w:name="__RefHeading___Toc217730470"/>
      <w:bookmarkEnd w:id="31"/>
      <w:r>
        <w:rPr/>
        <w:t>6.4</w:t>
        <w:tab/>
        <w:t>Activation</w:t>
      </w:r>
    </w:p>
    <w:p>
      <w:pPr>
        <w:pStyle w:val="Normal"/>
        <w:rPr/>
      </w:pPr>
      <w:r>
        <w:rPr/>
        <w:t>No exceptional operation identified.</w:t>
      </w:r>
    </w:p>
    <w:p>
      <w:pPr>
        <w:pStyle w:val="Heading2"/>
        <w:rPr/>
      </w:pPr>
      <w:bookmarkStart w:id="32" w:name="__RefHeading___Toc217730471"/>
      <w:bookmarkEnd w:id="32"/>
      <w:r>
        <w:rPr/>
        <w:t>6.5</w:t>
        <w:tab/>
        <w:t>Deactivation</w:t>
      </w:r>
    </w:p>
    <w:p>
      <w:pPr>
        <w:pStyle w:val="Normal"/>
        <w:rPr/>
      </w:pPr>
      <w:r>
        <w:rPr/>
        <w:t>No exceptional operation identified.</w:t>
      </w:r>
    </w:p>
    <w:p>
      <w:pPr>
        <w:pStyle w:val="Heading2"/>
        <w:rPr/>
      </w:pPr>
      <w:bookmarkStart w:id="33" w:name="__RefHeading___Toc217730472"/>
      <w:bookmarkEnd w:id="33"/>
      <w:r>
        <w:rPr/>
        <w:t>6.6</w:t>
        <w:tab/>
        <w:t>Invocation</w:t>
      </w:r>
    </w:p>
    <w:p>
      <w:pPr>
        <w:pStyle w:val="Normal"/>
        <w:rPr/>
      </w:pPr>
      <w:r>
        <w:rPr/>
        <w:t>If the served subscriber attempts to set up a new call with a dedicated bearer while the maximum number of bearers available to the subscriber (N</w:t>
      </w:r>
      <w:r>
        <w:rPr>
          <w:b/>
          <w:vertAlign w:val="subscript"/>
        </w:rPr>
        <w:t>br</w:t>
      </w:r>
      <w:r>
        <w:rPr/>
        <w:t>) has been reached, the call attempt shall be rejected by normal procedures, indicating that no more bearers are available.</w:t>
      </w:r>
    </w:p>
    <w:p>
      <w:pPr>
        <w:pStyle w:val="Heading2"/>
        <w:rPr/>
      </w:pPr>
      <w:bookmarkStart w:id="34" w:name="__RefHeading___Toc217730473"/>
      <w:bookmarkEnd w:id="34"/>
      <w:r>
        <w:rPr/>
        <w:t>6.7</w:t>
        <w:tab/>
      </w:r>
      <w:r>
        <w:rPr/>
        <w:t>Interrogation</w:t>
      </w:r>
    </w:p>
    <w:p>
      <w:pPr>
        <w:pStyle w:val="Normal"/>
        <w:rPr/>
      </w:pPr>
      <w:r>
        <w:rPr/>
        <w:t xml:space="preserve">When a mobile subscriber who is not provided with the Multicall </w:t>
      </w:r>
      <w:r>
        <w:rPr/>
        <w:t xml:space="preserve">supplementary </w:t>
      </w:r>
      <w:r>
        <w:rPr/>
        <w:t xml:space="preserve">service interrogates the service data of the Multicall </w:t>
      </w:r>
      <w:r>
        <w:rPr/>
        <w:t xml:space="preserve">supplementary </w:t>
      </w:r>
      <w:r>
        <w:rPr/>
        <w:t xml:space="preserve">service, </w:t>
      </w:r>
      <w:r>
        <w:rPr/>
        <w:t>s</w:t>
      </w:r>
      <w:r>
        <w:rPr/>
        <w:t xml:space="preserve">he shall be notified that </w:t>
      </w:r>
      <w:r>
        <w:rPr/>
        <w:t>s</w:t>
      </w:r>
      <w:r>
        <w:rPr/>
        <w:t>he is not subscribed to the service.</w:t>
      </w:r>
    </w:p>
    <w:p>
      <w:pPr>
        <w:pStyle w:val="Heading2"/>
        <w:rPr/>
      </w:pPr>
      <w:bookmarkStart w:id="35" w:name="__RefHeading___Toc217730474"/>
      <w:bookmarkEnd w:id="35"/>
      <w:r>
        <w:rPr/>
        <w:t>6.8</w:t>
        <w:tab/>
        <w:t>Roaming in non-supporting networks</w:t>
      </w:r>
    </w:p>
    <w:p>
      <w:pPr>
        <w:pStyle w:val="Normal"/>
        <w:tabs>
          <w:tab w:val="clear" w:pos="284"/>
          <w:tab w:val="left" w:pos="1800" w:leader="none"/>
        </w:tabs>
        <w:jc w:val="both"/>
        <w:rPr/>
      </w:pPr>
      <w:r>
        <w:rPr/>
        <w:t xml:space="preserve">Roaming into networks not supporting the Multicall </w:t>
      </w:r>
      <w:r>
        <w:rPr/>
        <w:t xml:space="preserve">supplementary </w:t>
      </w:r>
      <w:r>
        <w:rPr/>
        <w:t xml:space="preserve">service shall be possible. The served subscriber will not have any access to the Multicall </w:t>
      </w:r>
      <w:r>
        <w:rPr/>
        <w:t xml:space="preserve">supplementary </w:t>
      </w:r>
      <w:r>
        <w:rPr/>
        <w:t>service and the system should behave accordingly.</w:t>
      </w:r>
    </w:p>
    <w:p>
      <w:pPr>
        <w:pStyle w:val="Normal"/>
        <w:rPr/>
      </w:pPr>
      <w:r>
        <w:rPr/>
        <w:t>When the served subscriber performs any procedure related to Multicall service as described in the clauses above while roaming in a non-supporting network, she shall be notified that the service is not available.</w:t>
      </w:r>
    </w:p>
    <w:p>
      <w:pPr>
        <w:pStyle w:val="Heading1"/>
        <w:ind w:left="1134" w:hanging="1134"/>
        <w:rPr/>
      </w:pPr>
      <w:bookmarkStart w:id="36" w:name="_Ref446418717"/>
      <w:bookmarkStart w:id="37" w:name="__RefHeading___Toc217730475"/>
      <w:bookmarkEnd w:id="37"/>
      <w:r>
        <w:rPr/>
        <w:t>7</w:t>
        <w:tab/>
        <w:t xml:space="preserve">Interaction with </w:t>
      </w:r>
      <w:bookmarkEnd w:id="36"/>
      <w:r>
        <w:rPr/>
        <w:t>other services</w:t>
      </w:r>
    </w:p>
    <w:p>
      <w:pPr>
        <w:pStyle w:val="Heading2"/>
        <w:rPr/>
      </w:pPr>
      <w:bookmarkStart w:id="38" w:name="__RefHeading___Toc217730476"/>
      <w:bookmarkEnd w:id="38"/>
      <w:r>
        <w:rPr/>
        <w:t>7.1</w:t>
        <w:tab/>
        <w:t>Line Identification</w:t>
      </w:r>
    </w:p>
    <w:p>
      <w:pPr>
        <w:pStyle w:val="Heading3"/>
        <w:rPr/>
      </w:pPr>
      <w:bookmarkStart w:id="39" w:name="__RefHeading___Toc217730477"/>
      <w:bookmarkEnd w:id="39"/>
      <w:r>
        <w:rPr/>
        <w:t>7.1.1</w:t>
        <w:tab/>
        <w:t>Calling Line Identification Presentation (CLIP)</w:t>
      </w:r>
    </w:p>
    <w:p>
      <w:pPr>
        <w:pStyle w:val="Normal"/>
        <w:rPr>
          <w:b/>
          <w:b/>
        </w:rPr>
      </w:pPr>
      <w:r>
        <w:rPr/>
        <w:t>No impact, i.e. CLIP shall be provided with all calls.</w:t>
      </w:r>
    </w:p>
    <w:p>
      <w:pPr>
        <w:pStyle w:val="Heading3"/>
        <w:rPr/>
      </w:pPr>
      <w:bookmarkStart w:id="40" w:name="__RefHeading___Toc217730478"/>
      <w:bookmarkEnd w:id="40"/>
      <w:r>
        <w:rPr/>
        <w:t>7.1.2</w:t>
        <w:tab/>
        <w:t>Calling Line Identification Restriction (CLIR)</w:t>
      </w:r>
    </w:p>
    <w:p>
      <w:pPr>
        <w:pStyle w:val="Normal"/>
        <w:rPr/>
      </w:pPr>
      <w:r>
        <w:rPr/>
        <w:t>No impact, i.e. CLIR shall be provided with all calls.</w:t>
      </w:r>
    </w:p>
    <w:p>
      <w:pPr>
        <w:pStyle w:val="Heading3"/>
        <w:rPr/>
      </w:pPr>
      <w:bookmarkStart w:id="41" w:name="__RefHeading___Toc217730479"/>
      <w:bookmarkEnd w:id="41"/>
      <w:r>
        <w:rPr/>
        <w:t>7.1.3</w:t>
        <w:tab/>
        <w:t>Connected Line Identification Presentation (COLP)</w:t>
      </w:r>
    </w:p>
    <w:p>
      <w:pPr>
        <w:pStyle w:val="Normal"/>
        <w:rPr/>
      </w:pPr>
      <w:r>
        <w:rPr/>
        <w:t>No impact, i.e. COLP shall be provided with all calls.</w:t>
      </w:r>
    </w:p>
    <w:p>
      <w:pPr>
        <w:pStyle w:val="Heading3"/>
        <w:rPr/>
      </w:pPr>
      <w:bookmarkStart w:id="42" w:name="__RefHeading___Toc217730480"/>
      <w:bookmarkEnd w:id="42"/>
      <w:r>
        <w:rPr/>
        <w:t>7.1.4</w:t>
        <w:tab/>
        <w:t>Connected Line Identification Restriction (COLR)</w:t>
      </w:r>
    </w:p>
    <w:p>
      <w:pPr>
        <w:pStyle w:val="Normal"/>
        <w:rPr/>
      </w:pPr>
      <w:r>
        <w:rPr/>
        <w:t>No impact, i.e. COLR shall be provided with all calls.</w:t>
      </w:r>
    </w:p>
    <w:p>
      <w:pPr>
        <w:pStyle w:val="Heading2"/>
        <w:rPr/>
      </w:pPr>
      <w:bookmarkStart w:id="43" w:name="__RefHeading___Toc217730481"/>
      <w:bookmarkEnd w:id="43"/>
      <w:r>
        <w:rPr/>
        <w:t>7.2</w:t>
        <w:tab/>
        <w:t>Call Forwarding</w:t>
      </w:r>
    </w:p>
    <w:p>
      <w:pPr>
        <w:pStyle w:val="Heading3"/>
        <w:rPr/>
      </w:pPr>
      <w:bookmarkStart w:id="44" w:name="__RefHeading___Toc217730482"/>
      <w:bookmarkStart w:id="45" w:name="_Ref351221564"/>
      <w:bookmarkEnd w:id="44"/>
      <w:r>
        <w:rPr/>
        <w:t>7.2.1</w:t>
        <w:tab/>
        <w:t>Call Forwarding Unconditional (CFU)</w:t>
      </w:r>
      <w:bookmarkEnd w:id="45"/>
    </w:p>
    <w:p>
      <w:pPr>
        <w:pStyle w:val="Normal"/>
        <w:rPr/>
      </w:pPr>
      <w:r>
        <w:rPr/>
        <w:t>No impact.</w:t>
      </w:r>
    </w:p>
    <w:p>
      <w:pPr>
        <w:pStyle w:val="Heading3"/>
        <w:rPr/>
      </w:pPr>
      <w:bookmarkStart w:id="46" w:name="__RefHeading___Toc217730483"/>
      <w:bookmarkEnd w:id="46"/>
      <w:r>
        <w:rPr/>
        <w:t>7.2.2</w:t>
        <w:tab/>
        <w:t>Call Forwarding on Busy (CFB)</w:t>
      </w:r>
    </w:p>
    <w:p>
      <w:pPr>
        <w:pStyle w:val="Normal"/>
        <w:rPr/>
      </w:pPr>
      <w:r>
        <w:rPr/>
        <w:t>No impact.</w:t>
      </w:r>
    </w:p>
    <w:p>
      <w:pPr>
        <w:pStyle w:val="NO"/>
        <w:rPr/>
      </w:pPr>
      <w:r>
        <w:rPr/>
        <w:t>NOTE:</w:t>
        <w:tab/>
        <w:t>CFB shall be invoked when the network detects a NDUB condition. The maximum number of bearers available to the subscriber (N</w:t>
      </w:r>
      <w:r>
        <w:rPr>
          <w:b/>
          <w:vertAlign w:val="subscript"/>
        </w:rPr>
        <w:t>br</w:t>
      </w:r>
      <w:r>
        <w:rPr/>
        <w:t>) affects the NDUB condition.</w:t>
      </w:r>
      <w:r>
        <w:rPr/>
        <w:t xml:space="preserve"> For the NDUB definition specific for Multicall, see annex A.</w:t>
      </w:r>
    </w:p>
    <w:p>
      <w:pPr>
        <w:pStyle w:val="NO"/>
        <w:ind w:left="1135" w:hanging="1"/>
        <w:rPr/>
      </w:pPr>
      <w:r>
        <w:rPr/>
        <w:t>This means that for the case of N</w:t>
      </w:r>
      <w:r>
        <w:rPr>
          <w:b/>
          <w:vertAlign w:val="subscript"/>
        </w:rPr>
        <w:t>br</w:t>
      </w:r>
      <w:r>
        <w:rPr/>
        <w:t xml:space="preserve"> = 1, the system behaviour shall be the same as for a subscriber who is not provided with the Multicall service.</w:t>
      </w:r>
    </w:p>
    <w:p>
      <w:pPr>
        <w:pStyle w:val="Heading3"/>
        <w:rPr/>
      </w:pPr>
      <w:bookmarkStart w:id="47" w:name="__RefHeading___Toc217730484"/>
      <w:bookmarkEnd w:id="47"/>
      <w:r>
        <w:rPr/>
        <w:t>7.2.3</w:t>
        <w:tab/>
        <w:t>Call Forwarding on No Reply (CFNRy)</w:t>
      </w:r>
    </w:p>
    <w:p>
      <w:pPr>
        <w:pStyle w:val="Normal"/>
        <w:rPr/>
      </w:pPr>
      <w:r>
        <w:rPr/>
        <w:t>No impact.</w:t>
      </w:r>
    </w:p>
    <w:p>
      <w:pPr>
        <w:pStyle w:val="Heading3"/>
        <w:rPr/>
      </w:pPr>
      <w:bookmarkStart w:id="48" w:name="__RefHeading___Toc217730485"/>
      <w:bookmarkEnd w:id="48"/>
      <w:r>
        <w:rPr/>
        <w:t>7.2.4</w:t>
        <w:tab/>
        <w:t>Call Forwarding on Not Reachable (CFNRc)</w:t>
      </w:r>
    </w:p>
    <w:p>
      <w:pPr>
        <w:pStyle w:val="Normal"/>
        <w:rPr/>
      </w:pPr>
      <w:r>
        <w:rPr/>
        <w:t>No impact.</w:t>
      </w:r>
    </w:p>
    <w:p>
      <w:pPr>
        <w:pStyle w:val="Heading2"/>
        <w:rPr/>
      </w:pPr>
      <w:bookmarkStart w:id="49" w:name="__RefHeading___Toc217730486"/>
      <w:bookmarkEnd w:id="49"/>
      <w:r>
        <w:rPr/>
        <w:t>7.3</w:t>
        <w:tab/>
        <w:t>Call Completion</w:t>
      </w:r>
    </w:p>
    <w:p>
      <w:pPr>
        <w:pStyle w:val="Heading3"/>
        <w:rPr/>
      </w:pPr>
      <w:bookmarkStart w:id="50" w:name="__RefHeading___Toc217730487"/>
      <w:bookmarkEnd w:id="50"/>
      <w:r>
        <w:rPr/>
        <w:t>7.3.1</w:t>
        <w:tab/>
        <w:t>Call Hold (CH)</w:t>
      </w:r>
    </w:p>
    <w:p>
      <w:pPr>
        <w:pStyle w:val="Normal"/>
        <w:rPr/>
      </w:pPr>
      <w:r>
        <w:rPr/>
        <w:t>No impact, i.e. it shall be possible to put an established speech call on hold.</w:t>
      </w:r>
    </w:p>
    <w:p>
      <w:pPr>
        <w:pStyle w:val="Normal"/>
        <w:rPr/>
      </w:pPr>
      <w:r>
        <w:rPr/>
        <w:t>Irrespective of whether the maximum number of CS bearers (N</w:t>
      </w:r>
      <w:r>
        <w:rPr>
          <w:b/>
          <w:vertAlign w:val="subscript"/>
        </w:rPr>
        <w:t>br</w:t>
      </w:r>
      <w:r>
        <w:rPr/>
        <w:t xml:space="preserve">) is reached or not, and a terminating call is indicated to the user, </w:t>
      </w:r>
      <w:r>
        <w:rPr/>
        <w:t>she</w:t>
      </w:r>
      <w:r>
        <w:rPr/>
        <w:t xml:space="preserve"> shall be able to accept the terminating call by applying the Call Hold service to</w:t>
      </w:r>
      <w:r>
        <w:rPr/>
        <w:t xml:space="preserve"> an active speech call. </w:t>
      </w:r>
      <w:r>
        <w:rPr/>
        <w:t xml:space="preserve">By that </w:t>
      </w:r>
      <w:r>
        <w:rPr/>
        <w:t>she</w:t>
      </w:r>
      <w:r>
        <w:rPr/>
        <w:t xml:space="preserve"> makes the bearer of the held call available to the new call.</w:t>
      </w:r>
    </w:p>
    <w:p>
      <w:pPr>
        <w:pStyle w:val="NO"/>
        <w:rPr/>
      </w:pPr>
      <w:r>
        <w:rPr/>
        <w:t>NOTE</w:t>
      </w:r>
      <w:r>
        <w:rPr/>
        <w:t xml:space="preserve"> 1</w:t>
      </w:r>
      <w:r>
        <w:rPr/>
        <w:t>:</w:t>
        <w:tab/>
        <w:t>This means that for the case of N</w:t>
      </w:r>
      <w:r>
        <w:rPr>
          <w:b/>
          <w:vertAlign w:val="subscript"/>
        </w:rPr>
        <w:t>br</w:t>
      </w:r>
      <w:r>
        <w:rPr/>
        <w:t xml:space="preserve"> = 1, the system behaviour shall be the same as for a subscriber who is not provided with the Multicall service.</w:t>
      </w:r>
    </w:p>
    <w:p>
      <w:pPr>
        <w:pStyle w:val="NO"/>
        <w:rPr>
          <w:i/>
          <w:i/>
          <w:lang w:val="en-US"/>
        </w:rPr>
      </w:pPr>
      <w:r>
        <w:rPr>
          <w:lang w:val="en-US"/>
        </w:rPr>
        <w:t>NOTE 2:</w:t>
        <w:tab/>
        <w:t>There is no change to the maximum number of held calls allowed for the Multicall supplementary service. The maximum number of held calls is still 1 per a subscriber.</w:t>
      </w:r>
    </w:p>
    <w:p>
      <w:pPr>
        <w:pStyle w:val="Heading3"/>
        <w:rPr/>
      </w:pPr>
      <w:bookmarkStart w:id="51" w:name="__RefHeading___Toc217730488"/>
      <w:bookmarkEnd w:id="51"/>
      <w:r>
        <w:rPr/>
        <w:t>7.3.2</w:t>
        <w:tab/>
        <w:t>Call Waiting (CW)</w:t>
      </w:r>
    </w:p>
    <w:p>
      <w:pPr>
        <w:pStyle w:val="Normal"/>
        <w:rPr>
          <w:rFonts w:ascii="TimesNewRoman;Times New Roman" w:hAnsi="TimesNewRoman;Times New Roman" w:cs="TimesNewRoman;Times New Roman"/>
          <w:lang w:val="en-AU"/>
        </w:rPr>
      </w:pPr>
      <w:r>
        <w:rPr>
          <w:rFonts w:cs="TimesNewRoman;Times New Roman" w:ascii="TimesNewRoman;Times New Roman" w:hAnsi="TimesNewRoman;Times New Roman"/>
          <w:lang w:val="en-AU"/>
        </w:rPr>
        <w:t xml:space="preserve">When the subscriber has at least one ongoing call and a </w:t>
      </w:r>
      <w:r>
        <w:rPr>
          <w:rFonts w:cs="TimesNewRoman;Times New Roman" w:ascii="TimesNewRoman;Times New Roman" w:hAnsi="TimesNewRoman;Times New Roman"/>
          <w:lang w:val="en-AU"/>
        </w:rPr>
        <w:t>new terminating call is speech;</w:t>
      </w:r>
      <w:r>
        <w:rPr>
          <w:rFonts w:cs="TimesNewRoman;Times New Roman" w:ascii="TimesNewRoman;Times New Roman" w:hAnsi="TimesNewRoman;Times New Roman"/>
          <w:lang w:val="en-AU"/>
        </w:rPr>
        <w:t xml:space="preserve"> then Call Waiting shall be invoked if:</w:t>
      </w:r>
    </w:p>
    <w:p>
      <w:pPr>
        <w:pStyle w:val="Normal"/>
        <w:numPr>
          <w:ilvl w:val="0"/>
          <w:numId w:val="5"/>
        </w:numPr>
        <w:rPr>
          <w:rFonts w:ascii="TimesNewRoman;Times New Roman" w:hAnsi="TimesNewRoman;Times New Roman" w:cs="TimesNewRoman;Times New Roman"/>
          <w:lang w:val="en-AU"/>
        </w:rPr>
      </w:pPr>
      <w:r>
        <w:rPr>
          <w:rFonts w:cs="TimesNewRoman;Times New Roman" w:ascii="TimesNewRoman;Times New Roman" w:hAnsi="TimesNewRoman;Times New Roman"/>
          <w:lang w:val="en-AU"/>
        </w:rPr>
        <w:t>there is an active speech call and Call Waiting is active and operative for speech or;</w:t>
      </w:r>
    </w:p>
    <w:p>
      <w:pPr>
        <w:pStyle w:val="Normal"/>
        <w:numPr>
          <w:ilvl w:val="0"/>
          <w:numId w:val="5"/>
        </w:numPr>
        <w:rPr>
          <w:rFonts w:ascii="TimesNewRoman;Times New Roman" w:hAnsi="TimesNewRoman;Times New Roman" w:cs="TimesNewRoman;Times New Roman"/>
          <w:lang w:val="en-AU"/>
        </w:rPr>
      </w:pPr>
      <w:r>
        <w:rPr>
          <w:rFonts w:cs="TimesNewRoman;Times New Roman" w:ascii="TimesNewRoman;Times New Roman" w:hAnsi="TimesNewRoman;Times New Roman"/>
          <w:lang w:val="en-AU"/>
        </w:rPr>
        <w:t>there is a held speech call, with no active call on the same bearer, and Call Waiting is active and operative for speech or;</w:t>
      </w:r>
    </w:p>
    <w:p>
      <w:pPr>
        <w:pStyle w:val="Normal"/>
        <w:numPr>
          <w:ilvl w:val="0"/>
          <w:numId w:val="5"/>
        </w:numPr>
        <w:rPr/>
      </w:pPr>
      <w:r>
        <w:rPr>
          <w:rFonts w:cs="TimesNewRoman;Times New Roman" w:ascii="TimesNewRoman;Times New Roman" w:hAnsi="TimesNewRoman;Times New Roman"/>
          <w:lang w:val="en-AU"/>
        </w:rPr>
        <w:t xml:space="preserve">there is a held speech call, with an active non-speech call on the same bearer, and Call Waiting is active </w:t>
      </w:r>
      <w:r>
        <w:rPr>
          <w:rFonts w:cs="TimesNewRoman;Times New Roman" w:ascii="TimesNewRoman;Times New Roman" w:hAnsi="TimesNewRoman;Times New Roman"/>
          <w:lang w:val="en-AU"/>
        </w:rPr>
        <w:t xml:space="preserve">and operative </w:t>
      </w:r>
      <w:r>
        <w:rPr>
          <w:rFonts w:cs="TimesNewRoman;Times New Roman" w:ascii="TimesNewRoman;Times New Roman" w:hAnsi="TimesNewRoman;Times New Roman"/>
          <w:lang w:val="en-AU"/>
        </w:rPr>
        <w:t>for that non-speech basic service or;</w:t>
      </w:r>
    </w:p>
    <w:p>
      <w:pPr>
        <w:pStyle w:val="Normal"/>
        <w:numPr>
          <w:ilvl w:val="0"/>
          <w:numId w:val="5"/>
        </w:numPr>
        <w:rPr/>
      </w:pPr>
      <w:r>
        <w:rPr>
          <w:rFonts w:cs="TimesNewRoman;Times New Roman" w:ascii="TimesNewRoman;Times New Roman" w:hAnsi="TimesNewRoman;Times New Roman"/>
          <w:lang w:val="en-AU"/>
        </w:rPr>
        <w:t xml:space="preserve">there are no speech calls </w:t>
      </w:r>
      <w:r>
        <w:rPr>
          <w:rFonts w:cs="TimesNewRoman;Times New Roman" w:ascii="TimesNewRoman;Times New Roman" w:hAnsi="TimesNewRoman;Times New Roman"/>
          <w:lang w:val="en-AU"/>
        </w:rPr>
        <w:t xml:space="preserve">(including a call on hold), </w:t>
      </w:r>
      <w:r>
        <w:rPr>
          <w:rFonts w:cs="TimesNewRoman;Times New Roman" w:ascii="TimesNewRoman;Times New Roman" w:hAnsi="TimesNewRoman;Times New Roman"/>
          <w:lang w:val="en-AU"/>
        </w:rPr>
        <w:t xml:space="preserve">the maximum number of bearers </w:t>
      </w:r>
      <w:r>
        <w:rPr>
          <w:rFonts w:cs="TimesNewRoman;Times New Roman" w:ascii="TimesNewRoman;Times New Roman" w:hAnsi="TimesNewRoman;Times New Roman"/>
          <w:lang w:val="en-AU"/>
        </w:rPr>
        <w:t>(</w:t>
      </w:r>
      <w:r>
        <w:rPr>
          <w:rFonts w:cs="TimesNewRoman;Times New Roman" w:ascii="TimesNewRoman;Times New Roman" w:hAnsi="TimesNewRoman;Times New Roman"/>
          <w:lang w:val="en-AU"/>
        </w:rPr>
        <w:t>N</w:t>
      </w:r>
      <w:r>
        <w:rPr>
          <w:rFonts w:cs="TimesNewRoman;Times New Roman" w:ascii="TimesNewRoman;Times New Roman" w:hAnsi="TimesNewRoman;Times New Roman"/>
          <w:b/>
          <w:vertAlign w:val="subscript"/>
          <w:lang w:val="en-AU"/>
        </w:rPr>
        <w:t>br</w:t>
      </w:r>
      <w:r>
        <w:rPr>
          <w:rFonts w:cs="TimesNewRoman;Times New Roman" w:ascii="TimesNewRoman;Times New Roman" w:hAnsi="TimesNewRoman;Times New Roman"/>
          <w:lang w:val="en-AU"/>
        </w:rPr>
        <w:t>)</w:t>
      </w:r>
      <w:r>
        <w:rPr>
          <w:rFonts w:cs="TimesNewRoman;Times New Roman" w:ascii="TimesNewRoman;Times New Roman" w:hAnsi="TimesNewRoman;Times New Roman"/>
          <w:lang w:val="en-AU"/>
        </w:rPr>
        <w:t xml:space="preserve"> has been reached and Call Waiting is active and operative for at least one of the basic services currently in use.</w:t>
      </w:r>
    </w:p>
    <w:p>
      <w:pPr>
        <w:pStyle w:val="Normal"/>
        <w:rPr>
          <w:rFonts w:ascii="TimesNewRoman;Times New Roman" w:hAnsi="TimesNewRoman;Times New Roman" w:cs="TimesNewRoman;Times New Roman"/>
          <w:lang w:val="en-AU"/>
        </w:rPr>
      </w:pPr>
      <w:r>
        <w:rPr>
          <w:rFonts w:cs="TimesNewRoman;Times New Roman" w:ascii="TimesNewRoman;Times New Roman" w:hAnsi="TimesNewRoman;Times New Roman"/>
          <w:lang w:val="en-AU"/>
        </w:rPr>
        <w:t>When the subscriber has at least one ongoing call and</w:t>
      </w:r>
      <w:r>
        <w:rPr>
          <w:rFonts w:cs="TimesNewRoman;Times New Roman" w:ascii="TimesNewRoman;Times New Roman" w:hAnsi="TimesNewRoman;Times New Roman"/>
          <w:lang w:val="en-AU"/>
        </w:rPr>
        <w:t xml:space="preserve"> </w:t>
      </w:r>
      <w:r>
        <w:rPr>
          <w:rFonts w:cs="TimesNewRoman;Times New Roman" w:ascii="TimesNewRoman;Times New Roman" w:hAnsi="TimesNewRoman;Times New Roman"/>
          <w:lang w:val="en-AU"/>
        </w:rPr>
        <w:t xml:space="preserve">a </w:t>
      </w:r>
      <w:r>
        <w:rPr>
          <w:rFonts w:cs="TimesNewRoman;Times New Roman" w:ascii="TimesNewRoman;Times New Roman" w:hAnsi="TimesNewRoman;Times New Roman"/>
          <w:lang w:val="en-AU"/>
        </w:rPr>
        <w:t>new terminating call is not speech;</w:t>
      </w:r>
      <w:r>
        <w:rPr>
          <w:rFonts w:cs="TimesNewRoman;Times New Roman" w:ascii="TimesNewRoman;Times New Roman" w:hAnsi="TimesNewRoman;Times New Roman"/>
          <w:lang w:val="en-AU"/>
        </w:rPr>
        <w:t xml:space="preserve"> then Call Waiting shall be invoked if the maximum number of bearers</w:t>
      </w:r>
      <w:r>
        <w:rPr>
          <w:rFonts w:cs="TimesNewRoman;Times New Roman" w:ascii="TimesNewRoman;Times New Roman" w:hAnsi="TimesNewRoman;Times New Roman"/>
          <w:lang w:val="en-AU"/>
        </w:rPr>
        <w:t xml:space="preserve"> (</w:t>
      </w:r>
      <w:r>
        <w:rPr>
          <w:rFonts w:cs="TimesNewRoman;Times New Roman" w:ascii="TimesNewRoman;Times New Roman" w:hAnsi="TimesNewRoman;Times New Roman"/>
          <w:lang w:val="en-AU"/>
        </w:rPr>
        <w:t>N</w:t>
      </w:r>
      <w:r>
        <w:rPr>
          <w:rFonts w:cs="TimesNewRoman;Times New Roman" w:ascii="TimesNewRoman;Times New Roman" w:hAnsi="TimesNewRoman;Times New Roman"/>
          <w:b/>
          <w:vertAlign w:val="subscript"/>
          <w:lang w:val="en-AU"/>
        </w:rPr>
        <w:t>br</w:t>
      </w:r>
      <w:r>
        <w:rPr>
          <w:rFonts w:cs="TimesNewRoman;Times New Roman" w:ascii="TimesNewRoman;Times New Roman" w:hAnsi="TimesNewRoman;Times New Roman"/>
          <w:lang w:val="en-AU"/>
        </w:rPr>
        <w:t>)</w:t>
      </w:r>
      <w:r>
        <w:rPr>
          <w:rFonts w:cs="TimesNewRoman;Times New Roman" w:ascii="TimesNewRoman;Times New Roman" w:hAnsi="TimesNewRoman;Times New Roman"/>
          <w:lang w:val="en-AU"/>
        </w:rPr>
        <w:t xml:space="preserve"> has been reached and Call Waiting is active and operative for at least one of the basic services currently in use.</w:t>
      </w:r>
    </w:p>
    <w:p>
      <w:pPr>
        <w:pStyle w:val="NO"/>
        <w:rPr/>
      </w:pPr>
      <w:r>
        <w:rPr>
          <w:lang w:val="en-AU"/>
        </w:rPr>
        <w:t>NOTE:</w:t>
        <w:tab/>
      </w:r>
      <w:r>
        <w:rPr>
          <w:lang w:val="en-AU"/>
        </w:rPr>
        <w:t>T</w:t>
      </w:r>
      <w:r>
        <w:rPr>
          <w:lang w:val="en-AU"/>
        </w:rPr>
        <w:t xml:space="preserve">here is no change to the maximum number of waiting calls </w:t>
      </w:r>
      <w:r>
        <w:rPr>
          <w:lang w:val="en-AU"/>
        </w:rPr>
        <w:t>allowed for</w:t>
      </w:r>
      <w:r>
        <w:rPr>
          <w:lang w:val="en-AU"/>
        </w:rPr>
        <w:t xml:space="preserve"> the </w:t>
      </w:r>
      <w:r>
        <w:rPr>
          <w:lang w:val="en-AU"/>
        </w:rPr>
        <w:t>M</w:t>
      </w:r>
      <w:r>
        <w:rPr>
          <w:lang w:val="en-AU"/>
        </w:rPr>
        <w:t>ulticall service</w:t>
      </w:r>
      <w:r>
        <w:rPr>
          <w:lang w:val="en-AU"/>
        </w:rPr>
        <w:t>.</w:t>
      </w:r>
      <w:r>
        <w:rPr>
          <w:lang w:val="en-AU"/>
        </w:rPr>
        <w:t xml:space="preserve"> </w:t>
      </w:r>
      <w:r>
        <w:rPr>
          <w:lang w:val="en-AU"/>
        </w:rPr>
        <w:t>T</w:t>
      </w:r>
      <w:r>
        <w:rPr>
          <w:lang w:val="en-AU"/>
        </w:rPr>
        <w:t>he maximum number of waiting calls is still 1</w:t>
      </w:r>
      <w:r>
        <w:rPr>
          <w:lang w:val="en-AU"/>
        </w:rPr>
        <w:t xml:space="preserve"> per a subscriber</w:t>
      </w:r>
      <w:r>
        <w:rPr>
          <w:lang w:val="en-AU"/>
        </w:rPr>
        <w:t>.</w:t>
      </w:r>
    </w:p>
    <w:p>
      <w:pPr>
        <w:pStyle w:val="Heading2"/>
        <w:rPr>
          <w:rFonts w:eastAsia="MS Mincho;ＭＳ 明朝"/>
          <w:lang w:eastAsia="ja-JP"/>
        </w:rPr>
      </w:pPr>
      <w:bookmarkStart w:id="52" w:name="__RefHeading___Toc217730489"/>
      <w:bookmarkEnd w:id="52"/>
      <w:r>
        <w:rPr/>
        <w:t>7.4</w:t>
        <w:tab/>
        <w:t>Multi Party (MPTY)</w:t>
      </w:r>
    </w:p>
    <w:p>
      <w:pPr>
        <w:pStyle w:val="Normal"/>
        <w:rPr>
          <w:rFonts w:eastAsia="MS Mincho;ＭＳ 明朝"/>
          <w:lang w:eastAsia="ja-JP"/>
        </w:rPr>
      </w:pPr>
      <w:r>
        <w:rPr>
          <w:rFonts w:eastAsia="MS Mincho;ＭＳ 明朝"/>
          <w:lang w:eastAsia="ja-JP"/>
        </w:rPr>
        <w:t>No Impact.</w:t>
      </w:r>
    </w:p>
    <w:p>
      <w:pPr>
        <w:pStyle w:val="Normal"/>
        <w:rPr/>
      </w:pPr>
      <w:r>
        <w:rPr>
          <w:rFonts w:eastAsia="MS Mincho;ＭＳ 明朝"/>
          <w:lang w:eastAsia="ja-JP"/>
        </w:rPr>
        <w:t>The number of MPTY</w:t>
      </w:r>
      <w:r>
        <w:rPr>
          <w:rFonts w:eastAsia="MS Mincho;ＭＳ 明朝"/>
          <w:lang w:eastAsia="ja-JP"/>
        </w:rPr>
        <w:t xml:space="preserve"> member</w:t>
      </w:r>
      <w:r>
        <w:rPr>
          <w:rFonts w:eastAsia="MS Mincho;ＭＳ 明朝"/>
          <w:lang w:eastAsia="ja-JP"/>
        </w:rPr>
        <w:t xml:space="preserve"> may be limited </w:t>
      </w:r>
      <w:r>
        <w:rPr/>
        <w:t>by N</w:t>
      </w:r>
      <w:r>
        <w:rPr>
          <w:vertAlign w:val="subscript"/>
        </w:rPr>
        <w:t>cs</w:t>
      </w:r>
      <w:r>
        <w:rPr/>
        <w:t>_MO</w:t>
      </w:r>
      <w:r>
        <w:rPr/>
        <w:t>, N</w:t>
      </w:r>
      <w:r>
        <w:rPr>
          <w:vertAlign w:val="subscript"/>
        </w:rPr>
        <w:t>cs</w:t>
      </w:r>
      <w:r>
        <w:rPr/>
        <w:t>_MT</w:t>
      </w:r>
      <w:r>
        <w:rPr/>
        <w:t xml:space="preserve"> and N</w:t>
      </w:r>
      <w:r>
        <w:rPr>
          <w:vertAlign w:val="subscript"/>
        </w:rPr>
        <w:t>cs</w:t>
      </w:r>
      <w:r>
        <w:rPr>
          <w:rFonts w:eastAsia="MS Mincho;ＭＳ 明朝"/>
          <w:lang w:eastAsia="ja-JP"/>
        </w:rPr>
        <w:t>.</w:t>
      </w:r>
    </w:p>
    <w:p>
      <w:pPr>
        <w:pStyle w:val="Heading2"/>
        <w:rPr/>
      </w:pPr>
      <w:bookmarkStart w:id="53" w:name="__RefHeading___Toc217730490"/>
      <w:bookmarkEnd w:id="53"/>
      <w:r>
        <w:rPr/>
        <w:t>7.5</w:t>
        <w:tab/>
        <w:t>Closed User Group (CUG)</w:t>
      </w:r>
    </w:p>
    <w:p>
      <w:pPr>
        <w:pStyle w:val="Normal"/>
        <w:rPr>
          <w:rFonts w:eastAsia="MS Mincho;ＭＳ 明朝"/>
          <w:lang w:eastAsia="ja-JP"/>
        </w:rPr>
      </w:pPr>
      <w:r>
        <w:rPr/>
        <w:t>No impact.</w:t>
      </w:r>
    </w:p>
    <w:p>
      <w:pPr>
        <w:pStyle w:val="Heading2"/>
        <w:rPr/>
      </w:pPr>
      <w:bookmarkStart w:id="54" w:name="__RefHeading___Toc217730491"/>
      <w:bookmarkEnd w:id="54"/>
      <w:r>
        <w:rPr/>
        <w:t>7.6</w:t>
        <w:tab/>
        <w:t>Advice of Charge (AoC)</w:t>
      </w:r>
    </w:p>
    <w:p>
      <w:pPr>
        <w:pStyle w:val="Normal"/>
        <w:rPr>
          <w:rFonts w:eastAsia="MS PGothic"/>
        </w:rPr>
      </w:pPr>
      <w:r>
        <w:rPr>
          <w:rFonts w:eastAsia="MS PGothic"/>
        </w:rPr>
        <w:t>The subscriber shall receive the AoC indication individually for each CS call.</w:t>
      </w:r>
    </w:p>
    <w:p>
      <w:pPr>
        <w:pStyle w:val="Normal"/>
        <w:rPr>
          <w:rFonts w:eastAsia="MS PGothic"/>
        </w:rPr>
      </w:pPr>
      <w:r>
        <w:rPr>
          <w:rFonts w:eastAsia="MS PGothic"/>
        </w:rPr>
        <w:t>For the AoCC service, the ACM (Accumulated Call Meter as defined in TS 22.024) shall reckon the sum of the charge generated by all simultaneous CS calls.</w:t>
      </w:r>
    </w:p>
    <w:p>
      <w:pPr>
        <w:pStyle w:val="Heading2"/>
        <w:rPr/>
      </w:pPr>
      <w:bookmarkStart w:id="55" w:name="__RefHeading___Toc217730492"/>
      <w:bookmarkEnd w:id="55"/>
      <w:r>
        <w:rPr/>
        <w:t>7.7</w:t>
        <w:tab/>
        <w:t>Call Barring</w:t>
      </w:r>
    </w:p>
    <w:p>
      <w:pPr>
        <w:pStyle w:val="Normal"/>
        <w:rPr/>
      </w:pPr>
      <w:bookmarkStart w:id="56" w:name="_Ref347041849"/>
      <w:r>
        <w:rPr/>
        <w:t>No impact.</w:t>
      </w:r>
    </w:p>
    <w:p>
      <w:pPr>
        <w:pStyle w:val="Heading3"/>
        <w:rPr/>
      </w:pPr>
      <w:bookmarkStart w:id="57" w:name="_Ref347041849"/>
      <w:bookmarkStart w:id="58" w:name="__RefHeading___Toc217730493"/>
      <w:bookmarkEnd w:id="58"/>
      <w:r>
        <w:rPr/>
        <w:t>7.7.1</w:t>
        <w:tab/>
        <w:t>Barring of all outgoing calls</w:t>
      </w:r>
      <w:bookmarkEnd w:id="57"/>
    </w:p>
    <w:p>
      <w:pPr>
        <w:pStyle w:val="Normal"/>
        <w:rPr/>
      </w:pPr>
      <w:r>
        <w:rPr/>
        <w:t>No impact.</w:t>
      </w:r>
    </w:p>
    <w:p>
      <w:pPr>
        <w:pStyle w:val="Heading3"/>
        <w:rPr/>
      </w:pPr>
      <w:bookmarkStart w:id="59" w:name="__RefHeading___Toc217730494"/>
      <w:bookmarkStart w:id="60" w:name="_Ref347030796"/>
      <w:bookmarkEnd w:id="59"/>
      <w:r>
        <w:rPr/>
        <w:t>7.7.2</w:t>
        <w:tab/>
        <w:t>Barring of outgoing international calls</w:t>
      </w:r>
      <w:bookmarkEnd w:id="60"/>
    </w:p>
    <w:p>
      <w:pPr>
        <w:pStyle w:val="NO"/>
        <w:tabs>
          <w:tab w:val="clear" w:pos="284"/>
          <w:tab w:val="left" w:pos="0" w:leader="none"/>
        </w:tabs>
        <w:ind w:left="1135" w:hanging="1135"/>
        <w:rPr/>
      </w:pPr>
      <w:bookmarkStart w:id="61" w:name="_Ref347041998"/>
      <w:r>
        <w:rPr/>
        <w:t>No impact.</w:t>
      </w:r>
    </w:p>
    <w:p>
      <w:pPr>
        <w:pStyle w:val="Heading3"/>
        <w:rPr/>
      </w:pPr>
      <w:bookmarkStart w:id="62" w:name="_Ref347041998"/>
      <w:bookmarkStart w:id="63" w:name="__RefHeading___Toc217730495"/>
      <w:bookmarkEnd w:id="63"/>
      <w:r>
        <w:rPr/>
        <w:t>7.7.3</w:t>
        <w:tab/>
        <w:t>Barring of outgoing international calls except those directed to the HPLMN country</w:t>
      </w:r>
      <w:bookmarkEnd w:id="62"/>
    </w:p>
    <w:p>
      <w:pPr>
        <w:pStyle w:val="Normal"/>
        <w:rPr/>
      </w:pPr>
      <w:r>
        <w:rPr/>
        <w:t>No impact.</w:t>
      </w:r>
    </w:p>
    <w:p>
      <w:pPr>
        <w:pStyle w:val="Heading3"/>
        <w:rPr/>
      </w:pPr>
      <w:bookmarkStart w:id="64" w:name="__RefHeading___Toc217730496"/>
      <w:bookmarkStart w:id="65" w:name="_Ref347027633"/>
      <w:bookmarkEnd w:id="64"/>
      <w:r>
        <w:rPr/>
        <w:t>7.7.4</w:t>
        <w:tab/>
        <w:t>Barring of all incoming calls</w:t>
      </w:r>
      <w:bookmarkEnd w:id="65"/>
    </w:p>
    <w:p>
      <w:pPr>
        <w:pStyle w:val="Normal"/>
        <w:rPr/>
      </w:pPr>
      <w:r>
        <w:rPr/>
        <w:t>No impact.</w:t>
      </w:r>
    </w:p>
    <w:p>
      <w:pPr>
        <w:pStyle w:val="Heading3"/>
        <w:rPr/>
      </w:pPr>
      <w:bookmarkStart w:id="66" w:name="__RefHeading___Toc217730497"/>
      <w:bookmarkEnd w:id="66"/>
      <w:r>
        <w:rPr/>
        <w:t>7.7.5</w:t>
        <w:tab/>
        <w:t>Barring of incoming calls when roaming</w:t>
      </w:r>
    </w:p>
    <w:p>
      <w:pPr>
        <w:pStyle w:val="Normal"/>
        <w:rPr/>
      </w:pPr>
      <w:r>
        <w:rPr/>
        <w:t>No impact.</w:t>
      </w:r>
    </w:p>
    <w:p>
      <w:pPr>
        <w:pStyle w:val="Heading2"/>
        <w:rPr/>
      </w:pPr>
      <w:bookmarkStart w:id="67" w:name="__RefHeading___Toc217730498"/>
      <w:bookmarkEnd w:id="67"/>
      <w:r>
        <w:rPr/>
        <w:t>7.8</w:t>
        <w:tab/>
        <w:t>Explicit Call Transfer (ECT)</w:t>
      </w:r>
    </w:p>
    <w:p>
      <w:pPr>
        <w:pStyle w:val="Normal"/>
        <w:rPr/>
      </w:pPr>
      <w:r>
        <w:rPr/>
        <w:t>No impact.</w:t>
      </w:r>
    </w:p>
    <w:p>
      <w:pPr>
        <w:pStyle w:val="Heading2"/>
        <w:rPr>
          <w:rFonts w:ascii="TimesNewRoman;Times New Roman" w:hAnsi="TimesNewRoman;Times New Roman" w:cs="TimesNewRoman;Times New Roman"/>
          <w:lang w:val="en-AU"/>
        </w:rPr>
      </w:pPr>
      <w:bookmarkStart w:id="68" w:name="__RefHeading___Toc217730499"/>
      <w:bookmarkEnd w:id="68"/>
      <w:r>
        <w:rPr/>
        <w:t>7.9</w:t>
        <w:tab/>
        <w:t>Completion of Call to Busy Subscriber (CCBS)</w:t>
      </w:r>
    </w:p>
    <w:p>
      <w:pPr>
        <w:pStyle w:val="Normal"/>
        <w:rPr/>
      </w:pPr>
      <w:r>
        <w:rPr>
          <w:rFonts w:cs="TimesNewRoman;Times New Roman" w:ascii="TimesNewRoman;Times New Roman" w:hAnsi="TimesNewRoman;Times New Roman"/>
          <w:lang w:val="en-AU"/>
        </w:rPr>
        <w:t xml:space="preserve">The definition of the IDLE state of subscriber A and destination B is not modified, i.e. a subscriber is considered to be IDLE when all the bearers (calls) for her </w:t>
      </w:r>
      <w:r>
        <w:rPr>
          <w:rFonts w:cs="TimesNewRoman;Times New Roman" w:ascii="TimesNewRoman;Times New Roman" w:hAnsi="TimesNewRoman;Times New Roman"/>
          <w:lang w:val="en-AU"/>
        </w:rPr>
        <w:t>have</w:t>
      </w:r>
      <w:r>
        <w:rPr>
          <w:rFonts w:cs="TimesNewRoman;Times New Roman" w:ascii="TimesNewRoman;Times New Roman" w:hAnsi="TimesNewRoman;Times New Roman"/>
          <w:lang w:val="en-AU"/>
        </w:rPr>
        <w:t xml:space="preserve"> been released.</w:t>
      </w:r>
    </w:p>
    <w:p>
      <w:pPr>
        <w:pStyle w:val="Normal"/>
        <w:rPr/>
      </w:pPr>
      <w:r>
        <w:rPr>
          <w:rFonts w:cs="TimesNewRoman;Times New Roman" w:ascii="TimesNewRoman;Times New Roman" w:hAnsi="TimesNewRoman;Times New Roman"/>
          <w:lang w:val="en-AU"/>
        </w:rPr>
        <w:t>A subscriber to whom CCBS can be invoked shall be regarded as NDUB under the specific NDUB condition for Multicall (See Annex A)</w:t>
      </w:r>
      <w:r>
        <w:rPr>
          <w:rFonts w:cs="TimesNewRoman;Times New Roman" w:ascii="TimesNewRoman;Times New Roman" w:hAnsi="TimesNewRoman;Times New Roman"/>
          <w:lang w:val="en-AU"/>
        </w:rPr>
        <w:t>.</w:t>
      </w:r>
    </w:p>
    <w:p>
      <w:pPr>
        <w:pStyle w:val="Heading2"/>
        <w:rPr>
          <w:rFonts w:eastAsia="MS Mincho;ＭＳ 明朝"/>
          <w:lang w:eastAsia="ja-JP"/>
        </w:rPr>
      </w:pPr>
      <w:bookmarkStart w:id="69" w:name="__RefHeading___Toc217730500"/>
      <w:bookmarkEnd w:id="69"/>
      <w:r>
        <w:rPr/>
        <w:t>7.10</w:t>
        <w:tab/>
        <w:t>Multiple Subscriber Profile (MSP)</w:t>
      </w:r>
    </w:p>
    <w:p>
      <w:pPr>
        <w:pStyle w:val="Normal"/>
        <w:rPr>
          <w:rFonts w:eastAsia="MS Mincho;ＭＳ 明朝"/>
          <w:lang w:eastAsia="ja-JP"/>
        </w:rPr>
      </w:pPr>
      <w:r>
        <w:rPr>
          <w:rFonts w:eastAsia="MS Mincho;ＭＳ 明朝"/>
          <w:lang w:eastAsia="ja-JP"/>
        </w:rPr>
        <w:t>No impact.</w:t>
      </w:r>
      <w:r>
        <w:rPr/>
        <w:t xml:space="preserve"> The </w:t>
      </w:r>
      <w:r>
        <w:rPr/>
        <w:t>Multicall</w:t>
      </w:r>
      <w:r>
        <w:rPr/>
        <w:t xml:space="preserve"> supplementary service shall be provisioned on a per subscriber basis.  Nbr_SN, Nbr_SB, and Nbr_user shall apply over all profiles.</w:t>
      </w:r>
    </w:p>
    <w:p>
      <w:pPr>
        <w:pStyle w:val="Heading2"/>
        <w:rPr/>
      </w:pPr>
      <w:bookmarkStart w:id="70" w:name="__RefHeading___Toc217730501"/>
      <w:bookmarkEnd w:id="70"/>
      <w:r>
        <w:rPr/>
        <w:t>7.11</w:t>
        <w:tab/>
        <w:t>Calling Name Presentation (CNAP)</w:t>
      </w:r>
    </w:p>
    <w:p>
      <w:pPr>
        <w:pStyle w:val="Normal"/>
        <w:rPr/>
      </w:pPr>
      <w:r>
        <w:rPr/>
        <w:t>No impact.</w:t>
      </w:r>
    </w:p>
    <w:p>
      <w:pPr>
        <w:pStyle w:val="Heading2"/>
        <w:rPr>
          <w:rFonts w:eastAsia="MS Mincho;ＭＳ 明朝"/>
          <w:lang w:eastAsia="ja-JP"/>
        </w:rPr>
      </w:pPr>
      <w:bookmarkStart w:id="71" w:name="__RefHeading___Toc217730502"/>
      <w:bookmarkEnd w:id="71"/>
      <w:r>
        <w:rPr/>
        <w:t>7.12</w:t>
        <w:tab/>
        <w:t>User-to-User Signalling (UUS)</w:t>
      </w:r>
    </w:p>
    <w:p>
      <w:pPr>
        <w:pStyle w:val="Normal"/>
        <w:rPr>
          <w:rFonts w:eastAsia="MS Mincho;ＭＳ 明朝"/>
          <w:lang w:eastAsia="ja-JP"/>
        </w:rPr>
      </w:pPr>
      <w:r>
        <w:rPr>
          <w:rFonts w:eastAsia="MS Mincho;ＭＳ 明朝"/>
          <w:lang w:eastAsia="ja-JP"/>
        </w:rPr>
        <w:t>No Impact</w:t>
      </w:r>
    </w:p>
    <w:p>
      <w:pPr>
        <w:pStyle w:val="Heading2"/>
        <w:rPr>
          <w:rFonts w:eastAsia="MS Mincho;ＭＳ 明朝"/>
          <w:lang w:eastAsia="ja-JP"/>
        </w:rPr>
      </w:pPr>
      <w:bookmarkStart w:id="72" w:name="__RefHeading___Toc217730503"/>
      <w:bookmarkEnd w:id="72"/>
      <w:r>
        <w:rPr/>
        <w:t>7.13</w:t>
        <w:tab/>
        <w:t>enhanced Multi-Level Precedence and Pre-emption service (eMLPP)</w:t>
      </w:r>
    </w:p>
    <w:p>
      <w:pPr>
        <w:pStyle w:val="Normal"/>
        <w:rPr>
          <w:rFonts w:eastAsia="MS Mincho;ＭＳ 明朝"/>
          <w:lang w:eastAsia="ja-JP"/>
        </w:rPr>
      </w:pPr>
      <w:r>
        <w:rPr>
          <w:rFonts w:eastAsia="MS Mincho;ＭＳ 明朝"/>
          <w:lang w:eastAsia="ja-JP"/>
        </w:rPr>
        <w:t>No impact.</w:t>
      </w:r>
    </w:p>
    <w:p>
      <w:pPr>
        <w:pStyle w:val="Heading2"/>
        <w:rPr>
          <w:rFonts w:eastAsia="MS Mincho;ＭＳ 明朝"/>
          <w:lang w:eastAsia="ja-JP"/>
        </w:rPr>
      </w:pPr>
      <w:bookmarkStart w:id="73" w:name="__RefHeading___Toc217730504"/>
      <w:bookmarkEnd w:id="73"/>
      <w:r>
        <w:rPr/>
        <w:t>7.14</w:t>
        <w:tab/>
        <w:t>Call Deflection (CD)</w:t>
      </w:r>
    </w:p>
    <w:p>
      <w:pPr>
        <w:pStyle w:val="Normal"/>
        <w:rPr>
          <w:rFonts w:eastAsia="MS Mincho;ＭＳ 明朝"/>
          <w:lang w:eastAsia="ja-JP"/>
        </w:rPr>
      </w:pPr>
      <w:r>
        <w:rPr>
          <w:rFonts w:eastAsia="MS Mincho;ＭＳ 明朝"/>
          <w:lang w:eastAsia="ja-JP"/>
        </w:rPr>
        <w:t>No impact.</w:t>
      </w:r>
    </w:p>
    <w:p>
      <w:pPr>
        <w:pStyle w:val="Heading1"/>
        <w:ind w:left="1134" w:hanging="1134"/>
        <w:rPr/>
      </w:pPr>
      <w:bookmarkStart w:id="74" w:name="__RefHeading___Toc217730505"/>
      <w:bookmarkEnd w:id="74"/>
      <w:r>
        <w:rPr/>
        <w:t>8</w:t>
      </w:r>
      <w:r>
        <w:rPr/>
        <w:tab/>
        <w:t>Interaction with other</w:t>
      </w:r>
      <w:r>
        <w:rPr/>
        <w:t xml:space="preserve"> network features and </w:t>
      </w:r>
      <w:r>
        <w:rPr/>
        <w:t>services</w:t>
      </w:r>
    </w:p>
    <w:p>
      <w:pPr>
        <w:pStyle w:val="Heading2"/>
        <w:rPr>
          <w:rFonts w:eastAsia="MS Mincho;ＭＳ 明朝"/>
          <w:lang w:eastAsia="ja-JP"/>
        </w:rPr>
      </w:pPr>
      <w:bookmarkStart w:id="75" w:name="__RefHeading___Toc217730506"/>
      <w:bookmarkEnd w:id="75"/>
      <w:r>
        <w:rPr/>
        <w:t>8.1</w:t>
        <w:tab/>
        <w:t>CAMEL</w:t>
      </w:r>
    </w:p>
    <w:p>
      <w:pPr>
        <w:pStyle w:val="Normal"/>
        <w:rPr>
          <w:i/>
          <w:i/>
        </w:rPr>
      </w:pPr>
      <w:r>
        <w:rPr>
          <w:rFonts w:eastAsia="MS Mincho;ＭＳ 明朝"/>
          <w:lang w:eastAsia="ja-JP"/>
        </w:rPr>
        <w:t>No impact.</w:t>
      </w:r>
    </w:p>
    <w:p>
      <w:pPr>
        <w:pStyle w:val="Heading2"/>
        <w:rPr>
          <w:rFonts w:eastAsia="MS Mincho;ＭＳ 明朝"/>
          <w:lang w:eastAsia="ja-JP"/>
        </w:rPr>
      </w:pPr>
      <w:bookmarkStart w:id="76" w:name="__RefHeading___Toc217730507"/>
      <w:bookmarkEnd w:id="76"/>
      <w:r>
        <w:rPr/>
        <w:t>8.2</w:t>
        <w:tab/>
        <w:t>IST</w:t>
      </w:r>
    </w:p>
    <w:p>
      <w:pPr>
        <w:pStyle w:val="Normal"/>
        <w:rPr>
          <w:rFonts w:eastAsia="MS Mincho;ＭＳ 明朝"/>
          <w:lang w:eastAsia="ja-JP"/>
        </w:rPr>
      </w:pPr>
      <w:r>
        <w:rPr>
          <w:rFonts w:eastAsia="MS Mincho;ＭＳ 明朝"/>
          <w:lang w:eastAsia="ja-JP"/>
        </w:rPr>
        <w:t>No impact.</w:t>
      </w:r>
    </w:p>
    <w:p>
      <w:pPr>
        <w:pStyle w:val="Heading2"/>
        <w:rPr/>
      </w:pPr>
      <w:bookmarkStart w:id="77" w:name="__RefHeading___Toc217730508"/>
      <w:bookmarkEnd w:id="77"/>
      <w:r>
        <w:rPr/>
        <w:t>8.3</w:t>
      </w:r>
      <w:r>
        <w:rPr/>
        <w:tab/>
        <w:t>ODB</w:t>
      </w:r>
    </w:p>
    <w:p>
      <w:pPr>
        <w:pStyle w:val="Normal"/>
        <w:rPr/>
      </w:pPr>
      <w:r>
        <w:rPr/>
        <w:t>No impact.</w:t>
      </w:r>
    </w:p>
    <w:p>
      <w:pPr>
        <w:pStyle w:val="Heading2"/>
        <w:rPr/>
      </w:pPr>
      <w:bookmarkStart w:id="78" w:name="__RefHeading___Toc217730509"/>
      <w:bookmarkEnd w:id="78"/>
      <w:r>
        <w:rPr/>
        <w:t>8.4</w:t>
        <w:tab/>
        <w:t>Emergency Calls</w:t>
      </w:r>
    </w:p>
    <w:p>
      <w:pPr>
        <w:pStyle w:val="Normal"/>
        <w:rPr/>
      </w:pPr>
      <w:r>
        <w:rPr/>
        <w:t>The network shall handle emergency call at first priority. When a user originates an emergency call, the  network shall behave as follows:</w:t>
      </w:r>
    </w:p>
    <w:p>
      <w:pPr>
        <w:pStyle w:val="Normal"/>
        <w:numPr>
          <w:ilvl w:val="0"/>
          <w:numId w:val="3"/>
        </w:numPr>
        <w:rPr/>
      </w:pPr>
      <w:r>
        <w:rPr/>
        <w:t>The network, which supports Multicall, shall accept the emergency call within the serving network capability regardless of Multicall subscription limitation to the user.</w:t>
      </w:r>
    </w:p>
    <w:p>
      <w:pPr>
        <w:pStyle w:val="Normal"/>
        <w:numPr>
          <w:ilvl w:val="0"/>
          <w:numId w:val="3"/>
        </w:numPr>
        <w:rPr/>
      </w:pPr>
      <w:r>
        <w:rPr/>
        <w:t>The MS shall ensure that an emergency call setup request is acceptable to a serving network which does not support multicall, if necessary by releasing one or more existing call.</w:t>
      </w:r>
      <w:r>
        <w:br w:type="page"/>
      </w:r>
    </w:p>
    <w:p>
      <w:pPr>
        <w:pStyle w:val="Heading8"/>
        <w:ind w:left="0" w:hanging="0"/>
        <w:rPr>
          <w:lang w:val="en-AU"/>
        </w:rPr>
      </w:pPr>
      <w:bookmarkStart w:id="79" w:name="__RefHeading___Toc217730510"/>
      <w:bookmarkEnd w:id="79"/>
      <w:r>
        <w:rPr>
          <w:lang w:val="en-AU"/>
        </w:rPr>
        <w:t>Annex A (</w:t>
      </w:r>
      <w:r>
        <w:rPr>
          <w:lang w:val="en-AU"/>
        </w:rPr>
        <w:t>normative</w:t>
      </w:r>
      <w:r>
        <w:rPr>
          <w:lang w:val="en-AU"/>
        </w:rPr>
        <w:t>):</w:t>
        <w:br/>
      </w:r>
      <w:r>
        <w:rPr/>
        <w:t>Busy definition</w:t>
      </w:r>
    </w:p>
    <w:p>
      <w:pPr>
        <w:pStyle w:val="Normal"/>
        <w:jc w:val="both"/>
        <w:rPr/>
      </w:pPr>
      <w:r>
        <w:rPr/>
        <w:t xml:space="preserve">NDUB </w:t>
      </w:r>
      <w:r>
        <w:rPr>
          <w:rFonts w:cs="TimesNewRoman;Times New Roman" w:ascii="TimesNewRoman;Times New Roman" w:hAnsi="TimesNewRoman;Times New Roman"/>
          <w:lang w:val="en-AU"/>
        </w:rPr>
        <w:t xml:space="preserve">(Network Determined User Busy) </w:t>
      </w:r>
      <w:r>
        <w:rPr/>
        <w:t>occurs when:</w:t>
      </w:r>
    </w:p>
    <w:p>
      <w:pPr>
        <w:pStyle w:val="Normal"/>
        <w:numPr>
          <w:ilvl w:val="0"/>
          <w:numId w:val="2"/>
        </w:numPr>
        <w:jc w:val="both"/>
        <w:rPr>
          <w:rFonts w:ascii="TimesNewRoman;Times New Roman" w:hAnsi="TimesNewRoman;Times New Roman" w:cs="TimesNewRoman;Times New Roman"/>
          <w:lang w:val="en-AU"/>
        </w:rPr>
      </w:pPr>
      <w:r>
        <w:rPr/>
        <w:t xml:space="preserve">The maximum number of </w:t>
      </w:r>
      <w:r>
        <w:rPr/>
        <w:t xml:space="preserve">mobile terminating </w:t>
      </w:r>
      <w:r>
        <w:rPr/>
        <w:t xml:space="preserve">calls </w:t>
      </w:r>
      <w:r>
        <w:rPr/>
        <w:t>(</w:t>
      </w:r>
      <w:r>
        <w:rPr/>
        <w:t>N</w:t>
      </w:r>
      <w:r>
        <w:rPr>
          <w:b/>
          <w:vertAlign w:val="subscript"/>
        </w:rPr>
        <w:t>cs</w:t>
      </w:r>
      <w:r>
        <w:rPr>
          <w:b/>
        </w:rPr>
        <w:t>_MT</w:t>
      </w:r>
      <w:r>
        <w:rPr/>
        <w:t xml:space="preserve">) </w:t>
      </w:r>
      <w:r>
        <w:rPr/>
        <w:t>has been reached</w:t>
      </w:r>
      <w:r>
        <w:rPr/>
        <w:t xml:space="preserve"> (NOTE 1). </w:t>
      </w:r>
    </w:p>
    <w:p>
      <w:pPr>
        <w:pStyle w:val="Normal"/>
        <w:numPr>
          <w:ilvl w:val="0"/>
          <w:numId w:val="2"/>
        </w:numPr>
        <w:jc w:val="both"/>
        <w:rPr>
          <w:rFonts w:ascii="TimesNewRoman;Times New Roman" w:hAnsi="TimesNewRoman;Times New Roman" w:cs="TimesNewRoman;Times New Roman"/>
          <w:lang w:val="en-AU"/>
        </w:rPr>
      </w:pPr>
      <w:r>
        <w:rPr/>
        <w:t>The maximum number of bearers (</w:t>
      </w:r>
      <w:r>
        <w:rPr/>
        <w:t>N</w:t>
      </w:r>
      <w:r>
        <w:rPr>
          <w:b/>
          <w:vertAlign w:val="subscript"/>
        </w:rPr>
        <w:t>br</w:t>
      </w:r>
      <w:r>
        <w:rPr/>
        <w:t>) has been reached and the maximum number of waiting calls has been reached (NOTE 2, NOTE3).</w:t>
      </w:r>
    </w:p>
    <w:p>
      <w:pPr>
        <w:pStyle w:val="NO"/>
        <w:rPr/>
      </w:pPr>
      <w:r>
        <w:rPr>
          <w:lang w:val="en-AU"/>
        </w:rPr>
        <w:t>NOTE</w:t>
      </w:r>
      <w:r>
        <w:rPr>
          <w:lang w:val="en-AU"/>
        </w:rPr>
        <w:t xml:space="preserve"> 1</w:t>
      </w:r>
      <w:r>
        <w:rPr>
          <w:lang w:val="en-AU"/>
        </w:rPr>
        <w:t>:</w:t>
        <w:tab/>
      </w:r>
      <w:r>
        <w:rPr>
          <w:lang w:val="en-AU"/>
        </w:rPr>
        <w:t>This can occur even if bearers are still available, e.g. when the MS is engaged in MPTY SS. If the maximum number of mobile terminating calls (N</w:t>
      </w:r>
      <w:r>
        <w:rPr>
          <w:vertAlign w:val="subscript"/>
          <w:lang w:val="en-AU"/>
        </w:rPr>
        <w:t>cs</w:t>
      </w:r>
      <w:r>
        <w:rPr>
          <w:lang w:val="en-AU"/>
        </w:rPr>
        <w:t>_MT) has been reached, the Call Waiting SS cannot be invoked.</w:t>
      </w:r>
    </w:p>
    <w:p>
      <w:pPr>
        <w:pStyle w:val="NO"/>
        <w:rPr/>
      </w:pPr>
      <w:r>
        <w:rPr>
          <w:lang w:val="en-AU"/>
        </w:rPr>
        <w:t>NOTE 2:</w:t>
        <w:tab/>
        <w:t>If Call Waiting is provisioned and activated, and when the maximum number of bearers has been reached the Call Waiting SS can be invoked. This case is not regarded as NDUB. See subclause 7.3.2 for interaction with Call Waiting SS.</w:t>
      </w:r>
    </w:p>
    <w:p>
      <w:pPr>
        <w:pStyle w:val="NO"/>
        <w:rPr/>
      </w:pPr>
      <w:r>
        <w:rPr>
          <w:lang w:val="en-AU"/>
        </w:rPr>
        <w:t>NOTE 3</w:t>
      </w:r>
      <w:r>
        <w:rPr>
          <w:lang w:val="en-AU"/>
        </w:rPr>
        <w:t>:</w:t>
        <w:tab/>
        <w:t>According</w:t>
      </w:r>
      <w:r>
        <w:rPr>
          <w:lang w:val="en-AU"/>
        </w:rPr>
        <w:t xml:space="preserve"> to the speech bearer number limitation, the incoming speech call shall be regarded as encountering NDUB when the MS is engaged in a speech call (including a held call) and Call Waiting SS is not provisioned and activated for the user, irrespective of the further availability of bearers for the user. For the condition under which Call Waiting SS shall be invoked in this case, see subclause 7.3.2.</w:t>
      </w:r>
    </w:p>
    <w:p>
      <w:pPr>
        <w:pStyle w:val="Normal"/>
        <w:rPr/>
      </w:pPr>
      <w:r>
        <w:rPr/>
        <w:t>For User Determined User Busy (UDUB) condition see TS 22.</w:t>
      </w:r>
      <w:r>
        <w:rPr/>
        <w:t>0</w:t>
      </w:r>
      <w:r>
        <w:rPr/>
        <w:t>01 Annex C.</w:t>
      </w:r>
      <w:r>
        <w:br w:type="page"/>
      </w:r>
    </w:p>
    <w:p>
      <w:pPr>
        <w:pStyle w:val="Heading8"/>
        <w:ind w:left="0" w:hanging="0"/>
        <w:rPr/>
      </w:pPr>
      <w:bookmarkStart w:id="80" w:name="__RefHeading___Toc217730511"/>
      <w:bookmarkEnd w:id="80"/>
      <w:r>
        <w:rPr/>
        <w:t>Annex B</w:t>
      </w:r>
      <w:r>
        <w:rPr/>
        <w:t xml:space="preserve"> </w:t>
      </w:r>
      <w:r>
        <w:rPr/>
        <w:t>(informative)</w:t>
      </w:r>
      <w:r>
        <w:rPr/>
        <w:t>:</w:t>
        <w:br/>
        <w:t>Cross Phase Compatibility</w:t>
      </w:r>
    </w:p>
    <w:p>
      <w:pPr>
        <w:pStyle w:val="Normal"/>
        <w:rPr/>
      </w:pPr>
      <w:r>
        <w:rPr/>
        <w:t>This section details the cross phase compatibility requirements relating to the service requirements in this document.</w:t>
      </w:r>
    </w:p>
    <w:p>
      <w:pPr>
        <w:pStyle w:val="NO"/>
        <w:rPr/>
      </w:pPr>
      <w:r>
        <w:rPr/>
        <w:t>NOTE:</w:t>
        <w:tab/>
        <w:t>When a change is introduced which affects the 3GPP specifications, it is said to be 'backward compatible' if existing equipment can continue to operate and perform correctly with equipment that conforms to the new implementation.</w:t>
      </w:r>
    </w:p>
    <w:p>
      <w:pPr>
        <w:pStyle w:val="Heading1"/>
        <w:ind w:left="1134" w:hanging="1134"/>
        <w:rPr/>
      </w:pPr>
      <w:bookmarkStart w:id="81" w:name="__RefHeading___Toc217730512"/>
      <w:bookmarkEnd w:id="81"/>
      <w:r>
        <w:rPr/>
        <w:t>B</w:t>
      </w:r>
      <w:r>
        <w:rPr/>
        <w:t>.1</w:t>
        <w:tab/>
        <w:t>Compatibility With Existing Standards</w:t>
      </w:r>
    </w:p>
    <w:p>
      <w:pPr>
        <w:pStyle w:val="Normal"/>
        <w:rPr/>
      </w:pPr>
      <w:r>
        <w:rPr/>
        <w:t>Where the service and operational requirements in this document relate to core network functionality, compatibility is required.</w:t>
      </w:r>
    </w:p>
    <w:p>
      <w:pPr>
        <w:pStyle w:val="Normal"/>
        <w:rPr/>
      </w:pPr>
      <w:r>
        <w:rPr/>
        <w:t xml:space="preserve">Multicall mechanisms </w:t>
      </w:r>
      <w:r>
        <w:rPr/>
        <w:t>are</w:t>
      </w:r>
      <w:r>
        <w:rPr/>
        <w:t xml:space="preserve"> not applicable for GERAN.</w:t>
      </w:r>
    </w:p>
    <w:p>
      <w:pPr>
        <w:pStyle w:val="Heading1"/>
        <w:ind w:left="1134" w:hanging="1134"/>
        <w:rPr/>
      </w:pPr>
      <w:bookmarkStart w:id="82" w:name="__RefHeading___Toc217730513"/>
      <w:bookmarkEnd w:id="82"/>
      <w:r>
        <w:rPr/>
        <w:t>B</w:t>
      </w:r>
      <w:r>
        <w:rPr/>
        <w:t>.2</w:t>
        <w:tab/>
        <w:t>Compatibility With Future Releases</w:t>
      </w:r>
    </w:p>
    <w:p>
      <w:pPr>
        <w:pStyle w:val="Normal"/>
        <w:rPr/>
      </w:pPr>
      <w:r>
        <w:rPr/>
        <w:t>It is envisaged that 3GPP standards will evolve in future releleases, for example with the addition of new service requirements. The standards which define the technical implementation should be developed in such a way that it is practical to add the requirements in this section in a backward compatible manner.</w:t>
      </w:r>
    </w:p>
    <w:p>
      <w:pPr>
        <w:pStyle w:val="Normal"/>
        <w:rPr/>
      </w:pPr>
      <w:r>
        <w:rPr/>
        <w:t>Following chapters include requirements that are foreseen for future release.</w:t>
      </w:r>
    </w:p>
    <w:p>
      <w:pPr>
        <w:pStyle w:val="Heading2"/>
        <w:rPr/>
      </w:pPr>
      <w:bookmarkStart w:id="83" w:name="__RefHeading___Toc217730514"/>
      <w:bookmarkEnd w:id="83"/>
      <w:r>
        <w:rPr/>
        <w:t>B</w:t>
      </w:r>
      <w:r>
        <w:rPr/>
        <w:t>.2.1</w:t>
        <w:tab/>
        <w:t>Multicall configuration</w:t>
      </w:r>
    </w:p>
    <w:p>
      <w:pPr>
        <w:pStyle w:val="Normal"/>
        <w:rPr/>
      </w:pPr>
      <w:r>
        <w:rPr/>
        <w:t>When having one active CS call and one held call on the same bearer. It shall be possible to create a new CS bearer and to move one of the calls to the new bearer, resulting both calls being active within the limits set by the operator/user and within the capability of the terminal. See figure 2: Split of bearer.</w:t>
      </w:r>
    </w:p>
    <w:p>
      <w:pPr>
        <w:pStyle w:val="Normal"/>
        <w:rPr/>
      </w:pPr>
      <w:r>
        <w:rPr/>
        <w:t xml:space="preserve">When having two calls (multicall) on the separate bearers. It shall be possible to join both calls to one of the two  bearers, put the one of the calls to hold and to release unused CS bearer. It shall be possible to select which call to put on hold. See figure 2: Combination of bearers. </w:t>
      </w:r>
      <w:r>
        <w:rPr>
          <w:i/>
        </w:rPr>
        <w:t>(Note: there is no clear end-user service requirement for this feature at time being)</w:t>
      </w:r>
      <w:r>
        <w:rPr/>
        <w:t>.</w:t>
      </w:r>
    </w:p>
    <w:p>
      <w:pPr>
        <w:pStyle w:val="NO"/>
        <w:rPr/>
      </w:pPr>
      <w:r>
        <w:rPr/>
        <w:t>NOTE:</w:t>
        <w:tab/>
        <w:t>Due to that only speech calls can be put on hold, so one of the two active Cs calls has to be a speech call.</w:t>
      </w:r>
    </w:p>
    <w:p>
      <w:pPr>
        <w:pStyle w:val="TH"/>
        <w:rPr/>
      </w:pPr>
      <w:r>
        <w:rPr/>
        <w:object w:dxaOrig="4755" w:dyaOrig="219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37.75pt;height:109.5pt" filled="f" o:ole="">
            <v:imagedata r:id="rId7" o:title=""/>
          </v:shape>
          <o:OLEObject Type="Embed" ProgID="" ShapeID="ole_rId6" DrawAspect="Content" ObjectID="_1364313725" r:id="rId6"/>
        </w:object>
      </w:r>
    </w:p>
    <w:p>
      <w:pPr>
        <w:pStyle w:val="TF"/>
        <w:rPr>
          <w:i/>
          <w:i/>
          <w:lang w:val="en-AU"/>
        </w:rPr>
      </w:pPr>
      <w:r>
        <w:rPr/>
        <w:t>Figure 2: Illustration for split of bearer and combination of bearers</w:t>
      </w:r>
    </w:p>
    <w:p>
      <w:pPr>
        <w:pStyle w:val="Heading2"/>
        <w:rPr/>
      </w:pPr>
      <w:bookmarkStart w:id="84" w:name="__RefHeading___Toc217730515"/>
      <w:bookmarkEnd w:id="84"/>
      <w:r>
        <w:rPr/>
        <w:t>B</w:t>
      </w:r>
      <w:r>
        <w:rPr/>
        <w:t>.2.</w:t>
      </w:r>
      <w:r>
        <w:rPr/>
        <w:t>2</w:t>
      </w:r>
      <w:r>
        <w:rPr/>
        <w:tab/>
        <w:t>Several simultaneous speech calls / bearers</w:t>
      </w:r>
    </w:p>
    <w:p>
      <w:pPr>
        <w:pStyle w:val="Normal"/>
        <w:jc w:val="both"/>
        <w:rPr/>
      </w:pPr>
      <w:r>
        <w:rPr/>
        <w:t xml:space="preserve">A </w:t>
      </w:r>
      <w:r>
        <w:rPr/>
        <w:t>Key requirements for multicall is to allow several simultaneous CS call</w:t>
      </w:r>
      <w:r>
        <w:rPr/>
        <w:t>s with dedicated bearers</w:t>
      </w:r>
      <w:r>
        <w:rPr/>
        <w:t xml:space="preserve">. The most important usage scenario is to allow several CS data bearers to be bind at application level resulting to higher than 64kbits/s data rates. </w:t>
      </w:r>
      <w:r>
        <w:rPr/>
        <w:t xml:space="preserve">Another </w:t>
      </w:r>
      <w:r>
        <w:rPr/>
        <w:t xml:space="preserve">important feature is </w:t>
      </w:r>
      <w:r>
        <w:rPr/>
        <w:t xml:space="preserve">to </w:t>
      </w:r>
      <w:r>
        <w:rPr/>
        <w:t>allow simultaneous speech and data call</w:t>
      </w:r>
      <w:r>
        <w:rPr/>
        <w:t>s</w:t>
      </w:r>
      <w:r>
        <w:rPr/>
        <w:t>.</w:t>
      </w:r>
    </w:p>
    <w:p>
      <w:pPr>
        <w:pStyle w:val="Normal"/>
        <w:jc w:val="both"/>
        <w:rPr>
          <w:rFonts w:eastAsia="?? ??;Arial Unicode MS"/>
        </w:rPr>
      </w:pPr>
      <w:r>
        <w:rPr/>
        <w:t xml:space="preserve">It's been proposed that the multicall feature could be introduced in a phased manner; meaning that in the first phase, i.e. 3GPP release 99 </w:t>
      </w:r>
      <w:r>
        <w:rPr/>
        <w:t xml:space="preserve">does </w:t>
      </w:r>
      <w:r>
        <w:rPr/>
        <w:t xml:space="preserve">only </w:t>
      </w:r>
      <w:r>
        <w:rPr/>
        <w:t xml:space="preserve">support </w:t>
      </w:r>
      <w:r>
        <w:rPr/>
        <w:t xml:space="preserve">one active speech call </w:t>
      </w:r>
      <w:r>
        <w:rPr/>
        <w:t>at a time</w:t>
      </w:r>
      <w:r>
        <w:rPr/>
        <w:t xml:space="preserve">. However, </w:t>
      </w:r>
      <w:r>
        <w:rPr>
          <w:rFonts w:eastAsia="?? ??;Arial Unicode MS"/>
        </w:rPr>
        <w:t xml:space="preserve">Call control should not prohibit a complete set of multiple speech bearer services in future releases and </w:t>
      </w:r>
      <w:r>
        <w:rPr/>
        <w:t xml:space="preserve">UTRAN shall be designed in a flexible way to support multiple speech bearers. </w:t>
      </w:r>
      <w:r>
        <w:rPr/>
        <w:t xml:space="preserve">The specific NDUB definition for speech call shall be removed when multiple speech call is supported. </w:t>
      </w:r>
      <w:r>
        <w:rPr>
          <w:rFonts w:eastAsia="?? ??;Arial Unicode MS"/>
        </w:rPr>
        <w:t xml:space="preserve">At this </w:t>
      </w:r>
      <w:r>
        <w:rPr>
          <w:rFonts w:eastAsia="?? ??;Arial Unicode MS"/>
        </w:rPr>
        <w:t>r</w:t>
      </w:r>
      <w:r>
        <w:rPr>
          <w:rFonts w:eastAsia="?? ??;Arial Unicode MS"/>
        </w:rPr>
        <w:t xml:space="preserve">elease , </w:t>
      </w:r>
      <w:r>
        <w:rPr>
          <w:rFonts w:eastAsia="?? ??;Arial Unicode MS"/>
        </w:rPr>
        <w:t xml:space="preserve">Supplementary Services </w:t>
      </w:r>
      <w:r>
        <w:rPr>
          <w:rFonts w:eastAsia="?? ??;Arial Unicode MS"/>
        </w:rPr>
        <w:t>Call Wait</w:t>
      </w:r>
      <w:r>
        <w:rPr>
          <w:rFonts w:eastAsia="?? ??;Arial Unicode MS"/>
        </w:rPr>
        <w:t>ing</w:t>
      </w:r>
      <w:r>
        <w:rPr>
          <w:rFonts w:eastAsia="?? ??;Arial Unicode MS"/>
        </w:rPr>
        <w:t>, Multiparty and Call Hold are used to offer simultaneous speech calls to user.</w:t>
      </w:r>
    </w:p>
    <w:p>
      <w:pPr>
        <w:pStyle w:val="Normal"/>
        <w:tabs>
          <w:tab w:val="clear" w:pos="284"/>
          <w:tab w:val="left" w:pos="1800" w:leader="none"/>
        </w:tabs>
        <w:jc w:val="both"/>
        <w:rPr>
          <w:rFonts w:eastAsia="?? ??;Arial Unicode MS"/>
        </w:rPr>
      </w:pPr>
      <w:r>
        <w:rPr/>
        <w:t>N</w:t>
      </w:r>
      <w:r>
        <w:rPr>
          <w:b/>
          <w:vertAlign w:val="subscript"/>
        </w:rPr>
        <w:t>cs</w:t>
      </w:r>
      <w:r>
        <w:rPr>
          <w:vertAlign w:val="subscript"/>
        </w:rPr>
        <w:t xml:space="preserve"> </w:t>
      </w:r>
      <w:r>
        <w:rPr/>
        <w:t>may be extended in  further releases.</w:t>
      </w:r>
    </w:p>
    <w:p>
      <w:pPr>
        <w:pStyle w:val="Normal"/>
        <w:tabs>
          <w:tab w:val="clear" w:pos="284"/>
          <w:tab w:val="left" w:pos="1800" w:leader="none"/>
        </w:tabs>
        <w:jc w:val="both"/>
        <w:rPr>
          <w:rFonts w:eastAsia="?? ??;Arial Unicode MS"/>
        </w:rPr>
      </w:pPr>
      <w:r>
        <w:rPr/>
        <w:t xml:space="preserve">If multiple simultaneous </w:t>
      </w:r>
      <w:r>
        <w:rPr/>
        <w:t>speech</w:t>
      </w:r>
      <w:r>
        <w:rPr/>
        <w:t xml:space="preserve"> calls are supported </w:t>
      </w:r>
      <w:r>
        <w:rPr/>
        <w:t xml:space="preserve">in the future </w:t>
      </w:r>
      <w:r>
        <w:rPr/>
        <w:t xml:space="preserve">then the Call Hold service </w:t>
      </w:r>
      <w:r>
        <w:rPr/>
        <w:t>may</w:t>
      </w:r>
      <w:r>
        <w:rPr/>
        <w:t xml:space="preserve"> be used to reconfigure the number of bearers supporting </w:t>
      </w:r>
      <w:r>
        <w:rPr/>
        <w:t>speech</w:t>
      </w:r>
      <w:r>
        <w:rPr/>
        <w:t xml:space="preserve"> calls if required during handover. e.g. in the case of handover to GERAN where only one </w:t>
      </w:r>
      <w:r>
        <w:rPr/>
        <w:t>speech</w:t>
      </w:r>
      <w:r>
        <w:rPr/>
        <w:t xml:space="preserve"> call can be active at a time. This requirement is dependent on the user subscribing to Call Hold.</w:t>
      </w:r>
    </w:p>
    <w:p>
      <w:pPr>
        <w:pStyle w:val="Heading2"/>
        <w:rPr/>
      </w:pPr>
      <w:bookmarkStart w:id="85" w:name="__RefHeading___Toc217730516"/>
      <w:bookmarkEnd w:id="85"/>
      <w:r>
        <w:rPr/>
        <w:t>B</w:t>
      </w:r>
      <w:r>
        <w:rPr/>
        <w:t>.2.3</w:t>
        <w:tab/>
        <w:t>CCBS</w:t>
      </w:r>
    </w:p>
    <w:p>
      <w:pPr>
        <w:pStyle w:val="Normal"/>
        <w:rPr>
          <w:rFonts w:ascii="TimesNewRoman;Times New Roman" w:hAnsi="TimesNewRoman;Times New Roman" w:cs="TimesNewRoman;Times New Roman"/>
          <w:lang w:val="en-AU"/>
        </w:rPr>
      </w:pPr>
      <w:r>
        <w:rPr>
          <w:rFonts w:cs="TimesNewRoman;Times New Roman" w:ascii="TimesNewRoman;Times New Roman" w:hAnsi="TimesNewRoman;Times New Roman"/>
          <w:lang w:val="en-AU"/>
        </w:rPr>
        <w:t>At this release  CCBS no enhancements for CCBS is required.</w:t>
      </w:r>
    </w:p>
    <w:p>
      <w:pPr>
        <w:pStyle w:val="Normal"/>
        <w:rPr>
          <w:rFonts w:ascii="TimesNewRoman;Times New Roman" w:hAnsi="TimesNewRoman;Times New Roman" w:cs="TimesNewRoman;Times New Roman"/>
          <w:lang w:val="en-AU"/>
        </w:rPr>
      </w:pPr>
      <w:r>
        <w:rPr/>
        <w:t>In the future releases the definition of IDLE state of subscriber A and destination B should be modified in away that the IDLE state is reach even if there are active CS calls but the maximum limit of CS calls is not reached.</w:t>
      </w:r>
      <w:r>
        <w:br w:type="page"/>
      </w:r>
    </w:p>
    <w:p>
      <w:pPr>
        <w:pStyle w:val="Heading8"/>
        <w:ind w:left="0" w:hanging="0"/>
        <w:rPr/>
      </w:pPr>
      <w:bookmarkStart w:id="86" w:name="__RefHeading___Toc217730517"/>
      <w:bookmarkEnd w:id="86"/>
      <w:r>
        <w:rPr/>
        <w:t>Annex C (informative):</w:t>
        <w:br/>
        <w:t>Change history</w:t>
      </w:r>
    </w:p>
    <w:p>
      <w:pPr>
        <w:pStyle w:val="TH"/>
        <w:rPr/>
      </w:pPr>
      <w:r>
        <w:rPr/>
      </w:r>
    </w:p>
    <w:tbl>
      <w:tblPr>
        <w:tblW w:w="9357" w:type="dxa"/>
        <w:jc w:val="left"/>
        <w:tblInd w:w="-7" w:type="dxa"/>
        <w:tblLayout w:type="fixed"/>
        <w:tblCellMar>
          <w:top w:w="0" w:type="dxa"/>
          <w:left w:w="0" w:type="dxa"/>
          <w:bottom w:w="0" w:type="dxa"/>
          <w:right w:w="0" w:type="dxa"/>
        </w:tblCellMar>
      </w:tblPr>
      <w:tblGrid>
        <w:gridCol w:w="1560"/>
        <w:gridCol w:w="1134"/>
        <w:gridCol w:w="6663"/>
      </w:tblGrid>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TAH"/>
              <w:rPr>
                <w:lang w:val="en-AU"/>
              </w:rPr>
            </w:pPr>
            <w:r>
              <w:rPr>
                <w:lang w:val="en-AU"/>
              </w:rPr>
              <w:t>Date</w:t>
            </w:r>
          </w:p>
        </w:tc>
        <w:tc>
          <w:tcPr>
            <w:tcW w:w="1134" w:type="dxa"/>
            <w:tcBorders>
              <w:top w:val="single" w:sz="6" w:space="0" w:color="000000"/>
              <w:bottom w:val="single" w:sz="6" w:space="0" w:color="000000"/>
              <w:right w:val="single" w:sz="6" w:space="0" w:color="000000"/>
            </w:tcBorders>
          </w:tcPr>
          <w:p>
            <w:pPr>
              <w:pStyle w:val="TAH"/>
              <w:rPr>
                <w:lang w:val="fr-FR"/>
              </w:rPr>
            </w:pPr>
            <w:r>
              <w:rPr>
                <w:lang w:val="fr-FR"/>
              </w:rPr>
              <w:t>Version</w:t>
            </w:r>
          </w:p>
        </w:tc>
        <w:tc>
          <w:tcPr>
            <w:tcW w:w="6663" w:type="dxa"/>
            <w:tcBorders>
              <w:top w:val="single" w:sz="6" w:space="0" w:color="000000"/>
              <w:bottom w:val="single" w:sz="6" w:space="0" w:color="000000"/>
              <w:right w:val="single" w:sz="6" w:space="0" w:color="000000"/>
            </w:tcBorders>
          </w:tcPr>
          <w:p>
            <w:pPr>
              <w:pStyle w:val="TAH"/>
              <w:rPr>
                <w:lang w:val="fr-FR"/>
              </w:rPr>
            </w:pPr>
            <w:r>
              <w:rPr>
                <w:lang w:val="fr-FR"/>
              </w:rPr>
              <w:t>Comment</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val="fr-FR"/>
              </w:rPr>
            </w:pPr>
            <w:r>
              <w:rPr>
                <w:lang w:val="fr-FR"/>
              </w:rPr>
              <w:t>19 Mar.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0.0.1</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First draft by the editor (Tommi Kokkola / Nokia)</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30 Mar.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0.1.0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Output from S1 Multicall ad hoc</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6 Apr.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0.1.0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Minor modifications by the editor. Proposed version 1.0.0</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19 Apr.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1.0.0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lang w:val="nb-NO"/>
              </w:rPr>
            </w:pPr>
            <w:r>
              <w:rPr>
                <w:lang w:val="nb-NO"/>
              </w:rPr>
              <w:t>For information to 3GPP TSG SA#3</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10. Jun.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1.1.0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Draft from editor for the email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18. Jun.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1.1.1</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Draft during the email meeting.</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24. Jun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1.2.0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Result of email discussions. For some issues status still unstable.</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 Jul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1.2.1</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Comments from TSGN &amp; TSGS Multimedia and Multicall joint meeting included. (Revisions included from version 1.1.0)</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8. Jul. 1999</w:t>
            </w:r>
          </w:p>
        </w:tc>
        <w:tc>
          <w:tcPr>
            <w:tcW w:w="1134" w:type="dxa"/>
            <w:tcBorders>
              <w:top w:val="single" w:sz="6" w:space="0" w:color="000000"/>
              <w:bottom w:val="single" w:sz="6" w:space="0" w:color="000000"/>
              <w:right w:val="single" w:sz="6" w:space="0" w:color="000000"/>
            </w:tcBorders>
          </w:tcPr>
          <w:p>
            <w:pPr>
              <w:pStyle w:val="FP"/>
              <w:spacing w:before="80" w:after="80"/>
              <w:ind w:left="57" w:hanging="0"/>
              <w:jc w:val="center"/>
              <w:rPr/>
            </w:pPr>
            <w:r>
              <w:rPr/>
              <w:t>1.3.0</w:t>
            </w:r>
          </w:p>
        </w:tc>
        <w:tc>
          <w:tcPr>
            <w:tcW w:w="6663"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rPr/>
            </w:pPr>
            <w:r>
              <w:rPr/>
              <w:t xml:space="preserve">Results from S1 Plenary. Drafting continues at S1_Multicall mailing lists. </w:t>
            </w:r>
          </w:p>
          <w:p>
            <w:pPr>
              <w:pStyle w:val="FP"/>
              <w:tabs>
                <w:tab w:val="clear" w:pos="284"/>
                <w:tab w:val="left" w:pos="1276" w:leader="none"/>
              </w:tabs>
              <w:spacing w:before="108" w:after="108"/>
              <w:ind w:left="113" w:right="113" w:hanging="0"/>
              <w:rPr/>
            </w:pPr>
            <w:r>
              <w:rPr/>
              <w:t xml:space="preserve">Contributions expected on: </w:t>
              <w:br/>
              <w:t>-Busy, Idle, Active states</w:t>
              <w:br/>
              <w:t>–Busy definition</w:t>
              <w:br/>
              <w:t>–Supplementary service interactions incl. related CR to appropriate SS when needed. (Specifically 02.83 need to be studied.)</w:t>
              <w:br/>
              <w:t>– all topics marked with FFS…</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28. Sep. 1999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1.4.0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Output  from S1 Multicall ad hoc, Germany.</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1.Oct. 1999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1.6.0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Proposed version 2.0.0</w:t>
            </w:r>
          </w:p>
        </w:tc>
      </w:tr>
      <w:tr>
        <w:trPr>
          <w:cantSplit w:val="true"/>
        </w:trPr>
        <w:tc>
          <w:tcPr>
            <w:tcW w:w="1560"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pPr>
            <w:r>
              <w:rPr/>
              <w:t>10. Oct 1999</w:t>
            </w:r>
          </w:p>
        </w:tc>
        <w:tc>
          <w:tcPr>
            <w:tcW w:w="1134" w:type="dxa"/>
            <w:tcBorders>
              <w:top w:val="single" w:sz="6" w:space="0" w:color="000000"/>
              <w:bottom w:val="single" w:sz="6" w:space="0" w:color="000000"/>
              <w:right w:val="single" w:sz="6" w:space="0" w:color="000000"/>
            </w:tcBorders>
          </w:tcPr>
          <w:p>
            <w:pPr>
              <w:pStyle w:val="FP"/>
              <w:spacing w:before="108" w:after="108"/>
              <w:ind w:left="113" w:right="113" w:hanging="0"/>
              <w:jc w:val="center"/>
              <w:rPr/>
            </w:pPr>
            <w:r>
              <w:rPr/>
              <w:t>2.0.0</w:t>
            </w:r>
          </w:p>
        </w:tc>
        <w:tc>
          <w:tcPr>
            <w:tcW w:w="6663" w:type="dxa"/>
            <w:tcBorders>
              <w:top w:val="single" w:sz="6" w:space="0" w:color="000000"/>
              <w:bottom w:val="single" w:sz="6" w:space="0" w:color="000000"/>
              <w:right w:val="single" w:sz="6" w:space="0" w:color="000000"/>
            </w:tcBorders>
          </w:tcPr>
          <w:p>
            <w:pPr>
              <w:pStyle w:val="FP"/>
              <w:tabs>
                <w:tab w:val="clear" w:pos="284"/>
                <w:tab w:val="left" w:pos="1276" w:leader="none"/>
              </w:tabs>
              <w:spacing w:before="108" w:after="108"/>
              <w:ind w:left="113" w:right="113" w:hanging="0"/>
              <w:jc w:val="both"/>
              <w:rPr/>
            </w:pPr>
            <w:r>
              <w:rPr/>
              <w:t>Version 2.0.0</w:t>
            </w:r>
          </w:p>
        </w:tc>
      </w:tr>
    </w:tbl>
    <w:p>
      <w:pPr>
        <w:pStyle w:val="TH"/>
        <w:rPr/>
      </w:pPr>
      <w:r>
        <w:rPr/>
      </w:r>
    </w:p>
    <w:tbl>
      <w:tblPr>
        <w:tblW w:w="9642" w:type="dxa"/>
        <w:jc w:val="left"/>
        <w:tblInd w:w="-7" w:type="dxa"/>
        <w:tblLayout w:type="fixed"/>
        <w:tblCellMar>
          <w:top w:w="0" w:type="dxa"/>
          <w:left w:w="40" w:type="dxa"/>
          <w:bottom w:w="0" w:type="dxa"/>
          <w:right w:w="40" w:type="dxa"/>
        </w:tblCellMar>
      </w:tblPr>
      <w:tblGrid>
        <w:gridCol w:w="799"/>
        <w:gridCol w:w="901"/>
        <w:gridCol w:w="992"/>
        <w:gridCol w:w="708"/>
        <w:gridCol w:w="425"/>
        <w:gridCol w:w="427"/>
        <w:gridCol w:w="595"/>
        <w:gridCol w:w="393"/>
        <w:gridCol w:w="2409"/>
        <w:gridCol w:w="568"/>
        <w:gridCol w:w="568"/>
        <w:gridCol w:w="850"/>
        <w:gridCol w:w="7"/>
      </w:tblGrid>
      <w:tr>
        <w:trPr>
          <w:trHeight w:val="272" w:hRule="atLeast"/>
          <w:cantSplit w:val="true"/>
        </w:trPr>
        <w:tc>
          <w:tcPr>
            <w:tcW w:w="9642" w:type="dxa"/>
            <w:gridSpan w:val="12"/>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SP99-433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Version 3.0.0 approved</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S1-991020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Transfer of Handover chapter to 22.129</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S1-991065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handling of multiple bearers</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SP-99554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S1-99963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Registration, Interrogation and Restriction of Packet Domain</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S1-000168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requirement for Multicall</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S1-000349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Alignment of handover requirements for Multicall</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S1-000585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006</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Interaction with MSP</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3.3.0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SP-000406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S1-000656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007</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Removal of the Requirement on Network to Tear Down Calls to Accept EC in Multicall</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3.3.0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SP-000406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008</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Addition of Ncs_MT limitation to number of MPTY members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3.3.0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pacing w:before="0" w:after="0"/>
              <w:rPr/>
            </w:pPr>
            <w:r>
              <w:rPr>
                <w:rFonts w:cs="Arial" w:ascii="Arial" w:hAnsi="Arial"/>
                <w:color w:val="000000"/>
                <w:sz w:val="16"/>
                <w:lang w:val="en-AU"/>
              </w:rPr>
              <w:t>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SP-010065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S1-010258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lang w:val="en-AU"/>
              </w:rPr>
              <w:t>22.135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Release 4</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color w:val="000000"/>
                <w:sz w:val="16"/>
                <w:lang w:val="en-AU"/>
              </w:rPr>
              <w:t>3.4.0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AU"/>
              </w:rPr>
            </w:pPr>
            <w:r>
              <w:rPr>
                <w:sz w:val="16"/>
                <w:lang w:val="en-AU"/>
              </w:rPr>
              <w:t>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SP-15</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S1-020457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Rel-4</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CR to correct terms and references</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4"/>
              </w:rPr>
            </w:pPr>
            <w:r>
              <w:rPr>
                <w:sz w:val="14"/>
              </w:rPr>
              <w:t>CORRECT</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S1-021043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Updated from Rel-4 to Rel5</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SP-040744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S1-040997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Rel-5 to Rel-6</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22.135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Rel-12 version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r>
    </w:tbl>
    <w:p>
      <w:pPr>
        <w:pStyle w:val="Normal"/>
        <w:rPr/>
      </w:pPr>
      <w:r>
        <w:rPr/>
      </w:r>
    </w:p>
    <w:p>
      <w:pPr>
        <w:pStyle w:val="Normal"/>
        <w:widowControl/>
        <w:bidi w:val="0"/>
        <w:spacing w:before="0" w:after="180"/>
        <w:rPr/>
      </w:pPr>
      <w:r>
        <w:rPr/>
      </w:r>
    </w:p>
    <w:sectPr>
      <w:headerReference w:type="default" r:id="rId8"/>
      <w:footerReference w:type="default" r:id="rId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TimesNewRoman">
    <w:altName w:val="Times New Roman"/>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1">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22.135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22.135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9">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6"/>
      <w:numFmt w:val="bullet"/>
      <w:lvlText w:val="-"/>
      <w:lvlJc w:val="left"/>
      <w:pPr>
        <w:tabs>
          <w:tab w:val="num" w:pos="645"/>
        </w:tabs>
        <w:ind w:left="645" w:hanging="360"/>
      </w:pPr>
      <w:rPr>
        <w:rFonts w:ascii="Times New Roman" w:hAnsi="Times New Roman" w:cs="Times New Roman" w:hint="default"/>
      </w:rPr>
    </w:lvl>
    <w:lvl w:ilvl="1">
      <w:start w:val="1"/>
      <w:numFmt w:val="bullet"/>
      <w:lvlText w:val=""/>
      <w:lvlJc w:val="left"/>
      <w:pPr>
        <w:tabs>
          <w:tab w:val="num" w:pos="1125"/>
        </w:tabs>
        <w:ind w:left="1125" w:hanging="420"/>
      </w:pPr>
      <w:rPr>
        <w:rFonts w:ascii="Wingdings" w:hAnsi="Wingdings" w:cs="Wingdings" w:hint="default"/>
      </w:rPr>
    </w:lvl>
    <w:lvl w:ilvl="2">
      <w:start w:val="1"/>
      <w:numFmt w:val="bullet"/>
      <w:lvlText w:val=""/>
      <w:lvlJc w:val="left"/>
      <w:pPr>
        <w:tabs>
          <w:tab w:val="num" w:pos="1545"/>
        </w:tabs>
        <w:ind w:left="1545" w:hanging="420"/>
      </w:pPr>
      <w:rPr>
        <w:rFonts w:ascii="Wingdings" w:hAnsi="Wingdings" w:cs="Wingdings" w:hint="default"/>
      </w:rPr>
    </w:lvl>
    <w:lvl w:ilvl="3">
      <w:start w:val="1"/>
      <w:numFmt w:val="bullet"/>
      <w:lvlText w:val=""/>
      <w:lvlJc w:val="left"/>
      <w:pPr>
        <w:tabs>
          <w:tab w:val="num" w:pos="1965"/>
        </w:tabs>
        <w:ind w:left="1965" w:hanging="420"/>
      </w:pPr>
      <w:rPr>
        <w:rFonts w:ascii="Wingdings" w:hAnsi="Wingdings" w:cs="Wingdings" w:hint="default"/>
      </w:rPr>
    </w:lvl>
    <w:lvl w:ilvl="4">
      <w:start w:val="1"/>
      <w:numFmt w:val="bullet"/>
      <w:lvlText w:val=""/>
      <w:lvlJc w:val="left"/>
      <w:pPr>
        <w:tabs>
          <w:tab w:val="num" w:pos="2385"/>
        </w:tabs>
        <w:ind w:left="2385" w:hanging="420"/>
      </w:pPr>
      <w:rPr>
        <w:rFonts w:ascii="Wingdings" w:hAnsi="Wingdings" w:cs="Wingdings" w:hint="default"/>
      </w:rPr>
    </w:lvl>
    <w:lvl w:ilvl="5">
      <w:start w:val="1"/>
      <w:numFmt w:val="bullet"/>
      <w:lvlText w:val=""/>
      <w:lvlJc w:val="left"/>
      <w:pPr>
        <w:tabs>
          <w:tab w:val="num" w:pos="2805"/>
        </w:tabs>
        <w:ind w:left="2805" w:hanging="420"/>
      </w:pPr>
      <w:rPr>
        <w:rFonts w:ascii="Wingdings" w:hAnsi="Wingdings" w:cs="Wingdings" w:hint="default"/>
      </w:rPr>
    </w:lvl>
    <w:lvl w:ilvl="6">
      <w:start w:val="1"/>
      <w:numFmt w:val="bullet"/>
      <w:lvlText w:val=""/>
      <w:lvlJc w:val="left"/>
      <w:pPr>
        <w:tabs>
          <w:tab w:val="num" w:pos="3225"/>
        </w:tabs>
        <w:ind w:left="3225" w:hanging="420"/>
      </w:pPr>
      <w:rPr>
        <w:rFonts w:ascii="Wingdings" w:hAnsi="Wingdings" w:cs="Wingdings" w:hint="default"/>
      </w:rPr>
    </w:lvl>
    <w:lvl w:ilvl="7">
      <w:start w:val="1"/>
      <w:numFmt w:val="bullet"/>
      <w:lvlText w:val=""/>
      <w:lvlJc w:val="left"/>
      <w:pPr>
        <w:tabs>
          <w:tab w:val="num" w:pos="3645"/>
        </w:tabs>
        <w:ind w:left="3645" w:hanging="420"/>
      </w:pPr>
      <w:rPr>
        <w:rFonts w:ascii="Wingdings" w:hAnsi="Wingdings" w:cs="Wingdings" w:hint="default"/>
      </w:rPr>
    </w:lvl>
    <w:lvl w:ilvl="8">
      <w:start w:val="1"/>
      <w:numFmt w:val="bullet"/>
      <w:lvlText w:val=""/>
      <w:lvlJc w:val="left"/>
      <w:pPr>
        <w:tabs>
          <w:tab w:val="num" w:pos="4065"/>
        </w:tabs>
        <w:ind w:left="4065" w:hanging="420"/>
      </w:pPr>
      <w:rPr>
        <w:rFonts w:ascii="Wingdings" w:hAnsi="Wingdings" w:cs="Wingdings" w:hint="default"/>
      </w:rPr>
    </w:lvl>
  </w:abstractNum>
  <w:abstractNum w:abstractNumId="4">
    <w:lvl w:ilvl="0">
      <w:start w:val="4"/>
      <w:numFmt w:val="bullet"/>
      <w:lvlText w:val="-"/>
      <w:lvlJc w:val="left"/>
      <w:pPr>
        <w:tabs>
          <w:tab w:val="num" w:pos="644"/>
        </w:tabs>
        <w:ind w:left="644" w:hanging="360"/>
      </w:pPr>
      <w:rPr>
        <w:rFonts w:ascii="Times New Roman" w:hAnsi="Times New Roman" w:cs="Times New Roman" w:hint="default"/>
      </w:rPr>
    </w:lvl>
  </w:abstractNum>
  <w:abstractNum w:abstractNumId="5">
    <w:lvl w:ilvl="0">
      <w:start w:val="1"/>
      <w:numFmt w:val="decimal"/>
      <w:lvlText w:val="%1)"/>
      <w:lvlJc w:val="left"/>
      <w:pPr>
        <w:tabs>
          <w:tab w:val="num" w:pos="720"/>
        </w:tabs>
        <w:ind w:left="720" w:hanging="720"/>
      </w:pPr>
      <w:rPr/>
    </w:lvl>
  </w:abstractNum>
  <w:abstractNum w:abstractNumId="6">
    <w:lvl w:ilvl="0">
      <w:start w:val="1"/>
      <w:numFmt w:val="lowerLetter"/>
      <w:lvlText w:val="%1)"/>
      <w:lvlJc w:val="left"/>
      <w:pPr>
        <w:tabs>
          <w:tab w:val="num" w:pos="927"/>
        </w:tabs>
        <w:ind w:left="927" w:hanging="360"/>
      </w:pPr>
      <w:rPr/>
    </w:lvl>
  </w:abstractNum>
  <w:abstractNum w:abstractNumId="7">
    <w:lvl w:ilvl="0">
      <w:numFmt w:val="bullet"/>
      <w:lvlText w:val=""/>
      <w:lvlJc w:val="left"/>
      <w:pPr>
        <w:tabs>
          <w:tab w:val="num" w:pos="283"/>
        </w:tabs>
        <w:ind w:left="567" w:hanging="283"/>
      </w:pPr>
      <w:rPr>
        <w:rFonts w:ascii="Symbol" w:hAnsi="Symbol" w:cs="Symbol"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Times New Roman" w:hAnsi="Times New Roman" w:eastAsia="MS Mincho;ＭＳ 明朝" w:cs="Times New Roman"/>
    </w:rPr>
  </w:style>
  <w:style w:type="character" w:styleId="WW8Num3z1">
    <w:name w:val="WW8Num3z1"/>
    <w:qFormat/>
    <w:rPr>
      <w:rFonts w:ascii="Wingdings" w:hAnsi="Wingdings" w:cs="Wingdings"/>
    </w:rPr>
  </w:style>
  <w:style w:type="character" w:styleId="WW8Num4z0">
    <w:name w:val="WW8Num4z0"/>
    <w:qFormat/>
    <w:rPr>
      <w:rFonts w:ascii="Times New Roman" w:hAnsi="Times New Roman" w:eastAsia="MS Mincho;ＭＳ 明朝" w:cs="Times New Roman"/>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NOTE">
    <w:name w:val="NOTE"/>
    <w:qFormat/>
    <w:pPr>
      <w:widowControl w:val="false"/>
      <w:tabs>
        <w:tab w:val="clear" w:pos="284"/>
        <w:tab w:val="left" w:pos="1701" w:leader="none"/>
      </w:tabs>
      <w:bidi w:val="0"/>
      <w:spacing w:lineRule="auto" w:line="240" w:before="0" w:after="240"/>
      <w:ind w:left="1701" w:hanging="1134"/>
      <w:jc w:val="both"/>
    </w:pPr>
    <w:rPr>
      <w:rFonts w:ascii="Helvetica" w:hAnsi="Helvetica" w:eastAsia="Times New Roman" w:cs="Helvetica"/>
      <w:color w:val="auto"/>
      <w:sz w:val="20"/>
      <w:szCs w:val="20"/>
      <w:lang w:val="en-US" w:bidi="ar-SA" w:eastAsia="zh-CN"/>
    </w:rPr>
  </w:style>
  <w:style w:type="paragraph" w:styleId="Normalunspaced">
    <w:name w:val="Normal unspaced"/>
    <w:basedOn w:val="Normal"/>
    <w:qFormat/>
    <w:pPr>
      <w:jc w:val="both"/>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2012-09-28T08:13:00Z</dcterms:created>
  <dc:creator>MCC Support</dc:creator>
  <dc:description/>
  <cp:keywords>LTE-Advanced LTE UMTS multicall supplementary service; stage 1</cp:keywords>
  <dc:language>en-US</dc:language>
  <cp:lastModifiedBy>Alain Sultan</cp:lastModifiedBy>
  <cp:lastPrinted>1999-05-04T13:42:00Z</cp:lastPrinted>
  <dcterms:modified xsi:type="dcterms:W3CDTF">2020-07-16T09:32:00Z</dcterms:modified>
  <cp:revision>10</cp:revision>
  <dc:subject>Multicall; Service description; Stage 1 (Release 10)</dc:subject>
  <dc:title>3GPP TS 22.135</dc:title>
</cp:coreProperties>
</file>