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5.png" ContentType="image/png"/>
  <Override PartName="/word/media/image2.jpeg" ContentType="image/jpeg"/>
  <Override PartName="/word/media/image3.png" ContentType="image/png"/>
  <Override PartName="/word/media/image6.jpeg" ContentType="image/jpe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headerReference w:type="default" r:id="rId2"/>
          <w:footerReference w:type="default" r:id="rId3"/>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22.268 </w:t>
                            </w:r>
                            <w:r>
                              <w:rPr>
                                <w:lang w:val="en-GB" w:eastAsia="en-US"/>
                              </w:rPr>
                              <w:t xml:space="preserve">V16.4.0 </w:t>
                            </w:r>
                            <w:r>
                              <w:rPr>
                                <w:sz w:val="32"/>
                                <w:lang w:val="en-GB" w:eastAsia="en-US"/>
                              </w:rPr>
                              <w:t>(2020-09)</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22.268 </w:t>
                      </w:r>
                      <w:r>
                        <w:rPr>
                          <w:lang w:val="en-GB" w:eastAsia="en-US"/>
                        </w:rPr>
                        <w:t xml:space="preserve">V16.4.0 </w:t>
                      </w:r>
                      <w:r>
                        <w:rPr>
                          <w:sz w:val="32"/>
                          <w:lang w:val="en-GB" w:eastAsia="en-US"/>
                        </w:rPr>
                        <w:t>(2020-09)</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197610"/>
                <wp:effectExtent l="0" t="0" r="0" b="0"/>
                <wp:wrapTopAndBottom/>
                <wp:docPr id="3" name="Frame3"/>
                <a:graphic xmlns:a="http://schemas.openxmlformats.org/drawingml/2006/main">
                  <a:graphicData uri="http://schemas.microsoft.com/office/word/2010/wordprocessingShape">
                    <wps:wsp>
                      <wps:cNvSpPr txBox="1"/>
                      <wps:spPr>
                        <a:xfrm>
                          <a:off x="0" y="0"/>
                          <a:ext cx="6479540" cy="119761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Public Warning System (PWS) requirements</w:t>
                            </w:r>
                          </w:p>
                          <w:p>
                            <w:pPr>
                              <w:pStyle w:val="ZT"/>
                              <w:rPr/>
                            </w:pPr>
                            <w:r>
                              <w:rPr>
                                <w:rFonts w:eastAsia="Arial"/>
                              </w:rPr>
                              <w:t xml:space="preserve"> </w:t>
                            </w: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94.3pt;mso-wrap-distance-left:0pt;mso-wrap-distance-right:0pt;mso-wrap-distance-top:0pt;mso-wrap-distance-bottom:0pt;margin-top:47.7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Public Warning System (PWS) requirements</w:t>
                      </w:r>
                    </w:p>
                    <w:p>
                      <w:pPr>
                        <w:pStyle w:val="ZT"/>
                        <w:rPr/>
                      </w:pPr>
                      <w:r>
                        <w:rPr>
                          <w:rFonts w:eastAsia="Arial"/>
                        </w:rPr>
                        <w:t xml:space="preserve"> </w:t>
                      </w: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179830"/>
                <wp:effectExtent l="0" t="0" r="0" b="0"/>
                <wp:wrapTopAndBottom/>
                <wp:docPr id="4" name="Frame4"/>
                <a:graphic xmlns:a="http://schemas.openxmlformats.org/drawingml/2006/main">
                  <a:graphicData uri="http://schemas.microsoft.com/office/word/2010/wordprocessingShape">
                    <wps:wsp>
                      <wps:cNvSpPr txBox="1"/>
                      <wps:spPr>
                        <a:xfrm>
                          <a:off x="0" y="0"/>
                          <a:ext cx="6480810" cy="1179830"/>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614805" cy="111633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4"/>
                                          <a:srcRect l="-22" t="-31" r="-22" b="-31"/>
                                          <a:stretch>
                                            <a:fillRect/>
                                          </a:stretch>
                                        </pic:blipFill>
                                        <pic:spPr bwMode="auto">
                                          <a:xfrm>
                                            <a:off x="0" y="0"/>
                                            <a:ext cx="1614805" cy="111633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5"/>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92.9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614805" cy="111633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6"/>
                                    <a:srcRect l="-22" t="-31" r="-22" b="-31"/>
                                    <a:stretch>
                                      <a:fillRect/>
                                    </a:stretch>
                                  </pic:blipFill>
                                  <pic:spPr bwMode="auto">
                                    <a:xfrm>
                                      <a:off x="0" y="0"/>
                                      <a:ext cx="1614805" cy="111633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7"/>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eastAsia="Arial" w:cs="Arial" w:ascii="Arial" w:hAnsi="Arial"/>
                                <w:sz w:val="18"/>
                              </w:rPr>
                              <w:t xml:space="preserve"> </w:t>
                            </w:r>
                            <w:r>
                              <w:rPr>
                                <w:rFonts w:eastAsia="SimSun;宋体" w:cs="Arial" w:ascii="Arial" w:hAnsi="Arial"/>
                                <w:sz w:val="18"/>
                              </w:rPr>
                              <w:t>Alert, Public Warning, UMTS, LTE</w:t>
                            </w:r>
                            <w:r>
                              <w:rPr>
                                <w:rFonts w:cs="Arial" w:ascii="Arial" w:hAnsi="Arial"/>
                                <w:sz w:val="18"/>
                              </w:rPr>
                              <w:t xml:space="preserve"> </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eastAsia="Arial" w:cs="Arial" w:ascii="Arial" w:hAnsi="Arial"/>
                          <w:sz w:val="18"/>
                        </w:rPr>
                        <w:t xml:space="preserve"> </w:t>
                      </w:r>
                      <w:r>
                        <w:rPr>
                          <w:rFonts w:eastAsia="SimSun;宋体" w:cs="Arial" w:ascii="Arial" w:hAnsi="Arial"/>
                          <w:sz w:val="18"/>
                        </w:rPr>
                        <w:t>Alert, Public Warning, UMTS, LTE</w:t>
                      </w:r>
                      <w:r>
                        <w:rPr>
                          <w:rFonts w:cs="Arial" w:ascii="Arial" w:hAnsi="Arial"/>
                          <w:sz w:val="18"/>
                        </w:rPr>
                        <w:t xml:space="preserve"> </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sz w:val="18"/>
                              </w:rPr>
                              <w:t>©2020, 3GPP Organizational Partners (ARIB, ATIS, CCSA, ETSI, TSDSI, TTA, TTC).</w:t>
                            </w:r>
                            <w:bookmarkStart w:id="4" w:name="copyrightaddon"/>
                            <w:bookmarkEnd w:id="4"/>
                          </w:p>
                          <w:p>
                            <w:pPr>
                              <w:pStyle w:val="FP"/>
                              <w:jc w:val="center"/>
                              <w:rPr>
                                <w:sz w:val="18"/>
                              </w:rPr>
                            </w:pPr>
                            <w:r>
                              <w:rPr>
                                <w:sz w:val="18"/>
                              </w:rPr>
                              <w:t>All rights reserved.</w:t>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sz w:val="18"/>
                        </w:rPr>
                        <w:t>©2020, 3GPP Organizational Partners (ARIB, ATIS, CCSA, ETSI, TSDSI, TTA, TTC).</w:t>
                      </w:r>
                      <w:bookmarkStart w:id="5" w:name="copyrightaddon"/>
                      <w:bookmarkEnd w:id="5"/>
                    </w:p>
                    <w:p>
                      <w:pPr>
                        <w:pStyle w:val="FP"/>
                        <w:jc w:val="center"/>
                        <w:rPr>
                          <w:sz w:val="18"/>
                        </w:rPr>
                      </w:pPr>
                      <w:r>
                        <w:rPr>
                          <w:sz w:val="18"/>
                        </w:rPr>
                        <w:t>All rights reserved.</w:t>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2642405">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2642406">
            <w:r>
              <w:rPr>
                <w:rStyle w:val="IndexLink"/>
              </w:rPr>
              <w:t>6</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2642407">
            <w:r>
              <w:rPr>
                <w:rStyle w:val="IndexLink"/>
              </w:rPr>
              <w:t>6</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52642408">
            <w:r>
              <w:rPr>
                <w:rStyle w:val="IndexLink"/>
              </w:rPr>
              <w:t>7</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2642409">
            <w:r>
              <w:rPr>
                <w:rStyle w:val="IndexLink"/>
              </w:rPr>
              <w:t>7</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52642410">
            <w:r>
              <w:rPr>
                <w:rStyle w:val="IndexLink"/>
              </w:rPr>
              <w:t>7</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General PWS Requirements</w:t>
            <w:tab/>
          </w:r>
          <w:hyperlink w:anchor="__RefHeading___Toc52642411">
            <w:r>
              <w:rPr>
                <w:rStyle w:val="IndexLink"/>
              </w:rPr>
              <w:t>7</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Background</w:t>
            <w:tab/>
          </w:r>
          <w:hyperlink w:anchor="__RefHeading___Toc52642412">
            <w:r>
              <w:rPr>
                <w:rStyle w:val="IndexLink"/>
              </w:rPr>
              <w:t>7</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High level general requirements for Warning Notification delivery</w:t>
            <w:tab/>
          </w:r>
          <w:hyperlink w:anchor="__RefHeading___Toc52642413">
            <w:r>
              <w:rPr>
                <w:rStyle w:val="IndexLink"/>
              </w:rPr>
              <w:t>8</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Warning Notification Content</w:t>
            <w:tab/>
          </w:r>
          <w:hyperlink w:anchor="__RefHeading___Toc52642414">
            <w:r>
              <w:rPr>
                <w:rStyle w:val="IndexLink"/>
              </w:rPr>
              <w:t>8</w:t>
            </w:r>
          </w:hyperlink>
        </w:p>
        <w:p>
          <w:pPr>
            <w:pStyle w:val="Contents2"/>
            <w:rPr>
              <w:rFonts w:ascii="Calibri" w:hAnsi="Calibri" w:cs="Calibri"/>
              <w:sz w:val="22"/>
              <w:szCs w:val="22"/>
              <w:lang w:val="en-US" w:eastAsia="en-US"/>
            </w:rPr>
          </w:pPr>
          <w:r>
            <w:rPr/>
            <w:t>4.4</w:t>
          </w:r>
          <w:r>
            <w:rPr>
              <w:rFonts w:cs="Calibri" w:ascii="Calibri" w:hAnsi="Calibri"/>
              <w:sz w:val="22"/>
              <w:szCs w:val="22"/>
              <w:lang w:val="en-US" w:eastAsia="en-US"/>
            </w:rPr>
            <w:tab/>
          </w:r>
          <w:r>
            <w:rPr/>
            <w:t>Granularity of the distribution</w:t>
            <w:tab/>
          </w:r>
          <w:hyperlink w:anchor="__RefHeading___Toc52642415">
            <w:r>
              <w:rPr>
                <w:rStyle w:val="IndexLink"/>
              </w:rPr>
              <w:t>8</w:t>
            </w:r>
          </w:hyperlink>
        </w:p>
        <w:p>
          <w:pPr>
            <w:pStyle w:val="Contents2"/>
            <w:rPr>
              <w:rFonts w:ascii="Calibri" w:hAnsi="Calibri" w:cs="Calibri"/>
              <w:sz w:val="22"/>
              <w:szCs w:val="22"/>
              <w:lang w:val="en-US" w:eastAsia="en-US"/>
            </w:rPr>
          </w:pPr>
          <w:r>
            <w:rPr/>
            <w:t>4.5</w:t>
          </w:r>
          <w:r>
            <w:rPr>
              <w:rFonts w:cs="Calibri" w:ascii="Calibri" w:hAnsi="Calibri"/>
              <w:sz w:val="22"/>
              <w:szCs w:val="22"/>
              <w:lang w:val="en-US" w:eastAsia="en-US"/>
            </w:rPr>
            <w:tab/>
          </w:r>
          <w:r>
            <w:rPr/>
            <w:t>Support of Warning Notification Providers</w:t>
            <w:tab/>
          </w:r>
          <w:hyperlink w:anchor="__RefHeading___Toc52642416">
            <w:r>
              <w:rPr>
                <w:rStyle w:val="IndexLink"/>
              </w:rPr>
              <w:t>9</w:t>
            </w:r>
          </w:hyperlink>
        </w:p>
        <w:p>
          <w:pPr>
            <w:pStyle w:val="Contents2"/>
            <w:rPr>
              <w:rFonts w:ascii="Calibri" w:hAnsi="Calibri" w:cs="Calibri"/>
              <w:sz w:val="22"/>
              <w:szCs w:val="22"/>
              <w:lang w:val="en-US" w:eastAsia="en-US"/>
            </w:rPr>
          </w:pPr>
          <w:r>
            <w:rPr/>
            <w:t>4.6</w:t>
          </w:r>
          <w:r>
            <w:rPr>
              <w:rFonts w:cs="Calibri" w:ascii="Calibri" w:hAnsi="Calibri"/>
              <w:sz w:val="22"/>
              <w:szCs w:val="22"/>
              <w:lang w:val="en-US" w:eastAsia="en-US"/>
            </w:rPr>
            <w:tab/>
          </w:r>
          <w:r>
            <w:rPr>
              <w:rFonts w:eastAsia="MS PGothic"/>
            </w:rPr>
            <w:t>PWS-UE Requirements</w:t>
          </w:r>
          <w:r>
            <w:rPr/>
            <w:tab/>
          </w:r>
          <w:hyperlink w:anchor="__RefHeading___Toc52642417">
            <w:r>
              <w:rPr>
                <w:rStyle w:val="IndexLink"/>
              </w:rPr>
              <w:t>9</w:t>
            </w:r>
          </w:hyperlink>
        </w:p>
        <w:p>
          <w:pPr>
            <w:pStyle w:val="Contents3"/>
            <w:rPr>
              <w:rFonts w:ascii="Calibri" w:hAnsi="Calibri" w:cs="Calibri"/>
              <w:sz w:val="22"/>
              <w:szCs w:val="22"/>
              <w:lang w:val="en-US" w:eastAsia="en-US"/>
            </w:rPr>
          </w:pPr>
          <w:r>
            <w:rPr/>
            <w:t>4.6.1</w:t>
          </w:r>
          <w:r>
            <w:rPr>
              <w:rFonts w:cs="Calibri" w:ascii="Calibri" w:hAnsi="Calibri"/>
              <w:sz w:val="22"/>
              <w:szCs w:val="22"/>
              <w:lang w:val="en-US" w:eastAsia="en-US"/>
            </w:rPr>
            <w:tab/>
          </w:r>
          <w:r>
            <w:rPr/>
            <w:t>General Requirements</w:t>
            <w:tab/>
          </w:r>
          <w:hyperlink w:anchor="__RefHeading___Toc52642418">
            <w:r>
              <w:rPr>
                <w:rStyle w:val="IndexLink"/>
              </w:rPr>
              <w:t>9</w:t>
            </w:r>
          </w:hyperlink>
        </w:p>
        <w:p>
          <w:pPr>
            <w:pStyle w:val="Contents3"/>
            <w:rPr>
              <w:rFonts w:ascii="Calibri" w:hAnsi="Calibri" w:cs="Calibri"/>
              <w:sz w:val="22"/>
              <w:szCs w:val="22"/>
              <w:lang w:val="en-US" w:eastAsia="en-US"/>
            </w:rPr>
          </w:pPr>
          <w:r>
            <w:rPr/>
            <w:t>4.6.2</w:t>
          </w:r>
          <w:r>
            <w:rPr>
              <w:rFonts w:cs="Calibri" w:ascii="Calibri" w:hAnsi="Calibri"/>
              <w:sz w:val="22"/>
              <w:szCs w:val="22"/>
              <w:lang w:val="en-US" w:eastAsia="en-US"/>
            </w:rPr>
            <w:tab/>
          </w:r>
          <w:r>
            <w:rPr/>
            <w:t>Support of non-Warning Notification capable UEs</w:t>
            <w:tab/>
          </w:r>
          <w:hyperlink w:anchor="__RefHeading___Toc52642419">
            <w:r>
              <w:rPr>
                <w:rStyle w:val="IndexLink"/>
              </w:rPr>
              <w:t>9</w:t>
            </w:r>
          </w:hyperlink>
        </w:p>
        <w:p>
          <w:pPr>
            <w:pStyle w:val="Contents3"/>
            <w:rPr>
              <w:rFonts w:ascii="Calibri" w:hAnsi="Calibri" w:cs="Calibri"/>
              <w:sz w:val="22"/>
              <w:szCs w:val="22"/>
              <w:lang w:val="en-US" w:eastAsia="en-US"/>
            </w:rPr>
          </w:pPr>
          <w:r>
            <w:rPr/>
            <w:t>4.6.3</w:t>
          </w:r>
          <w:r>
            <w:rPr>
              <w:rFonts w:cs="Calibri" w:ascii="Calibri" w:hAnsi="Calibri"/>
              <w:sz w:val="22"/>
              <w:szCs w:val="22"/>
            </w:rPr>
            <w:tab/>
          </w:r>
          <w:r>
            <w:rPr>
              <w:lang w:val="en-US" w:eastAsia="en-US"/>
            </w:rPr>
            <w:t>Battery Life of PWS-UE</w:t>
          </w:r>
          <w:r>
            <w:rPr/>
            <w:tab/>
          </w:r>
          <w:hyperlink w:anchor="__RefHeading___Toc52642420">
            <w:r>
              <w:rPr>
                <w:rStyle w:val="IndexLink"/>
              </w:rPr>
              <w:t>10</w:t>
            </w:r>
          </w:hyperlink>
        </w:p>
        <w:p>
          <w:pPr>
            <w:pStyle w:val="Contents3"/>
            <w:rPr>
              <w:rFonts w:ascii="Calibri" w:hAnsi="Calibri" w:cs="Calibri"/>
              <w:sz w:val="22"/>
              <w:szCs w:val="22"/>
              <w:lang w:val="en-US" w:eastAsia="en-US"/>
            </w:rPr>
          </w:pPr>
          <w:r>
            <w:rPr/>
            <w:t>4.6.4</w:t>
          </w:r>
          <w:r>
            <w:rPr>
              <w:rFonts w:cs="Calibri" w:ascii="Calibri" w:hAnsi="Calibri"/>
              <w:sz w:val="22"/>
              <w:szCs w:val="22"/>
              <w:lang w:val="en-US" w:eastAsia="en-US"/>
            </w:rPr>
            <w:tab/>
          </w:r>
          <w:r>
            <w:rPr/>
            <w:t>Enabling and disabling of Warning Notifications</w:t>
            <w:tab/>
          </w:r>
          <w:hyperlink w:anchor="__RefHeading___Toc52642421">
            <w:r>
              <w:rPr>
                <w:rStyle w:val="IndexLink"/>
              </w:rPr>
              <w:t>10</w:t>
            </w:r>
          </w:hyperlink>
        </w:p>
        <w:p>
          <w:pPr>
            <w:pStyle w:val="Contents2"/>
            <w:rPr>
              <w:rFonts w:ascii="Calibri" w:hAnsi="Calibri" w:cs="Calibri"/>
              <w:sz w:val="22"/>
              <w:szCs w:val="22"/>
              <w:lang w:val="en-US" w:eastAsia="en-US"/>
            </w:rPr>
          </w:pPr>
          <w:r>
            <w:rPr/>
            <w:t>4.7</w:t>
          </w:r>
          <w:r>
            <w:rPr>
              <w:rFonts w:cs="Calibri" w:ascii="Calibri" w:hAnsi="Calibri"/>
              <w:sz w:val="22"/>
              <w:szCs w:val="22"/>
              <w:lang w:val="en-US" w:eastAsia="en-US"/>
            </w:rPr>
            <w:tab/>
          </w:r>
          <w:r>
            <w:rPr/>
            <w:t>Roaming Requirements</w:t>
            <w:tab/>
          </w:r>
          <w:hyperlink w:anchor="__RefHeading___Toc52642422">
            <w:r>
              <w:rPr>
                <w:rStyle w:val="IndexLink"/>
              </w:rPr>
              <w:t>10</w:t>
            </w:r>
          </w:hyperlink>
        </w:p>
        <w:p>
          <w:pPr>
            <w:pStyle w:val="Contents2"/>
            <w:rPr>
              <w:rFonts w:ascii="Calibri" w:hAnsi="Calibri" w:cs="Calibri"/>
              <w:sz w:val="22"/>
              <w:szCs w:val="22"/>
              <w:lang w:val="en-US" w:eastAsia="en-US"/>
            </w:rPr>
          </w:pPr>
          <w:r>
            <w:rPr/>
            <w:t>4.8</w:t>
          </w:r>
          <w:r>
            <w:rPr>
              <w:rFonts w:cs="Calibri" w:ascii="Calibri" w:hAnsi="Calibri"/>
              <w:sz w:val="22"/>
              <w:szCs w:val="22"/>
              <w:lang w:val="en-US" w:eastAsia="en-US"/>
            </w:rPr>
            <w:tab/>
          </w:r>
          <w:r>
            <w:rPr/>
            <w:t>Security Requirements</w:t>
            <w:tab/>
          </w:r>
          <w:hyperlink w:anchor="__RefHeading___Toc52642423">
            <w:r>
              <w:rPr>
                <w:rStyle w:val="IndexLink"/>
              </w:rPr>
              <w:t>10</w:t>
            </w:r>
          </w:hyperlink>
        </w:p>
        <w:p>
          <w:pPr>
            <w:pStyle w:val="Contents2"/>
            <w:rPr>
              <w:rFonts w:ascii="Calibri" w:hAnsi="Calibri" w:cs="Calibri"/>
              <w:sz w:val="22"/>
              <w:szCs w:val="22"/>
              <w:lang w:val="en-US" w:eastAsia="en-US"/>
            </w:rPr>
          </w:pPr>
          <w:r>
            <w:rPr/>
            <w:t>4.9</w:t>
          </w:r>
          <w:r>
            <w:rPr>
              <w:rFonts w:cs="Calibri" w:ascii="Calibri" w:hAnsi="Calibri"/>
              <w:sz w:val="22"/>
              <w:szCs w:val="22"/>
              <w:lang w:val="en-US" w:eastAsia="en-US"/>
            </w:rPr>
            <w:tab/>
          </w:r>
          <w:r>
            <w:rPr/>
            <w:t>Regulatory Requirements</w:t>
            <w:tab/>
          </w:r>
          <w:hyperlink w:anchor="__RefHeading___Toc52642424">
            <w:r>
              <w:rPr>
                <w:rStyle w:val="IndexLink"/>
              </w:rPr>
              <w:t>11</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Earthquake and Tsunami Warning System</w:t>
            <w:tab/>
          </w:r>
          <w:hyperlink w:anchor="__RefHeading___Toc52642425">
            <w:r>
              <w:rPr>
                <w:rStyle w:val="IndexLink"/>
              </w:rPr>
              <w:t>11</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Background</w:t>
            <w:tab/>
          </w:r>
          <w:hyperlink w:anchor="__RefHeading___Toc52642426">
            <w:r>
              <w:rPr>
                <w:rStyle w:val="IndexLink"/>
              </w:rPr>
              <w:t>11</w:t>
            </w:r>
          </w:hyperlink>
        </w:p>
        <w:p>
          <w:pPr>
            <w:pStyle w:val="Contents2"/>
            <w:rPr>
              <w:rFonts w:ascii="Calibri" w:hAnsi="Calibri" w:cs="Calibri"/>
              <w:sz w:val="22"/>
              <w:szCs w:val="22"/>
              <w:lang w:val="en-US" w:eastAsia="en-US"/>
            </w:rPr>
          </w:pPr>
          <w:r>
            <w:rPr/>
            <w:t>5.2</w:t>
          </w:r>
          <w:r>
            <w:rPr>
              <w:rFonts w:cs="Calibri" w:ascii="Calibri" w:hAnsi="Calibri"/>
              <w:sz w:val="22"/>
              <w:szCs w:val="22"/>
            </w:rPr>
            <w:tab/>
          </w:r>
          <w:r>
            <w:rPr>
              <w:lang w:val="en-US" w:eastAsia="en-US"/>
            </w:rPr>
            <w:t>Duration of delivery time</w:t>
          </w:r>
          <w:r>
            <w:rPr/>
            <w:tab/>
          </w:r>
          <w:hyperlink w:anchor="__RefHeading___Toc52642427">
            <w:r>
              <w:rPr>
                <w:rStyle w:val="IndexLink"/>
              </w:rPr>
              <w:t>11</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Information element and volume</w:t>
            <w:tab/>
          </w:r>
          <w:hyperlink w:anchor="__RefHeading___Toc52642428">
            <w:r>
              <w:rPr>
                <w:rStyle w:val="IndexLink"/>
              </w:rPr>
              <w:t>11</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Priority</w:t>
            <w:tab/>
          </w:r>
          <w:hyperlink w:anchor="__RefHeading___Toc52642429">
            <w:r>
              <w:rPr>
                <w:rStyle w:val="IndexLink"/>
              </w:rPr>
              <w:t>12</w:t>
            </w:r>
          </w:hyperlink>
        </w:p>
        <w:p>
          <w:pPr>
            <w:pStyle w:val="Contents2"/>
            <w:rPr>
              <w:rFonts w:ascii="Calibri" w:hAnsi="Calibri" w:cs="Calibri"/>
              <w:sz w:val="22"/>
              <w:szCs w:val="22"/>
              <w:lang w:val="en-US" w:eastAsia="en-US"/>
            </w:rPr>
          </w:pPr>
          <w:r>
            <w:rPr/>
            <w:t>5.5</w:t>
          </w:r>
          <w:r>
            <w:rPr>
              <w:rFonts w:cs="Calibri" w:ascii="Calibri" w:hAnsi="Calibri"/>
              <w:sz w:val="22"/>
              <w:szCs w:val="22"/>
              <w:lang w:val="en-US" w:eastAsia="en-US"/>
            </w:rPr>
            <w:tab/>
          </w:r>
          <w:r>
            <w:rPr>
              <w:rFonts w:eastAsia="MS PGothic"/>
            </w:rPr>
            <w:t>Roaming users</w:t>
          </w:r>
          <w:r>
            <w:rPr/>
            <w:tab/>
          </w:r>
          <w:hyperlink w:anchor="__RefHeading___Toc52642430">
            <w:r>
              <w:rPr>
                <w:rStyle w:val="IndexLink"/>
              </w:rPr>
              <w:t>12</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CMAS Specific Requirements</w:t>
            <w:tab/>
          </w:r>
          <w:hyperlink w:anchor="__RefHeading___Toc52642431">
            <w:r>
              <w:rPr>
                <w:rStyle w:val="IndexLink"/>
              </w:rPr>
              <w:t>13</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Introduction to CMAS</w:t>
            <w:tab/>
          </w:r>
          <w:hyperlink w:anchor="__RefHeading___Toc52642432">
            <w:r>
              <w:rPr>
                <w:rStyle w:val="IndexLink"/>
              </w:rPr>
              <w:t>13</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Additional PWS Requirements Specific to CMAS</w:t>
            <w:tab/>
          </w:r>
          <w:hyperlink w:anchor="__RefHeading___Toc52642433">
            <w:r>
              <w:rPr>
                <w:rStyle w:val="IndexLink"/>
              </w:rPr>
              <w:t>13</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EU-ALERT Specific Requirements</w:t>
            <w:tab/>
          </w:r>
          <w:hyperlink w:anchor="__RefHeading___Toc52642434">
            <w:r>
              <w:rPr>
                <w:rStyle w:val="IndexLink"/>
              </w:rPr>
              <w:t>14</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t>Introduction to EU-ALERT</w:t>
            <w:tab/>
          </w:r>
          <w:hyperlink w:anchor="__RefHeading___Toc52642435">
            <w:r>
              <w:rPr>
                <w:rStyle w:val="IndexLink"/>
              </w:rPr>
              <w:t>14</w:t>
            </w:r>
          </w:hyperlink>
        </w:p>
        <w:p>
          <w:pPr>
            <w:pStyle w:val="Contents2"/>
            <w:rPr>
              <w:rFonts w:ascii="Calibri" w:hAnsi="Calibri" w:cs="Calibri"/>
              <w:sz w:val="22"/>
              <w:szCs w:val="22"/>
              <w:lang w:val="en-US" w:eastAsia="en-US"/>
            </w:rPr>
          </w:pPr>
          <w:r>
            <w:rPr/>
            <w:t>7.2</w:t>
          </w:r>
          <w:r>
            <w:rPr>
              <w:rFonts w:cs="Calibri" w:ascii="Calibri" w:hAnsi="Calibri"/>
              <w:sz w:val="22"/>
              <w:szCs w:val="22"/>
              <w:lang w:val="en-US" w:eastAsia="en-US"/>
            </w:rPr>
            <w:tab/>
          </w:r>
          <w:r>
            <w:rPr/>
            <w:t>Additional PWS Requirements Specific to EU-ALERT</w:t>
            <w:tab/>
          </w:r>
          <w:hyperlink w:anchor="__RefHeading___Toc52642436">
            <w:r>
              <w:rPr>
                <w:rStyle w:val="IndexLink"/>
              </w:rPr>
              <w:t>15</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Korean Public Alert System specific Requirements</w:t>
            <w:tab/>
          </w:r>
          <w:hyperlink w:anchor="__RefHeading___Toc52642437">
            <w:r>
              <w:rPr>
                <w:rStyle w:val="IndexLink"/>
              </w:rPr>
              <w:t>15</w:t>
            </w:r>
          </w:hyperlink>
        </w:p>
        <w:p>
          <w:pPr>
            <w:pStyle w:val="Contents2"/>
            <w:rPr>
              <w:rFonts w:ascii="Calibri" w:hAnsi="Calibri" w:cs="Calibri"/>
              <w:sz w:val="22"/>
              <w:szCs w:val="22"/>
              <w:lang w:val="en-US" w:eastAsia="en-US"/>
            </w:rPr>
          </w:pPr>
          <w:r>
            <w:rPr/>
            <w:t>8.1</w:t>
          </w:r>
          <w:r>
            <w:rPr>
              <w:rFonts w:cs="Calibri" w:ascii="Calibri" w:hAnsi="Calibri"/>
              <w:sz w:val="22"/>
              <w:szCs w:val="22"/>
              <w:lang w:val="en-US" w:eastAsia="en-US"/>
            </w:rPr>
            <w:tab/>
          </w:r>
          <w:r>
            <w:rPr/>
            <w:t>Introduction to Korean Public Alert System</w:t>
            <w:tab/>
          </w:r>
          <w:hyperlink w:anchor="__RefHeading___Toc52642438">
            <w:r>
              <w:rPr>
                <w:rStyle w:val="IndexLink"/>
              </w:rPr>
              <w:t>15</w:t>
            </w:r>
          </w:hyperlink>
        </w:p>
        <w:p>
          <w:pPr>
            <w:pStyle w:val="Contents2"/>
            <w:rPr>
              <w:rFonts w:ascii="Calibri" w:hAnsi="Calibri" w:cs="Calibri"/>
              <w:sz w:val="22"/>
              <w:szCs w:val="22"/>
              <w:lang w:val="en-US" w:eastAsia="en-US"/>
            </w:rPr>
          </w:pPr>
          <w:r>
            <w:rPr/>
            <w:t>8.2</w:t>
          </w:r>
          <w:r>
            <w:rPr>
              <w:rFonts w:cs="Calibri" w:ascii="Calibri" w:hAnsi="Calibri"/>
              <w:sz w:val="22"/>
              <w:szCs w:val="22"/>
              <w:lang w:val="en-US" w:eastAsia="en-US"/>
            </w:rPr>
            <w:tab/>
          </w:r>
          <w:r>
            <w:rPr/>
            <w:t>Additional PWS Requirements Specific to Korean Public Alert System (KPAS)</w:t>
            <w:tab/>
          </w:r>
          <w:hyperlink w:anchor="__RefHeading___Toc52642439">
            <w:r>
              <w:rPr>
                <w:rStyle w:val="IndexLink"/>
              </w:rPr>
              <w:t>15</w:t>
            </w:r>
          </w:hyperlink>
        </w:p>
        <w:p>
          <w:pPr>
            <w:pStyle w:val="Contents1"/>
            <w:rPr>
              <w:rFonts w:ascii="Calibri" w:hAnsi="Calibri" w:cs="Calibri"/>
              <w:szCs w:val="22"/>
              <w:lang w:val="en-US" w:eastAsia="en-US"/>
            </w:rPr>
          </w:pPr>
          <w:r>
            <w:rPr/>
            <w:t>9</w:t>
          </w:r>
          <w:r>
            <w:rPr>
              <w:rFonts w:cs="Calibri" w:ascii="Calibri" w:hAnsi="Calibri"/>
              <w:szCs w:val="22"/>
              <w:lang w:val="en-US" w:eastAsia="en-US"/>
            </w:rPr>
            <w:tab/>
          </w:r>
          <w:r>
            <w:rPr/>
            <w:t>Enhancements of Public Warning System (</w:t>
          </w:r>
          <w:r>
            <w:rPr>
              <w:lang w:val="en-US" w:eastAsia="en-US"/>
            </w:rPr>
            <w:t>ePWS)</w:t>
          </w:r>
          <w:r>
            <w:rPr/>
            <w:tab/>
          </w:r>
          <w:hyperlink w:anchor="__RefHeading___Toc52642440">
            <w:r>
              <w:rPr>
                <w:rStyle w:val="IndexLink"/>
              </w:rPr>
              <w:t>16</w:t>
            </w:r>
          </w:hyperlink>
        </w:p>
        <w:p>
          <w:pPr>
            <w:pStyle w:val="Contents2"/>
            <w:rPr>
              <w:rFonts w:ascii="Calibri" w:hAnsi="Calibri" w:cs="Calibri"/>
              <w:sz w:val="22"/>
              <w:szCs w:val="22"/>
              <w:lang w:val="en-US" w:eastAsia="en-US"/>
            </w:rPr>
          </w:pPr>
          <w:r>
            <w:rPr/>
            <w:t>9.1</w:t>
          </w:r>
          <w:r>
            <w:rPr>
              <w:rFonts w:cs="Calibri" w:ascii="Calibri" w:hAnsi="Calibri"/>
              <w:sz w:val="22"/>
              <w:szCs w:val="22"/>
              <w:lang w:val="en-US" w:eastAsia="en-US"/>
            </w:rPr>
            <w:tab/>
          </w:r>
          <w:r>
            <w:rPr/>
            <w:t>Service description</w:t>
            <w:tab/>
          </w:r>
          <w:hyperlink w:anchor="__RefHeading___Toc52642441">
            <w:r>
              <w:rPr>
                <w:rStyle w:val="IndexLink"/>
              </w:rPr>
              <w:t>16</w:t>
            </w:r>
          </w:hyperlink>
        </w:p>
        <w:p>
          <w:pPr>
            <w:pStyle w:val="Contents2"/>
            <w:rPr>
              <w:rFonts w:ascii="Calibri" w:hAnsi="Calibri" w:cs="Calibri"/>
              <w:sz w:val="22"/>
              <w:szCs w:val="22"/>
              <w:lang w:val="en-US" w:eastAsia="en-US"/>
            </w:rPr>
          </w:pPr>
          <w:r>
            <w:rPr/>
            <w:t>9.2</w:t>
          </w:r>
          <w:r>
            <w:rPr>
              <w:rFonts w:cs="Calibri" w:ascii="Calibri" w:hAnsi="Calibri"/>
              <w:sz w:val="22"/>
              <w:szCs w:val="22"/>
              <w:lang w:val="en-US" w:eastAsia="en-US"/>
            </w:rPr>
            <w:tab/>
          </w:r>
          <w:r>
            <w:rPr>
              <w:rFonts w:eastAsia="MS PGothic"/>
            </w:rPr>
            <w:t>General Requirements</w:t>
          </w:r>
          <w:r>
            <w:rPr/>
            <w:tab/>
          </w:r>
          <w:hyperlink w:anchor="__RefHeading___Toc52642442">
            <w:r>
              <w:rPr>
                <w:rStyle w:val="IndexLink"/>
              </w:rPr>
              <w:t>16</w:t>
            </w:r>
          </w:hyperlink>
        </w:p>
        <w:p>
          <w:pPr>
            <w:pStyle w:val="Contents3"/>
            <w:rPr>
              <w:rFonts w:ascii="Calibri" w:hAnsi="Calibri" w:cs="Calibri"/>
              <w:sz w:val="22"/>
              <w:szCs w:val="22"/>
              <w:lang w:val="en-US" w:eastAsia="en-US"/>
            </w:rPr>
          </w:pPr>
          <w:r>
            <w:rPr/>
            <w:t>9.2.1</w:t>
          </w:r>
          <w:r>
            <w:rPr>
              <w:rFonts w:cs="Calibri" w:ascii="Calibri" w:hAnsi="Calibri"/>
              <w:sz w:val="22"/>
              <w:szCs w:val="22"/>
              <w:lang w:val="en-US" w:eastAsia="en-US"/>
            </w:rPr>
            <w:tab/>
          </w:r>
          <w:r>
            <w:rPr/>
            <w:t>ePWS Requirements</w:t>
            <w:tab/>
          </w:r>
          <w:hyperlink w:anchor="__RefHeading___Toc52642443">
            <w:r>
              <w:rPr>
                <w:rStyle w:val="IndexLink"/>
              </w:rPr>
              <w:t>16</w:t>
            </w:r>
          </w:hyperlink>
        </w:p>
        <w:p>
          <w:pPr>
            <w:pStyle w:val="Contents3"/>
            <w:rPr>
              <w:rFonts w:ascii="Calibri" w:hAnsi="Calibri" w:cs="Calibri"/>
              <w:sz w:val="22"/>
              <w:szCs w:val="22"/>
              <w:lang w:val="en-US" w:eastAsia="en-US"/>
            </w:rPr>
          </w:pPr>
          <w:r>
            <w:rPr/>
            <w:t>9.2.2</w:t>
          </w:r>
          <w:r>
            <w:rPr>
              <w:rFonts w:cs="Calibri" w:ascii="Calibri" w:hAnsi="Calibri"/>
              <w:sz w:val="22"/>
              <w:szCs w:val="22"/>
            </w:rPr>
            <w:tab/>
          </w:r>
          <w:r>
            <w:rPr>
              <w:lang w:val="en-US" w:eastAsia="en-US"/>
            </w:rPr>
            <w:t>Battery Life of ePWS-UE</w:t>
          </w:r>
          <w:r>
            <w:rPr/>
            <w:tab/>
          </w:r>
          <w:hyperlink w:anchor="__RefHeading___Toc52642444">
            <w:r>
              <w:rPr>
                <w:rStyle w:val="IndexLink"/>
              </w:rPr>
              <w:t>16</w:t>
            </w:r>
          </w:hyperlink>
        </w:p>
        <w:p>
          <w:pPr>
            <w:pStyle w:val="Contents3"/>
            <w:rPr>
              <w:rFonts w:ascii="Calibri" w:hAnsi="Calibri" w:cs="Calibri"/>
              <w:sz w:val="22"/>
              <w:szCs w:val="22"/>
              <w:lang w:val="en-US" w:eastAsia="en-US"/>
            </w:rPr>
          </w:pPr>
          <w:r>
            <w:rPr/>
            <w:t>9.2.3</w:t>
          </w:r>
          <w:r>
            <w:rPr>
              <w:rFonts w:cs="Calibri" w:ascii="Calibri" w:hAnsi="Calibri"/>
              <w:sz w:val="22"/>
              <w:szCs w:val="22"/>
              <w:lang w:val="en-US" w:eastAsia="en-US"/>
            </w:rPr>
            <w:tab/>
          </w:r>
          <w:r>
            <w:rPr/>
            <w:t>Enabling and disabling of Warning Notifications</w:t>
            <w:tab/>
          </w:r>
          <w:hyperlink w:anchor="__RefHeading___Toc52642445">
            <w:r>
              <w:rPr>
                <w:rStyle w:val="IndexLink"/>
              </w:rPr>
              <w:t>16</w:t>
            </w:r>
          </w:hyperlink>
        </w:p>
        <w:p>
          <w:pPr>
            <w:pStyle w:val="Contents2"/>
            <w:rPr>
              <w:rFonts w:ascii="Calibri" w:hAnsi="Calibri" w:cs="Calibri"/>
              <w:sz w:val="22"/>
              <w:szCs w:val="22"/>
              <w:lang w:val="en-US" w:eastAsia="en-US"/>
            </w:rPr>
          </w:pPr>
          <w:r>
            <w:rPr/>
            <w:t>9.3</w:t>
          </w:r>
          <w:r>
            <w:rPr>
              <w:rFonts w:cs="Calibri" w:ascii="Calibri" w:hAnsi="Calibri"/>
              <w:sz w:val="22"/>
              <w:szCs w:val="22"/>
              <w:lang w:val="en-US" w:eastAsia="en-US"/>
            </w:rPr>
            <w:tab/>
          </w:r>
          <w:r>
            <w:rPr>
              <w:lang w:val="en-US" w:eastAsia="en-US"/>
            </w:rPr>
            <w:t>Requirements for 3GPP system supporting ePWS-UEs</w:t>
          </w:r>
          <w:r>
            <w:rPr/>
            <w:tab/>
          </w:r>
          <w:hyperlink w:anchor="__RefHeading___Toc52642446">
            <w:r>
              <w:rPr>
                <w:rStyle w:val="IndexLink"/>
              </w:rPr>
              <w:t>17</w:t>
            </w:r>
          </w:hyperlink>
        </w:p>
        <w:p>
          <w:pPr>
            <w:pStyle w:val="Contents2"/>
            <w:rPr>
              <w:rFonts w:ascii="Calibri" w:hAnsi="Calibri" w:cs="Calibri"/>
              <w:sz w:val="22"/>
              <w:szCs w:val="22"/>
              <w:lang w:val="en-US" w:eastAsia="en-US"/>
            </w:rPr>
          </w:pPr>
          <w:r>
            <w:rPr/>
            <w:t>9.4</w:t>
          </w:r>
          <w:r>
            <w:rPr>
              <w:rFonts w:cs="Calibri" w:ascii="Calibri" w:hAnsi="Calibri"/>
              <w:sz w:val="22"/>
              <w:szCs w:val="22"/>
              <w:lang w:val="en-US" w:eastAsia="en-US"/>
            </w:rPr>
            <w:tab/>
          </w:r>
          <w:r>
            <w:rPr>
              <w:rFonts w:eastAsia="MS PGothic"/>
            </w:rPr>
            <w:t>Requirements for ePWS-UE incapable of displaying text based Warning Notification</w:t>
          </w:r>
          <w:r>
            <w:rPr/>
            <w:tab/>
          </w:r>
          <w:hyperlink w:anchor="__RefHeading___Toc52642447">
            <w:r>
              <w:rPr>
                <w:rStyle w:val="IndexLink"/>
              </w:rPr>
              <w:t>17</w:t>
            </w:r>
          </w:hyperlink>
        </w:p>
        <w:p>
          <w:pPr>
            <w:pStyle w:val="Contents3"/>
            <w:rPr>
              <w:rFonts w:ascii="Calibri" w:hAnsi="Calibri" w:cs="Calibri"/>
              <w:sz w:val="22"/>
              <w:szCs w:val="22"/>
              <w:lang w:val="en-US" w:eastAsia="en-US"/>
            </w:rPr>
          </w:pPr>
          <w:r>
            <w:rPr/>
            <w:t>9.4.1</w:t>
          </w:r>
          <w:r>
            <w:rPr>
              <w:rFonts w:cs="Calibri" w:ascii="Calibri" w:hAnsi="Calibri"/>
              <w:sz w:val="22"/>
              <w:szCs w:val="22"/>
              <w:lang w:val="en-US" w:eastAsia="en-US"/>
            </w:rPr>
            <w:tab/>
          </w:r>
          <w:r>
            <w:rPr/>
            <w:t xml:space="preserve">Requirements </w:t>
          </w:r>
          <w:r>
            <w:rPr>
              <w:lang w:val="en-US" w:eastAsia="en-US"/>
            </w:rPr>
            <w:t>for ePWS-UE with no user interface</w:t>
          </w:r>
          <w:r>
            <w:rPr/>
            <w:tab/>
          </w:r>
          <w:hyperlink w:anchor="__RefHeading___Toc52642448">
            <w:r>
              <w:rPr>
                <w:rStyle w:val="IndexLink"/>
              </w:rPr>
              <w:t>17</w:t>
            </w:r>
          </w:hyperlink>
        </w:p>
        <w:p>
          <w:pPr>
            <w:pStyle w:val="Contents3"/>
            <w:rPr>
              <w:rFonts w:ascii="Calibri" w:hAnsi="Calibri" w:cs="Calibri"/>
              <w:sz w:val="22"/>
              <w:szCs w:val="22"/>
              <w:lang w:val="en-US" w:eastAsia="en-US"/>
            </w:rPr>
          </w:pPr>
          <w:r>
            <w:rPr/>
            <w:t>9.4.2</w:t>
          </w:r>
          <w:r>
            <w:rPr>
              <w:rFonts w:cs="Calibri" w:ascii="Calibri" w:hAnsi="Calibri"/>
              <w:sz w:val="22"/>
              <w:szCs w:val="22"/>
              <w:lang w:val="en-US" w:eastAsia="en-US"/>
            </w:rPr>
            <w:tab/>
          </w:r>
          <w:r>
            <w:rPr/>
            <w:t xml:space="preserve">Requirements </w:t>
          </w:r>
          <w:r>
            <w:rPr>
              <w:lang w:val="en-US" w:eastAsia="en-US"/>
            </w:rPr>
            <w:t>for ePWS-UE with a user interface incapable of displaying text based Warning Notification</w:t>
          </w:r>
          <w:r>
            <w:rPr/>
            <w:tab/>
          </w:r>
          <w:hyperlink w:anchor="__RefHeading___Toc52642449">
            <w:r>
              <w:rPr>
                <w:rStyle w:val="IndexLink"/>
              </w:rPr>
              <w:t>17</w:t>
            </w:r>
          </w:hyperlink>
        </w:p>
        <w:p>
          <w:pPr>
            <w:pStyle w:val="Contents2"/>
            <w:rPr>
              <w:rFonts w:ascii="Calibri" w:hAnsi="Calibri" w:cs="Calibri"/>
              <w:sz w:val="22"/>
              <w:szCs w:val="22"/>
              <w:lang w:val="en-US" w:eastAsia="en-US"/>
            </w:rPr>
          </w:pPr>
          <w:r>
            <w:rPr/>
            <w:t>9.5</w:t>
          </w:r>
          <w:r>
            <w:rPr>
              <w:rFonts w:cs="Calibri" w:ascii="Calibri" w:hAnsi="Calibri"/>
              <w:sz w:val="22"/>
              <w:szCs w:val="22"/>
              <w:lang w:val="en-US" w:eastAsia="en-US"/>
            </w:rPr>
            <w:tab/>
          </w:r>
          <w:r>
            <w:rPr>
              <w:rFonts w:eastAsia="MS PGothic"/>
            </w:rPr>
            <w:t>Requirements for the improvement of understanding the Warning Notification</w:t>
          </w:r>
          <w:r>
            <w:rPr/>
            <w:tab/>
          </w:r>
          <w:hyperlink w:anchor="__RefHeading___Toc52642450">
            <w:r>
              <w:rPr>
                <w:rStyle w:val="IndexLink"/>
              </w:rPr>
              <w:t>17</w:t>
            </w:r>
          </w:hyperlink>
        </w:p>
        <w:p>
          <w:pPr>
            <w:pStyle w:val="Contents1"/>
            <w:rPr>
              <w:rFonts w:ascii="Calibri" w:hAnsi="Calibri" w:cs="Calibri"/>
              <w:szCs w:val="22"/>
              <w:lang w:val="en-US" w:eastAsia="en-US"/>
            </w:rPr>
          </w:pPr>
          <w:r>
            <w:rPr/>
            <w:t>10</w:t>
          </w:r>
          <w:r>
            <w:rPr>
              <w:rFonts w:cs="Calibri" w:ascii="Calibri" w:hAnsi="Calibri"/>
              <w:szCs w:val="22"/>
              <w:lang w:val="en-US" w:eastAsia="en-US"/>
            </w:rPr>
            <w:tab/>
          </w:r>
          <w:r>
            <w:rPr>
              <w:rFonts w:eastAsia="Malgun Gothic"/>
            </w:rPr>
            <w:t>Void</w:t>
          </w:r>
          <w:r>
            <w:rPr/>
            <w:tab/>
          </w:r>
          <w:hyperlink w:anchor="__RefHeading___Toc52642451">
            <w:r>
              <w:rPr>
                <w:rStyle w:val="IndexLink"/>
              </w:rPr>
              <w:t>18</w:t>
            </w:r>
          </w:hyperlink>
        </w:p>
        <w:p>
          <w:pPr>
            <w:pStyle w:val="Contents2"/>
            <w:rPr>
              <w:rFonts w:ascii="Calibri" w:hAnsi="Calibri" w:cs="Calibri"/>
              <w:sz w:val="22"/>
              <w:szCs w:val="22"/>
              <w:lang w:val="en-US" w:eastAsia="en-US"/>
            </w:rPr>
          </w:pPr>
          <w:r>
            <w:rPr/>
            <w:t>10.1</w:t>
          </w:r>
          <w:r>
            <w:rPr>
              <w:rFonts w:cs="Calibri" w:ascii="Calibri" w:hAnsi="Calibri"/>
              <w:sz w:val="22"/>
              <w:szCs w:val="22"/>
              <w:lang w:val="en-US" w:eastAsia="en-US"/>
            </w:rPr>
            <w:tab/>
          </w:r>
          <w:r>
            <w:rPr>
              <w:rFonts w:eastAsia="Malgun Gothic"/>
            </w:rPr>
            <w:t>Void</w:t>
          </w:r>
          <w:r>
            <w:rPr/>
            <w:tab/>
          </w:r>
          <w:hyperlink w:anchor="__RefHeading___Toc52642452">
            <w:r>
              <w:rPr>
                <w:rStyle w:val="IndexLink"/>
              </w:rPr>
              <w:t>18</w:t>
            </w:r>
          </w:hyperlink>
        </w:p>
        <w:p>
          <w:pPr>
            <w:pStyle w:val="Contents2"/>
            <w:rPr>
              <w:rFonts w:ascii="Calibri" w:hAnsi="Calibri" w:cs="Calibri"/>
              <w:sz w:val="22"/>
              <w:szCs w:val="22"/>
              <w:lang w:val="en-US" w:eastAsia="en-US"/>
            </w:rPr>
          </w:pPr>
          <w:r>
            <w:rPr/>
            <w:t>10.2</w:t>
          </w:r>
          <w:r>
            <w:rPr>
              <w:rFonts w:cs="Calibri" w:ascii="Calibri" w:hAnsi="Calibri"/>
              <w:sz w:val="22"/>
              <w:szCs w:val="22"/>
              <w:lang w:val="en-US" w:eastAsia="en-US"/>
            </w:rPr>
            <w:tab/>
          </w:r>
          <w:r>
            <w:rPr>
              <w:rFonts w:eastAsia="Malgun Gothic"/>
            </w:rPr>
            <w:t>Void</w:t>
          </w:r>
          <w:r>
            <w:rPr/>
            <w:tab/>
          </w:r>
          <w:hyperlink w:anchor="__RefHeading___Toc52642453">
            <w:r>
              <w:rPr>
                <w:rStyle w:val="IndexLink"/>
              </w:rPr>
              <w:t>18</w:t>
            </w:r>
          </w:hyperlink>
        </w:p>
        <w:p>
          <w:pPr>
            <w:pStyle w:val="Contents8"/>
            <w:rPr>
              <w:rFonts w:ascii="Calibri" w:hAnsi="Calibri" w:cs="Calibri"/>
              <w:szCs w:val="22"/>
              <w:lang w:val="en-US" w:eastAsia="en-US"/>
            </w:rPr>
          </w:pPr>
          <w:r>
            <w:rPr>
              <w:b w:val="false"/>
            </w:rPr>
            <w:t>Annex A (informative):</w:t>
            <w:tab/>
            <w:t>Change history</w:t>
            <w:tab/>
          </w:r>
          <w:hyperlink w:anchor="__RefHeading___Toc52642454">
            <w:r>
              <w:rPr>
                <w:rStyle w:val="IndexLink"/>
                <w:b w:val="false"/>
              </w:rPr>
              <w:t>19</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52642405"/>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52642406"/>
      <w:bookmarkEnd w:id="8"/>
      <w:r>
        <w:rPr/>
        <w:t>1</w:t>
        <w:tab/>
        <w:t>Scope</w:t>
      </w:r>
    </w:p>
    <w:p>
      <w:pPr>
        <w:pStyle w:val="Normal"/>
        <w:rPr/>
      </w:pPr>
      <w:r>
        <w:rPr/>
        <w:t>This Technical Specification defines the stage one description of the</w:t>
      </w:r>
      <w:r>
        <w:rPr/>
        <w:t xml:space="preserve"> </w:t>
      </w:r>
      <w:r>
        <w:rPr/>
        <w:t xml:space="preserve">Public Warning System (PWS) </w:t>
      </w:r>
      <w:r>
        <w:rPr/>
        <w:t>Requirements</w:t>
      </w:r>
      <w:r>
        <w:rPr/>
        <w:t>. Stage one is the set of requirements seen primarily from the users’ and service providers’ points of view.</w:t>
      </w:r>
    </w:p>
    <w:p>
      <w:pPr>
        <w:pStyle w:val="Normal"/>
        <w:rPr/>
      </w:pPr>
      <w:r>
        <w:rPr/>
        <w:t xml:space="preserve">The scope of this TS covers the core requirements for the PWS that are sufficient to provide a complete service. </w:t>
      </w:r>
      <w:r>
        <w:rPr/>
        <w:t xml:space="preserve">This TS also </w:t>
      </w:r>
      <w:r>
        <w:rPr/>
        <w:t>covers</w:t>
      </w:r>
      <w:r>
        <w:rPr/>
        <w:t xml:space="preserve"> </w:t>
      </w:r>
      <w:r>
        <w:rPr/>
        <w:t>subsystem</w:t>
      </w:r>
      <w:r>
        <w:rPr/>
        <w:t xml:space="preserve"> </w:t>
      </w:r>
      <w:r>
        <w:rPr/>
        <w:t xml:space="preserve">additional </w:t>
      </w:r>
      <w:r>
        <w:rPr/>
        <w:t>requirements for</w:t>
      </w:r>
      <w:r>
        <w:rPr/>
        <w:t xml:space="preserve"> the</w:t>
      </w:r>
      <w:r>
        <w:rPr/>
        <w:t xml:space="preserve"> </w:t>
      </w:r>
      <w:r>
        <w:rPr/>
        <w:t>Earthquake and Tsunami Warning System (ETWS) and the Commercial Mobile Alert System (CMAS)</w:t>
      </w:r>
      <w:r>
        <w:rPr/>
        <w:t>.</w:t>
      </w:r>
    </w:p>
    <w:p>
      <w:pPr>
        <w:pStyle w:val="Normal"/>
        <w:rPr/>
      </w:pPr>
      <w:r>
        <w:rPr/>
        <w:t>This TS includes information applicable to network operators, service providers, terminal and network manufacturers, in case of deployment of PWS, ETWS, and or CMAS. PWS, ETWS and CMAS deployment depends on operator decision or national regulations.</w:t>
      </w:r>
    </w:p>
    <w:p>
      <w:pPr>
        <w:pStyle w:val="Heading1"/>
        <w:ind w:left="1134" w:hanging="1134"/>
        <w:rPr/>
      </w:pPr>
      <w:bookmarkStart w:id="9" w:name="__RefHeading___Toc52642407"/>
      <w:bookmarkEnd w:id="9"/>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3"/>
        </w:numPr>
        <w:overflowPunct w:val="true"/>
        <w:autoSpaceDE w:val="true"/>
        <w:ind w:left="568" w:hanging="284"/>
        <w:textAlignment w:val="auto"/>
        <w:rPr/>
      </w:pPr>
      <w:r>
        <w:rPr/>
        <w:t>References are either specific (identified by date of publication, edition number, version number, etc.) or non</w:t>
        <w:noBreakHyphen/>
        <w:t>specific.</w:t>
      </w:r>
    </w:p>
    <w:p>
      <w:pPr>
        <w:pStyle w:val="ListBullet"/>
        <w:numPr>
          <w:ilvl w:val="0"/>
          <w:numId w:val="3"/>
        </w:numPr>
        <w:overflowPunct w:val="true"/>
        <w:autoSpaceDE w:val="true"/>
        <w:ind w:left="568" w:hanging="284"/>
        <w:textAlignment w:val="auto"/>
        <w:rPr/>
      </w:pPr>
      <w:r>
        <w:rPr/>
        <w:t>For a specific reference, subsequent revisions do not apply.</w:t>
      </w:r>
    </w:p>
    <w:p>
      <w:pPr>
        <w:pStyle w:val="ListBullet"/>
        <w:numPr>
          <w:ilvl w:val="0"/>
          <w:numId w:val="3"/>
        </w:numPr>
        <w:overflowPunct w:val="true"/>
        <w:autoSpaceDE w:val="true"/>
        <w:ind w:left="568" w:hanging="284"/>
        <w:textAlignment w:val="auto"/>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FCC 08-99: "Federal Communications Commission First Report and Order In the Matter of The Commercial Mobile Alert System"; April 9, 2008.</w:t>
      </w:r>
      <w:r>
        <w:rPr>
          <w:rStyle w:val="FootnoteCharacters"/>
        </w:rPr>
        <w:t xml:space="preserve"> </w:t>
      </w:r>
    </w:p>
    <w:p>
      <w:pPr>
        <w:pStyle w:val="EX"/>
        <w:rPr/>
      </w:pPr>
      <w:r>
        <w:rPr/>
        <w:t>[2]</w:t>
        <w:tab/>
        <w:t>FCC 08-164: "Federal Communications Commission Second Report and Order and Further Notice of Proposed Rulemaking In the Matter of The Commercial Mobile Alert System"; July 8, 2008.</w:t>
      </w:r>
    </w:p>
    <w:p>
      <w:pPr>
        <w:pStyle w:val="EX"/>
        <w:rPr/>
      </w:pPr>
      <w:r>
        <w:rPr/>
        <w:t>[3]</w:t>
        <w:tab/>
        <w:t xml:space="preserve">FCC 08-184: "Federal Communications Commission Third Report and Order and Further Notice of Proposed Rulemaking In the Matter of The Commercial Mobile Alert System"; August 7, 2008. </w:t>
      </w:r>
    </w:p>
    <w:p>
      <w:pPr>
        <w:pStyle w:val="EX"/>
        <w:rPr/>
      </w:pPr>
      <w:r>
        <w:rPr/>
        <w:t>[4]</w:t>
        <w:tab/>
        <w:t>J-STD-100: "</w:t>
      </w:r>
      <w:r>
        <w:rPr>
          <w:bCs/>
        </w:rPr>
        <w:t>Joint ATIS/TIA-CMAS Mobile Device Behavior Specification</w:t>
      </w:r>
      <w:r>
        <w:rPr/>
        <w:t>"; January 30, 2009</w:t>
      </w:r>
      <w:r>
        <w:rPr>
          <w:bCs/>
        </w:rPr>
        <w:t>.</w:t>
      </w:r>
    </w:p>
    <w:p>
      <w:pPr>
        <w:pStyle w:val="EX"/>
        <w:rPr/>
      </w:pPr>
      <w:r>
        <w:rPr>
          <w:bCs/>
        </w:rPr>
        <w:t>[5]</w:t>
        <w:tab/>
        <w:t xml:space="preserve">3GPP </w:t>
      </w:r>
      <w:r>
        <w:rPr/>
        <w:t>TR 21.905: "Vocabulary for 3GPP Specifications".</w:t>
      </w:r>
    </w:p>
    <w:p>
      <w:pPr>
        <w:pStyle w:val="EX"/>
        <w:rPr/>
      </w:pPr>
      <w:r>
        <w:rPr>
          <w:lang w:eastAsia="ja-JP"/>
        </w:rPr>
        <w:t>[6]</w:t>
        <w:tab/>
        <w:t xml:space="preserve">ETSI TS 102 900: "European Public Warning System (EU-ALERT) using the Cell Broadcast Service". </w:t>
      </w:r>
    </w:p>
    <w:p>
      <w:pPr>
        <w:pStyle w:val="EX"/>
        <w:rPr>
          <w:lang w:eastAsia="ja-JP"/>
        </w:rPr>
      </w:pPr>
      <w:r>
        <w:rPr>
          <w:lang w:eastAsia="ja-JP"/>
        </w:rPr>
        <w:t>[7]</w:t>
        <w:tab/>
      </w:r>
      <w:r>
        <w:rPr>
          <w:lang w:eastAsia="ja-JP"/>
        </w:rPr>
        <w:t>TTA TTAK.KO-06.0263:</w:t>
      </w:r>
      <w:r>
        <w:rPr>
          <w:lang w:eastAsia="ja-JP"/>
        </w:rPr>
        <w:t>"</w:t>
      </w:r>
      <w:r>
        <w:rPr>
          <w:lang w:eastAsia="ja-JP"/>
        </w:rPr>
        <w:t>Korean Public Alert System over LTE network</w:t>
      </w:r>
      <w:r>
        <w:rPr>
          <w:lang w:eastAsia="ja-JP"/>
        </w:rPr>
        <w:t>"</w:t>
      </w:r>
      <w:r>
        <w:rPr>
          <w:lang w:eastAsia="ja-JP"/>
        </w:rPr>
        <w:t>.</w:t>
      </w:r>
    </w:p>
    <w:p>
      <w:pPr>
        <w:pStyle w:val="EX"/>
        <w:rPr>
          <w:lang w:eastAsia="ja-JP"/>
        </w:rPr>
      </w:pPr>
      <w:r>
        <w:rPr>
          <w:lang w:eastAsia="ja-JP"/>
        </w:rPr>
        <w:t>[8]</w:t>
        <w:tab/>
        <w:t>FCC 16-127, Federal Communications Commission Report and Order and Further Notice of Proposed Rulemaking In the Matter of Wireless Emergency Alerts Amendments to Part 11 of the Commission’s Rules Regarding the Emergency Alert System; September 29, 2016.</w:t>
      </w:r>
    </w:p>
    <w:p>
      <w:pPr>
        <w:pStyle w:val="EX"/>
        <w:rPr>
          <w:lang w:eastAsia="ja-JP"/>
        </w:rPr>
      </w:pPr>
      <w:r>
        <w:rPr>
          <w:lang w:eastAsia="ja-JP"/>
        </w:rPr>
        <w:t>[9]</w:t>
        <w:tab/>
        <w:t>3GPP TS 23.038; "Alphabets and language-specific information"</w:t>
      </w:r>
    </w:p>
    <w:p>
      <w:pPr>
        <w:pStyle w:val="EX"/>
        <w:rPr/>
      </w:pPr>
      <w:r>
        <w:rPr>
          <w:lang w:eastAsia="ja-JP"/>
        </w:rPr>
        <w:t>[10]</w:t>
        <w:tab/>
        <w:t>FCC 18-4, Federal Communications Commission Second Report and Order and Second Order on Reconsideration In the Matter of Wireless Emergency Alerts and Amendments to Part 11 of the Commission’s Rules Regarding the Emergency Alert System; January 30, 2018</w:t>
      </w:r>
    </w:p>
    <w:p>
      <w:pPr>
        <w:pStyle w:val="EX"/>
        <w:rPr>
          <w:lang w:eastAsia="ja-JP"/>
        </w:rPr>
      </w:pPr>
      <w:r>
        <w:rPr>
          <w:lang w:eastAsia="ja-JP"/>
        </w:rPr>
        <w:t>[11]</w:t>
        <w:tab/>
        <w:t>3GPP TS 22.071: “Location Services (LCS); Service description; Stage 1”</w:t>
      </w:r>
    </w:p>
    <w:p>
      <w:pPr>
        <w:pStyle w:val="Heading1"/>
        <w:ind w:left="1134" w:hanging="1134"/>
        <w:rPr/>
      </w:pPr>
      <w:bookmarkStart w:id="10" w:name="__RefHeading___Toc52642408"/>
      <w:bookmarkEnd w:id="10"/>
      <w:r>
        <w:rPr/>
        <w:t>3</w:t>
        <w:tab/>
        <w:t>Definitions and abbreviations</w:t>
      </w:r>
    </w:p>
    <w:p>
      <w:pPr>
        <w:pStyle w:val="Heading2"/>
        <w:rPr/>
      </w:pPr>
      <w:bookmarkStart w:id="11" w:name="__RefHeading___Toc52642409"/>
      <w:bookmarkEnd w:id="11"/>
      <w:r>
        <w:rPr/>
        <w:t>3.1</w:t>
        <w:tab/>
        <w:t>Definitions</w:t>
      </w:r>
    </w:p>
    <w:p>
      <w:pPr>
        <w:pStyle w:val="Normal"/>
        <w:rPr/>
      </w:pPr>
      <w:r>
        <w:rPr/>
        <w:t>For the purposes of the present document, the terms and definitions given in TR 21.905 [5] and the following apply. A term defined in the present document takes precedence over the definition of the same term, if any, in TR 21.905 [5].</w:t>
      </w:r>
    </w:p>
    <w:p>
      <w:pPr>
        <w:pStyle w:val="Normal"/>
        <w:rPr>
          <w:b/>
          <w:b/>
          <w:lang w:eastAsia="ar-SA"/>
        </w:rPr>
      </w:pPr>
      <w:r>
        <w:rPr>
          <w:b/>
          <w:lang w:eastAsia="ar-SA"/>
        </w:rPr>
        <w:t xml:space="preserve">Commercial Mobile Alert System (aka, Wireless Emergency Alert): </w:t>
      </w:r>
      <w:r>
        <w:rPr/>
        <w:t>Public</w:t>
      </w:r>
      <w:r>
        <w:rPr/>
        <w:t xml:space="preserve"> Warning System </w:t>
      </w:r>
      <w:r>
        <w:rPr/>
        <w:t xml:space="preserve">that delivers </w:t>
      </w:r>
      <w:r>
        <w:rPr>
          <w:i/>
        </w:rPr>
        <w:t>W</w:t>
      </w:r>
      <w:r>
        <w:rPr>
          <w:i/>
        </w:rPr>
        <w:t xml:space="preserve">arning </w:t>
      </w:r>
      <w:r>
        <w:rPr>
          <w:i/>
        </w:rPr>
        <w:t>Notifications</w:t>
      </w:r>
      <w:r>
        <w:rPr/>
        <w:t xml:space="preserve"> provided by</w:t>
      </w:r>
      <w:r>
        <w:rPr/>
        <w:t xml:space="preserve"> </w:t>
      </w:r>
      <w:r>
        <w:rPr>
          <w:i/>
        </w:rPr>
        <w:t>W</w:t>
      </w:r>
      <w:r>
        <w:rPr>
          <w:i/>
        </w:rPr>
        <w:t xml:space="preserve">arning </w:t>
      </w:r>
      <w:r>
        <w:rPr>
          <w:i/>
        </w:rPr>
        <w:t>Notification</w:t>
      </w:r>
      <w:r>
        <w:rPr>
          <w:i/>
        </w:rPr>
        <w:t xml:space="preserve"> </w:t>
      </w:r>
      <w:r>
        <w:rPr>
          <w:i/>
        </w:rPr>
        <w:t>P</w:t>
      </w:r>
      <w:r>
        <w:rPr>
          <w:i/>
        </w:rPr>
        <w:t>rovider</w:t>
      </w:r>
      <w:r>
        <w:rPr>
          <w:i/>
        </w:rPr>
        <w:t>s</w:t>
      </w:r>
      <w:r>
        <w:rPr/>
        <w:t xml:space="preserve"> to CMAS capable PWS-</w:t>
      </w:r>
      <w:r>
        <w:rPr/>
        <w:t>UEs</w:t>
      </w:r>
      <w:r>
        <w:rPr/>
        <w:t>.</w:t>
      </w:r>
      <w:r>
        <w:rPr/>
        <w:t xml:space="preserve"> </w:t>
      </w:r>
      <w:r>
        <w:rPr/>
        <w:t>CMAS defines the following classes of Warning Notifications: Presidential, Imminent Threat, Public Safety, Child Abduction Emergency, and State/Local WEA Test.</w:t>
      </w:r>
    </w:p>
    <w:p>
      <w:pPr>
        <w:pStyle w:val="Normal"/>
        <w:rPr/>
      </w:pPr>
      <w:r>
        <w:rPr>
          <w:b/>
          <w:lang w:eastAsia="ar-SA"/>
        </w:rPr>
        <w:t>Earthquake and Tsunami Warning System:</w:t>
      </w:r>
      <w:r>
        <w:rPr>
          <w:lang w:eastAsia="ar-SA"/>
        </w:rPr>
        <w:t xml:space="preserve"> </w:t>
      </w:r>
      <w:r>
        <w:rPr/>
        <w:t xml:space="preserve">Public Warning System </w:t>
      </w:r>
      <w:r>
        <w:rPr/>
        <w:t xml:space="preserve">that delivers </w:t>
      </w:r>
      <w:r>
        <w:rPr>
          <w:i/>
        </w:rPr>
        <w:t>W</w:t>
      </w:r>
      <w:r>
        <w:rPr>
          <w:i/>
        </w:rPr>
        <w:t xml:space="preserve">arning </w:t>
      </w:r>
      <w:r>
        <w:rPr>
          <w:i/>
        </w:rPr>
        <w:t>Notifications</w:t>
      </w:r>
      <w:r>
        <w:rPr/>
        <w:t xml:space="preserve"> </w:t>
      </w:r>
      <w:r>
        <w:rPr/>
        <w:t>specific to Earthquake and Tsunami provided by</w:t>
      </w:r>
      <w:r>
        <w:rPr/>
        <w:t xml:space="preserve"> </w:t>
      </w:r>
      <w:r>
        <w:rPr>
          <w:i/>
        </w:rPr>
        <w:t>W</w:t>
      </w:r>
      <w:r>
        <w:rPr>
          <w:i/>
        </w:rPr>
        <w:t xml:space="preserve">arning </w:t>
      </w:r>
      <w:r>
        <w:rPr>
          <w:i/>
        </w:rPr>
        <w:t>Notification</w:t>
      </w:r>
      <w:r>
        <w:rPr>
          <w:i/>
        </w:rPr>
        <w:t xml:space="preserve"> </w:t>
      </w:r>
      <w:r>
        <w:rPr>
          <w:i/>
        </w:rPr>
        <w:t>P</w:t>
      </w:r>
      <w:r>
        <w:rPr>
          <w:i/>
        </w:rPr>
        <w:t>rovider</w:t>
      </w:r>
      <w:r>
        <w:rPr>
          <w:i/>
        </w:rPr>
        <w:t>s</w:t>
      </w:r>
      <w:r>
        <w:rPr/>
        <w:t xml:space="preserve"> to </w:t>
      </w:r>
      <w:r>
        <w:rPr/>
        <w:t>the UEs which have</w:t>
      </w:r>
      <w:r>
        <w:rPr/>
        <w:t xml:space="preserve"> the</w:t>
      </w:r>
      <w:r>
        <w:rPr/>
        <w:t xml:space="preserve"> capability of receiving </w:t>
      </w:r>
      <w:r>
        <w:rPr/>
        <w:t xml:space="preserve">Primary and Secondary </w:t>
      </w:r>
      <w:r>
        <w:rPr>
          <w:i/>
        </w:rPr>
        <w:t>Warning Notifications</w:t>
      </w:r>
      <w:r>
        <w:rPr/>
        <w:t xml:space="preserve"> within </w:t>
      </w:r>
      <w:r>
        <w:rPr>
          <w:i/>
        </w:rPr>
        <w:t>Notification</w:t>
      </w:r>
      <w:r>
        <w:rPr>
          <w:i/>
        </w:rPr>
        <w:t xml:space="preserve"> </w:t>
      </w:r>
      <w:r>
        <w:rPr>
          <w:i/>
        </w:rPr>
        <w:t>A</w:t>
      </w:r>
      <w:r>
        <w:rPr>
          <w:i/>
        </w:rPr>
        <w:t>rea</w:t>
      </w:r>
      <w:r>
        <w:rPr>
          <w:i/>
        </w:rPr>
        <w:t>s</w:t>
      </w:r>
      <w:r>
        <w:rPr/>
        <w:t xml:space="preserve"> through the 3GPP network</w:t>
      </w:r>
    </w:p>
    <w:p>
      <w:pPr>
        <w:pStyle w:val="Normal"/>
        <w:rPr/>
      </w:pPr>
      <w:r>
        <w:rPr>
          <w:b/>
        </w:rPr>
        <w:t>Notification Area</w:t>
      </w:r>
      <w:r>
        <w:rPr>
          <w:b/>
          <w:lang w:eastAsia="ar-SA"/>
        </w:rPr>
        <w:t>:</w:t>
      </w:r>
      <w:r>
        <w:rPr>
          <w:lang w:eastAsia="ar-SA"/>
        </w:rPr>
        <w:t xml:space="preserve"> </w:t>
      </w:r>
      <w:r>
        <w:rPr/>
        <w:t xml:space="preserve">area where </w:t>
      </w:r>
      <w:r>
        <w:rPr>
          <w:i/>
        </w:rPr>
        <w:t>Warning Notifications</w:t>
      </w:r>
      <w:r>
        <w:rPr/>
        <w:t xml:space="preserve"> are </w:t>
      </w:r>
      <w:r>
        <w:rPr/>
        <w:t>broadcast. This is an area that closely approximates the geographical information provided by the Warning Notification Provider</w:t>
      </w:r>
    </w:p>
    <w:p>
      <w:pPr>
        <w:pStyle w:val="Normal"/>
        <w:rPr/>
      </w:pPr>
      <w:r>
        <w:rPr>
          <w:b/>
        </w:rPr>
        <w:t xml:space="preserve">PWS-UE: </w:t>
      </w:r>
      <w:r>
        <w:rPr/>
        <w:t xml:space="preserve">User Equipment (UE) </w:t>
      </w:r>
      <w:r>
        <w:rPr/>
        <w:t>which ha</w:t>
      </w:r>
      <w:r>
        <w:rPr/>
        <w:t>s the</w:t>
      </w:r>
      <w:r>
        <w:rPr/>
        <w:t xml:space="preserve"> capability of receiving Warning Notifications</w:t>
      </w:r>
      <w:r>
        <w:rPr/>
        <w:t xml:space="preserve"> within </w:t>
      </w:r>
      <w:r>
        <w:rPr/>
        <w:t>Notification</w:t>
      </w:r>
      <w:r>
        <w:rPr/>
        <w:t xml:space="preserve"> </w:t>
      </w:r>
      <w:r>
        <w:rPr/>
        <w:t>A</w:t>
      </w:r>
      <w:r>
        <w:rPr/>
        <w:t>rea</w:t>
      </w:r>
      <w:r>
        <w:rPr/>
        <w:t>s through the 3GPP network</w:t>
      </w:r>
      <w:r>
        <w:rPr/>
        <w:t xml:space="preserve"> and conforms to the behaviour specific to the PWS service such as dedicated alerting indication and display of the Warning Notification upon reception </w:t>
      </w:r>
    </w:p>
    <w:p>
      <w:pPr>
        <w:pStyle w:val="Normal"/>
        <w:rPr/>
      </w:pPr>
      <w:r>
        <w:rPr>
          <w:b/>
        </w:rPr>
        <w:t>ePWS-UE: User Equipment (UE) that supports the ePWS functionality</w:t>
      </w:r>
    </w:p>
    <w:p>
      <w:pPr>
        <w:pStyle w:val="Heading2"/>
        <w:rPr/>
      </w:pPr>
      <w:bookmarkStart w:id="12" w:name="__RefHeading___Toc52642410"/>
      <w:bookmarkEnd w:id="12"/>
      <w:r>
        <w:rPr/>
        <w:t>3.2</w:t>
        <w:tab/>
        <w:t>Abbreviations</w:t>
      </w:r>
    </w:p>
    <w:p>
      <w:pPr>
        <w:pStyle w:val="Normal"/>
        <w:keepNext w:val="true"/>
        <w:rPr/>
      </w:pPr>
      <w:r>
        <w:rPr/>
        <w:t>For the purposes of the present document, the abbreviations given in TR 21.905 [5] and the following apply. An abbreviation defined in the present document takes precedence over the definition of the same abbreviation, if any, in TR 21.905 [5]</w:t>
      </w:r>
    </w:p>
    <w:p>
      <w:pPr>
        <w:pStyle w:val="EX"/>
        <w:rPr/>
      </w:pPr>
      <w:r>
        <w:rPr/>
        <w:t>CMAS</w:t>
        <w:tab/>
        <w:t>Commercial Mobile Alert System</w:t>
      </w:r>
    </w:p>
    <w:p>
      <w:pPr>
        <w:pStyle w:val="EX"/>
        <w:rPr/>
      </w:pPr>
      <w:r>
        <w:rPr/>
        <w:t>EOC</w:t>
        <w:tab/>
        <w:t>Emergency Operations Center</w:t>
      </w:r>
    </w:p>
    <w:p>
      <w:pPr>
        <w:pStyle w:val="EX"/>
        <w:rPr/>
      </w:pPr>
      <w:r>
        <w:rPr/>
        <w:t>ETWS</w:t>
        <w:tab/>
        <w:t>Earthquake and Tsunami Warning System</w:t>
      </w:r>
    </w:p>
    <w:p>
      <w:pPr>
        <w:pStyle w:val="EX"/>
        <w:rPr/>
      </w:pPr>
      <w:r>
        <w:rPr/>
        <w:t>KPAS</w:t>
        <w:tab/>
        <w:t>Korean Public Alert System</w:t>
      </w:r>
    </w:p>
    <w:p>
      <w:pPr>
        <w:pStyle w:val="EX"/>
        <w:rPr/>
      </w:pPr>
      <w:r>
        <w:rPr/>
        <w:t>PWS</w:t>
        <w:tab/>
        <w:t xml:space="preserve">Public Warning System </w:t>
      </w:r>
    </w:p>
    <w:p>
      <w:pPr>
        <w:pStyle w:val="EX"/>
        <w:rPr/>
      </w:pPr>
      <w:r>
        <w:rPr/>
        <w:t>WEA</w:t>
        <w:tab/>
        <w:t>Wireless Emergency Alert</w:t>
      </w:r>
    </w:p>
    <w:p>
      <w:pPr>
        <w:pStyle w:val="EX"/>
        <w:rPr/>
      </w:pPr>
      <w:r>
        <w:rPr>
          <w:lang w:eastAsia="ko-KR"/>
        </w:rPr>
        <w:t>ePWS</w:t>
      </w:r>
      <w:r>
        <w:rPr>
          <w:lang w:eastAsia="ko-KR"/>
        </w:rPr>
        <w:tab/>
        <w:t>enhancements of Public Warning System</w:t>
      </w:r>
    </w:p>
    <w:p>
      <w:pPr>
        <w:pStyle w:val="Heading1"/>
        <w:ind w:left="1134" w:hanging="1134"/>
        <w:rPr/>
      </w:pPr>
      <w:bookmarkStart w:id="13" w:name="__RefHeading___Toc52642411"/>
      <w:bookmarkEnd w:id="13"/>
      <w:r>
        <w:rPr/>
        <w:t>4</w:t>
        <w:tab/>
        <w:t>General PWS Requirements</w:t>
      </w:r>
    </w:p>
    <w:p>
      <w:pPr>
        <w:pStyle w:val="Heading2"/>
        <w:rPr/>
      </w:pPr>
      <w:bookmarkStart w:id="14" w:name="__RefHeading___Toc52642412"/>
      <w:bookmarkEnd w:id="14"/>
      <w:r>
        <w:rPr/>
        <w:t>4.1</w:t>
        <w:tab/>
        <w:t>Background</w:t>
      </w:r>
    </w:p>
    <w:p>
      <w:pPr>
        <w:pStyle w:val="Normal"/>
        <w:rPr/>
      </w:pPr>
      <w:r>
        <w:rPr/>
        <w:t xml:space="preserve">Recently there has been an interest to ensure that the public has the capability to receive timely and accurate alerts, warnings and critical information regarding disasters and other emergencies irrespective of what communications technologies they use. As has been learned from disasters such as earthquakes, tsunamis, hurricanes and wild fires; such a capability is essential to enable the public to take appropriate action to protect their families and themselves from serious injury, or loss of life or property. </w:t>
      </w:r>
    </w:p>
    <w:p>
      <w:pPr>
        <w:pStyle w:val="Normal"/>
        <w:rPr/>
      </w:pPr>
      <w:r>
        <w:rPr/>
        <w:t xml:space="preserve">This interest to enhance the reliability, resiliency, and security of Warning Notifications to the public by providing a mechanism to distribute Warning Notifications over 3GPP systems is the impetus for this Public Warning System Technical Specification. </w:t>
      </w:r>
    </w:p>
    <w:p>
      <w:pPr>
        <w:pStyle w:val="Heading2"/>
        <w:rPr/>
      </w:pPr>
      <w:bookmarkStart w:id="15" w:name="__RefHeading___Toc52642413"/>
      <w:bookmarkEnd w:id="15"/>
      <w:r>
        <w:rPr/>
        <w:t>4.2</w:t>
        <w:tab/>
        <w:t>High level general requirements for Warning Notification delivery</w:t>
      </w:r>
    </w:p>
    <w:p>
      <w:pPr>
        <w:pStyle w:val="Normal"/>
        <w:rPr/>
      </w:pPr>
      <w:r>
        <w:rPr/>
        <w:t>The following list gives the high level general requirements for Warning Notification delivery:</w:t>
      </w:r>
    </w:p>
    <w:p>
      <w:pPr>
        <w:pStyle w:val="B1"/>
        <w:rPr/>
      </w:pPr>
      <w:r>
        <w:rPr/>
        <w:t>-</w:t>
        <w:tab/>
        <w:t xml:space="preserve">PWS shall be able to broadcast Warning Notifications to multiple users simultaneously with no acknowledgement required. </w:t>
      </w:r>
    </w:p>
    <w:p>
      <w:pPr>
        <w:pStyle w:val="B1"/>
        <w:rPr/>
      </w:pPr>
      <w:r>
        <w:rPr/>
        <w:t>-</w:t>
        <w:tab/>
        <w:t>PWS shall be able to support concurrent broadcast of multiple Warning Notifications.</w:t>
      </w:r>
    </w:p>
    <w:p>
      <w:pPr>
        <w:pStyle w:val="B1"/>
        <w:rPr/>
      </w:pPr>
      <w:r>
        <w:rPr/>
        <w:t>-</w:t>
        <w:tab/>
      </w:r>
      <w:r>
        <w:rPr>
          <w:szCs w:val="22"/>
        </w:rPr>
        <w:t>Warning Notifications shall be broadcast to a Notification Area which is based on the geographical information as specified by the Warning Notification Provider.</w:t>
      </w:r>
    </w:p>
    <w:p>
      <w:pPr>
        <w:pStyle w:val="B1"/>
        <w:rPr/>
      </w:pPr>
      <w:r>
        <w:rPr/>
        <w:t>-</w:t>
        <w:tab/>
        <w:t xml:space="preserve">PWS capable UEs (PWS-UE) in idle mode shall be capable of receiving broadcasted Warning Notifications. </w:t>
      </w:r>
    </w:p>
    <w:p>
      <w:pPr>
        <w:pStyle w:val="NO"/>
        <w:rPr/>
      </w:pPr>
      <w:r>
        <w:rPr/>
        <w:t>Note:</w:t>
        <w:tab/>
        <w:t>A bandwidth reduced low complexity UE or a UE supporting eDRX may not support all requirements for PWS, including ETWS, CMAS, EU-Alert and KPAS</w:t>
      </w:r>
    </w:p>
    <w:p>
      <w:pPr>
        <w:pStyle w:val="B1"/>
        <w:rPr/>
      </w:pPr>
      <w:r>
        <w:rPr/>
        <w:t>-</w:t>
        <w:tab/>
        <w:t xml:space="preserve">PWS shall only be required to broadcast Warning Notifications in languages as prescribed by regulatory requirements. </w:t>
      </w:r>
    </w:p>
    <w:p>
      <w:pPr>
        <w:pStyle w:val="B1"/>
        <w:rPr/>
      </w:pPr>
      <w:r>
        <w:rPr/>
        <w:t>-</w:t>
        <w:tab/>
        <w:t>Warning Notifications are processed by PWS on a first in, first out basis, subject to regulatory requirements.</w:t>
      </w:r>
    </w:p>
    <w:p>
      <w:pPr>
        <w:pStyle w:val="B1"/>
        <w:rPr/>
      </w:pPr>
      <w:r>
        <w:rPr>
          <w:szCs w:val="22"/>
        </w:rPr>
        <w:t>-</w:t>
        <w:tab/>
      </w:r>
      <w:r>
        <w:rPr/>
        <w:t>Reception and presentation of Warning Notifications to the user shall not pre-empt an active voice or data session.</w:t>
      </w:r>
    </w:p>
    <w:p>
      <w:pPr>
        <w:pStyle w:val="B1"/>
        <w:rPr/>
      </w:pPr>
      <w:r>
        <w:rPr/>
        <w:t>-</w:t>
        <w:tab/>
        <w:t xml:space="preserve">Warning Notifications shall be limited </w:t>
      </w:r>
      <w:r>
        <w:rPr>
          <w:szCs w:val="22"/>
        </w:rPr>
        <w:t>to those emergencies where life or property is at imminent risk, and some responsive action should be taken.</w:t>
      </w:r>
    </w:p>
    <w:p>
      <w:pPr>
        <w:pStyle w:val="NO"/>
        <w:rPr/>
      </w:pPr>
      <w:r>
        <w:rPr/>
        <w:t xml:space="preserve">NOTE: </w:t>
        <w:tab/>
        <w:t xml:space="preserve">This requirement does not prohibit the use of the operator’s network (i.e. broadcast technology) implemented for Warning Notifications to be used for commercial services. </w:t>
      </w:r>
    </w:p>
    <w:p>
      <w:pPr>
        <w:pStyle w:val="Heading2"/>
        <w:rPr/>
      </w:pPr>
      <w:bookmarkStart w:id="16" w:name="__RefHeading___Toc52642414"/>
      <w:bookmarkEnd w:id="16"/>
      <w:r>
        <w:rPr/>
        <w:t>4.3</w:t>
        <w:tab/>
        <w:t>Warning Notification Content</w:t>
      </w:r>
    </w:p>
    <w:p>
      <w:pPr>
        <w:pStyle w:val="Normal"/>
        <w:keepNext w:val="true"/>
        <w:rPr/>
      </w:pPr>
      <w:r>
        <w:rPr/>
        <w:t xml:space="preserve">PWS shall not modify or translate the Warning Notification content specified by the Warning Notification Provider. </w:t>
      </w:r>
    </w:p>
    <w:p>
      <w:pPr>
        <w:pStyle w:val="Normal"/>
        <w:keepNext w:val="true"/>
        <w:rPr/>
      </w:pPr>
      <w:r>
        <w:rPr/>
        <w:t xml:space="preserve">It is expected that Warning Notifications would likely include the following five elements: </w:t>
      </w:r>
    </w:p>
    <w:p>
      <w:pPr>
        <w:pStyle w:val="FP"/>
        <w:rPr/>
      </w:pPr>
      <w:r>
        <w:rPr/>
        <w:t>-</w:t>
        <w:tab/>
        <w:t xml:space="preserve">Event Description </w:t>
      </w:r>
    </w:p>
    <w:p>
      <w:pPr>
        <w:pStyle w:val="FP"/>
        <w:rPr/>
      </w:pPr>
      <w:r>
        <w:rPr/>
        <w:t>-</w:t>
        <w:tab/>
        <w:t>Area Affected</w:t>
      </w:r>
    </w:p>
    <w:p>
      <w:pPr>
        <w:pStyle w:val="FP"/>
        <w:rPr/>
      </w:pPr>
      <w:r>
        <w:rPr/>
        <w:t>-</w:t>
        <w:tab/>
        <w:t xml:space="preserve">Recommended Action </w:t>
      </w:r>
    </w:p>
    <w:p>
      <w:pPr>
        <w:pStyle w:val="FP"/>
        <w:rPr/>
      </w:pPr>
      <w:r>
        <w:rPr/>
        <w:t>-</w:t>
        <w:tab/>
        <w:t xml:space="preserve">Expiration Time (with time zone) </w:t>
      </w:r>
    </w:p>
    <w:p>
      <w:pPr>
        <w:pStyle w:val="FP"/>
        <w:rPr/>
      </w:pPr>
      <w:r>
        <w:rPr/>
        <w:t>-</w:t>
        <w:tab/>
        <w:t>Sending Agency</w:t>
      </w:r>
    </w:p>
    <w:p>
      <w:pPr>
        <w:pStyle w:val="ParaNum"/>
        <w:numPr>
          <w:ilvl w:val="0"/>
          <w:numId w:val="0"/>
        </w:numPr>
        <w:ind w:left="0" w:hanging="0"/>
        <w:rPr>
          <w:lang w:val="en-GB"/>
        </w:rPr>
      </w:pPr>
      <w:r>
        <w:rPr>
          <w:lang w:val="en-GB"/>
        </w:rPr>
        <w:t xml:space="preserve">Additional elements may be present, based on regulatory requirements. </w:t>
      </w:r>
    </w:p>
    <w:p>
      <w:pPr>
        <w:pStyle w:val="Normal"/>
        <w:rPr>
          <w:lang w:eastAsia="ar-SA"/>
        </w:rPr>
      </w:pPr>
      <w:r>
        <w:rPr/>
        <w:t>There is a concern that URLs or telephone numbers in a Warning Notification could exacerbate wireless network congestion at a time when network traffic is already dramatically increasing as individuals contact police, fire, and rescue personnel, as well as their loved ones. Therefore, Warning Notifications should not contain anything that would drive immediate and debilitating traffic loads into the PLMN (i.e., URLs or dialable numbers) unless required by regional regulation.</w:t>
      </w:r>
    </w:p>
    <w:p>
      <w:pPr>
        <w:pStyle w:val="Heading2"/>
        <w:rPr/>
      </w:pPr>
      <w:bookmarkStart w:id="17" w:name="__RefHeading___Toc52642415"/>
      <w:bookmarkEnd w:id="17"/>
      <w:r>
        <w:rPr/>
        <w:t>4.4</w:t>
        <w:tab/>
        <w:t>Granularity of the distribution</w:t>
      </w:r>
    </w:p>
    <w:p>
      <w:pPr>
        <w:pStyle w:val="Normal"/>
        <w:rPr/>
      </w:pPr>
      <w:r>
        <w:rPr/>
        <w:t>Requirement</w:t>
      </w:r>
      <w:r>
        <w:rPr>
          <w:lang w:eastAsia="ar-SA"/>
        </w:rPr>
        <w:t>s for the granularity of the distribution of Warning Notifications include:</w:t>
      </w:r>
    </w:p>
    <w:p>
      <w:pPr>
        <w:pStyle w:val="B1"/>
        <w:rPr/>
      </w:pPr>
      <w:r>
        <w:rPr/>
        <w:t>-</w:t>
        <w:tab/>
        <w:t>Based on the geographical information indicated by the Warning Notification Provider, it shall be possible for the PLMN operators to define the Notification Area based on their network configuration of the area coverage such as distribution of cells, Node Bs, RNCs, etc.</w:t>
      </w:r>
    </w:p>
    <w:p>
      <w:pPr>
        <w:pStyle w:val="Heading2"/>
        <w:rPr/>
      </w:pPr>
      <w:bookmarkStart w:id="18" w:name="__RefHeading___Toc52642416"/>
      <w:bookmarkEnd w:id="18"/>
      <w:r>
        <w:rPr/>
        <w:t>4.5</w:t>
        <w:tab/>
        <w:t>Support of Warning Notification Providers</w:t>
      </w:r>
    </w:p>
    <w:p>
      <w:pPr>
        <w:pStyle w:val="Normal"/>
        <w:rPr/>
      </w:pPr>
      <w:r>
        <w:rPr/>
        <w:t xml:space="preserve">PLMN operators shall, at a minimum, be able to support the following functionalities through interaction with Warning Notification Providers: </w:t>
      </w:r>
    </w:p>
    <w:p>
      <w:pPr>
        <w:pStyle w:val="B1"/>
        <w:rPr/>
      </w:pPr>
      <w:r>
        <w:rPr/>
        <w:t>-</w:t>
        <w:tab/>
        <w:t>Activation of Warning Notification delivery</w:t>
      </w:r>
    </w:p>
    <w:p>
      <w:pPr>
        <w:pStyle w:val="B1"/>
        <w:ind w:left="568" w:hanging="0"/>
        <w:rPr/>
      </w:pPr>
      <w:r>
        <w:rPr/>
        <w:t>It shall be possible for multiple Warning Notifications to be activated concurrently from one or more Warning Notification Providers.</w:t>
      </w:r>
    </w:p>
    <w:p>
      <w:pPr>
        <w:pStyle w:val="B1"/>
        <w:rPr/>
      </w:pPr>
      <w:r>
        <w:rPr/>
        <w:t>-</w:t>
        <w:tab/>
        <w:t>Cancellation of Warning Notification delivery</w:t>
      </w:r>
    </w:p>
    <w:p>
      <w:pPr>
        <w:pStyle w:val="B1"/>
        <w:ind w:left="568" w:hanging="0"/>
        <w:rPr/>
      </w:pPr>
      <w:r>
        <w:rPr/>
        <w:t>A cancellation is a command from the Warning Notification Provider to stop dissemination of a specific Warning Notification.</w:t>
      </w:r>
    </w:p>
    <w:p>
      <w:pPr>
        <w:pStyle w:val="B1"/>
        <w:rPr/>
      </w:pPr>
      <w:r>
        <w:rPr/>
        <w:t xml:space="preserve">- </w:t>
        <w:tab/>
        <w:t>Updating of Warning Notification delivery</w:t>
      </w:r>
    </w:p>
    <w:p>
      <w:pPr>
        <w:pStyle w:val="B1"/>
        <w:ind w:left="568" w:hanging="0"/>
        <w:rPr/>
      </w:pPr>
      <w:r>
        <w:rPr/>
        <w:t>Warning Notification Providers update a previous Warning Notification to provide new instructions/information to the PLMN operator. When the Warning Notification Provider updates a previous Warning Notification they provide an identifier that allows the PLMN operator to associate the updated Warning Notification with the previous Warning Notification.</w:t>
      </w:r>
    </w:p>
    <w:p>
      <w:pPr>
        <w:pStyle w:val="Normal"/>
        <w:rPr/>
      </w:pPr>
      <w:r>
        <w:rPr/>
        <w:t>Additional functionality may be required based on regulatory or operator policy requirements.</w:t>
      </w:r>
    </w:p>
    <w:p>
      <w:pPr>
        <w:pStyle w:val="Heading2"/>
        <w:rPr>
          <w:rFonts w:eastAsia="MS PGothic"/>
        </w:rPr>
      </w:pPr>
      <w:bookmarkStart w:id="19" w:name="__RefHeading___Toc52642417"/>
      <w:bookmarkEnd w:id="19"/>
      <w:r>
        <w:rPr>
          <w:rFonts w:eastAsia="MS PGothic"/>
        </w:rPr>
        <w:t>4.6</w:t>
        <w:tab/>
        <w:t>PWS-UE Requirements</w:t>
      </w:r>
    </w:p>
    <w:p>
      <w:pPr>
        <w:pStyle w:val="Heading3"/>
        <w:rPr/>
      </w:pPr>
      <w:bookmarkStart w:id="20" w:name="__RefHeading___Toc52642418"/>
      <w:bookmarkEnd w:id="20"/>
      <w:r>
        <w:rPr/>
        <w:t>4.6.1</w:t>
        <w:tab/>
        <w:t>General Requirements</w:t>
      </w:r>
    </w:p>
    <w:p>
      <w:pPr>
        <w:pStyle w:val="Normal"/>
        <w:rPr/>
      </w:pPr>
      <w:r>
        <w:rPr/>
        <w:t>PWS-UEs shall only be required to receive and present Warning Notifications in languages as presented by the Warning Notification Provider. Regional/regulatory requirements may require the Warning Notifications to be broadcast in multiple languages.</w:t>
      </w:r>
    </w:p>
    <w:p>
      <w:pPr>
        <w:pStyle w:val="Normal"/>
        <w:rPr/>
      </w:pPr>
      <w:r>
        <w:rPr/>
        <w:t>There shall be no requirement for language translation in the operator’s network or the UE.</w:t>
      </w:r>
    </w:p>
    <w:p>
      <w:pPr>
        <w:pStyle w:val="Normal"/>
        <w:rPr/>
      </w:pPr>
      <w:r>
        <w:rPr/>
        <w:t>It shall be possible for the Warning Notification to be displayed on the PWS-UE upon reception and without any user interaction.</w:t>
      </w:r>
    </w:p>
    <w:p>
      <w:pPr>
        <w:pStyle w:val="Normal"/>
        <w:rPr/>
      </w:pPr>
      <w:r>
        <w:rPr/>
        <w:t xml:space="preserve">It shall be possible for users to configure the behavior of a PWS-UE with regard to Warning Notification alerting and should allow at least volume adjustment. </w:t>
      </w:r>
    </w:p>
    <w:p>
      <w:pPr>
        <w:pStyle w:val="Normal"/>
        <w:spacing w:before="120" w:after="120"/>
        <w:rPr/>
      </w:pPr>
      <w:r>
        <w:rPr/>
        <w:t xml:space="preserve">The PWS-UE shall support a dedicated alerting indication (audio attention signal and a dedicated vibration cadence) and be distinct from any other device alerts and restricted to use for Warning Notification purposes. The User Interface shall support the ability for the user to suppress the dedicated audio attention signal and/or the dedicated vibration cadence when a Warning Notification is received. </w:t>
      </w:r>
    </w:p>
    <w:p>
      <w:pPr>
        <w:pStyle w:val="Normal"/>
        <w:rPr/>
      </w:pPr>
      <w:r>
        <w:rPr/>
        <w:t>The alerting indication for a specific Warning Notification shall continue until suppressed by users' manual operation (e.g. by pushing keys). The frequency and duration of the continued alerting indication is mobile device implementation specific. This shall not suppress the alerting indication for subsequent Warning Notifications.</w:t>
      </w:r>
    </w:p>
    <w:p>
      <w:pPr>
        <w:pStyle w:val="Normal"/>
        <w:rPr/>
      </w:pPr>
      <w:r>
        <w:rPr/>
        <w:t>The PWS-UE shall automatically suppress duplicate notifications. A duplicate is a repetition of a previous notification as determined by unique parameters.</w:t>
      </w:r>
    </w:p>
    <w:p>
      <w:pPr>
        <w:pStyle w:val="ListNumber"/>
        <w:numPr>
          <w:ilvl w:val="0"/>
          <w:numId w:val="0"/>
        </w:numPr>
        <w:ind w:left="0" w:hanging="0"/>
        <w:rPr/>
      </w:pPr>
      <w:r>
        <w:rPr/>
        <w:t>The PWS-UE shall not support any capabilities to forward received Warning Notifications, to reply to received Warning Notifications, or to copy and paste the content of Warning Notifications.</w:t>
      </w:r>
    </w:p>
    <w:p>
      <w:pPr>
        <w:pStyle w:val="Normal"/>
        <w:keepNext w:val="true"/>
        <w:keepLines/>
        <w:spacing w:before="120" w:after="180"/>
        <w:rPr/>
      </w:pPr>
      <w:r>
        <w:rPr/>
        <w:t>PWS-UEs should have the ability to present previously displayed Warning Notifications if requested by the user.</w:t>
      </w:r>
    </w:p>
    <w:p>
      <w:pPr>
        <w:pStyle w:val="B1"/>
        <w:rPr/>
      </w:pPr>
      <w:r>
        <w:rPr/>
        <w:t>-</w:t>
        <w:tab/>
        <w:t>PWS-UE shall be able to support concurrent reception of multiple Warning Notifications.</w:t>
      </w:r>
    </w:p>
    <w:p>
      <w:pPr>
        <w:pStyle w:val="Heading3"/>
        <w:rPr/>
      </w:pPr>
      <w:bookmarkStart w:id="21" w:name="__RefHeading___Toc52642419"/>
      <w:bookmarkEnd w:id="21"/>
      <w:r>
        <w:rPr/>
        <w:t>4.6.2</w:t>
        <w:tab/>
        <w:t>Support of non-Warning Notification</w:t>
      </w:r>
      <w:r>
        <w:rPr>
          <w:sz w:val="20"/>
        </w:rPr>
        <w:t xml:space="preserve"> </w:t>
      </w:r>
      <w:r>
        <w:rPr/>
        <w:t>capable UEs</w:t>
      </w:r>
    </w:p>
    <w:p>
      <w:pPr>
        <w:pStyle w:val="Normal"/>
        <w:rPr/>
      </w:pPr>
      <w:r>
        <w:rPr/>
        <w:t>Support of non-Warning Notification capable UEs is subject to regulatory requirements and/or operator's policy.</w:t>
      </w:r>
    </w:p>
    <w:p>
      <w:pPr>
        <w:pStyle w:val="Heading3"/>
        <w:rPr>
          <w:lang w:eastAsia="ar-SA"/>
        </w:rPr>
      </w:pPr>
      <w:bookmarkStart w:id="22" w:name="__RefHeading___Toc52642420"/>
      <w:bookmarkEnd w:id="22"/>
      <w:r>
        <w:rPr>
          <w:lang w:eastAsia="ar-SA"/>
        </w:rPr>
        <w:t>4.6.3</w:t>
        <w:tab/>
        <w:t>Battery Life of PWS-UE</w:t>
      </w:r>
    </w:p>
    <w:p>
      <w:pPr>
        <w:pStyle w:val="Normal"/>
        <w:rPr>
          <w:lang w:eastAsia="ar-SA"/>
        </w:rPr>
      </w:pPr>
      <w:r>
        <w:rPr/>
        <w:t>Battery life of the PWS-UE shall not be significantly reduced by PWS.</w:t>
      </w:r>
    </w:p>
    <w:p>
      <w:pPr>
        <w:pStyle w:val="Heading3"/>
        <w:rPr/>
      </w:pPr>
      <w:bookmarkStart w:id="23" w:name="__RefHeading___Toc52642421"/>
      <w:bookmarkEnd w:id="23"/>
      <w:r>
        <w:rPr/>
        <w:t>4.6.4</w:t>
        <w:tab/>
        <w:t>Enabling and disabling of Warning Notifications</w:t>
      </w:r>
    </w:p>
    <w:p>
      <w:pPr>
        <w:pStyle w:val="Normal"/>
        <w:rPr/>
      </w:pPr>
      <w:r>
        <w:rPr/>
        <w:t>The PWS-UE shall be configured to receive all Warning Notifications.</w:t>
      </w:r>
    </w:p>
    <w:p>
      <w:pPr>
        <w:pStyle w:val="Normal"/>
        <w:rPr/>
      </w:pPr>
      <w:r>
        <w:rPr/>
        <w:t>It shall be possible for users to disable (e.g., opt-out) presentation of some or all of the Warning Notifications, subject to regulatory requirements and/or operator policy. The user shall be able to select PWS-UE enabling/disabling options via the U</w:t>
      </w:r>
      <w:r>
        <w:rPr>
          <w:lang w:eastAsia="ar-SA"/>
        </w:rPr>
        <w:t xml:space="preserve">ser </w:t>
      </w:r>
      <w:r>
        <w:rPr/>
        <w:t>I</w:t>
      </w:r>
      <w:r>
        <w:rPr>
          <w:lang w:eastAsia="ar-SA"/>
        </w:rPr>
        <w:t>nterface</w:t>
      </w:r>
      <w:r>
        <w:rPr/>
        <w:t xml:space="preserve"> to disable, or later enable, the PWS-UE behavior in response to some or all Warning Notifications. Depending on the regional/regulatory requirements, the user shall be able to receive Warning Notifications in one or more selected languages.</w:t>
      </w:r>
    </w:p>
    <w:p>
      <w:pPr>
        <w:pStyle w:val="Normal"/>
        <w:rPr/>
      </w:pPr>
      <w:r>
        <w:rPr>
          <w:lang w:val="en-US" w:eastAsia="en-US"/>
        </w:rPr>
        <w:t>Where regional or national regulations allow, the HPLMN operator shall be able to instruct the PWS-UE to ignore all Warning Notifications</w:t>
      </w:r>
      <w:r>
        <w:rPr/>
        <w:t xml:space="preserve"> in the HPLMN and in PLMNs equivalent to it, by means of a setting on the USIM.</w:t>
      </w:r>
    </w:p>
    <w:p>
      <w:pPr>
        <w:pStyle w:val="Normal"/>
        <w:rPr/>
      </w:pPr>
      <w:r>
        <w:rPr>
          <w:lang w:val="en-US" w:eastAsia="en-US"/>
        </w:rPr>
        <w:t>Where regional or national regulations pertaining to a VPLMN allow, t</w:t>
      </w:r>
      <w:r>
        <w:rPr/>
        <w:t>he HPLMN operator shall be able to instruct the PWS-UE to ignore all Warning Notifications that are received whilst in this VPLMN, by means of a setting on the USIM, when the integrity of Warning Notifications in this VPLMN is known by the HPLMN operator to be compromised. This setting need not distinguish VPLMNs.</w:t>
      </w:r>
    </w:p>
    <w:p>
      <w:pPr>
        <w:pStyle w:val="Normal"/>
        <w:jc w:val="both"/>
        <w:rPr/>
      </w:pPr>
      <w:r>
        <w:rPr/>
        <w:t>Subject to regional or national regulations, a PWS-UE in limited service state shall be able to receive and display Warning Notifications.</w:t>
      </w:r>
    </w:p>
    <w:p>
      <w:pPr>
        <w:pStyle w:val="NO"/>
        <w:rPr/>
      </w:pPr>
      <w:r>
        <w:rPr>
          <w:lang w:eastAsia="ja-JP"/>
        </w:rPr>
        <w:t>NOTE 1:</w:t>
        <w:tab/>
        <w:t>Non-existing or empty USIM data files results in all Warning Notifications being presented to the PWS application.</w:t>
      </w:r>
    </w:p>
    <w:p>
      <w:pPr>
        <w:pStyle w:val="NO"/>
        <w:rPr/>
      </w:pPr>
      <w:r>
        <w:rPr>
          <w:lang w:eastAsia="ja-JP"/>
        </w:rPr>
        <w:t>NOTE 2:</w:t>
        <w:tab/>
        <w:t xml:space="preserve"> (void).</w:t>
      </w:r>
    </w:p>
    <w:p>
      <w:pPr>
        <w:pStyle w:val="Heading2"/>
        <w:rPr/>
      </w:pPr>
      <w:bookmarkStart w:id="24" w:name="__RefHeading___Toc52642422"/>
      <w:bookmarkEnd w:id="24"/>
      <w:r>
        <w:rPr/>
        <w:t>4.7</w:t>
        <w:tab/>
        <w:t>Roaming Requirements</w:t>
      </w:r>
    </w:p>
    <w:p>
      <w:pPr>
        <w:pStyle w:val="NO"/>
        <w:keepLines w:val="false"/>
        <w:ind w:left="0" w:hanging="0"/>
        <w:rPr/>
      </w:pPr>
      <w:r>
        <w:rPr/>
        <w:t>It shall be possible for PWS-UEs that are enabled for Warning Notifications in the HPLMN to receive Warning Notifications from the VPLMN supporting PWS when roaming.</w:t>
      </w:r>
    </w:p>
    <w:p>
      <w:pPr>
        <w:pStyle w:val="Normal"/>
        <w:rPr/>
      </w:pPr>
      <w:r>
        <w:rPr/>
        <w:t xml:space="preserve">A PWS-UE that does not support the PWS requirements of the VPLMN’s PWS service may not receive Warning Notifications from that VPLMN. </w:t>
      </w:r>
    </w:p>
    <w:p>
      <w:pPr>
        <w:pStyle w:val="NO"/>
        <w:rPr/>
      </w:pPr>
      <w:r>
        <w:rPr>
          <w:caps/>
        </w:rPr>
        <w:t>Note</w:t>
      </w:r>
      <w:r>
        <w:rPr/>
        <w:t xml:space="preserve">: </w:t>
        <w:tab/>
        <w:t>See section 4.9 for roaming impacts to PWS due to regional regulatory requirements.</w:t>
      </w:r>
    </w:p>
    <w:p>
      <w:pPr>
        <w:pStyle w:val="Heading2"/>
        <w:rPr/>
      </w:pPr>
      <w:bookmarkStart w:id="25" w:name="__RefHeading___Toc52642423"/>
      <w:bookmarkEnd w:id="25"/>
      <w:r>
        <w:rPr/>
        <w:t>4.8</w:t>
        <w:tab/>
        <w:t>Security Requirements</w:t>
      </w:r>
    </w:p>
    <w:p>
      <w:pPr>
        <w:pStyle w:val="Normal"/>
        <w:rPr/>
      </w:pPr>
      <w:r>
        <w:rPr>
          <w:lang w:eastAsia="ar-SA"/>
        </w:rPr>
        <w:t xml:space="preserve">Security </w:t>
      </w:r>
      <w:r>
        <w:rPr/>
        <w:t>requirements</w:t>
      </w:r>
      <w:r>
        <w:rPr>
          <w:lang w:eastAsia="ar-SA"/>
        </w:rPr>
        <w:t xml:space="preserve"> are </w:t>
      </w:r>
      <w:r>
        <w:rPr/>
        <w:t xml:space="preserve">as </w:t>
      </w:r>
      <w:r>
        <w:rPr>
          <w:lang w:eastAsia="ar-SA"/>
        </w:rPr>
        <w:t>follow</w:t>
      </w:r>
      <w:r>
        <w:rPr/>
        <w:t>s:</w:t>
      </w:r>
      <w:r>
        <w:rPr>
          <w:lang w:eastAsia="ar-SA"/>
        </w:rPr>
        <w:t xml:space="preserve"> </w:t>
      </w:r>
    </w:p>
    <w:p>
      <w:pPr>
        <w:pStyle w:val="B1"/>
        <w:rPr/>
      </w:pPr>
      <w:r>
        <w:rPr>
          <w:lang w:eastAsia="ar-SA"/>
        </w:rPr>
        <w:t>-</w:t>
        <w:tab/>
        <w:t>PWS shall only broadcast Warning Notifications that come from an authenticated authorized source.</w:t>
      </w:r>
    </w:p>
    <w:p>
      <w:pPr>
        <w:pStyle w:val="B1"/>
        <w:ind w:left="284" w:hanging="284"/>
        <w:rPr>
          <w:lang w:eastAsia="ar-SA"/>
        </w:rPr>
      </w:pPr>
      <w:r>
        <w:rPr>
          <w:lang w:eastAsia="ar-SA"/>
        </w:rPr>
        <w:t>The following requirements only apply when not roaming internationally:</w:t>
      </w:r>
    </w:p>
    <w:p>
      <w:pPr>
        <w:pStyle w:val="B1"/>
        <w:rPr/>
      </w:pPr>
      <w:r>
        <w:rPr>
          <w:lang w:eastAsia="ar-SA"/>
        </w:rPr>
        <w:t>-</w:t>
        <w:tab/>
        <w:t>When required by regional or national regulations, the integrity of the Warning Notification shall be protected. If no such regulatory requirement exists, there shall be no integrity protection of Warning Notifications, and all Warning Notifications shall be presented to the PWS application on the PWS-UE.</w:t>
      </w:r>
    </w:p>
    <w:p>
      <w:pPr>
        <w:pStyle w:val="B1"/>
        <w:rPr/>
      </w:pPr>
      <w:r>
        <w:rPr>
          <w:lang w:eastAsia="ar-SA"/>
        </w:rPr>
        <w:t>-</w:t>
        <w:tab/>
        <w:t>When required by regional or national regulations, the PWS shall protect against false Warning Notification messages. If no such regulatory requirement exists, there shall be no protection against false Warning Notifications, and all Warning Notifications shall be presented to the PWS application on the PWS-UE.</w:t>
      </w:r>
    </w:p>
    <w:p>
      <w:pPr>
        <w:pStyle w:val="NO"/>
        <w:rPr/>
      </w:pPr>
      <w:r>
        <w:rPr>
          <w:caps/>
        </w:rPr>
        <w:t>Note 1</w:t>
      </w:r>
      <w:r>
        <w:rPr/>
        <w:t>:</w:t>
        <w:tab/>
        <w:t>These requirements are subject to</w:t>
      </w:r>
      <w:r>
        <w:rPr>
          <w:color w:val="0000FF"/>
        </w:rPr>
        <w:t xml:space="preserve"> </w:t>
      </w:r>
      <w:r>
        <w:rPr/>
        <w:t>regulatory policies.</w:t>
      </w:r>
    </w:p>
    <w:p>
      <w:pPr>
        <w:pStyle w:val="NO"/>
        <w:rPr/>
      </w:pPr>
      <w:r>
        <w:rPr/>
        <w:t>NOTE 2:</w:t>
        <w:tab/>
        <w:t>The authentication and authorisation of the source are outside the scope of 3GPP Specifications.</w:t>
      </w:r>
    </w:p>
    <w:p>
      <w:pPr>
        <w:pStyle w:val="Heading2"/>
        <w:rPr/>
      </w:pPr>
      <w:bookmarkStart w:id="26" w:name="__RefHeading___Toc52642424"/>
      <w:bookmarkEnd w:id="26"/>
      <w:r>
        <w:rPr/>
        <w:t>4.9</w:t>
        <w:tab/>
        <w:t>Regulatory Requirements</w:t>
      </w:r>
    </w:p>
    <w:p>
      <w:pPr>
        <w:pStyle w:val="Normal"/>
        <w:rPr/>
      </w:pPr>
      <w:r>
        <w:rPr/>
        <w:t xml:space="preserve">The PWS offered by a PLMN may be subject to PWS regional regulatory requirements and thus, the PWS offered may differ from PLMN to PLMN as well as from region to region within a PLMN. </w:t>
      </w:r>
    </w:p>
    <w:p>
      <w:pPr>
        <w:pStyle w:val="Heading1"/>
        <w:ind w:left="1134" w:hanging="1134"/>
        <w:rPr/>
      </w:pPr>
      <w:bookmarkStart w:id="27" w:name="__RefHeading___Toc52642425"/>
      <w:bookmarkEnd w:id="27"/>
      <w:r>
        <w:rPr/>
        <w:t>5</w:t>
        <w:tab/>
        <w:t>Earthquake and Tsunami Warning System</w:t>
      </w:r>
    </w:p>
    <w:p>
      <w:pPr>
        <w:pStyle w:val="Heading2"/>
        <w:rPr/>
      </w:pPr>
      <w:bookmarkStart w:id="28" w:name="__RefHeading___Toc52642426"/>
      <w:bookmarkEnd w:id="28"/>
      <w:r>
        <w:rPr/>
        <w:t>5.1</w:t>
        <w:tab/>
        <w:t>Background</w:t>
      </w:r>
    </w:p>
    <w:p>
      <w:pPr>
        <w:pStyle w:val="Normal"/>
        <w:rPr/>
      </w:pPr>
      <w:r>
        <w:rPr/>
        <w:t>Warning Notifications are expected to be delivered to the users while satisfying the following requirements</w:t>
      </w:r>
      <w:r>
        <w:rPr/>
        <w:t>:</w:t>
      </w:r>
    </w:p>
    <w:p>
      <w:pPr>
        <w:pStyle w:val="B1"/>
        <w:rPr/>
      </w:pPr>
      <w:r>
        <w:rPr/>
        <w:t>-</w:t>
        <w:tab/>
      </w:r>
      <w:r>
        <w:rPr/>
        <w:t xml:space="preserve">Quick Warning Notification delivery after the </w:t>
      </w:r>
      <w:r>
        <w:rPr/>
        <w:t>occurrence</w:t>
      </w:r>
      <w:r>
        <w:rPr/>
        <w:t xml:space="preserve"> of Earthquake or Tsunami.</w:t>
      </w:r>
    </w:p>
    <w:p>
      <w:pPr>
        <w:pStyle w:val="B1"/>
        <w:rPr/>
      </w:pPr>
      <w:r>
        <w:rPr/>
        <w:tab/>
      </w:r>
      <w:r>
        <w:rPr/>
        <w:t xml:space="preserve">Earthquake and Tsunami propagate very fast. The duration time between the actual </w:t>
      </w:r>
      <w:r>
        <w:rPr/>
        <w:t>occurrence</w:t>
      </w:r>
      <w:r>
        <w:rPr/>
        <w:t xml:space="preserve"> of the disaster and its arrival is very short. The order of the duration time is around seconds or minutes at most. Therefore the Warning Notifications shall be delivered quickly to the users in the emergency impacted area so that they could take any actions to escape from danger. </w:t>
      </w:r>
    </w:p>
    <w:p>
      <w:pPr>
        <w:pStyle w:val="B1"/>
        <w:rPr/>
      </w:pPr>
      <w:r>
        <w:rPr/>
        <w:t>-</w:t>
        <w:tab/>
      </w:r>
      <w:r>
        <w:rPr/>
        <w:t>Accurate Warning Notification delivery.</w:t>
      </w:r>
    </w:p>
    <w:p>
      <w:pPr>
        <w:pStyle w:val="B1"/>
        <w:rPr/>
      </w:pPr>
      <w:r>
        <w:rPr/>
        <w:tab/>
      </w:r>
      <w:r>
        <w:rPr/>
        <w:t xml:space="preserve">Warning Notification delivery urges the users to take the actions such as evacuation. Therefore, the Warning Notification shall be delivered to the users accurately in the Notification Area and the content of Warning Notification should be understandable for many types of users (i.e. </w:t>
      </w:r>
      <w:r>
        <w:rPr/>
        <w:t>impaired</w:t>
      </w:r>
      <w:r>
        <w:rPr/>
        <w:t xml:space="preserve"> persons, foreigners). </w:t>
      </w:r>
    </w:p>
    <w:p>
      <w:pPr>
        <w:pStyle w:val="Heading2"/>
        <w:rPr>
          <w:lang w:eastAsia="ar-SA"/>
        </w:rPr>
      </w:pPr>
      <w:bookmarkStart w:id="29" w:name="__RefHeading___Toc52642427"/>
      <w:bookmarkEnd w:id="29"/>
      <w:r>
        <w:rPr>
          <w:lang w:eastAsia="ar-SA"/>
        </w:rPr>
        <w:t>5.2</w:t>
        <w:tab/>
        <w:t>Duration of delivery time</w:t>
      </w:r>
    </w:p>
    <w:p>
      <w:pPr>
        <w:pStyle w:val="Normal"/>
        <w:rPr>
          <w:lang w:eastAsia="ar-SA"/>
        </w:rPr>
      </w:pPr>
      <w:r>
        <w:rPr>
          <w:lang w:eastAsia="ar-SA"/>
        </w:rPr>
        <w:t xml:space="preserve">Duration of the delivery time for </w:t>
      </w:r>
      <w:r>
        <w:rPr/>
        <w:t>PLMN</w:t>
      </w:r>
      <w:r>
        <w:rPr>
          <w:lang w:eastAsia="ar-SA"/>
        </w:rPr>
        <w:t xml:space="preserve"> operators is the time from the receipt of the </w:t>
      </w:r>
      <w:r>
        <w:rPr/>
        <w:t>W</w:t>
      </w:r>
      <w:r>
        <w:rPr>
          <w:lang w:eastAsia="ar-SA"/>
        </w:rPr>
        <w:t xml:space="preserve">arning </w:t>
      </w:r>
      <w:r>
        <w:rPr/>
        <w:t>N</w:t>
      </w:r>
      <w:r>
        <w:rPr>
          <w:lang w:eastAsia="ar-SA"/>
        </w:rPr>
        <w:t xml:space="preserve">otification by the </w:t>
      </w:r>
      <w:r>
        <w:rPr/>
        <w:t>PLMN</w:t>
      </w:r>
      <w:r>
        <w:rPr>
          <w:lang w:eastAsia="ar-SA"/>
        </w:rPr>
        <w:t xml:space="preserve"> operator, i.e. the edge of the 3GPP network, to the time that the </w:t>
      </w:r>
      <w:r>
        <w:rPr/>
        <w:t>W</w:t>
      </w:r>
      <w:r>
        <w:rPr>
          <w:lang w:eastAsia="ar-SA"/>
        </w:rPr>
        <w:t xml:space="preserve">arning </w:t>
      </w:r>
      <w:r>
        <w:rPr/>
        <w:t>N</w:t>
      </w:r>
      <w:r>
        <w:rPr>
          <w:lang w:eastAsia="ar-SA"/>
        </w:rPr>
        <w:t xml:space="preserve">otification is </w:t>
      </w:r>
      <w:r>
        <w:rPr/>
        <w:t>successfully delivered to the UEs</w:t>
      </w:r>
      <w:r>
        <w:rPr/>
        <w:t>.</w:t>
      </w:r>
    </w:p>
    <w:p>
      <w:pPr>
        <w:pStyle w:val="Normal"/>
        <w:spacing w:before="240" w:after="240"/>
        <w:rPr/>
      </w:pPr>
      <w:r>
        <w:rPr/>
        <w:t>P</w:t>
      </w:r>
      <w:r>
        <w:rPr/>
        <w:t xml:space="preserve">rovisioning </w:t>
      </w:r>
      <w:r>
        <w:rPr/>
        <w:t xml:space="preserve">of delivery of Primary and Secondary Notification </w:t>
      </w:r>
      <w:r>
        <w:rPr/>
        <w:t>may be required:</w:t>
      </w:r>
    </w:p>
    <w:p>
      <w:pPr>
        <w:pStyle w:val="B1"/>
        <w:rPr/>
      </w:pPr>
      <w:r>
        <w:rPr/>
        <w:t>-</w:t>
        <w:tab/>
      </w:r>
      <w:r>
        <w:rPr/>
        <w:t xml:space="preserve">Primary Notification shall be delivered </w:t>
      </w:r>
      <w:r>
        <w:rPr/>
        <w:t>within</w:t>
      </w:r>
      <w:r>
        <w:rPr/>
        <w:t xml:space="preserve"> 4 seconds to the </w:t>
      </w:r>
      <w:r>
        <w:rPr/>
        <w:t>UE</w:t>
      </w:r>
      <w:r>
        <w:rPr/>
        <w:t xml:space="preserve"> in the</w:t>
      </w:r>
      <w:r>
        <w:rPr/>
        <w:t xml:space="preserve"> </w:t>
      </w:r>
      <w:r>
        <w:rPr/>
        <w:t>Notification A</w:t>
      </w:r>
      <w:r>
        <w:rPr/>
        <w:t xml:space="preserve">rea </w:t>
      </w:r>
      <w:r>
        <w:rPr/>
        <w:t xml:space="preserve">even under congestion situation. </w:t>
      </w:r>
    </w:p>
    <w:p>
      <w:pPr>
        <w:pStyle w:val="B1"/>
        <w:rPr/>
      </w:pPr>
      <w:r>
        <w:rPr/>
        <w:t>-</w:t>
        <w:tab/>
      </w:r>
      <w:r>
        <w:rPr/>
        <w:t>Secondary Notification is delivered to the users in the</w:t>
      </w:r>
      <w:r>
        <w:rPr/>
        <w:t xml:space="preserve"> </w:t>
      </w:r>
      <w:r>
        <w:rPr/>
        <w:t>Notification A</w:t>
      </w:r>
      <w:r>
        <w:rPr/>
        <w:t xml:space="preserve">rea </w:t>
      </w:r>
      <w:r>
        <w:rPr/>
        <w:t>even under congestion situation.</w:t>
      </w:r>
    </w:p>
    <w:p>
      <w:pPr>
        <w:pStyle w:val="NO"/>
        <w:rPr/>
      </w:pPr>
      <w:r>
        <w:rPr>
          <w:caps/>
        </w:rPr>
        <w:t>Note</w:t>
      </w:r>
      <w:r>
        <w:rPr>
          <w:caps/>
        </w:rPr>
        <w:t xml:space="preserve"> 1</w:t>
      </w:r>
      <w:r>
        <w:rPr/>
        <w:t xml:space="preserve">: </w:t>
      </w:r>
      <w:r>
        <w:rPr/>
        <w:tab/>
      </w:r>
      <w:r>
        <w:rPr/>
        <w:t xml:space="preserve">UEs that are out of </w:t>
      </w:r>
      <w:r>
        <w:rPr/>
        <w:t>coverage or switched off</w:t>
      </w:r>
      <w:r>
        <w:rPr/>
        <w:t xml:space="preserve"> </w:t>
      </w:r>
      <w:r>
        <w:rPr/>
        <w:t>are</w:t>
      </w:r>
      <w:r>
        <w:rPr/>
        <w:t xml:space="preserve"> not considered in the requirements. </w:t>
      </w:r>
    </w:p>
    <w:p>
      <w:pPr>
        <w:pStyle w:val="NO"/>
        <w:rPr/>
      </w:pPr>
      <w:r>
        <w:rPr>
          <w:caps/>
        </w:rPr>
        <w:t>Note</w:t>
      </w:r>
      <w:r>
        <w:rPr>
          <w:caps/>
        </w:rPr>
        <w:t xml:space="preserve"> 2</w:t>
      </w:r>
      <w:r>
        <w:rPr/>
        <w:t xml:space="preserve">: </w:t>
      </w:r>
      <w:r>
        <w:rPr/>
        <w:tab/>
      </w:r>
      <w:r>
        <w:rPr/>
        <w:t>Secondary Notification may not always be generated</w:t>
      </w:r>
      <w:r>
        <w:rPr/>
        <w:t xml:space="preserve"> </w:t>
      </w:r>
      <w:r>
        <w:rPr/>
        <w:t>as</w:t>
      </w:r>
      <w:r>
        <w:rPr/>
        <w:t xml:space="preserve"> it depend</w:t>
      </w:r>
      <w:r>
        <w:rPr/>
        <w:t>s</w:t>
      </w:r>
      <w:r>
        <w:rPr/>
        <w:t xml:space="preserve"> on the Warning Notification Provider’s policy.</w:t>
      </w:r>
      <w:r>
        <w:rPr/>
        <w:t xml:space="preserve"> </w:t>
      </w:r>
    </w:p>
    <w:p>
      <w:pPr>
        <w:pStyle w:val="NO"/>
        <w:rPr/>
      </w:pPr>
      <w:r>
        <w:rPr>
          <w:caps/>
        </w:rPr>
        <w:t>Note</w:t>
      </w:r>
      <w:r>
        <w:rPr>
          <w:caps/>
        </w:rPr>
        <w:t xml:space="preserve"> 3</w:t>
      </w:r>
      <w:r>
        <w:rPr/>
        <w:t xml:space="preserve">: </w:t>
      </w:r>
      <w:r>
        <w:rPr/>
        <w:tab/>
        <w:t>Primary</w:t>
      </w:r>
      <w:r>
        <w:rPr/>
        <w:t xml:space="preserve"> Notification may not always be generated</w:t>
      </w:r>
      <w:r>
        <w:rPr/>
        <w:t xml:space="preserve"> (i.e. the warning may start with a Secondary Notification).</w:t>
      </w:r>
    </w:p>
    <w:p>
      <w:pPr>
        <w:pStyle w:val="Heading2"/>
        <w:rPr/>
      </w:pPr>
      <w:bookmarkStart w:id="30" w:name="__RefHeading___Toc52642428"/>
      <w:bookmarkEnd w:id="30"/>
      <w:r>
        <w:rPr/>
        <w:t>5.3</w:t>
        <w:tab/>
        <w:t>Information element and volume</w:t>
      </w:r>
    </w:p>
    <w:p>
      <w:pPr>
        <w:pStyle w:val="Normal"/>
        <w:rPr/>
      </w:pPr>
      <w:r>
        <w:rPr/>
        <w:t>The following are the requirements f</w:t>
      </w:r>
      <w:r>
        <w:rPr>
          <w:lang w:eastAsia="ar-SA"/>
        </w:rPr>
        <w:t>rom the perspective of information element and amount of data</w:t>
      </w:r>
      <w:r>
        <w:rPr/>
        <w:t xml:space="preserve">. </w:t>
      </w:r>
    </w:p>
    <w:p>
      <w:pPr>
        <w:pStyle w:val="Normal"/>
        <w:rPr/>
      </w:pPr>
      <w:r>
        <w:rPr/>
        <w:t>Both Primary and Secondary Notification shall</w:t>
      </w:r>
      <w:r>
        <w:rPr/>
        <w:t>:</w:t>
      </w:r>
    </w:p>
    <w:p>
      <w:pPr>
        <w:pStyle w:val="B1"/>
        <w:rPr/>
      </w:pPr>
      <w:r>
        <w:rPr/>
        <w:t>-</w:t>
        <w:tab/>
      </w:r>
      <w:r>
        <w:rPr/>
        <w:t xml:space="preserve">support at least 2 </w:t>
      </w:r>
      <w:r>
        <w:rPr>
          <w:lang w:eastAsia="ar-SA"/>
        </w:rPr>
        <w:t>types of emergency events</w:t>
      </w:r>
      <w:r>
        <w:rPr/>
        <w:t>, which are Earthquake and Tsunami</w:t>
      </w:r>
      <w:r>
        <w:rPr/>
        <w:t>;</w:t>
      </w:r>
    </w:p>
    <w:p>
      <w:pPr>
        <w:pStyle w:val="B1"/>
        <w:rPr/>
      </w:pPr>
      <w:r>
        <w:rPr/>
        <w:t>-</w:t>
        <w:tab/>
      </w:r>
      <w:r>
        <w:rPr/>
        <w:t xml:space="preserve">be able to </w:t>
      </w:r>
      <w:r>
        <w:rPr/>
        <w:t xml:space="preserve">indicate the preferred </w:t>
      </w:r>
      <w:r>
        <w:rPr/>
        <w:t>UE behaviours when receiving Warning Notification, (e.g. whether to display text in the foreground, whether to ring a buzzer, whether to vibrate)</w:t>
      </w:r>
      <w:r>
        <w:rPr/>
        <w:t>;</w:t>
      </w:r>
      <w:r>
        <w:rPr/>
        <w:t xml:space="preserve"> </w:t>
      </w:r>
    </w:p>
    <w:p>
      <w:pPr>
        <w:pStyle w:val="B1"/>
        <w:rPr/>
      </w:pPr>
      <w:r>
        <w:rPr/>
        <w:t>-</w:t>
        <w:tab/>
      </w:r>
      <w:r>
        <w:rPr/>
        <w:t>be distinguish</w:t>
      </w:r>
      <w:r>
        <w:rPr/>
        <w:t>able</w:t>
      </w:r>
      <w:r>
        <w:rPr/>
        <w:t xml:space="preserve"> </w:t>
      </w:r>
      <w:r>
        <w:rPr/>
        <w:t>from</w:t>
      </w:r>
      <w:r>
        <w:rPr/>
        <w:t xml:space="preserve"> </w:t>
      </w:r>
      <w:r>
        <w:rPr/>
        <w:t>notification</w:t>
      </w:r>
      <w:r>
        <w:rPr/>
        <w:t xml:space="preserve">s generated for the purpose of testing, training and other </w:t>
      </w:r>
      <w:r>
        <w:rPr/>
        <w:t>notification</w:t>
      </w:r>
      <w:r>
        <w:rPr/>
        <w:t xml:space="preserve"> services</w:t>
      </w:r>
      <w:r>
        <w:rPr/>
        <w:t>;</w:t>
      </w:r>
    </w:p>
    <w:p>
      <w:pPr>
        <w:pStyle w:val="B1"/>
        <w:rPr/>
      </w:pPr>
      <w:r>
        <w:rPr/>
        <w:t>-</w:t>
        <w:tab/>
      </w:r>
      <w:r>
        <w:rPr/>
        <w:t>be sent in an optimized type and amount of data, for example, a text with a certain length, by considering the delivery platforms for ETWS</w:t>
      </w:r>
      <w:r>
        <w:rPr/>
        <w:t>.</w:t>
      </w:r>
    </w:p>
    <w:p>
      <w:pPr>
        <w:pStyle w:val="Normal"/>
        <w:rPr/>
      </w:pPr>
      <w:r>
        <w:rPr/>
        <w:t>Primary Notification shall</w:t>
      </w:r>
      <w:r>
        <w:rPr/>
        <w:t>:</w:t>
      </w:r>
      <w:r>
        <w:rPr/>
        <w:t xml:space="preserve"> </w:t>
      </w:r>
    </w:p>
    <w:p>
      <w:pPr>
        <w:pStyle w:val="B1"/>
        <w:rPr/>
      </w:pPr>
      <w:r>
        <w:rPr/>
        <w:t>-</w:t>
        <w:tab/>
      </w:r>
      <w:r>
        <w:rPr/>
        <w:t xml:space="preserve">convey data which is small enough to be sent quickly on the network. </w:t>
      </w:r>
    </w:p>
    <w:p>
      <w:pPr>
        <w:pStyle w:val="B1"/>
        <w:rPr/>
      </w:pPr>
      <w:r>
        <w:rPr/>
        <w:t>-</w:t>
        <w:tab/>
      </w:r>
      <w:r>
        <w:rPr/>
        <w:t xml:space="preserve">convey small amount of data to indicate the imminent occurrence of Earthquake and Tsunami, etc. </w:t>
      </w:r>
    </w:p>
    <w:p>
      <w:pPr>
        <w:pStyle w:val="Normal"/>
        <w:rPr/>
      </w:pPr>
      <w:r>
        <w:rPr/>
        <w:t>Secondary Notification may</w:t>
      </w:r>
      <w:r>
        <w:rPr/>
        <w:t>:</w:t>
      </w:r>
      <w:r>
        <w:rPr/>
        <w:t xml:space="preserve"> </w:t>
      </w:r>
    </w:p>
    <w:p>
      <w:pPr>
        <w:pStyle w:val="B1"/>
        <w:rPr/>
      </w:pPr>
      <w:r>
        <w:rPr/>
        <w:t>-</w:t>
        <w:tab/>
      </w:r>
      <w:r>
        <w:rPr/>
        <w:t xml:space="preserve">convey a large amount of data in order to deliver text, audio to instruct what to do / where to get help, </w:t>
      </w:r>
      <w:r>
        <w:rPr/>
        <w:t>graphical</w:t>
      </w:r>
      <w:r>
        <w:rPr/>
        <w:t xml:space="preserve"> data such as a map indicating the route from present position to evacuation site, time table of food distribution.</w:t>
      </w:r>
    </w:p>
    <w:p>
      <w:pPr>
        <w:pStyle w:val="NO"/>
        <w:rPr/>
      </w:pPr>
      <w:r>
        <w:rPr>
          <w:caps/>
        </w:rPr>
        <w:t>Note</w:t>
      </w:r>
      <w:r>
        <w:rPr/>
        <w:t xml:space="preserve">: </w:t>
        <w:tab/>
      </w:r>
      <w:r>
        <w:rPr/>
        <w:t>The amount of data to be sent within a Primary Notification would be a few bytes to achieve quick information delivery.</w:t>
      </w:r>
    </w:p>
    <w:p>
      <w:pPr>
        <w:pStyle w:val="Heading2"/>
        <w:rPr/>
      </w:pPr>
      <w:bookmarkStart w:id="31" w:name="__RefHeading___Toc52642429"/>
      <w:bookmarkEnd w:id="31"/>
      <w:r>
        <w:rPr/>
        <w:t>5.4</w:t>
        <w:tab/>
        <w:t>Priority</w:t>
      </w:r>
    </w:p>
    <w:p>
      <w:pPr>
        <w:pStyle w:val="Normal"/>
        <w:rPr/>
      </w:pPr>
      <w:r>
        <w:rPr/>
        <w:t>Requirements</w:t>
      </w:r>
      <w:r>
        <w:rPr>
          <w:lang w:eastAsia="ar-SA"/>
        </w:rPr>
        <w:t xml:space="preserve"> from the perspective of priority are </w:t>
      </w:r>
      <w:r>
        <w:rPr/>
        <w:t xml:space="preserve">as </w:t>
      </w:r>
      <w:r>
        <w:rPr>
          <w:lang w:eastAsia="ar-SA"/>
        </w:rPr>
        <w:t>follow</w:t>
      </w:r>
      <w:r>
        <w:rPr/>
        <w:t>s</w:t>
      </w:r>
      <w:r>
        <w:rPr>
          <w:lang w:eastAsia="ar-SA"/>
        </w:rPr>
        <w:t xml:space="preserve">: </w:t>
      </w:r>
    </w:p>
    <w:p>
      <w:pPr>
        <w:pStyle w:val="B1"/>
        <w:rPr/>
      </w:pPr>
      <w:r>
        <w:rPr/>
        <w:t>-</w:t>
        <w:tab/>
      </w:r>
      <w:r>
        <w:rPr/>
        <w:t xml:space="preserve">Primary Notification has higher priority than Secondary Notification. </w:t>
      </w:r>
    </w:p>
    <w:p>
      <w:pPr>
        <w:pStyle w:val="B1"/>
        <w:rPr/>
      </w:pPr>
      <w:r>
        <w:rPr/>
        <w:t>-</w:t>
        <w:tab/>
      </w:r>
      <w:r>
        <w:rPr/>
        <w:t xml:space="preserve">Notifications shall be able to </w:t>
      </w:r>
      <w:r>
        <w:rPr/>
        <w:t>be</w:t>
      </w:r>
      <w:r>
        <w:rPr/>
        <w:t xml:space="preserve"> sequenced by </w:t>
      </w:r>
      <w:r>
        <w:rPr/>
        <w:t xml:space="preserve">the </w:t>
      </w:r>
      <w:r>
        <w:rPr/>
        <w:t xml:space="preserve">PLMN according to priority of notification in case that Primary Notification and Secondary Notification should exist at the same time in PLMN. </w:t>
      </w:r>
    </w:p>
    <w:p>
      <w:pPr>
        <w:pStyle w:val="Heading2"/>
        <w:rPr/>
      </w:pPr>
      <w:bookmarkStart w:id="32" w:name="__RefHeading___Toc52642430"/>
      <w:bookmarkEnd w:id="32"/>
      <w:r>
        <w:rPr>
          <w:rFonts w:eastAsia="MS PGothic"/>
        </w:rPr>
        <w:t>5.5</w:t>
        <w:tab/>
        <w:t>Roaming users</w:t>
      </w:r>
    </w:p>
    <w:p>
      <w:pPr>
        <w:pStyle w:val="Normal"/>
        <w:rPr/>
      </w:pPr>
      <w:r>
        <w:rPr/>
        <w:t xml:space="preserve">Upon </w:t>
      </w:r>
      <w:r>
        <w:rPr/>
        <w:t>receiving</w:t>
      </w:r>
      <w:r>
        <w:rPr/>
        <w:t xml:space="preserve"> Primary Notification which includes small amount of data to indicate the imminent occurrence of an Earthquake and/or Tsunami, the UE shall display </w:t>
      </w:r>
      <w:r>
        <w:rPr/>
        <w:t>the Warning Notification in a way that is easy to understand by the user, such as an</w:t>
      </w:r>
      <w:r>
        <w:rPr/>
        <w:t xml:space="preserve"> icon</w:t>
      </w:r>
      <w:r>
        <w:rPr/>
        <w:t xml:space="preserve"> or</w:t>
      </w:r>
      <w:r>
        <w:rPr/>
        <w:t xml:space="preserve"> picture</w:t>
      </w:r>
      <w:r>
        <w:rPr/>
        <w:t>.</w:t>
      </w:r>
    </w:p>
    <w:p>
      <w:pPr>
        <w:pStyle w:val="NO"/>
        <w:rPr/>
      </w:pPr>
      <w:r>
        <w:rPr>
          <w:caps/>
          <w:lang w:eastAsia="ar-SA"/>
        </w:rPr>
        <w:t>Note</w:t>
      </w:r>
      <w:r>
        <w:rPr>
          <w:lang w:eastAsia="ar-SA"/>
        </w:rPr>
        <w:t>:</w:t>
      </w:r>
      <w:r>
        <w:rPr/>
        <w:tab/>
      </w:r>
      <w:r>
        <w:rPr>
          <w:lang w:eastAsia="ar-SA"/>
        </w:rPr>
        <w:t xml:space="preserve">It is expected that that the Warning Notification Provider will send the Warning Notification in the languages in common use in the specific area or in such a way that the </w:t>
      </w:r>
      <w:r>
        <w:rPr/>
        <w:t>W</w:t>
      </w:r>
      <w:r>
        <w:rPr>
          <w:lang w:eastAsia="ar-SA"/>
        </w:rPr>
        <w:t xml:space="preserve">arning </w:t>
      </w:r>
      <w:r>
        <w:rPr/>
        <w:t>N</w:t>
      </w:r>
      <w:r>
        <w:rPr>
          <w:lang w:eastAsia="ar-SA"/>
        </w:rPr>
        <w:t xml:space="preserve">otification can reasonably be understood. </w:t>
      </w:r>
      <w:r>
        <w:br w:type="page"/>
      </w:r>
    </w:p>
    <w:p>
      <w:pPr>
        <w:pStyle w:val="Heading1"/>
        <w:ind w:left="1134" w:hanging="1134"/>
        <w:rPr/>
      </w:pPr>
      <w:bookmarkStart w:id="33" w:name="__RefHeading___Toc52642431"/>
      <w:bookmarkEnd w:id="33"/>
      <w:r>
        <w:rPr/>
        <w:t>6</w:t>
        <w:tab/>
        <w:t>CMAS Specific Requirements</w:t>
      </w:r>
    </w:p>
    <w:p>
      <w:pPr>
        <w:pStyle w:val="Heading2"/>
        <w:rPr/>
      </w:pPr>
      <w:bookmarkStart w:id="34" w:name="__RefHeading___Toc52642432"/>
      <w:bookmarkEnd w:id="34"/>
      <w:r>
        <w:rPr/>
        <w:t>6.1</w:t>
        <w:tab/>
        <w:t>Introduction to CMAS</w:t>
      </w:r>
    </w:p>
    <w:p>
      <w:pPr>
        <w:pStyle w:val="Normal"/>
        <w:rPr/>
      </w:pPr>
      <w:r>
        <w:rPr/>
        <w:t>The Warning Alert and Response Network (WARN) Act was passed by the United States Congress in September 2006 and was signed into law on October 13, 2006, known then as CMAS. CMAS was later renamed as Wireless Emergency Alert (WEA).</w:t>
      </w:r>
    </w:p>
    <w:p>
      <w:pPr>
        <w:pStyle w:val="Normal"/>
        <w:rPr/>
      </w:pPr>
      <w:r>
        <w:rPr/>
        <w:t xml:space="preserve">The Federal Communication Commission (FCC) released several Report and Order rulings for the Commercial Mobile Alert System. [1], [2], [3], [8] and [10]. </w:t>
      </w:r>
    </w:p>
    <w:p>
      <w:pPr>
        <w:pStyle w:val="Normal"/>
        <w:rPr/>
      </w:pPr>
      <w:r>
        <w:rPr/>
        <w:t>As a result of these legislative and regulatory actions the Alliance for Telecommunications Industry Solutions (ATIS) and the Telecommunications Industry Association (TIA) agreed to develop ATIS and TIA standards to support the deployment of CMAS. This standard is listed in Clause 2.</w:t>
      </w:r>
    </w:p>
    <w:p>
      <w:pPr>
        <w:pStyle w:val="Normal"/>
        <w:rPr/>
      </w:pPr>
      <w:r>
        <w:rPr/>
        <w:t>The scope of these specifications includes the support of Commercial Mobile Alert System (CMAS) alert message via the GSM/UMTS Cell Broadcast functionality and warning message delivery via E-UTRAN. These specifications covers the mapping of CMAS messages onto the 3GPP-defined Cell Broadcast functionality and warning message delivery functionality, as well as the CMAS application layer functionality from the reception of the CMAS alert message from the Warning Notification Provider to the point of reception by the CMAS capable mobile device.</w:t>
      </w:r>
    </w:p>
    <w:p>
      <w:pPr>
        <w:pStyle w:val="Normal"/>
        <w:rPr/>
      </w:pPr>
      <w:r>
        <w:rPr/>
        <w:t>The CMAS functionality does not require modifications to the 3GPP-defined cell broadcast functionality.</w:t>
      </w:r>
    </w:p>
    <w:p>
      <w:pPr>
        <w:pStyle w:val="Normal"/>
        <w:rPr/>
      </w:pPr>
      <w:r>
        <w:rPr/>
        <w:t>The following functional reference model is based on the diagram from Section III.B.10 of the FCC First Report and Order for the Commercial Mobile Alert System, FCC 08-99 [1]:</w:t>
      </w:r>
    </w:p>
    <w:p>
      <w:pPr>
        <w:pStyle w:val="FL"/>
        <w:rPr>
          <w:lang w:val="en-US" w:eastAsia="en-US"/>
        </w:rPr>
      </w:pPr>
      <w:r>
        <w:rPr>
          <w:lang w:val="en-US" w:eastAsia="en-US"/>
        </w:rPr>
        <mc:AlternateContent>
          <mc:Choice Requires="wpg">
            <w:drawing>
              <wp:inline distT="0" distB="0" distL="0" distR="0">
                <wp:extent cx="6418580" cy="3234055"/>
                <wp:effectExtent l="0" t="0" r="0" b="0"/>
                <wp:docPr id="14" name=""/>
                <a:graphic xmlns:a="http://schemas.openxmlformats.org/drawingml/2006/main">
                  <a:graphicData uri="http://schemas.microsoft.com/office/word/2010/wordprocessingGroup">
                    <wpg:wgp>
                      <wpg:cNvGrpSpPr/>
                      <wpg:grpSpPr>
                        <a:xfrm>
                          <a:off x="0" y="0"/>
                          <a:ext cx="6418440" cy="3233880"/>
                          <a:chOff x="0" y="0"/>
                          <a:chExt cx="6418440" cy="3233880"/>
                        </a:xfrm>
                      </wpg:grpSpPr>
                      <wps:wsp>
                        <wps:cNvSpPr/>
                        <wps:nvSpPr>
                          <wps:cNvPr id="0" name=""/>
                          <wps:cNvSpPr/>
                        </wps:nvSpPr>
                        <wps:spPr>
                          <a:xfrm>
                            <a:off x="0" y="720"/>
                            <a:ext cx="6418440" cy="3233520"/>
                          </a:xfrm>
                          <a:prstGeom prst="rect">
                            <a:avLst/>
                          </a:prstGeom>
                          <a:noFill/>
                          <a:ln w="0">
                            <a:noFill/>
                          </a:ln>
                        </wps:spPr>
                        <wps:bodyPr/>
                      </wps:wsp>
                      <wpg:grpSp>
                        <wpg:cNvGrpSpPr/>
                        <wpg:grpSpPr>
                          <a:xfrm>
                            <a:off x="63000" y="720"/>
                            <a:ext cx="6310080" cy="3137400"/>
                          </a:xfrm>
                        </wpg:grpSpPr>
                        <wps:wsp>
                          <wps:cNvSpPr txBox="1"/>
                          <wps:spPr>
                            <a:xfrm>
                              <a:off x="0" y="1828080"/>
                              <a:ext cx="1311120" cy="342360"/>
                            </a:xfrm>
                            <a:prstGeom prst="rect">
                              <a:avLst/>
                            </a:prstGeom>
                            <a:noFill/>
                            <a:ln w="0">
                              <a:noFill/>
                            </a:ln>
                          </wps:spPr>
                          <wps:txbx>
                            <w:txbxContent>
                              <w:p>
                                <w:pPr>
                                  <w:overflowPunct w:val="false"/>
                                  <w:autoSpaceDE w:val="false"/>
                                  <w:bidi w:val="0"/>
                                  <w:spacing w:before="0" w:after="180"/>
                                  <w:jc w:val="center"/>
                                  <w:rPr/>
                                </w:pPr>
                                <w:r>
                                  <w:rPr>
                                    <w:kern w:val="2"/>
                                    <w:sz w:val="20"/>
                                    <w:szCs w:val="28"/>
                                    <w:rFonts w:ascii="Arial" w:hAnsi="Arial" w:eastAsia="Times New Roman" w:cs="Arial"/>
                                    <w:color w:val="auto"/>
                                    <w:lang w:val="en-GB" w:bidi="ar-SA"/>
                                  </w:rPr>
                                  <w:t>Local EOC</w:t>
                                </w:r>
                              </w:p>
                            </w:txbxContent>
                          </wps:txbx>
                          <wps:bodyPr wrap="square" lIns="69120" rIns="69120" tIns="34200" bIns="34200" anchor="t">
                            <a:noAutofit/>
                          </wps:bodyPr>
                        </wps:wsp>
                        <wps:wsp>
                          <wps:cNvSpPr/>
                          <wps:spPr>
                            <a:xfrm>
                              <a:off x="5169240" y="0"/>
                              <a:ext cx="1140480" cy="3137400"/>
                            </a:xfrm>
                            <a:prstGeom prst="rect">
                              <a:avLst/>
                            </a:prstGeom>
                            <a:noFill/>
                            <a:ln w="9360">
                              <a:solidFill>
                                <a:srgbClr val="000000"/>
                              </a:solidFill>
                              <a:miter/>
                            </a:ln>
                          </wps:spPr>
                          <wps:style>
                            <a:lnRef idx="0"/>
                            <a:fillRef idx="0"/>
                            <a:effectRef idx="0"/>
                            <a:fontRef idx="minor"/>
                          </wps:style>
                          <wps:bodyPr/>
                        </wps:wsp>
                      </wpg:grpSp>
                      <wpg:grpSp>
                        <wpg:cNvGrpSpPr/>
                        <wpg:grpSpPr>
                          <a:xfrm>
                            <a:off x="228600" y="0"/>
                            <a:ext cx="6188760" cy="3118320"/>
                          </a:xfrm>
                        </wpg:grpSpPr>
                        <wpg:grpSp>
                          <wpg:cNvGrpSpPr/>
                          <wpg:grpSpPr>
                            <a:xfrm>
                              <a:off x="1083240" y="0"/>
                              <a:ext cx="3898440" cy="340920"/>
                            </a:xfrm>
                          </wpg:grpSpPr>
                          <wps:wsp>
                            <wps:cNvSpPr txBox="1"/>
                            <wps:spPr>
                              <a:xfrm>
                                <a:off x="0" y="0"/>
                                <a:ext cx="398880" cy="340920"/>
                              </a:xfrm>
                              <a:prstGeom prst="rect">
                                <a:avLst/>
                              </a:prstGeom>
                              <a:noFill/>
                              <a:ln w="0">
                                <a:noFill/>
                              </a:ln>
                            </wps:spPr>
                            <wps:txbx>
                              <w:txbxContent>
                                <w:p>
                                  <w:pPr>
                                    <w:overflowPunct w:val="false"/>
                                    <w:autoSpaceDE w:val="false"/>
                                    <w:bidi w:val="0"/>
                                    <w:spacing w:before="0" w:after="180"/>
                                    <w:jc w:val="center"/>
                                    <w:rPr/>
                                  </w:pPr>
                                  <w:r>
                                    <w:rPr>
                                      <w:kern w:val="2"/>
                                      <w:sz w:val="20"/>
                                      <w:b/>
                                      <w:szCs w:val="28"/>
                                      <w:bCs/>
                                      <w:rFonts w:ascii="Verdana" w:hAnsi="Verdana" w:eastAsia="Times New Roman" w:cs="Verdana"/>
                                      <w:color w:val="auto"/>
                                      <w:lang w:val="en-GB" w:bidi="ar-SA"/>
                                    </w:rPr>
                                    <w:t>A</w:t>
                                  </w:r>
                                </w:p>
                              </w:txbxContent>
                            </wps:txbx>
                            <wps:bodyPr wrap="square" lIns="65880" rIns="65880" tIns="32400" bIns="32400" anchor="t">
                              <a:noAutofit/>
                            </wps:bodyPr>
                          </wps:wsp>
                          <wps:wsp>
                            <wps:cNvSpPr txBox="1"/>
                            <wps:spPr>
                              <a:xfrm>
                                <a:off x="3499560" y="720"/>
                                <a:ext cx="398880" cy="337680"/>
                              </a:xfrm>
                              <a:prstGeom prst="rect">
                                <a:avLst/>
                              </a:prstGeom>
                              <a:noFill/>
                              <a:ln w="0">
                                <a:noFill/>
                              </a:ln>
                            </wps:spPr>
                            <wps:txbx>
                              <w:txbxContent>
                                <w:p>
                                  <w:pPr>
                                    <w:overflowPunct w:val="false"/>
                                    <w:autoSpaceDE w:val="false"/>
                                    <w:bidi w:val="0"/>
                                    <w:spacing w:before="0" w:after="180"/>
                                    <w:jc w:val="center"/>
                                    <w:rPr/>
                                  </w:pPr>
                                  <w:r>
                                    <w:rPr>
                                      <w:kern w:val="2"/>
                                      <w:sz w:val="20"/>
                                      <w:b/>
                                      <w:szCs w:val="22"/>
                                      <w:bCs/>
                                      <w:rFonts w:ascii="Verdana" w:hAnsi="Verdana" w:eastAsia="Times New Roman" w:cs="Verdana"/>
                                      <w:color w:val="auto"/>
                                      <w:lang w:val="en-GB" w:bidi="ar-SA"/>
                                    </w:rPr>
                                    <w:t>C</w:t>
                                  </w:r>
                                </w:p>
                              </w:txbxContent>
                            </wps:txbx>
                            <wps:bodyPr wrap="square" lIns="65880" rIns="65880" tIns="32400" bIns="32400" anchor="t">
                              <a:noAutofit/>
                            </wps:bodyPr>
                          </wps:wsp>
                        </wpg:grpSp>
                        <wpg:grpSp>
                          <wpg:cNvGrpSpPr/>
                          <wpg:grpSpPr>
                            <a:xfrm>
                              <a:off x="0" y="97200"/>
                              <a:ext cx="6188760" cy="3021480"/>
                            </a:xfrm>
                          </wpg:grpSpPr>
                          <pic:pic xmlns:pic="http://schemas.openxmlformats.org/drawingml/2006/picture">
                            <pic:nvPicPr>
                              <pic:cNvPr id="1" name="" descr=""/>
                              <pic:cNvPicPr/>
                            </pic:nvPicPr>
                            <pic:blipFill>
                              <a:blip r:embed="rId8"/>
                              <a:srcRect l="81638" t="14858" r="0" b="0"/>
                              <a:stretch/>
                            </pic:blipFill>
                            <pic:spPr>
                              <a:xfrm>
                                <a:off x="854640" y="2302560"/>
                                <a:ext cx="279360" cy="711720"/>
                              </a:xfrm>
                              <a:prstGeom prst="rect">
                                <a:avLst/>
                              </a:prstGeom>
                              <a:ln w="0">
                                <a:noFill/>
                              </a:ln>
                            </pic:spPr>
                          </pic:pic>
                          <pic:pic xmlns:pic="http://schemas.openxmlformats.org/drawingml/2006/picture">
                            <pic:nvPicPr>
                              <pic:cNvPr id="2" name="" descr=""/>
                              <pic:cNvPicPr/>
                            </pic:nvPicPr>
                            <pic:blipFill>
                              <a:blip r:embed="rId9"/>
                              <a:stretch/>
                            </pic:blipFill>
                            <pic:spPr>
                              <a:xfrm>
                                <a:off x="0" y="2473200"/>
                                <a:ext cx="306000" cy="168120"/>
                              </a:xfrm>
                              <a:prstGeom prst="rect">
                                <a:avLst/>
                              </a:prstGeom>
                              <a:ln w="0">
                                <a:noFill/>
                              </a:ln>
                            </pic:spPr>
                          </pic:pic>
                          <pic:pic xmlns:pic="http://schemas.openxmlformats.org/drawingml/2006/picture">
                            <pic:nvPicPr>
                              <pic:cNvPr id="3" name="" descr=""/>
                              <pic:cNvPicPr/>
                            </pic:nvPicPr>
                            <pic:blipFill>
                              <a:blip r:embed="rId10"/>
                              <a:stretch/>
                            </pic:blipFill>
                            <pic:spPr>
                              <a:xfrm>
                                <a:off x="113760" y="990720"/>
                                <a:ext cx="572040" cy="740880"/>
                              </a:xfrm>
                              <a:prstGeom prst="rect">
                                <a:avLst/>
                              </a:prstGeom>
                              <a:ln w="0">
                                <a:noFill/>
                              </a:ln>
                            </pic:spPr>
                          </pic:pic>
                          <wps:wsp>
                            <wps:cNvSpPr txBox="1"/>
                            <wps:spPr>
                              <a:xfrm>
                                <a:off x="0" y="2074680"/>
                                <a:ext cx="969120" cy="284400"/>
                              </a:xfrm>
                              <a:prstGeom prst="rect">
                                <a:avLst/>
                              </a:prstGeom>
                              <a:noFill/>
                              <a:ln w="0">
                                <a:noFill/>
                              </a:ln>
                            </wps:spPr>
                            <wps:txbx>
                              <w:txbxContent>
                                <w:p>
                                  <w:pPr>
                                    <w:overflowPunct w:val="false"/>
                                    <w:autoSpaceDE w:val="false"/>
                                    <w:bidi w:val="0"/>
                                    <w:spacing w:before="0" w:after="180"/>
                                    <w:rPr/>
                                  </w:pPr>
                                  <w:r>
                                    <w:rPr>
                                      <w:kern w:val="2"/>
                                      <w:sz w:val="20"/>
                                      <w:szCs w:val="28"/>
                                      <w:rFonts w:ascii="Arial" w:hAnsi="Arial" w:eastAsia="Times New Roman" w:cs="Arial"/>
                                      <w:color w:val="auto"/>
                                      <w:lang w:val="en-GB" w:bidi="ar-SA"/>
                                    </w:rPr>
                                    <w:t>State EOC</w:t>
                                  </w:r>
                                </w:p>
                              </w:txbxContent>
                            </wps:txbx>
                            <wps:bodyPr wrap="square" lIns="69120" rIns="69120" tIns="34200" bIns="34200" anchor="t">
                              <a:noAutofit/>
                            </wps:bodyPr>
                          </wps:wsp>
                          <wps:wsp>
                            <wps:cNvSpPr txBox="1"/>
                            <wps:spPr>
                              <a:xfrm>
                                <a:off x="0" y="191880"/>
                                <a:ext cx="1083240" cy="624240"/>
                              </a:xfrm>
                              <a:prstGeom prst="rect">
                                <a:avLst/>
                              </a:prstGeom>
                              <a:noFill/>
                              <a:ln w="9360">
                                <a:solidFill>
                                  <a:srgbClr val="000000"/>
                                </a:solidFill>
                                <a:miter/>
                              </a:ln>
                            </wps:spPr>
                            <wps:txbx>
                              <w:txbxContent>
                                <w:p>
                                  <w:pPr>
                                    <w:overflowPunct w:val="false"/>
                                    <w:autoSpaceDE w:val="false"/>
                                    <w:bidi w:val="0"/>
                                    <w:spacing w:before="0" w:after="180"/>
                                    <w:rPr/>
                                  </w:pPr>
                                  <w:r>
                                    <w:rPr>
                                      <w:kern w:val="2"/>
                                      <w:sz w:val="27"/>
                                      <w:szCs w:val="36"/>
                                      <w:rFonts w:ascii="Arial" w:hAnsi="Arial" w:eastAsia="Times New Roman" w:cs="Arial"/>
                                      <w:color w:val="auto"/>
                                      <w:lang w:val="en-GB" w:bidi="ar-SA"/>
                                    </w:rPr>
                                    <w:t xml:space="preserve">Federal </w:t>
                                  </w:r>
                                </w:p>
                                <w:p>
                                  <w:pPr>
                                    <w:overflowPunct w:val="false"/>
                                    <w:autoSpaceDE w:val="false"/>
                                    <w:bidi w:val="0"/>
                                    <w:spacing w:before="0" w:after="180"/>
                                    <w:rPr/>
                                  </w:pPr>
                                  <w:r>
                                    <w:rPr>
                                      <w:kern w:val="2"/>
                                      <w:sz w:val="27"/>
                                      <w:szCs w:val="36"/>
                                      <w:rFonts w:ascii="Arial" w:hAnsi="Arial" w:eastAsia="Times New Roman" w:cs="Arial"/>
                                      <w:color w:val="auto"/>
                                      <w:lang w:val="en-GB" w:bidi="ar-SA"/>
                                    </w:rPr>
                                    <w:t>Agencies</w:t>
                                  </w:r>
                                </w:p>
                              </w:txbxContent>
                            </wps:txbx>
                            <wps:bodyPr wrap="square" lIns="69120" rIns="69120" tIns="34200" bIns="34200" anchor="t">
                              <a:noAutofit/>
                            </wps:bodyPr>
                          </wps:wsp>
                          <wps:wsp>
                            <wps:cNvSpPr/>
                            <wps:spPr>
                              <a:xfrm>
                                <a:off x="1653480" y="974160"/>
                                <a:ext cx="1824840" cy="993240"/>
                              </a:xfrm>
                              <a:prstGeom prst="pie">
                                <a:avLst/>
                              </a:prstGeom>
                              <a:solidFill>
                                <a:srgbClr val="dddddd"/>
                              </a:solidFill>
                              <a:ln w="9360">
                                <a:solidFill>
                                  <a:srgbClr val="000000"/>
                                </a:solidFill>
                                <a:miter/>
                              </a:ln>
                              <a:effectLst>
                                <a:outerShdw dist="107932" dir="2700000" blurRad="0" rotWithShape="0">
                                  <a:srgbClr val="808080"/>
                                </a:outerShdw>
                              </a:effectLst>
                            </wps:spPr>
                            <wps:style>
                              <a:lnRef idx="0"/>
                              <a:fillRef idx="0"/>
                              <a:effectRef idx="0"/>
                              <a:fontRef idx="minor"/>
                            </wps:style>
                            <wps:txbx>
                              <w:txbxContent>
                                <w:p>
                                  <w:pPr>
                                    <w:overflowPunct w:val="false"/>
                                    <w:autoSpaceDE w:val="false"/>
                                    <w:bidi w:val="0"/>
                                    <w:spacing w:before="0" w:after="180"/>
                                    <w:jc w:val="center"/>
                                    <w:rPr/>
                                  </w:pPr>
                                  <w:r>
                                    <w:rPr>
                                      <w:kern w:val="2"/>
                                      <w:sz w:val="20"/>
                                      <w:b/>
                                      <w:szCs w:val="32"/>
                                      <w:bCs/>
                                      <w:rFonts w:ascii="Verdana" w:hAnsi="Verdana" w:eastAsia="Times New Roman" w:cs="Verdana"/>
                                      <w:color w:val="auto"/>
                                      <w:lang w:val="en-GB" w:bidi="ar-SA"/>
                                    </w:rPr>
                                    <w:t>Alert Aggregator</w:t>
                                  </w:r>
                                </w:p>
                              </w:txbxContent>
                            </wps:txbx>
                            <wps:bodyPr lIns="69120" rIns="69120" tIns="34200" bIns="34200" anchor="t">
                              <a:noAutofit/>
                            </wps:bodyPr>
                          </wps:wsp>
                          <wps:wsp>
                            <wps:cNvSpPr/>
                            <wps:spPr>
                              <a:xfrm flipV="1">
                                <a:off x="1140480" y="1788840"/>
                                <a:ext cx="513000" cy="455760"/>
                              </a:xfrm>
                              <a:prstGeom prst="line">
                                <a:avLst/>
                              </a:prstGeom>
                              <a:ln w="9360">
                                <a:solidFill>
                                  <a:srgbClr val="000000"/>
                                </a:solidFill>
                                <a:miter/>
                              </a:ln>
                            </wps:spPr>
                            <wps:style>
                              <a:lnRef idx="0"/>
                              <a:fillRef idx="0"/>
                              <a:effectRef idx="0"/>
                              <a:fontRef idx="minor"/>
                            </wps:style>
                            <wps:bodyPr/>
                          </wps:wsp>
                          <wps:wsp>
                            <wps:cNvSpPr/>
                            <wps:spPr>
                              <a:xfrm>
                                <a:off x="740880" y="1332720"/>
                                <a:ext cx="854640" cy="0"/>
                              </a:xfrm>
                              <a:prstGeom prst="line">
                                <a:avLst/>
                              </a:prstGeom>
                              <a:ln w="9360">
                                <a:solidFill>
                                  <a:srgbClr val="000000"/>
                                </a:solidFill>
                                <a:miter/>
                              </a:ln>
                            </wps:spPr>
                            <wps:style>
                              <a:lnRef idx="0"/>
                              <a:fillRef idx="0"/>
                              <a:effectRef idx="0"/>
                              <a:fontRef idx="minor"/>
                            </wps:style>
                            <wps:bodyPr/>
                          </wps:wsp>
                          <wps:wsp>
                            <wps:cNvSpPr/>
                            <wps:spPr>
                              <a:xfrm>
                                <a:off x="1140480" y="420480"/>
                                <a:ext cx="798120" cy="570240"/>
                              </a:xfrm>
                              <a:prstGeom prst="line">
                                <a:avLst/>
                              </a:prstGeom>
                              <a:ln w="9360">
                                <a:solidFill>
                                  <a:srgbClr val="000000"/>
                                </a:solidFill>
                                <a:miter/>
                              </a:ln>
                            </wps:spPr>
                            <wps:style>
                              <a:lnRef idx="0"/>
                              <a:fillRef idx="0"/>
                              <a:effectRef idx="0"/>
                              <a:fontRef idx="minor"/>
                            </wps:style>
                            <wps:bodyPr/>
                          </wps:wsp>
                          <pic:pic xmlns:pic="http://schemas.openxmlformats.org/drawingml/2006/picture">
                            <pic:nvPicPr>
                              <pic:cNvPr id="4" name="" descr=""/>
                              <pic:cNvPicPr/>
                            </pic:nvPicPr>
                            <pic:blipFill>
                              <a:blip r:embed="rId11"/>
                              <a:srcRect l="81638" t="14858" r="0" b="0"/>
                              <a:stretch/>
                            </pic:blipFill>
                            <pic:spPr>
                              <a:xfrm>
                                <a:off x="4049280" y="876240"/>
                                <a:ext cx="278640" cy="711720"/>
                              </a:xfrm>
                              <a:prstGeom prst="rect">
                                <a:avLst/>
                              </a:prstGeom>
                              <a:ln w="0">
                                <a:noFill/>
                              </a:ln>
                            </pic:spPr>
                          </pic:pic>
                          <wps:wsp>
                            <wps:cNvSpPr/>
                            <wps:spPr>
                              <a:xfrm>
                                <a:off x="3535560" y="1275840"/>
                                <a:ext cx="342360" cy="0"/>
                              </a:xfrm>
                              <a:prstGeom prst="line">
                                <a:avLst/>
                              </a:prstGeom>
                              <a:ln w="9360">
                                <a:solidFill>
                                  <a:srgbClr val="000000"/>
                                </a:solidFill>
                                <a:miter/>
                              </a:ln>
                            </wps:spPr>
                            <wps:style>
                              <a:lnRef idx="0"/>
                              <a:fillRef idx="0"/>
                              <a:effectRef idx="0"/>
                              <a:fontRef idx="minor"/>
                            </wps:style>
                            <wps:bodyPr/>
                          </wps:wsp>
                          <pic:pic xmlns:pic="http://schemas.openxmlformats.org/drawingml/2006/picture">
                            <pic:nvPicPr>
                              <pic:cNvPr id="5" name="" descr=""/>
                              <pic:cNvPicPr/>
                            </pic:nvPicPr>
                            <pic:blipFill>
                              <a:blip r:embed="rId12"/>
                              <a:srcRect l="81638" t="14858" r="0" b="0"/>
                              <a:stretch/>
                            </pic:blipFill>
                            <pic:spPr>
                              <a:xfrm>
                                <a:off x="5474880" y="306000"/>
                                <a:ext cx="167760" cy="426600"/>
                              </a:xfrm>
                              <a:prstGeom prst="rect">
                                <a:avLst/>
                              </a:prstGeom>
                              <a:ln w="0">
                                <a:noFill/>
                              </a:ln>
                            </pic:spPr>
                          </pic:pic>
                          <pic:pic xmlns:pic="http://schemas.openxmlformats.org/drawingml/2006/picture">
                            <pic:nvPicPr>
                              <pic:cNvPr id="6" name="" descr=""/>
                              <pic:cNvPicPr/>
                            </pic:nvPicPr>
                            <pic:blipFill>
                              <a:blip r:embed="rId13"/>
                              <a:stretch/>
                            </pic:blipFill>
                            <pic:spPr>
                              <a:xfrm>
                                <a:off x="5361480" y="1161360"/>
                                <a:ext cx="531000" cy="795600"/>
                              </a:xfrm>
                              <a:prstGeom prst="rect">
                                <a:avLst/>
                              </a:prstGeom>
                              <a:ln w="0">
                                <a:noFill/>
                              </a:ln>
                            </pic:spPr>
                          </pic:pic>
                          <wps:wsp>
                            <wps:cNvSpPr/>
                            <wps:spPr>
                              <a:xfrm flipV="1">
                                <a:off x="4505400" y="305280"/>
                                <a:ext cx="798120" cy="626760"/>
                              </a:xfrm>
                              <a:prstGeom prst="line">
                                <a:avLst/>
                              </a:prstGeom>
                              <a:ln w="9360">
                                <a:solidFill>
                                  <a:srgbClr val="000000"/>
                                </a:solidFill>
                                <a:miter/>
                              </a:ln>
                            </wps:spPr>
                            <wps:style>
                              <a:lnRef idx="0"/>
                              <a:fillRef idx="0"/>
                              <a:effectRef idx="0"/>
                              <a:fontRef idx="minor"/>
                            </wps:style>
                            <wps:bodyPr/>
                          </wps:wsp>
                          <wps:wsp>
                            <wps:cNvSpPr/>
                            <wps:spPr>
                              <a:xfrm>
                                <a:off x="5599440" y="816480"/>
                                <a:ext cx="0" cy="343080"/>
                              </a:xfrm>
                              <a:prstGeom prst="line">
                                <a:avLst/>
                              </a:prstGeom>
                              <a:ln w="9360">
                                <a:solidFill>
                                  <a:srgbClr val="000000"/>
                                </a:solidFill>
                                <a:miter/>
                              </a:ln>
                            </wps:spPr>
                            <wps:style>
                              <a:lnRef idx="0"/>
                              <a:fillRef idx="0"/>
                              <a:effectRef idx="0"/>
                              <a:fontRef idx="minor"/>
                            </wps:style>
                            <wps:bodyPr/>
                          </wps:wsp>
                          <wps:wsp>
                            <wps:cNvSpPr/>
                            <wps:spPr>
                              <a:xfrm>
                                <a:off x="5599440" y="1959480"/>
                                <a:ext cx="0" cy="570960"/>
                              </a:xfrm>
                              <a:prstGeom prst="line">
                                <a:avLst/>
                              </a:prstGeom>
                              <a:ln w="9360">
                                <a:solidFill>
                                  <a:srgbClr val="000000"/>
                                </a:solidFill>
                                <a:miter/>
                              </a:ln>
                            </wps:spPr>
                            <wps:style>
                              <a:lnRef idx="0"/>
                              <a:fillRef idx="0"/>
                              <a:effectRef idx="0"/>
                              <a:fontRef idx="minor"/>
                            </wps:style>
                            <wps:bodyPr/>
                          </wps:wsp>
                          <wps:wsp>
                            <wps:cNvSpPr/>
                            <wps:spPr>
                              <a:xfrm>
                                <a:off x="1424880" y="420480"/>
                                <a:ext cx="3422160" cy="2109960"/>
                              </a:xfrm>
                              <a:prstGeom prst="rect">
                                <a:avLst/>
                              </a:prstGeom>
                              <a:noFill/>
                              <a:ln w="9360">
                                <a:solidFill>
                                  <a:srgbClr val="000000"/>
                                </a:solidFill>
                                <a:miter/>
                              </a:ln>
                            </wps:spPr>
                            <wps:style>
                              <a:lnRef idx="0"/>
                              <a:fillRef idx="0"/>
                              <a:effectRef idx="0"/>
                              <a:fontRef idx="minor"/>
                            </wps:style>
                            <wps:bodyPr/>
                          </wps:wsp>
                          <wps:wsp>
                            <wps:cNvSpPr txBox="1"/>
                            <wps:spPr>
                              <a:xfrm>
                                <a:off x="3763800" y="1731600"/>
                                <a:ext cx="1054080" cy="606600"/>
                              </a:xfrm>
                              <a:prstGeom prst="rect">
                                <a:avLst/>
                              </a:prstGeom>
                              <a:noFill/>
                              <a:ln w="0">
                                <a:noFill/>
                              </a:ln>
                            </wps:spPr>
                            <wps:txbx>
                              <w:txbxContent>
                                <w:p>
                                  <w:pPr>
                                    <w:overflowPunct w:val="false"/>
                                    <w:autoSpaceDE w:val="false"/>
                                    <w:bidi w:val="0"/>
                                    <w:spacing w:before="0" w:after="180"/>
                                    <w:jc w:val="center"/>
                                    <w:rPr/>
                                  </w:pPr>
                                  <w:r>
                                    <w:rPr>
                                      <w:kern w:val="2"/>
                                      <w:sz w:val="20"/>
                                      <w:b/>
                                      <w:szCs w:val="20"/>
                                      <w:bCs/>
                                      <w:rFonts w:ascii="Verdana" w:hAnsi="Verdana" w:eastAsia="Times New Roman" w:cs="Verdana"/>
                                      <w:color w:val="auto"/>
                                      <w:lang w:val="en-GB" w:bidi="ar-SA"/>
                                    </w:rPr>
                                    <w:t>Alert Gateway</w:t>
                                  </w:r>
                                </w:p>
                              </w:txbxContent>
                            </wps:txbx>
                            <wps:bodyPr wrap="square" lIns="65880" rIns="65880" tIns="32400" bIns="32400" anchor="ctr">
                              <a:noAutofit/>
                            </wps:bodyPr>
                          </wps:wsp>
                          <wps:wsp>
                            <wps:cNvSpPr txBox="1"/>
                            <wps:spPr>
                              <a:xfrm>
                                <a:off x="5064120" y="0"/>
                                <a:ext cx="1081440" cy="452160"/>
                              </a:xfrm>
                              <a:prstGeom prst="rect">
                                <a:avLst/>
                              </a:prstGeom>
                              <a:noFill/>
                              <a:ln w="0">
                                <a:noFill/>
                              </a:ln>
                            </wps:spPr>
                            <wps:txbx>
                              <w:txbxContent>
                                <w:p>
                                  <w:pPr>
                                    <w:overflowPunct w:val="false"/>
                                    <w:autoSpaceDE w:val="false"/>
                                    <w:bidi w:val="0"/>
                                    <w:spacing w:before="0" w:after="180"/>
                                    <w:jc w:val="center"/>
                                    <w:rPr/>
                                  </w:pPr>
                                  <w:r>
                                    <w:rPr>
                                      <w:kern w:val="2"/>
                                      <w:sz w:val="16"/>
                                      <w:b/>
                                      <w:szCs w:val="16"/>
                                      <w:bCs/>
                                      <w:rFonts w:ascii="Verdana" w:hAnsi="Verdana" w:eastAsia="Times New Roman" w:cs="Verdana"/>
                                      <w:color w:val="auto"/>
                                      <w:lang w:val="en-GB" w:bidi="ar-SA"/>
                                    </w:rPr>
                                    <w:t>PLMN Gateway</w:t>
                                  </w:r>
                                </w:p>
                              </w:txbxContent>
                            </wps:txbx>
                            <wps:bodyPr wrap="square" lIns="65880" rIns="65880" tIns="32400" bIns="32400" anchor="ctr">
                              <a:noAutofit/>
                            </wps:bodyPr>
                          </wps:wsp>
                          <wps:wsp>
                            <wps:cNvSpPr txBox="1"/>
                            <wps:spPr>
                              <a:xfrm>
                                <a:off x="5090760" y="816480"/>
                                <a:ext cx="1066320" cy="343080"/>
                              </a:xfrm>
                              <a:prstGeom prst="rect">
                                <a:avLst/>
                              </a:prstGeom>
                              <a:noFill/>
                              <a:ln w="0">
                                <a:noFill/>
                              </a:ln>
                            </wps:spPr>
                            <wps:txbx>
                              <w:txbxContent>
                                <w:p>
                                  <w:pPr>
                                    <w:overflowPunct w:val="false"/>
                                    <w:autoSpaceDE w:val="false"/>
                                    <w:bidi w:val="0"/>
                                    <w:spacing w:before="0" w:after="180"/>
                                    <w:jc w:val="center"/>
                                    <w:rPr/>
                                  </w:pPr>
                                  <w:r>
                                    <w:rPr>
                                      <w:kern w:val="2"/>
                                      <w:sz w:val="16"/>
                                      <w:b/>
                                      <w:szCs w:val="16"/>
                                      <w:bCs/>
                                      <w:rFonts w:ascii="Verdana" w:hAnsi="Verdana" w:eastAsia="Times New Roman" w:cs="Verdana"/>
                                      <w:color w:val="auto"/>
                                      <w:lang w:val="en-GB" w:bidi="ar-SA"/>
                                    </w:rPr>
                                    <w:t>PLMN Infrastructure</w:t>
                                  </w:r>
                                </w:p>
                              </w:txbxContent>
                            </wps:txbx>
                            <wps:bodyPr wrap="square" lIns="65880" rIns="65880" tIns="32400" bIns="32400" anchor="ctr">
                              <a:noAutofit/>
                            </wps:bodyPr>
                          </wps:wsp>
                          <wps:wsp>
                            <wps:cNvSpPr txBox="1"/>
                            <wps:spPr>
                              <a:xfrm>
                                <a:off x="5091480" y="2303280"/>
                                <a:ext cx="1026000" cy="219600"/>
                              </a:xfrm>
                              <a:prstGeom prst="rect">
                                <a:avLst/>
                              </a:prstGeom>
                              <a:noFill/>
                              <a:ln w="0">
                                <a:noFill/>
                              </a:ln>
                            </wps:spPr>
                            <wps:txbx>
                              <w:txbxContent>
                                <w:p>
                                  <w:pPr>
                                    <w:overflowPunct w:val="false"/>
                                    <w:autoSpaceDE w:val="false"/>
                                    <w:bidi w:val="0"/>
                                    <w:spacing w:before="0" w:after="180"/>
                                    <w:jc w:val="center"/>
                                    <w:rPr/>
                                  </w:pPr>
                                  <w:r>
                                    <w:rPr>
                                      <w:kern w:val="2"/>
                                      <w:sz w:val="16"/>
                                      <w:b/>
                                      <w:szCs w:val="16"/>
                                      <w:bCs/>
                                      <w:rFonts w:ascii="Verdana" w:hAnsi="Verdana" w:eastAsia="Times New Roman" w:cs="Verdana"/>
                                      <w:color w:val="auto"/>
                                      <w:lang w:val="en-GB" w:bidi="ar-SA"/>
                                    </w:rPr>
                                    <w:t>Mobile Device</w:t>
                                  </w:r>
                                </w:p>
                              </w:txbxContent>
                            </wps:txbx>
                            <wps:bodyPr wrap="square" lIns="65880" rIns="65880" tIns="32400" bIns="32400" anchor="ctr">
                              <a:noAutofit/>
                            </wps:bodyPr>
                          </wps:wsp>
                          <wps:wsp>
                            <wps:cNvSpPr txBox="1"/>
                            <wps:spPr>
                              <a:xfrm>
                                <a:off x="1902960" y="29880"/>
                                <a:ext cx="2830320" cy="245880"/>
                              </a:xfrm>
                              <a:prstGeom prst="rect">
                                <a:avLst/>
                              </a:prstGeom>
                              <a:noFill/>
                              <a:ln w="0">
                                <a:noFill/>
                              </a:ln>
                            </wps:spPr>
                            <wps:txbx>
                              <w:txbxContent>
                                <w:p>
                                  <w:pPr>
                                    <w:overflowPunct w:val="false"/>
                                    <w:autoSpaceDE w:val="false"/>
                                    <w:bidi w:val="0"/>
                                    <w:spacing w:before="0" w:after="180"/>
                                    <w:rPr/>
                                  </w:pPr>
                                  <w:r>
                                    <w:rPr>
                                      <w:kern w:val="2"/>
                                      <w:sz w:val="18"/>
                                      <w:b/>
                                      <w:i/>
                                      <w:szCs w:val="20"/>
                                      <w:bCs/>
                                      <w:iCs/>
                                      <w:rFonts w:ascii="Verdana" w:hAnsi="Verdana" w:eastAsia="Times New Roman" w:cs="Verdana"/>
                                      <w:color w:val="auto"/>
                                      <w:lang w:val="en-GB" w:bidi="ar-SA"/>
                                    </w:rPr>
                                    <w:t>Proposed Government Administered</w:t>
                                  </w:r>
                                </w:p>
                              </w:txbxContent>
                            </wps:txbx>
                            <wps:bodyPr wrap="square" lIns="65880" rIns="65880" tIns="32400" bIns="32400" anchor="ctr">
                              <a:noAutofit/>
                            </wps:bodyPr>
                          </wps:wsp>
                          <wps:wsp>
                            <wps:cNvSpPr/>
                            <wps:spPr>
                              <a:xfrm>
                                <a:off x="1254240" y="248760"/>
                                <a:ext cx="0" cy="2053080"/>
                              </a:xfrm>
                              <a:prstGeom prst="line">
                                <a:avLst/>
                              </a:prstGeom>
                              <a:ln w="9360">
                                <a:solidFill>
                                  <a:srgbClr val="000000"/>
                                </a:solidFill>
                                <a:prstDash val="dash"/>
                                <a:miter/>
                              </a:ln>
                            </wps:spPr>
                            <wps:style>
                              <a:lnRef idx="0"/>
                              <a:fillRef idx="0"/>
                              <a:effectRef idx="0"/>
                              <a:fontRef idx="minor"/>
                            </wps:style>
                            <wps:bodyPr/>
                          </wps:wsp>
                          <wps:wsp>
                            <wps:cNvSpPr/>
                            <wps:spPr>
                              <a:xfrm>
                                <a:off x="4961880" y="78120"/>
                                <a:ext cx="0" cy="911880"/>
                              </a:xfrm>
                              <a:prstGeom prst="line">
                                <a:avLst/>
                              </a:prstGeom>
                              <a:ln w="9360">
                                <a:solidFill>
                                  <a:srgbClr val="000000"/>
                                </a:solidFill>
                                <a:prstDash val="dash"/>
                                <a:miter/>
                              </a:ln>
                            </wps:spPr>
                            <wps:style>
                              <a:lnRef idx="0"/>
                              <a:fillRef idx="0"/>
                              <a:effectRef idx="0"/>
                              <a:fontRef idx="minor"/>
                            </wps:style>
                            <wps:bodyPr/>
                          </wps:wsp>
                          <wps:wsp>
                            <wps:cNvSpPr/>
                            <wps:spPr>
                              <a:xfrm>
                                <a:off x="3649320" y="876240"/>
                                <a:ext cx="0" cy="684000"/>
                              </a:xfrm>
                              <a:prstGeom prst="line">
                                <a:avLst/>
                              </a:prstGeom>
                              <a:ln w="9360">
                                <a:solidFill>
                                  <a:srgbClr val="000000"/>
                                </a:solidFill>
                                <a:prstDash val="dash"/>
                                <a:miter/>
                              </a:ln>
                            </wps:spPr>
                            <wps:style>
                              <a:lnRef idx="0"/>
                              <a:fillRef idx="0"/>
                              <a:effectRef idx="0"/>
                              <a:fontRef idx="minor"/>
                            </wps:style>
                            <wps:bodyPr/>
                          </wps:wsp>
                          <wps:wsp>
                            <wps:cNvSpPr txBox="1"/>
                            <wps:spPr>
                              <a:xfrm>
                                <a:off x="3479040" y="474480"/>
                                <a:ext cx="398880" cy="340200"/>
                              </a:xfrm>
                              <a:prstGeom prst="rect">
                                <a:avLst/>
                              </a:prstGeom>
                              <a:noFill/>
                              <a:ln w="0">
                                <a:noFill/>
                              </a:ln>
                            </wps:spPr>
                            <wps:txbx>
                              <w:txbxContent>
                                <w:p>
                                  <w:pPr>
                                    <w:overflowPunct w:val="false"/>
                                    <w:autoSpaceDE w:val="false"/>
                                    <w:bidi w:val="0"/>
                                    <w:spacing w:before="0" w:after="180"/>
                                    <w:jc w:val="center"/>
                                    <w:rPr/>
                                  </w:pPr>
                                  <w:r>
                                    <w:rPr>
                                      <w:kern w:val="2"/>
                                      <w:sz w:val="20"/>
                                      <w:b/>
                                      <w:szCs w:val="28"/>
                                      <w:bCs/>
                                      <w:rFonts w:ascii="Verdana" w:hAnsi="Verdana" w:eastAsia="Times New Roman" w:cs="Verdana"/>
                                      <w:color w:val="auto"/>
                                      <w:lang w:val="en-GB" w:bidi="ar-SA"/>
                                    </w:rPr>
                                    <w:t>B</w:t>
                                  </w:r>
                                </w:p>
                              </w:txbxContent>
                            </wps:txbx>
                            <wps:bodyPr wrap="square" lIns="65880" rIns="65880" tIns="32400" bIns="32400" anchor="t">
                              <a:noAutofit/>
                            </wps:bodyPr>
                          </wps:wsp>
                          <wps:wsp>
                            <wps:cNvSpPr/>
                            <wps:spPr>
                              <a:xfrm>
                                <a:off x="5281920" y="816480"/>
                                <a:ext cx="492120" cy="0"/>
                              </a:xfrm>
                              <a:prstGeom prst="line">
                                <a:avLst/>
                              </a:prstGeom>
                              <a:ln w="9360">
                                <a:solidFill>
                                  <a:srgbClr val="000000"/>
                                </a:solidFill>
                                <a:prstDash val="dash"/>
                                <a:miter/>
                              </a:ln>
                            </wps:spPr>
                            <wps:style>
                              <a:lnRef idx="0"/>
                              <a:fillRef idx="0"/>
                              <a:effectRef idx="0"/>
                              <a:fontRef idx="minor"/>
                            </wps:style>
                            <wps:bodyPr/>
                          </wps:wsp>
                          <wps:wsp>
                            <wps:cNvSpPr/>
                            <wps:spPr>
                              <a:xfrm>
                                <a:off x="5345280" y="2188800"/>
                                <a:ext cx="492120" cy="0"/>
                              </a:xfrm>
                              <a:prstGeom prst="line">
                                <a:avLst/>
                              </a:prstGeom>
                              <a:ln w="9360">
                                <a:solidFill>
                                  <a:srgbClr val="000000"/>
                                </a:solidFill>
                                <a:prstDash val="dash"/>
                                <a:miter/>
                              </a:ln>
                            </wps:spPr>
                            <wps:style>
                              <a:lnRef idx="0"/>
                              <a:fillRef idx="0"/>
                              <a:effectRef idx="0"/>
                              <a:fontRef idx="minor"/>
                            </wps:style>
                            <wps:bodyPr/>
                          </wps:wsp>
                          <wps:wsp>
                            <wps:cNvSpPr txBox="1"/>
                            <wps:spPr>
                              <a:xfrm>
                                <a:off x="5789880" y="587880"/>
                                <a:ext cx="317520" cy="337320"/>
                              </a:xfrm>
                              <a:prstGeom prst="rect">
                                <a:avLst/>
                              </a:prstGeom>
                              <a:noFill/>
                              <a:ln w="0">
                                <a:noFill/>
                              </a:ln>
                            </wps:spPr>
                            <wps:txbx>
                              <w:txbxContent>
                                <w:p>
                                  <w:pPr>
                                    <w:overflowPunct w:val="false"/>
                                    <w:autoSpaceDE w:val="false"/>
                                    <w:bidi w:val="0"/>
                                    <w:spacing w:before="0" w:after="180"/>
                                    <w:jc w:val="center"/>
                                    <w:rPr/>
                                  </w:pPr>
                                  <w:r>
                                    <w:rPr>
                                      <w:kern w:val="2"/>
                                      <w:sz w:val="20"/>
                                      <w:b/>
                                      <w:szCs w:val="20"/>
                                      <w:bCs/>
                                      <w:rFonts w:ascii="Verdana" w:hAnsi="Verdana" w:eastAsia="Times New Roman" w:cs="Verdana"/>
                                      <w:color w:val="auto"/>
                                      <w:lang w:val="en-GB" w:bidi="ar-SA"/>
                                    </w:rPr>
                                    <w:t>D</w:t>
                                  </w:r>
                                </w:p>
                              </w:txbxContent>
                            </wps:txbx>
                            <wps:bodyPr wrap="square" lIns="65880" rIns="65880" tIns="32400" bIns="32400" anchor="t">
                              <a:noAutofit/>
                            </wps:bodyPr>
                          </wps:wsp>
                          <wps:wsp>
                            <wps:cNvSpPr txBox="1"/>
                            <wps:spPr>
                              <a:xfrm>
                                <a:off x="5789880" y="1958760"/>
                                <a:ext cx="398880" cy="337320"/>
                              </a:xfrm>
                              <a:prstGeom prst="rect">
                                <a:avLst/>
                              </a:prstGeom>
                              <a:noFill/>
                              <a:ln w="0">
                                <a:noFill/>
                              </a:ln>
                            </wps:spPr>
                            <wps:txbx>
                              <w:txbxContent>
                                <w:p>
                                  <w:pPr>
                                    <w:overflowPunct w:val="false"/>
                                    <w:autoSpaceDE w:val="false"/>
                                    <w:bidi w:val="0"/>
                                    <w:spacing w:before="0" w:after="180"/>
                                    <w:jc w:val="center"/>
                                    <w:rPr/>
                                  </w:pPr>
                                  <w:r>
                                    <w:rPr>
                                      <w:kern w:val="2"/>
                                      <w:sz w:val="20"/>
                                      <w:b/>
                                      <w:szCs w:val="20"/>
                                      <w:bCs/>
                                      <w:rFonts w:ascii="Verdana" w:hAnsi="Verdana" w:eastAsia="Times New Roman" w:cs="Verdana"/>
                                      <w:color w:val="auto"/>
                                      <w:lang w:val="en-GB" w:bidi="ar-SA"/>
                                    </w:rPr>
                                    <w:t>E</w:t>
                                  </w:r>
                                </w:p>
                              </w:txbxContent>
                            </wps:txbx>
                            <wps:bodyPr wrap="square" lIns="65880" rIns="65880" tIns="32400" bIns="32400" anchor="t">
                              <a:noAutofit/>
                            </wps:bodyPr>
                          </wps:wsp>
                          <wps:wsp>
                            <wps:cNvSpPr txBox="1"/>
                            <wps:spPr>
                              <a:xfrm>
                                <a:off x="5091480" y="2531160"/>
                                <a:ext cx="985680" cy="490320"/>
                              </a:xfrm>
                              <a:prstGeom prst="rect">
                                <a:avLst/>
                              </a:prstGeom>
                              <a:noFill/>
                              <a:ln w="0">
                                <a:noFill/>
                              </a:ln>
                            </wps:spPr>
                            <wps:txbx>
                              <w:txbxContent>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en-GB" w:bidi="ar-SA"/>
                                    </w:rPr>
                                    <w:t xml:space="preserve"> </w:t>
                                    <w:t xml:space="preserve"> </w:t>
                                  </w:r>
                                </w:p>
                              </w:txbxContent>
                            </wps:txbx>
                            <wps:bodyPr wrap="square" lIns="65880" rIns="65880" tIns="32400" bIns="32400" anchor="t">
                              <a:noAutofit/>
                            </wps:bodyPr>
                          </wps:wsp>
                        </wpg:grpSp>
                      </wpg:grpSp>
                    </wpg:wgp>
                  </a:graphicData>
                </a:graphic>
              </wp:inline>
            </w:drawing>
          </mc:Choice>
          <mc:Fallback>
            <w:pict>
              <v:group id="shape_0" style="position:absolute;margin-left:0pt;margin-top:0pt;width:505.4pt;height:254.65pt" coordorigin="0,0" coordsize="10108,5093">
                <v:rect id="shape_0" stroked="f" o:allowincell="f" style="position:absolute;left:0;top:1;width:10107;height:5091;mso-wrap-style:none;v-text-anchor:middle;mso-position-horizontal-relative:char">
                  <v:fill o:detectmouseclick="t" on="false"/>
                  <v:stroke color="#3465a4" joinstyle="round" endcap="flat"/>
                  <w10:wrap type="none"/>
                </v:rect>
                <v:group id="shape_0" style="position:absolute;left:99;top:1;width:9937;height:4941">
                  <v:shapetype id="_x0000_t202" coordsize="21600,21600" o:spt="202" path="m,l,21600l21600,21600l21600,xe">
                    <v:stroke joinstyle="miter"/>
                    <v:path gradientshapeok="t" o:connecttype="rect"/>
                  </v:shapetype>
                  <v:shape id="shape_0" stroked="f" o:allowincell="f" style="position:absolute;left:99;top:2880;width:2064;height:538;mso-wrap-style:square;v-text-anchor:top;mso-position-horizontal-relative:char" type="_x0000_t202">
                    <v:textbox>
                      <w:txbxContent>
                        <w:p>
                          <w:pPr>
                            <w:overflowPunct w:val="false"/>
                            <w:autoSpaceDE w:val="false"/>
                            <w:bidi w:val="0"/>
                            <w:spacing w:before="0" w:after="180"/>
                            <w:jc w:val="center"/>
                            <w:rPr/>
                          </w:pPr>
                          <w:r>
                            <w:rPr>
                              <w:kern w:val="2"/>
                              <w:sz w:val="20"/>
                              <w:szCs w:val="28"/>
                              <w:rFonts w:ascii="Arial" w:hAnsi="Arial" w:eastAsia="Times New Roman" w:cs="Arial"/>
                              <w:color w:val="auto"/>
                              <w:lang w:val="en-GB" w:bidi="ar-SA"/>
                            </w:rPr>
                            <w:t>Local EOC</w:t>
                          </w:r>
                        </w:p>
                      </w:txbxContent>
                    </v:textbox>
                    <v:fill o:detectmouseclick="t" on="false"/>
                    <v:stroke color="#3465a4" joinstyle="round" endcap="flat"/>
                    <w10:wrap type="none"/>
                  </v:shape>
                  <v:rect id="shape_0" stroked="t" o:allowincell="f" style="position:absolute;left:8240;top:1;width:1795;height:4940;mso-wrap-style:none;v-text-anchor:middle;mso-position-horizontal-relative:char">
                    <v:fill o:detectmouseclick="t" on="false"/>
                    <v:stroke color="black" weight="9360" joinstyle="miter" endcap="flat"/>
                    <w10:wrap type="none"/>
                  </v:rect>
                </v:group>
                <v:group id="shape_0" style="position:absolute;left:360;top:0;width:9746;height:4911">
                  <v:group id="shape_0" style="position:absolute;left:2066;top:0;width:6139;height:537">
                    <v:shape id="shape_0" stroked="f" o:allowincell="f" style="position:absolute;left:2066;top:0;width:627;height:536;mso-wrap-style:square;v-text-anchor:top;mso-position-horizontal-relative:char" type="_x0000_t202">
                      <v:textbox>
                        <w:txbxContent>
                          <w:p>
                            <w:pPr>
                              <w:overflowPunct w:val="false"/>
                              <w:autoSpaceDE w:val="false"/>
                              <w:bidi w:val="0"/>
                              <w:spacing w:before="0" w:after="180"/>
                              <w:jc w:val="center"/>
                              <w:rPr/>
                            </w:pPr>
                            <w:r>
                              <w:rPr>
                                <w:kern w:val="2"/>
                                <w:sz w:val="20"/>
                                <w:b/>
                                <w:szCs w:val="28"/>
                                <w:bCs/>
                                <w:rFonts w:ascii="Verdana" w:hAnsi="Verdana" w:eastAsia="Times New Roman" w:cs="Verdana"/>
                                <w:color w:val="auto"/>
                                <w:lang w:val="en-GB" w:bidi="ar-SA"/>
                              </w:rPr>
                              <w:t>A</w:t>
                            </w:r>
                          </w:p>
                        </w:txbxContent>
                      </v:textbox>
                      <v:fill o:detectmouseclick="t" on="false"/>
                      <v:stroke color="#3465a4" joinstyle="round" endcap="flat"/>
                      <w10:wrap type="none"/>
                    </v:shape>
                    <v:shape id="shape_0" stroked="f" o:allowincell="f" style="position:absolute;left:7577;top:1;width:627;height:531;mso-wrap-style:square;v-text-anchor:top;mso-position-horizontal-relative:char" type="_x0000_t202">
                      <v:textbox>
                        <w:txbxContent>
                          <w:p>
                            <w:pPr>
                              <w:overflowPunct w:val="false"/>
                              <w:autoSpaceDE w:val="false"/>
                              <w:bidi w:val="0"/>
                              <w:spacing w:before="0" w:after="180"/>
                              <w:jc w:val="center"/>
                              <w:rPr/>
                            </w:pPr>
                            <w:r>
                              <w:rPr>
                                <w:kern w:val="2"/>
                                <w:sz w:val="20"/>
                                <w:b/>
                                <w:szCs w:val="22"/>
                                <w:bCs/>
                                <w:rFonts w:ascii="Verdana" w:hAnsi="Verdana" w:eastAsia="Times New Roman" w:cs="Verdana"/>
                                <w:color w:val="auto"/>
                                <w:lang w:val="en-GB" w:bidi="ar-SA"/>
                              </w:rPr>
                              <w:t>C</w:t>
                            </w:r>
                          </w:p>
                        </w:txbxContent>
                      </v:textbox>
                      <v:fill o:detectmouseclick="t" on="false"/>
                      <v:stroke color="#3465a4" joinstyle="round" endcap="flat"/>
                      <w10:wrap type="none"/>
                    </v:shape>
                  </v:group>
                  <v:group id="shape_0" style="position:absolute;left:360;top:153;width:9746;height:47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left:1706;top:3779;width:439;height:1120;mso-wrap-style:none;v-text-anchor:middle;mso-position-horizontal-relative:char" type="_x0000_t75">
                      <v:imagedata r:id="rId8" o:detectmouseclick="t"/>
                      <v:stroke color="#3465a4" joinstyle="round" endcap="flat"/>
                      <w10:wrap type="none"/>
                    </v:shape>
                    <v:shape id="shape_0" stroked="f" o:allowincell="f" style="position:absolute;left:360;top:4048;width:481;height:264;mso-wrap-style:none;v-text-anchor:middle;mso-position-horizontal-relative:char" type="_x0000_t75">
                      <v:imagedata r:id="rId9" o:detectmouseclick="t"/>
                      <v:stroke color="#3465a4" joinstyle="round" endcap="flat"/>
                      <w10:wrap type="none"/>
                    </v:shape>
                    <v:shape id="shape_0" stroked="f" o:allowincell="f" style="position:absolute;left:539;top:1713;width:900;height:1166;mso-wrap-style:none;v-text-anchor:middle;mso-position-horizontal-relative:char" type="_x0000_t75">
                      <v:imagedata r:id="rId10" o:detectmouseclick="t"/>
                      <v:stroke color="#3465a4" joinstyle="round" endcap="flat"/>
                      <w10:wrap type="none"/>
                    </v:shape>
                    <v:shape id="shape_0" stroked="f" o:allowincell="f" style="position:absolute;left:360;top:3420;width:1525;height:447;mso-wrap-style:square;v-text-anchor:top;mso-position-horizontal-relative:char" type="_x0000_t202">
                      <v:textbox>
                        <w:txbxContent>
                          <w:p>
                            <w:pPr>
                              <w:overflowPunct w:val="false"/>
                              <w:autoSpaceDE w:val="false"/>
                              <w:bidi w:val="0"/>
                              <w:spacing w:before="0" w:after="180"/>
                              <w:rPr/>
                            </w:pPr>
                            <w:r>
                              <w:rPr>
                                <w:kern w:val="2"/>
                                <w:sz w:val="20"/>
                                <w:szCs w:val="28"/>
                                <w:rFonts w:ascii="Arial" w:hAnsi="Arial" w:eastAsia="Times New Roman" w:cs="Arial"/>
                                <w:color w:val="auto"/>
                                <w:lang w:val="en-GB" w:bidi="ar-SA"/>
                              </w:rPr>
                              <w:t>State EOC</w:t>
                            </w:r>
                          </w:p>
                        </w:txbxContent>
                      </v:textbox>
                      <v:fill o:detectmouseclick="t" on="false"/>
                      <v:stroke color="#3465a4" joinstyle="round" endcap="flat"/>
                      <w10:wrap type="none"/>
                    </v:shape>
                    <v:shape id="shape_0" stroked="t" o:allowincell="f" style="position:absolute;left:360;top:455;width:1705;height:982;mso-wrap-style:square;v-text-anchor:top;mso-position-horizontal-relative:char" type="_x0000_t202">
                      <v:textbox>
                        <w:txbxContent>
                          <w:p>
                            <w:pPr>
                              <w:overflowPunct w:val="false"/>
                              <w:autoSpaceDE w:val="false"/>
                              <w:bidi w:val="0"/>
                              <w:spacing w:before="0" w:after="180"/>
                              <w:rPr/>
                            </w:pPr>
                            <w:r>
                              <w:rPr>
                                <w:kern w:val="2"/>
                                <w:sz w:val="27"/>
                                <w:szCs w:val="36"/>
                                <w:rFonts w:ascii="Arial" w:hAnsi="Arial" w:eastAsia="Times New Roman" w:cs="Arial"/>
                                <w:color w:val="auto"/>
                                <w:lang w:val="en-GB" w:bidi="ar-SA"/>
                              </w:rPr>
                              <w:t xml:space="preserve">Federal </w:t>
                            </w:r>
                          </w:p>
                          <w:p>
                            <w:pPr>
                              <w:overflowPunct w:val="false"/>
                              <w:autoSpaceDE w:val="false"/>
                              <w:bidi w:val="0"/>
                              <w:spacing w:before="0" w:after="180"/>
                              <w:rPr/>
                            </w:pPr>
                            <w:r>
                              <w:rPr>
                                <w:kern w:val="2"/>
                                <w:sz w:val="27"/>
                                <w:szCs w:val="36"/>
                                <w:rFonts w:ascii="Arial" w:hAnsi="Arial" w:eastAsia="Times New Roman" w:cs="Arial"/>
                                <w:color w:val="auto"/>
                                <w:lang w:val="en-GB" w:bidi="ar-SA"/>
                              </w:rPr>
                              <w:t>Agencies</w:t>
                            </w:r>
                          </w:p>
                        </w:txbxContent>
                      </v:textbox>
                      <v:fill o:detectmouseclick="t" on="false"/>
                      <v:stroke color="black" weight="9360" joinstyle="miter" endcap="flat"/>
                      <w10:wrap type="none"/>
                    </v:shape>
                    <v:rect id="shape_0" ID="Cloud" path="xeeeeeeeeeeee" fillcolor="#dddddd" stroked="t" o:allowincell="f" style="position:absolute;left:2964;top:1687;width:2873;height:1563;mso-wrap-style:square;v-text-anchor:top;mso-position-horizontal-relative:char">
                      <v:textbox>
                        <w:txbxContent>
                          <w:p>
                            <w:pPr>
                              <w:overflowPunct w:val="false"/>
                              <w:autoSpaceDE w:val="false"/>
                              <w:bidi w:val="0"/>
                              <w:spacing w:before="0" w:after="180"/>
                              <w:jc w:val="center"/>
                              <w:rPr/>
                            </w:pPr>
                            <w:r>
                              <w:rPr>
                                <w:kern w:val="2"/>
                                <w:sz w:val="20"/>
                                <w:b/>
                                <w:szCs w:val="32"/>
                                <w:bCs/>
                                <w:rFonts w:ascii="Verdana" w:hAnsi="Verdana" w:eastAsia="Times New Roman" w:cs="Verdana"/>
                                <w:color w:val="auto"/>
                                <w:lang w:val="en-GB" w:bidi="ar-SA"/>
                              </w:rPr>
                              <w:t>Alert Aggregator</w:t>
                            </w:r>
                          </w:p>
                        </w:txbxContent>
                      </v:textbox>
                      <v:fill o:detectmouseclick="t" type="solid" color2="#222222"/>
                      <v:stroke color="black" weight="9360" joinstyle="miter" endcap="flat"/>
                      <v:shadow on="t" obscured="f" color="gray"/>
                      <w10:wrap type="none"/>
                    </v:rect>
                    <v:line id="shape_0" from="2156,2970" to="2963,3687" stroked="t" o:allowincell="f" style="position:absolute;flip:y;mso-position-horizontal-relative:char">
                      <v:stroke color="black" weight="9360" joinstyle="miter" endcap="flat"/>
                      <v:fill o:detectmouseclick="t" on="false"/>
                      <w10:wrap type="none"/>
                    </v:line>
                    <v:line id="shape_0" from="1527,2252" to="2872,2252" stroked="t" o:allowincell="f" style="position:absolute;mso-position-horizontal-relative:char">
                      <v:stroke color="black" weight="9360" joinstyle="miter" endcap="flat"/>
                      <v:fill o:detectmouseclick="t" on="false"/>
                      <w10:wrap type="none"/>
                    </v:line>
                    <v:line id="shape_0" from="2156,815" to="3412,1712" stroked="t" o:allowincell="f" style="position:absolute;mso-position-horizontal-relative:char">
                      <v:stroke color="black" weight="9360" joinstyle="miter" endcap="flat"/>
                      <v:fill o:detectmouseclick="t" on="false"/>
                      <w10:wrap type="none"/>
                    </v:line>
                    <v:shape id="shape_0" stroked="f" o:allowincell="f" style="position:absolute;left:6737;top:1533;width:438;height:1120;mso-wrap-style:none;v-text-anchor:middle;mso-position-horizontal-relative:char" type="_x0000_t75">
                      <v:imagedata r:id="rId8" o:detectmouseclick="t"/>
                      <v:stroke color="#3465a4" joinstyle="round" endcap="flat"/>
                      <w10:wrap type="none"/>
                    </v:shape>
                    <v:line id="shape_0" from="5928,2162" to="6466,2162" stroked="t" o:allowincell="f" style="position:absolute;mso-position-horizontal-relative:char">
                      <v:stroke color="black" weight="9360" joinstyle="miter" endcap="flat"/>
                      <v:fill o:detectmouseclick="t" on="false"/>
                      <w10:wrap type="none"/>
                    </v:line>
                    <v:shape id="shape_0" stroked="f" o:allowincell="f" style="position:absolute;left:8982;top:635;width:263;height:671;mso-wrap-style:none;v-text-anchor:middle;mso-position-horizontal-relative:char" type="_x0000_t75">
                      <v:imagedata r:id="rId8" o:detectmouseclick="t"/>
                      <v:stroke color="#3465a4" joinstyle="round" endcap="flat"/>
                      <w10:wrap type="none"/>
                    </v:shape>
                    <v:shape id="shape_0" stroked="f" o:allowincell="f" style="position:absolute;left:8803;top:1982;width:835;height:1252;mso-wrap-style:none;v-text-anchor:middle;mso-position-horizontal-relative:char" type="_x0000_t75">
                      <v:imagedata r:id="rId13" o:detectmouseclick="t"/>
                      <v:stroke color="#3465a4" joinstyle="round" endcap="flat"/>
                      <w10:wrap type="none"/>
                    </v:shape>
                    <v:line id="shape_0" from="7455,634" to="8711,1620" stroked="t" o:allowincell="f" style="position:absolute;flip:y;mso-position-horizontal-relative:char">
                      <v:stroke color="black" weight="9360" joinstyle="miter" endcap="flat"/>
                      <v:fill o:detectmouseclick="t" on="false"/>
                      <w10:wrap type="none"/>
                    </v:line>
                    <v:line id="shape_0" from="9178,1439" to="9178,1978" stroked="t" o:allowincell="f" style="position:absolute;mso-position-horizontal-relative:char">
                      <v:stroke color="black" weight="9360" joinstyle="miter" endcap="flat"/>
                      <v:fill o:detectmouseclick="t" on="false"/>
                      <w10:wrap type="none"/>
                    </v:line>
                    <v:line id="shape_0" from="9178,3239" to="9178,4137" stroked="t" o:allowincell="f" style="position:absolute;mso-position-horizontal-relative:char">
                      <v:stroke color="black" weight="9360" joinstyle="miter" endcap="flat"/>
                      <v:fill o:detectmouseclick="t" on="false"/>
                      <w10:wrap type="none"/>
                    </v:line>
                    <v:rect id="shape_0" stroked="t" o:allowincell="f" style="position:absolute;left:2604;top:815;width:5388;height:3322;mso-wrap-style:none;v-text-anchor:middle;mso-position-horizontal-relative:char">
                      <v:fill o:detectmouseclick="t" on="false"/>
                      <v:stroke color="black" weight="9360" joinstyle="miter" endcap="flat"/>
                      <w10:wrap type="none"/>
                    </v:rect>
                    <v:shape id="shape_0" stroked="f" o:allowincell="f" style="position:absolute;left:6287;top:2880;width:1659;height:954;mso-wrap-style:square;v-text-anchor:middle;mso-position-horizontal-relative:char" type="_x0000_t202">
                      <v:textbox>
                        <w:txbxContent>
                          <w:p>
                            <w:pPr>
                              <w:overflowPunct w:val="false"/>
                              <w:autoSpaceDE w:val="false"/>
                              <w:bidi w:val="0"/>
                              <w:spacing w:before="0" w:after="180"/>
                              <w:jc w:val="center"/>
                              <w:rPr/>
                            </w:pPr>
                            <w:r>
                              <w:rPr>
                                <w:kern w:val="2"/>
                                <w:sz w:val="20"/>
                                <w:b/>
                                <w:szCs w:val="20"/>
                                <w:bCs/>
                                <w:rFonts w:ascii="Verdana" w:hAnsi="Verdana" w:eastAsia="Times New Roman" w:cs="Verdana"/>
                                <w:color w:val="auto"/>
                                <w:lang w:val="en-GB" w:bidi="ar-SA"/>
                              </w:rPr>
                              <w:t>Alert Gateway</w:t>
                            </w:r>
                          </w:p>
                        </w:txbxContent>
                      </v:textbox>
                      <v:fill o:detectmouseclick="t" on="false"/>
                      <v:stroke color="#3465a4" joinstyle="round" endcap="flat"/>
                      <w10:wrap type="none"/>
                    </v:shape>
                    <v:shape id="shape_0" stroked="f" o:allowincell="f" style="position:absolute;left:8335;top:153;width:1702;height:711;mso-wrap-style:square;v-text-anchor:middle;mso-position-horizontal-relative:char" type="_x0000_t202">
                      <v:textbox>
                        <w:txbxContent>
                          <w:p>
                            <w:pPr>
                              <w:overflowPunct w:val="false"/>
                              <w:autoSpaceDE w:val="false"/>
                              <w:bidi w:val="0"/>
                              <w:spacing w:before="0" w:after="180"/>
                              <w:jc w:val="center"/>
                              <w:rPr/>
                            </w:pPr>
                            <w:r>
                              <w:rPr>
                                <w:kern w:val="2"/>
                                <w:sz w:val="16"/>
                                <w:b/>
                                <w:szCs w:val="16"/>
                                <w:bCs/>
                                <w:rFonts w:ascii="Verdana" w:hAnsi="Verdana" w:eastAsia="Times New Roman" w:cs="Verdana"/>
                                <w:color w:val="auto"/>
                                <w:lang w:val="en-GB" w:bidi="ar-SA"/>
                              </w:rPr>
                              <w:t>PLMN Gateway</w:t>
                            </w:r>
                          </w:p>
                        </w:txbxContent>
                      </v:textbox>
                      <v:fill o:detectmouseclick="t" on="false"/>
                      <v:stroke color="#3465a4" joinstyle="round" endcap="flat"/>
                      <w10:wrap type="none"/>
                    </v:shape>
                    <v:shape id="shape_0" stroked="f" o:allowincell="f" style="position:absolute;left:8377;top:1439;width:1678;height:539;mso-wrap-style:square;v-text-anchor:middle;mso-position-horizontal-relative:char" type="_x0000_t202">
                      <v:textbox>
                        <w:txbxContent>
                          <w:p>
                            <w:pPr>
                              <w:overflowPunct w:val="false"/>
                              <w:autoSpaceDE w:val="false"/>
                              <w:bidi w:val="0"/>
                              <w:spacing w:before="0" w:after="180"/>
                              <w:jc w:val="center"/>
                              <w:rPr/>
                            </w:pPr>
                            <w:r>
                              <w:rPr>
                                <w:kern w:val="2"/>
                                <w:sz w:val="16"/>
                                <w:b/>
                                <w:szCs w:val="16"/>
                                <w:bCs/>
                                <w:rFonts w:ascii="Verdana" w:hAnsi="Verdana" w:eastAsia="Times New Roman" w:cs="Verdana"/>
                                <w:color w:val="auto"/>
                                <w:lang w:val="en-GB" w:bidi="ar-SA"/>
                              </w:rPr>
                              <w:t>PLMN Infrastructure</w:t>
                            </w:r>
                          </w:p>
                        </w:txbxContent>
                      </v:textbox>
                      <v:fill o:detectmouseclick="t" on="false"/>
                      <v:stroke color="#3465a4" joinstyle="round" endcap="flat"/>
                      <w10:wrap type="none"/>
                    </v:shape>
                    <v:shape id="shape_0" stroked="f" o:allowincell="f" style="position:absolute;left:8378;top:3780;width:1615;height:345;mso-wrap-style:square;v-text-anchor:middle;mso-position-horizontal-relative:char" type="_x0000_t202">
                      <v:textbox>
                        <w:txbxContent>
                          <w:p>
                            <w:pPr>
                              <w:overflowPunct w:val="false"/>
                              <w:autoSpaceDE w:val="false"/>
                              <w:bidi w:val="0"/>
                              <w:spacing w:before="0" w:after="180"/>
                              <w:jc w:val="center"/>
                              <w:rPr/>
                            </w:pPr>
                            <w:r>
                              <w:rPr>
                                <w:kern w:val="2"/>
                                <w:sz w:val="16"/>
                                <w:b/>
                                <w:szCs w:val="16"/>
                                <w:bCs/>
                                <w:rFonts w:ascii="Verdana" w:hAnsi="Verdana" w:eastAsia="Times New Roman" w:cs="Verdana"/>
                                <w:color w:val="auto"/>
                                <w:lang w:val="en-GB" w:bidi="ar-SA"/>
                              </w:rPr>
                              <w:t>Mobile Device</w:t>
                            </w:r>
                          </w:p>
                        </w:txbxContent>
                      </v:textbox>
                      <v:fill o:detectmouseclick="t" on="false"/>
                      <v:stroke color="#3465a4" joinstyle="round" endcap="flat"/>
                      <w10:wrap type="none"/>
                    </v:shape>
                    <v:shape id="shape_0" stroked="f" o:allowincell="f" style="position:absolute;left:3357;top:200;width:4456;height:386;mso-wrap-style:square;v-text-anchor:middle;mso-position-horizontal-relative:char" type="_x0000_t202">
                      <v:textbox>
                        <w:txbxContent>
                          <w:p>
                            <w:pPr>
                              <w:overflowPunct w:val="false"/>
                              <w:autoSpaceDE w:val="false"/>
                              <w:bidi w:val="0"/>
                              <w:spacing w:before="0" w:after="180"/>
                              <w:rPr/>
                            </w:pPr>
                            <w:r>
                              <w:rPr>
                                <w:kern w:val="2"/>
                                <w:sz w:val="18"/>
                                <w:b/>
                                <w:i/>
                                <w:szCs w:val="20"/>
                                <w:bCs/>
                                <w:iCs/>
                                <w:rFonts w:ascii="Verdana" w:hAnsi="Verdana" w:eastAsia="Times New Roman" w:cs="Verdana"/>
                                <w:color w:val="auto"/>
                                <w:lang w:val="en-GB" w:bidi="ar-SA"/>
                              </w:rPr>
                              <w:t>Proposed Government Administered</w:t>
                            </w:r>
                          </w:p>
                        </w:txbxContent>
                      </v:textbox>
                      <v:fill o:detectmouseclick="t" on="false"/>
                      <v:stroke color="#3465a4" joinstyle="round" endcap="flat"/>
                      <w10:wrap type="none"/>
                    </v:shape>
                    <v:line id="shape_0" from="2335,545" to="2335,3777" stroked="t" o:allowincell="f" style="position:absolute;mso-position-horizontal-relative:char">
                      <v:stroke color="black" weight="9360" dashstyle="dash" joinstyle="miter" endcap="flat"/>
                      <v:fill o:detectmouseclick="t" on="false"/>
                      <w10:wrap type="none"/>
                    </v:line>
                    <v:line id="shape_0" from="8174,276" to="8174,1711" stroked="t" o:allowincell="f" style="position:absolute;mso-position-horizontal-relative:char">
                      <v:stroke color="black" weight="9360" dashstyle="dash" joinstyle="miter" endcap="flat"/>
                      <v:fill o:detectmouseclick="t" on="false"/>
                      <w10:wrap type="none"/>
                    </v:line>
                    <v:line id="shape_0" from="6107,1533" to="6107,2609" stroked="t" o:allowincell="f" style="position:absolute;mso-position-horizontal-relative:char">
                      <v:stroke color="black" weight="9360" dashstyle="dash" joinstyle="miter" endcap="flat"/>
                      <v:fill o:detectmouseclick="t" on="false"/>
                      <w10:wrap type="none"/>
                    </v:line>
                    <v:shape id="shape_0" stroked="f" o:allowincell="f" style="position:absolute;left:5839;top:900;width:627;height:535;mso-wrap-style:square;v-text-anchor:top;mso-position-horizontal-relative:char" type="_x0000_t202">
                      <v:textbox>
                        <w:txbxContent>
                          <w:p>
                            <w:pPr>
                              <w:overflowPunct w:val="false"/>
                              <w:autoSpaceDE w:val="false"/>
                              <w:bidi w:val="0"/>
                              <w:spacing w:before="0" w:after="180"/>
                              <w:jc w:val="center"/>
                              <w:rPr/>
                            </w:pPr>
                            <w:r>
                              <w:rPr>
                                <w:kern w:val="2"/>
                                <w:sz w:val="20"/>
                                <w:b/>
                                <w:szCs w:val="28"/>
                                <w:bCs/>
                                <w:rFonts w:ascii="Verdana" w:hAnsi="Verdana" w:eastAsia="Times New Roman" w:cs="Verdana"/>
                                <w:color w:val="auto"/>
                                <w:lang w:val="en-GB" w:bidi="ar-SA"/>
                              </w:rPr>
                              <w:t>B</w:t>
                            </w:r>
                          </w:p>
                        </w:txbxContent>
                      </v:textbox>
                      <v:fill o:detectmouseclick="t" on="false"/>
                      <v:stroke color="#3465a4" joinstyle="round" endcap="flat"/>
                      <w10:wrap type="none"/>
                    </v:shape>
                    <v:line id="shape_0" from="8678,1439" to="9452,1439" stroked="t" o:allowincell="f" style="position:absolute;mso-position-horizontal-relative:char">
                      <v:stroke color="black" weight="9360" dashstyle="dash" joinstyle="miter" endcap="flat"/>
                      <v:fill o:detectmouseclick="t" on="false"/>
                      <w10:wrap type="none"/>
                    </v:line>
                    <v:line id="shape_0" from="8778,3600" to="9552,3600" stroked="t" o:allowincell="f" style="position:absolute;mso-position-horizontal-relative:char">
                      <v:stroke color="black" weight="9360" dashstyle="dash" joinstyle="miter" endcap="flat"/>
                      <v:fill o:detectmouseclick="t" on="false"/>
                      <w10:wrap type="none"/>
                    </v:line>
                    <v:shape id="shape_0" stroked="f" o:allowincell="f" style="position:absolute;left:9478;top:1079;width:499;height:530;mso-wrap-style:square;v-text-anchor:top;mso-position-horizontal-relative:char" type="_x0000_t202">
                      <v:textbox>
                        <w:txbxContent>
                          <w:p>
                            <w:pPr>
                              <w:overflowPunct w:val="false"/>
                              <w:autoSpaceDE w:val="false"/>
                              <w:bidi w:val="0"/>
                              <w:spacing w:before="0" w:after="180"/>
                              <w:jc w:val="center"/>
                              <w:rPr/>
                            </w:pPr>
                            <w:r>
                              <w:rPr>
                                <w:kern w:val="2"/>
                                <w:sz w:val="20"/>
                                <w:b/>
                                <w:szCs w:val="20"/>
                                <w:bCs/>
                                <w:rFonts w:ascii="Verdana" w:hAnsi="Verdana" w:eastAsia="Times New Roman" w:cs="Verdana"/>
                                <w:color w:val="auto"/>
                                <w:lang w:val="en-GB" w:bidi="ar-SA"/>
                              </w:rPr>
                              <w:t>D</w:t>
                            </w:r>
                          </w:p>
                        </w:txbxContent>
                      </v:textbox>
                      <v:fill o:detectmouseclick="t" on="false"/>
                      <v:stroke color="#3465a4" joinstyle="round" endcap="flat"/>
                      <w10:wrap type="none"/>
                    </v:shape>
                    <v:shape id="shape_0" stroked="f" o:allowincell="f" style="position:absolute;left:9478;top:3238;width:627;height:530;mso-wrap-style:square;v-text-anchor:top;mso-position-horizontal-relative:char" type="_x0000_t202">
                      <v:textbox>
                        <w:txbxContent>
                          <w:p>
                            <w:pPr>
                              <w:overflowPunct w:val="false"/>
                              <w:autoSpaceDE w:val="false"/>
                              <w:bidi w:val="0"/>
                              <w:spacing w:before="0" w:after="180"/>
                              <w:jc w:val="center"/>
                              <w:rPr/>
                            </w:pPr>
                            <w:r>
                              <w:rPr>
                                <w:kern w:val="2"/>
                                <w:sz w:val="20"/>
                                <w:b/>
                                <w:szCs w:val="20"/>
                                <w:bCs/>
                                <w:rFonts w:ascii="Verdana" w:hAnsi="Verdana" w:eastAsia="Times New Roman" w:cs="Verdana"/>
                                <w:color w:val="auto"/>
                                <w:lang w:val="en-GB" w:bidi="ar-SA"/>
                              </w:rPr>
                              <w:t>E</w:t>
                            </w:r>
                          </w:p>
                        </w:txbxContent>
                      </v:textbox>
                      <v:fill o:detectmouseclick="t" on="false"/>
                      <v:stroke color="#3465a4" joinstyle="round" endcap="flat"/>
                      <w10:wrap type="none"/>
                    </v:shape>
                    <v:shape id="shape_0" stroked="f" o:allowincell="f" style="position:absolute;left:8378;top:4139;width:1551;height:771;mso-wrap-style:square;v-text-anchor:top;mso-position-horizontal-relative:char" type="_x0000_t202">
                      <v:textbox>
                        <w:txbxContent>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en-GB" w:bidi="ar-SA"/>
                              </w:rPr>
                              <w:t xml:space="preserve"> </w:t>
                              <w:t xml:space="preserve"> </w:t>
                            </w:r>
                          </w:p>
                        </w:txbxContent>
                      </v:textbox>
                      <v:fill o:detectmouseclick="t" on="false"/>
                      <v:stroke color="#3465a4" joinstyle="round" endcap="flat"/>
                      <w10:wrap type="none"/>
                    </v:shape>
                  </v:group>
                </v:group>
              </v:group>
            </w:pict>
          </mc:Fallback>
        </mc:AlternateContent>
      </w:r>
    </w:p>
    <w:p>
      <w:pPr>
        <w:pStyle w:val="TF"/>
        <w:rPr/>
      </w:pPr>
      <w:r>
        <w:rPr/>
        <w:t>Figure 6.1-1: CMAS Reference Architecture</w:t>
      </w:r>
    </w:p>
    <w:p>
      <w:pPr>
        <w:pStyle w:val="Heading2"/>
        <w:rPr/>
      </w:pPr>
      <w:bookmarkStart w:id="35" w:name="__RefHeading___Toc52642433"/>
      <w:r>
        <w:rPr/>
        <w:t>6.2</w:t>
        <w:tab/>
        <w:t>Additional PWS Requirements Specific to CMAS</w:t>
      </w:r>
      <w:bookmarkEnd w:id="35"/>
      <w:r>
        <w:rPr/>
        <w:t xml:space="preserve"> </w:t>
      </w:r>
    </w:p>
    <w:p>
      <w:pPr>
        <w:pStyle w:val="Normal"/>
        <w:spacing w:before="120" w:after="180"/>
        <w:rPr/>
      </w:pPr>
      <w:r>
        <w:rPr/>
        <w:t xml:space="preserve">In addition to the General Requirements specified in Clause 4, the following requirements are specified for the deployment of CMAS. These CMAS specific requirements are based on the FCC Report and Orders listed in clause 6.1 and further specified in [4]. </w:t>
      </w:r>
    </w:p>
    <w:p>
      <w:pPr>
        <w:pStyle w:val="Normal"/>
        <w:spacing w:before="120" w:after="180"/>
        <w:rPr/>
      </w:pPr>
      <w:r>
        <w:rPr/>
        <w:t>Warning Notifications shall support up to 360 characters of GSM 7 bit Default Alphabet [9] for E-UTRAN.</w:t>
      </w:r>
    </w:p>
    <w:p>
      <w:pPr>
        <w:pStyle w:val="Normal"/>
        <w:spacing w:before="120" w:after="180"/>
        <w:rPr/>
      </w:pPr>
      <w:r>
        <w:rPr/>
        <w:t>The following classes of Warning Notifications shall be supported: Presidential, Imminent Threat, Public Safety, Child Abduction Emergency (e.g. AMBER) , and State/Local WEA Test.</w:t>
      </w:r>
    </w:p>
    <w:p>
      <w:pPr>
        <w:pStyle w:val="Normal"/>
        <w:spacing w:before="120" w:after="180"/>
        <w:rPr/>
      </w:pPr>
      <w:r>
        <w:rPr/>
        <w:t xml:space="preserve">When a Presidential Warning Notification is received, it shall always be presented to the user whenever Cell Broadcast Service via GSM/UMTS or warning notification delivery via E-UTRAN is enabled on the UE. </w:t>
      </w:r>
    </w:p>
    <w:p>
      <w:pPr>
        <w:pStyle w:val="Normal"/>
        <w:spacing w:before="120" w:after="180"/>
        <w:rPr/>
      </w:pPr>
      <w:r>
        <w:rPr/>
        <w:t xml:space="preserve">If the Presidential Warning Notification is received in English, then it shall be displayed by the UE. If the Presidential Warning Notification is received in a language other than English, then it shall only be displayed by the UE if the User has selected that language. </w:t>
      </w:r>
    </w:p>
    <w:p>
      <w:pPr>
        <w:pStyle w:val="Normal"/>
        <w:spacing w:before="120" w:after="180"/>
        <w:rPr/>
      </w:pPr>
      <w:r>
        <w:rPr/>
        <w:t>A CMAS-capable User Interface (UI) shall support the ability for the user to opt-out of only the Imminent Threat, Public Safety and Child Abduction Emergency Warning Notifications. A CMAS-capable User Interface (UI) shall support the ability for the user to opt-in to the State/Local WEA Test notification.</w:t>
      </w:r>
    </w:p>
    <w:p>
      <w:pPr>
        <w:pStyle w:val="Normal"/>
        <w:spacing w:before="120" w:after="180"/>
        <w:rPr/>
      </w:pPr>
      <w:r>
        <w:rPr/>
        <w:t>If the User has opted out of a Warning Notification class, then the Warning Notification for that class shall not be displayed by the UE.</w:t>
      </w:r>
    </w:p>
    <w:p>
      <w:pPr>
        <w:pStyle w:val="Normal"/>
        <w:spacing w:before="120" w:after="180"/>
        <w:rPr/>
      </w:pPr>
      <w:r>
        <w:rPr/>
        <w:t xml:space="preserve">If the User has not opted out of a Warning Notification class, then any Warning Notifications for that class received in English shall be displayed by the UE. This also applies to Warning Notifications received in any additional languages that may be selected by the User. </w:t>
      </w:r>
    </w:p>
    <w:p>
      <w:pPr>
        <w:pStyle w:val="Normal"/>
        <w:spacing w:before="120" w:after="180"/>
        <w:rPr/>
      </w:pPr>
      <w:r>
        <w:rPr/>
        <w:t xml:space="preserve">Warning Notifications may contain </w:t>
      </w:r>
      <w:r>
        <w:rPr>
          <w:lang w:val="en-US"/>
        </w:rPr>
        <w:t>URLs and/or phone numbers.</w:t>
      </w:r>
    </w:p>
    <w:p>
      <w:pPr>
        <w:pStyle w:val="Normal"/>
        <w:spacing w:before="120" w:after="180"/>
        <w:rPr/>
      </w:pPr>
      <w:r>
        <w:rPr/>
        <w:t xml:space="preserve">A CMAS-capable User Interface (UI) shall support the ability </w:t>
      </w:r>
      <w:r>
        <w:rPr>
          <w:lang w:val="en-US"/>
        </w:rPr>
        <w:t xml:space="preserve">(e.g., a “click” touch input) </w:t>
      </w:r>
      <w:r>
        <w:rPr/>
        <w:t xml:space="preserve">for the user </w:t>
      </w:r>
      <w:r>
        <w:rPr>
          <w:lang w:val="en-US"/>
        </w:rPr>
        <w:t>to navigate to the URL or initiate a voice call to the phone number which may be included in the Warning Notification [8].</w:t>
      </w:r>
      <w:r>
        <w:rPr/>
        <w:t>The PLMN broadcasting CMAS Warning Notifications shall also broadcast corresponding CMAS Warning Notification Area(s) when the CMAS Warning Notification is required to adhere to the maximum 0,1 of a mile CMAS Warning Notification Area(s) overshooting as specified in [10]. This requirement applies only to LTE and NR accesses.</w:t>
      </w:r>
    </w:p>
    <w:p>
      <w:pPr>
        <w:pStyle w:val="Normal"/>
        <w:spacing w:before="120" w:after="180"/>
        <w:rPr/>
      </w:pPr>
      <w:r>
        <w:rPr/>
        <w:t xml:space="preserve">A CMAS-capable UE shall utilize UE-Based Location Calculation [11] to determine whether it is located within the corresponding CMAS Warning Notification Area(s) in order to minimize overloading network LCS resources. </w:t>
      </w:r>
    </w:p>
    <w:p>
      <w:pPr>
        <w:pStyle w:val="Normal"/>
        <w:spacing w:before="120" w:after="180"/>
        <w:rPr/>
      </w:pPr>
      <w:r>
        <w:rPr/>
        <w:t>Subject to opt-out and opt-in settings described above, a CMAS-capable UE shall present the CMAS Warning Notification sent if there is a corresponding CMAS Warning Notification Area(s) and if it the CMAS-capable UE is able able to determine that its location is within the corresponding CMAS Warning Notification Area(s). Otherwise, if a CMAS-capable UE is unable to or fails to determine its location, the CMAS-capable UE shall present the Warning Notification to the user.</w:t>
      </w:r>
    </w:p>
    <w:p>
      <w:pPr>
        <w:pStyle w:val="Normal"/>
        <w:spacing w:before="120" w:after="180"/>
        <w:rPr/>
      </w:pPr>
      <w:r>
        <w:rPr/>
        <w:t>A CMAS-capable UE shall store presented Warning Notifications for at least 24 hours unless explicitly deleted by the user.</w:t>
      </w:r>
    </w:p>
    <w:p>
      <w:pPr>
        <w:pStyle w:val="Normal"/>
        <w:spacing w:before="120" w:after="180"/>
        <w:rPr/>
      </w:pPr>
      <w:r>
        <w:rPr/>
      </w:r>
    </w:p>
    <w:p>
      <w:pPr>
        <w:pStyle w:val="Heading1"/>
        <w:ind w:left="1134" w:hanging="1134"/>
        <w:rPr/>
      </w:pPr>
      <w:bookmarkStart w:id="36" w:name="__RefHeading___Toc52642434"/>
      <w:bookmarkEnd w:id="36"/>
      <w:r>
        <w:rPr/>
        <w:t>7</w:t>
        <w:tab/>
        <w:t>EU-ALERT Specific Requirements</w:t>
      </w:r>
    </w:p>
    <w:p>
      <w:pPr>
        <w:pStyle w:val="Heading2"/>
        <w:rPr/>
      </w:pPr>
      <w:bookmarkStart w:id="37" w:name="__RefHeading___Toc52642435"/>
      <w:bookmarkEnd w:id="37"/>
      <w:r>
        <w:rPr/>
        <w:t>7.1</w:t>
        <w:tab/>
        <w:t>Introduction to EU-ALERT</w:t>
      </w:r>
    </w:p>
    <w:p>
      <w:pPr>
        <w:pStyle w:val="Normal"/>
        <w:rPr/>
      </w:pPr>
      <w:r>
        <w:rPr/>
        <w:t xml:space="preserve">The generic name for the European Public Warning System is EU-ALERT. The letters EU will be replaced by characters identifying a particular country (e.g. NL-ALERT signifying the Netherlands, UK-ALERT signifying the United Kingdom). Such a strategy will allow each country to configure their own Public Warning System to meet their specific national requirements whilst adhering to a common core specification. </w:t>
      </w:r>
    </w:p>
    <w:p>
      <w:pPr>
        <w:pStyle w:val="Heading2"/>
        <w:rPr/>
      </w:pPr>
      <w:bookmarkStart w:id="38" w:name="__RefHeading___Toc52642436"/>
      <w:r>
        <w:rPr/>
        <w:t>7.2</w:t>
        <w:tab/>
        <w:t>Additional PWS Requirements Specific to EU-ALERT</w:t>
      </w:r>
      <w:bookmarkEnd w:id="38"/>
      <w:r>
        <w:rPr/>
        <w:t xml:space="preserve"> </w:t>
      </w:r>
    </w:p>
    <w:p>
      <w:pPr>
        <w:pStyle w:val="Normal"/>
        <w:spacing w:before="120" w:after="180"/>
        <w:rPr/>
      </w:pPr>
      <w:r>
        <w:rPr/>
        <w:t>In addition to the General Requirements specified in Clause 4, the following requirements are specified for the deployment of EU-ALERT. These EU-ALERT specific requirements are further specified in [6].</w:t>
      </w:r>
    </w:p>
    <w:p>
      <w:pPr>
        <w:pStyle w:val="Normal"/>
        <w:rPr/>
      </w:pPr>
      <w:r>
        <w:rPr/>
        <w:t>EU-ALERT shall support three types of Warning Notifications: Alert messages to warn citizens of an imminent emergency situation, Advisory messages of lesser urgency, and Amber alerts.</w:t>
      </w:r>
    </w:p>
    <w:p>
      <w:pPr>
        <w:pStyle w:val="Normal"/>
        <w:rPr/>
      </w:pPr>
      <w:r>
        <w:rPr/>
        <w:t>The Alert messages shall be supported with three levels of severity. EU-Alert level 1 shall have no opt-out; levels 2 and 3 shall allow opt-out by the user. All levels of EU-ALERT messages shall be associated with a dedicated alerting indication.</w:t>
      </w:r>
    </w:p>
    <w:p>
      <w:pPr>
        <w:pStyle w:val="NO"/>
        <w:rPr/>
      </w:pPr>
      <w:r>
        <w:rPr/>
        <w:t xml:space="preserve">NOTE: </w:t>
        <w:tab/>
        <w:t xml:space="preserve">EU-Alert level 1 is compatible with the Presidential Alert in CMAS. EU-Alert level 2 is compatible with CMAS Extreme Alerts and EU-Alert level 3 is compatible with CMAS Severe Alert. </w:t>
      </w:r>
    </w:p>
    <w:p>
      <w:pPr>
        <w:pStyle w:val="Normal"/>
        <w:rPr/>
      </w:pPr>
      <w:r>
        <w:rPr/>
        <w:t>The Advisory messages have only one level. Advisory messages shall not be associated with any dedicated alerting indication.</w:t>
      </w:r>
    </w:p>
    <w:p>
      <w:pPr>
        <w:pStyle w:val="Normal"/>
        <w:rPr/>
      </w:pPr>
      <w:r>
        <w:rPr/>
        <w:t>Depending on national requirements, Amber alerts may need to be broadcast as part of the EU-ALERT service. Amber alerts shall not be associated with any dedicated alerting indication.</w:t>
      </w:r>
    </w:p>
    <w:p>
      <w:pPr>
        <w:pStyle w:val="Normal"/>
        <w:rPr/>
      </w:pPr>
      <w:r>
        <w:rPr/>
        <w:t>EU-ALERT shall support Warning Notifications in various languages. To support international roaming, it is expected that countries adopting EU-ALERT use the same Message Identifier for Warning Notifications in the local language. If Warning Notifications are broadcast in other languages besides the local language, then the Message Identifier for such Warning Notifications are expected to be the same across the countries adopting EU-ALERT.</w:t>
      </w:r>
    </w:p>
    <w:p>
      <w:pPr>
        <w:pStyle w:val="Normal"/>
        <w:rPr/>
      </w:pPr>
      <w:r>
        <w:rPr/>
        <w:t>EU-ALERT shall be supported on GERAN, UTRAN, E-UTRAN and NG-RAN.</w:t>
      </w:r>
    </w:p>
    <w:p>
      <w:pPr>
        <w:pStyle w:val="Heading1"/>
        <w:ind w:left="1134" w:hanging="1134"/>
        <w:rPr/>
      </w:pPr>
      <w:bookmarkStart w:id="39" w:name="__RefHeading___Toc52642437"/>
      <w:bookmarkEnd w:id="39"/>
      <w:r>
        <w:rPr/>
        <w:t>8</w:t>
        <w:tab/>
        <w:t>Korean Public Alert System specific Requirements</w:t>
      </w:r>
    </w:p>
    <w:p>
      <w:pPr>
        <w:pStyle w:val="Heading2"/>
        <w:rPr/>
      </w:pPr>
      <w:bookmarkStart w:id="40" w:name="__RefHeading___Toc52642438"/>
      <w:bookmarkEnd w:id="40"/>
      <w:r>
        <w:rPr/>
        <w:t>8.1</w:t>
        <w:tab/>
        <w:t>Introduction to Korean Public Alert System</w:t>
      </w:r>
    </w:p>
    <w:p>
      <w:pPr>
        <w:pStyle w:val="Normal"/>
        <w:rPr/>
      </w:pPr>
      <w:r>
        <w:rPr/>
        <w:t xml:space="preserve">TTA has specified a Korean Public Alert </w:t>
      </w:r>
      <w:r>
        <w:rPr>
          <w:lang w:eastAsia="ko-KR"/>
        </w:rPr>
        <w:t>System (KPAS)</w:t>
      </w:r>
      <w:r>
        <w:rPr/>
        <w:t xml:space="preserve"> which is based on PWS in [7]. That specification includes the support of Korean Public Alert System (KPAS) messages via the LTE Warning Message Delivery functionality. The Korean Public Alert System (KPAS) specification [7] also specifies application layer functionality to handle the transmission of CBS data from CBE to CBC and support for transmission of the same public alert message to UEs belonging to different mobile network operators in Republic of Korea. </w:t>
      </w:r>
      <w:r>
        <w:rPr>
          <w:lang w:eastAsia="ko-KR"/>
        </w:rPr>
        <w:t>The</w:t>
      </w:r>
      <w:r>
        <w:rPr/>
        <w:t xml:space="preserve"> specification requires that the system supporting Korean Public Alert System (KPAS) shall transmit the public alert message with high priority in order to provide up-to-date information on emergency situations. (e.g. In Tsunami situation, it is recommended to deliver message between CBC and UE in several seconds.).</w:t>
      </w:r>
    </w:p>
    <w:p>
      <w:pPr>
        <w:pStyle w:val="Heading2"/>
        <w:rPr/>
      </w:pPr>
      <w:bookmarkStart w:id="41" w:name="__RefHeading___Toc52642439"/>
      <w:r>
        <w:rPr/>
        <w:t>8.2</w:t>
        <w:tab/>
        <w:t>Additional PWS Requirements Specific to Korean Public Alert System (KPAS)</w:t>
      </w:r>
      <w:bookmarkEnd w:id="41"/>
      <w:r>
        <w:rPr/>
        <w:t xml:space="preserve"> </w:t>
      </w:r>
    </w:p>
    <w:p>
      <w:pPr>
        <w:pStyle w:val="Normal"/>
        <w:rPr/>
      </w:pPr>
      <w:r>
        <w:rPr/>
        <w:t>In addition to the General Requirements specified in Clause 4, the following requirements are specified for the Korean Public Alert System (KPAS) [7]:</w:t>
      </w:r>
    </w:p>
    <w:p>
      <w:pPr>
        <w:pStyle w:val="B1"/>
        <w:rPr>
          <w:lang w:eastAsia="ko-KR"/>
        </w:rPr>
      </w:pPr>
      <w:r>
        <w:rPr/>
        <w:t>-</w:t>
        <w:tab/>
      </w:r>
      <w:r>
        <w:rPr>
          <w:lang w:eastAsia="ko-KR"/>
        </w:rPr>
        <w:t xml:space="preserve">Two classes of Warning Notification </w:t>
      </w:r>
      <w:r>
        <w:rPr>
          <w:lang w:eastAsia="ko-KR"/>
        </w:rPr>
        <w:t>shall</w:t>
      </w:r>
      <w:r>
        <w:rPr>
          <w:lang w:eastAsia="ko-KR"/>
        </w:rPr>
        <w:t xml:space="preserve"> be supported; class 0 &amp; class 1.</w:t>
      </w:r>
    </w:p>
    <w:p>
      <w:pPr>
        <w:pStyle w:val="B1"/>
        <w:rPr>
          <w:lang w:eastAsia="ko-KR"/>
        </w:rPr>
      </w:pPr>
      <w:r>
        <w:rPr>
          <w:lang w:eastAsia="ko-KR"/>
        </w:rPr>
        <w:t>-</w:t>
        <w:tab/>
        <w:t>The</w:t>
      </w:r>
      <w:r>
        <w:rPr>
          <w:lang w:eastAsia="ko-KR"/>
        </w:rPr>
        <w:t xml:space="preserve"> classes are differentiated per o</w:t>
      </w:r>
      <w:r>
        <w:rPr>
          <w:lang w:eastAsia="ko-KR"/>
        </w:rPr>
        <w:t>p</w:t>
      </w:r>
      <w:r>
        <w:rPr>
          <w:lang w:eastAsia="ko-KR"/>
        </w:rPr>
        <w:t>t-out function. Class 0 shall have no opt-out and class 1 shall allow opt-out by the user.</w:t>
      </w:r>
    </w:p>
    <w:p>
      <w:pPr>
        <w:pStyle w:val="Normal"/>
        <w:rPr/>
      </w:pPr>
      <w:r>
        <w:rPr/>
        <w:t>The characteristics of the Warning Notification shall follow the requirements specified in clause 4.</w:t>
      </w:r>
    </w:p>
    <w:p>
      <w:pPr>
        <w:pStyle w:val="Normal"/>
        <w:spacing w:before="120" w:after="180"/>
        <w:rPr/>
      </w:pPr>
      <w:r>
        <w:rPr/>
        <w:t xml:space="preserve">The current implementation requirement is for the message of up to 180Bytes (90 Korean Characters) text. In addition, Warning Notifications shall support up to 315 </w:t>
      </w:r>
      <w:r>
        <w:rPr>
          <w:lang w:eastAsia="ko-KR"/>
        </w:rPr>
        <w:t>Bytes (up to 157 korean characters)</w:t>
      </w:r>
      <w:r>
        <w:rPr/>
        <w:t xml:space="preserve"> from LTE onwards.</w:t>
      </w:r>
    </w:p>
    <w:p>
      <w:pPr>
        <w:pStyle w:val="Normal"/>
        <w:spacing w:before="120" w:after="180"/>
        <w:rPr/>
      </w:pPr>
      <w:r>
        <w:rPr/>
        <w:t xml:space="preserve">KPAS shall support Warning Notifications in various languages. A PWS-UE shall display Warning Notifications whose first texts are dedicated words when a PWS-UE receives Warning Notifications in other languages than Korean. </w:t>
      </w:r>
    </w:p>
    <w:p>
      <w:pPr>
        <w:pStyle w:val="NO"/>
        <w:rPr/>
      </w:pPr>
      <w:r>
        <w:rPr>
          <w:lang w:eastAsia="ko-KR"/>
        </w:rPr>
        <w:t>NOTE:</w:t>
        <w:tab/>
      </w:r>
      <w:r>
        <w:rPr/>
        <w:t xml:space="preserve">Dedicated words are specified in the regulations of Korean Ministry of Interior and Safety. </w:t>
      </w:r>
    </w:p>
    <w:p>
      <w:pPr>
        <w:pStyle w:val="Normal"/>
        <w:spacing w:before="120" w:after="180"/>
        <w:rPr>
          <w:lang w:eastAsia="ko-KR"/>
        </w:rPr>
      </w:pPr>
      <w:r>
        <w:rPr>
          <w:lang w:eastAsia="ko-KR"/>
        </w:rPr>
        <w:t>A PWS</w:t>
      </w:r>
      <w:r>
        <w:rPr>
          <w:lang w:eastAsia="ko-KR"/>
        </w:rPr>
        <w:t>-UE in KPAS shall support two dedicated alerting indication (audio attention signals).</w:t>
      </w:r>
    </w:p>
    <w:p>
      <w:pPr>
        <w:pStyle w:val="NO"/>
        <w:rPr>
          <w:lang w:eastAsia="ko-KR"/>
        </w:rPr>
      </w:pPr>
      <w:r>
        <w:rPr>
          <w:lang w:eastAsia="ko-KR"/>
        </w:rPr>
        <w:t>NOTE:</w:t>
        <w:tab/>
      </w:r>
      <w:r>
        <w:rPr>
          <w:lang w:eastAsia="ko-KR"/>
        </w:rPr>
        <w:t>Two dedicated audio attention signals are specified in the regulations of Korean Ministry of Interior and Safety.</w:t>
      </w:r>
    </w:p>
    <w:p>
      <w:pPr>
        <w:pStyle w:val="Heading1"/>
        <w:ind w:left="1134" w:hanging="1134"/>
        <w:rPr>
          <w:lang w:eastAsia="ko-KR"/>
        </w:rPr>
      </w:pPr>
      <w:bookmarkStart w:id="42" w:name="__RefHeading___Toc52642440"/>
      <w:bookmarkEnd w:id="42"/>
      <w:r>
        <w:rPr/>
        <w:t>9</w:t>
        <w:tab/>
        <w:t>Enhancements of Public Warning System (</w:t>
      </w:r>
      <w:r>
        <w:rPr>
          <w:lang w:eastAsia="ko-KR"/>
        </w:rPr>
        <w:t>ePWS)</w:t>
      </w:r>
    </w:p>
    <w:p>
      <w:pPr>
        <w:pStyle w:val="Heading2"/>
        <w:rPr/>
      </w:pPr>
      <w:bookmarkStart w:id="43" w:name="__RefHeading___Toc52642441"/>
      <w:bookmarkEnd w:id="43"/>
      <w:r>
        <w:rPr/>
        <w:t>9.1</w:t>
        <w:tab/>
        <w:t>Service description</w:t>
      </w:r>
    </w:p>
    <w:p>
      <w:pPr>
        <w:pStyle w:val="Normal"/>
        <w:rPr>
          <w:lang w:eastAsia="ko-KR"/>
        </w:rPr>
      </w:pPr>
      <w:r>
        <w:rPr>
          <w:lang w:eastAsia="ko-KR"/>
        </w:rPr>
        <w:t xml:space="preserve">Requirements specified in the </w:t>
      </w:r>
      <w:r>
        <w:rPr>
          <w:lang w:eastAsia="ko-KR"/>
        </w:rPr>
        <w:t>clause</w:t>
      </w:r>
      <w:r>
        <w:rPr>
          <w:lang w:eastAsia="ko-KR"/>
        </w:rPr>
        <w:t xml:space="preserve"> 9 do not apply for US WEA and Japan ETWS.</w:t>
      </w:r>
    </w:p>
    <w:p>
      <w:pPr>
        <w:pStyle w:val="Normal"/>
        <w:rPr/>
      </w:pPr>
      <w:r>
        <w:rPr>
          <w:lang w:eastAsia="ko-KR"/>
        </w:rPr>
        <w:t>Enhancements of Public Warning System (ePWS) define behaviours for UEs with no user interface or with a user interface that is incapable of displaying text-based Warning Notifications when receiving a Warning Notification.</w:t>
      </w:r>
    </w:p>
    <w:p>
      <w:pPr>
        <w:pStyle w:val="Normal"/>
        <w:rPr/>
      </w:pPr>
      <w:r>
        <w:rPr>
          <w:lang w:eastAsia="ko-KR"/>
        </w:rPr>
        <w:t>In addition, enhancements of Public Warning System</w:t>
      </w:r>
      <w:r>
        <w:rPr>
          <w:lang w:eastAsia="ko-KR"/>
        </w:rPr>
        <w:t xml:space="preserve"> (ePWS)</w:t>
      </w:r>
      <w:r>
        <w:rPr>
          <w:lang w:eastAsia="ko-KR"/>
        </w:rPr>
        <w:t xml:space="preserve"> </w:t>
      </w:r>
      <w:r>
        <w:rPr>
          <w:lang w:eastAsia="ko-KR"/>
        </w:rPr>
        <w:t xml:space="preserve">is intended to </w:t>
      </w:r>
      <w:r>
        <w:rPr>
          <w:lang w:eastAsia="ko-KR"/>
        </w:rPr>
        <w:t>improve</w:t>
      </w:r>
      <w:r>
        <w:rPr>
          <w:lang w:eastAsia="ko-KR"/>
        </w:rPr>
        <w:t xml:space="preserve"> the comprehension of a Warning Notification to the following categories of users:</w:t>
      </w:r>
    </w:p>
    <w:p>
      <w:pPr>
        <w:pStyle w:val="B1"/>
        <w:rPr/>
      </w:pPr>
      <w:r>
        <w:rPr>
          <w:lang w:eastAsia="ko-KR"/>
        </w:rPr>
        <w:t>-</w:t>
        <w:tab/>
      </w:r>
      <w:r>
        <w:rPr>
          <w:lang w:eastAsia="ko-KR"/>
        </w:rPr>
        <w:t>Users with disabilities who have UEs supporting assistive technologies beyond text assistive technologies; and</w:t>
      </w:r>
    </w:p>
    <w:p>
      <w:pPr>
        <w:pStyle w:val="B1"/>
        <w:rPr>
          <w:lang w:eastAsia="ko-KR"/>
        </w:rPr>
      </w:pPr>
      <w:r>
        <w:rPr>
          <w:lang w:eastAsia="ko-KR"/>
        </w:rPr>
        <w:t>-</w:t>
        <w:tab/>
        <w:t>Users</w:t>
      </w:r>
      <w:r>
        <w:rPr>
          <w:lang w:eastAsia="ko-KR"/>
        </w:rPr>
        <w:t xml:space="preserve"> who are not fluent in the language of the Warning Notifications</w:t>
      </w:r>
      <w:r>
        <w:rPr>
          <w:lang w:eastAsia="ko-KR"/>
        </w:rPr>
        <w:t>.</w:t>
      </w:r>
    </w:p>
    <w:p>
      <w:pPr>
        <w:pStyle w:val="Normal"/>
        <w:rPr/>
      </w:pPr>
      <w:r>
        <w:rPr/>
        <w:t>Requirements defined for PWS-UEs in clause 4 are applicable for ePWS-UEs unless dedicated ePWS-UE requirements described in clause 9 supersede them. Specifically, roaming requirements specified in clause 4.7 and security requirements specified in clause 4.8 are applicable for ePWS-UEs.</w:t>
      </w:r>
    </w:p>
    <w:p>
      <w:pPr>
        <w:pStyle w:val="Heading2"/>
        <w:rPr>
          <w:rFonts w:eastAsia="MS PGothic"/>
        </w:rPr>
      </w:pPr>
      <w:bookmarkStart w:id="44" w:name="__RefHeading___Toc52642442"/>
      <w:bookmarkEnd w:id="44"/>
      <w:r>
        <w:rPr>
          <w:rFonts w:eastAsia="MS PGothic"/>
        </w:rPr>
        <w:t>9.2</w:t>
        <w:tab/>
        <w:t>General Requirements</w:t>
      </w:r>
    </w:p>
    <w:p>
      <w:pPr>
        <w:pStyle w:val="Heading3"/>
        <w:rPr/>
      </w:pPr>
      <w:bookmarkStart w:id="45" w:name="__RefHeading___Toc52642443"/>
      <w:bookmarkEnd w:id="45"/>
      <w:r>
        <w:rPr/>
        <w:t>9.2.1</w:t>
        <w:tab/>
        <w:t>ePWS Requirements</w:t>
      </w:r>
    </w:p>
    <w:p>
      <w:pPr>
        <w:pStyle w:val="Normal"/>
        <w:rPr/>
      </w:pPr>
      <w:r>
        <w:rPr/>
        <w:t>ePWS-UEs shall only be required to receive and present Warning Notifications in languages as presented by the Warning Notification Provider. Regional/regulatory requirements may require the Warning Notifications to be broadcast in multiple languages.</w:t>
      </w:r>
    </w:p>
    <w:p>
      <w:pPr>
        <w:pStyle w:val="Normal"/>
        <w:rPr/>
      </w:pPr>
      <w:r>
        <w:rPr/>
        <w:t>There shall be no requirement for language translation in the operator’s network or the UE.</w:t>
      </w:r>
    </w:p>
    <w:p>
      <w:pPr>
        <w:pStyle w:val="Normal"/>
        <w:rPr/>
      </w:pPr>
      <w:r>
        <w:rPr/>
        <w:t>It shall be possible for the Warning Notification to be presented on the ePWS-UE upon reception and without any user interaction.</w:t>
      </w:r>
    </w:p>
    <w:p>
      <w:pPr>
        <w:pStyle w:val="Normal"/>
        <w:rPr/>
      </w:pPr>
      <w:r>
        <w:rPr/>
        <w:t xml:space="preserve">It shall be possible for users to configure the behavior of an ePWS-UE with regard to Warning Notification alerting and should allow at least volume adjustment if an ePWS-UE supports the alerting sound. </w:t>
      </w:r>
    </w:p>
    <w:p>
      <w:pPr>
        <w:pStyle w:val="Normal"/>
        <w:keepNext w:val="true"/>
        <w:keepLines/>
        <w:spacing w:before="120" w:after="180"/>
        <w:rPr/>
      </w:pPr>
      <w:r>
        <w:rPr/>
        <w:t>ePWS-UEs should have the ability to present previously displayed Warning Notifications if requested by the user.</w:t>
      </w:r>
    </w:p>
    <w:p>
      <w:pPr>
        <w:pStyle w:val="B1"/>
        <w:rPr/>
      </w:pPr>
      <w:r>
        <w:rPr/>
        <w:t>-</w:t>
        <w:tab/>
        <w:t>ePWS-UE shall be able to support concurrent reception of multiple Warning Notifications.</w:t>
      </w:r>
    </w:p>
    <w:p>
      <w:pPr>
        <w:pStyle w:val="Heading3"/>
        <w:rPr/>
      </w:pPr>
      <w:bookmarkStart w:id="46" w:name="__RefHeading___Toc52642444"/>
      <w:bookmarkEnd w:id="46"/>
      <w:r>
        <w:rPr>
          <w:lang w:eastAsia="ar-SA"/>
        </w:rPr>
        <w:t>9.2.2</w:t>
        <w:tab/>
        <w:t>Battery Life of ePWS-UE</w:t>
      </w:r>
    </w:p>
    <w:p>
      <w:pPr>
        <w:pStyle w:val="Normal"/>
        <w:rPr>
          <w:lang w:eastAsia="ar-SA"/>
        </w:rPr>
      </w:pPr>
      <w:r>
        <w:rPr/>
        <w:t>Battery life of the ePWS-UE shall not be significantly reduced by ePWS.</w:t>
      </w:r>
    </w:p>
    <w:p>
      <w:pPr>
        <w:pStyle w:val="Heading3"/>
        <w:rPr/>
      </w:pPr>
      <w:bookmarkStart w:id="47" w:name="__RefHeading___Toc52642445"/>
      <w:bookmarkEnd w:id="47"/>
      <w:r>
        <w:rPr/>
        <w:t>9.2.3</w:t>
        <w:tab/>
        <w:t>Enabling and disabling of Warning Notifications</w:t>
      </w:r>
    </w:p>
    <w:p>
      <w:pPr>
        <w:pStyle w:val="Normal"/>
        <w:rPr/>
      </w:pPr>
      <w:r>
        <w:rPr/>
        <w:t>The ePWS-UE shall be configured to receive all Warning Notifications.</w:t>
      </w:r>
    </w:p>
    <w:p>
      <w:pPr>
        <w:pStyle w:val="Normal"/>
        <w:rPr/>
      </w:pPr>
      <w:r>
        <w:rPr/>
        <w:t>It shall be possible for users to disable (e.g., opt-out) presentation of some or all of the Warning Notifications, subject to regulatory requirements and/or operator policy. The user shall be able to select ePWS-UE enabling/disabling options via the u</w:t>
      </w:r>
      <w:r>
        <w:rPr>
          <w:lang w:eastAsia="ar-SA"/>
        </w:rPr>
        <w:t xml:space="preserve">ser </w:t>
      </w:r>
      <w:r>
        <w:rPr/>
        <w:t>i</w:t>
      </w:r>
      <w:r>
        <w:rPr>
          <w:lang w:eastAsia="ar-SA"/>
        </w:rPr>
        <w:t>nterface</w:t>
      </w:r>
      <w:r>
        <w:rPr/>
        <w:t xml:space="preserve"> to disable, or later enable, the ePWS-UE behavior in response to some or all Warning Notifications. Depending on the regional/regulatory requirements, the user shall be able to receive Warning Notifications in one or more selected languages.</w:t>
      </w:r>
    </w:p>
    <w:p>
      <w:pPr>
        <w:pStyle w:val="Normal"/>
        <w:rPr/>
      </w:pPr>
      <w:r>
        <w:rPr>
          <w:lang w:val="en-US" w:eastAsia="en-US"/>
        </w:rPr>
        <w:t>Where regional or national regulations allow, the HPLMN operator shall be able to instruct the ePWS-UE to ignore all Warning Notifications</w:t>
      </w:r>
      <w:r>
        <w:rPr/>
        <w:t xml:space="preserve"> in the HPLMN and in PLMNs equivalent to it, by means of a setting on the USIM.</w:t>
      </w:r>
    </w:p>
    <w:p>
      <w:pPr>
        <w:pStyle w:val="Normal"/>
        <w:rPr/>
      </w:pPr>
      <w:r>
        <w:rPr>
          <w:lang w:val="en-US" w:eastAsia="en-US"/>
        </w:rPr>
        <w:t>Where regional or national regulations pertaining to a VPLMN allow, t</w:t>
      </w:r>
      <w:r>
        <w:rPr/>
        <w:t>he HPLMN operator shall be able to instruct the ePWS-UE to ignore all Warning Notifications that are received whilst in this VPLMN, by means of a setting on the USIM, when the integrity of Warning Notifications in this VPLMN is known by the HPLMN operator to be compromised. This setting need not distinguish VPLMNs.</w:t>
      </w:r>
    </w:p>
    <w:p>
      <w:pPr>
        <w:pStyle w:val="Normal"/>
        <w:jc w:val="both"/>
        <w:rPr/>
      </w:pPr>
      <w:r>
        <w:rPr/>
        <w:t>Subject to regional or national regulations, a ePWS-UE in limited service state shall be able to receive and present Warning Notifications.</w:t>
      </w:r>
    </w:p>
    <w:p>
      <w:pPr>
        <w:pStyle w:val="NO"/>
        <w:rPr/>
      </w:pPr>
      <w:r>
        <w:rPr>
          <w:lang w:eastAsia="ja-JP"/>
        </w:rPr>
        <w:t>NOTE :</w:t>
        <w:tab/>
        <w:t>Non-existing or empty USIM data files results in all Warning Notifications being presented to the ePWS application.</w:t>
      </w:r>
    </w:p>
    <w:p>
      <w:pPr>
        <w:pStyle w:val="Heading2"/>
        <w:rPr>
          <w:lang w:eastAsia="ko-KR"/>
        </w:rPr>
      </w:pPr>
      <w:bookmarkStart w:id="48" w:name="__RefHeading___Toc52642446"/>
      <w:bookmarkEnd w:id="48"/>
      <w:r>
        <w:rPr/>
        <w:t>9.3</w:t>
        <w:tab/>
      </w:r>
      <w:r>
        <w:rPr>
          <w:lang w:eastAsia="ko-KR"/>
        </w:rPr>
        <w:t>Requirements for 3GPP system supporting ePWS-UEs</w:t>
      </w:r>
    </w:p>
    <w:p>
      <w:pPr>
        <w:pStyle w:val="Normal"/>
        <w:rPr/>
      </w:pPr>
      <w:r>
        <w:rPr/>
        <w:t>The 3GPP system shall allow the content of a Warning Notification to</w:t>
      </w:r>
      <w:r>
        <w:rPr/>
        <w:t xml:space="preserve"> </w:t>
      </w:r>
      <w:r>
        <w:rPr/>
        <w:t>include information that can be</w:t>
      </w:r>
      <w:r>
        <w:rPr/>
        <w:t xml:space="preserve"> mapped to an event or a disaster</w:t>
      </w:r>
      <w:r>
        <w:rPr/>
        <w:t xml:space="preserve"> and is identifiable by the </w:t>
      </w:r>
      <w:r>
        <w:rPr>
          <w:lang w:eastAsia="ko-KR"/>
        </w:rPr>
        <w:t>ePWS-</w:t>
      </w:r>
      <w:r>
        <w:rPr/>
        <w:t>UEs.</w:t>
      </w:r>
    </w:p>
    <w:p>
      <w:pPr>
        <w:pStyle w:val="NO"/>
        <w:rPr>
          <w:lang w:eastAsia="ko-KR"/>
        </w:rPr>
      </w:pPr>
      <w:r>
        <w:rPr>
          <w:lang w:eastAsia="ko-KR"/>
        </w:rPr>
        <w:t xml:space="preserve"> </w:t>
      </w:r>
      <w:r>
        <w:rPr>
          <w:lang w:eastAsia="ko-KR"/>
        </w:rPr>
        <w:t>NOTE:</w:t>
        <w:tab/>
      </w:r>
      <w:r>
        <w:rPr>
          <w:lang w:eastAsia="ko-KR"/>
        </w:rPr>
        <w:t>The information included in t</w:t>
      </w:r>
      <w:r>
        <w:rPr>
          <w:lang w:eastAsia="ko-KR"/>
        </w:rPr>
        <w:t xml:space="preserve">he content of a </w:t>
      </w:r>
      <w:r>
        <w:rPr>
          <w:lang w:eastAsia="ko-KR"/>
        </w:rPr>
        <w:t>Warning Notification</w:t>
      </w:r>
      <w:r>
        <w:rPr>
          <w:lang w:eastAsia="ko-KR"/>
        </w:rPr>
        <w:t xml:space="preserve"> may </w:t>
      </w:r>
      <w:r>
        <w:rPr>
          <w:lang w:eastAsia="ko-KR"/>
        </w:rPr>
        <w:t>be an</w:t>
      </w:r>
      <w:r>
        <w:rPr>
          <w:lang w:eastAsia="ko-KR"/>
        </w:rPr>
        <w:t xml:space="preserve"> </w:t>
      </w:r>
      <w:r>
        <w:rPr>
          <w:lang w:eastAsia="ko-KR"/>
        </w:rPr>
        <w:t>identifier</w:t>
      </w:r>
      <w:r>
        <w:rPr>
          <w:lang w:eastAsia="ko-KR"/>
        </w:rPr>
        <w:t xml:space="preserve"> of an event or a disaster</w:t>
      </w:r>
      <w:r>
        <w:rPr>
          <w:lang w:eastAsia="ko-KR"/>
        </w:rPr>
        <w:t>.</w:t>
      </w:r>
    </w:p>
    <w:p>
      <w:pPr>
        <w:pStyle w:val="Heading2"/>
        <w:rPr>
          <w:rFonts w:eastAsia="MS PGothic"/>
        </w:rPr>
      </w:pPr>
      <w:bookmarkStart w:id="49" w:name="__RefHeading___Toc52642447"/>
      <w:bookmarkEnd w:id="49"/>
      <w:r>
        <w:rPr>
          <w:rFonts w:eastAsia="MS PGothic"/>
        </w:rPr>
        <w:t>9.4</w:t>
        <w:tab/>
        <w:t>Requirements for ePWS-UE incapable of displaying text based Warning Notification</w:t>
      </w:r>
    </w:p>
    <w:p>
      <w:pPr>
        <w:pStyle w:val="Heading3"/>
        <w:rPr>
          <w:lang w:eastAsia="ko-KR"/>
        </w:rPr>
      </w:pPr>
      <w:bookmarkStart w:id="50" w:name="__RefHeading___Toc52642448"/>
      <w:bookmarkEnd w:id="50"/>
      <w:r>
        <w:rPr/>
        <w:t>9.4.1</w:t>
        <w:tab/>
        <w:t xml:space="preserve">Requirements </w:t>
      </w:r>
      <w:r>
        <w:rPr>
          <w:lang w:eastAsia="ko-KR"/>
        </w:rPr>
        <w:t>for ePWS-UE with no user interface</w:t>
      </w:r>
    </w:p>
    <w:p>
      <w:pPr>
        <w:pStyle w:val="Normal"/>
        <w:rPr>
          <w:lang w:eastAsia="ko-KR"/>
        </w:rPr>
      </w:pPr>
      <w:r>
        <w:rPr>
          <w:lang w:eastAsia="ko-KR"/>
        </w:rPr>
        <w:t>ePWS-UEs with no user interface shall be able to receive a Warning Notification broadcast from the 3GPP network.</w:t>
      </w:r>
    </w:p>
    <w:p>
      <w:pPr>
        <w:pStyle w:val="Normal"/>
        <w:rPr>
          <w:lang w:eastAsia="ko-KR"/>
        </w:rPr>
      </w:pPr>
      <w:r>
        <w:rPr>
          <w:lang w:eastAsia="ko-KR"/>
        </w:rPr>
        <w:t>Subject to the intended function of the ePWS-UE (e.g. IoT) which has no user interface and regional regulatory requirements, the ePWS-UE may either:</w:t>
      </w:r>
    </w:p>
    <w:p>
      <w:pPr>
        <w:pStyle w:val="B1"/>
        <w:rPr>
          <w:lang w:eastAsia="ko-KR"/>
        </w:rPr>
      </w:pPr>
      <w:r>
        <w:rPr>
          <w:lang w:eastAsia="ko-KR"/>
        </w:rPr>
        <w:t>1. Ignore Warning Notification; or</w:t>
      </w:r>
    </w:p>
    <w:p>
      <w:pPr>
        <w:pStyle w:val="B1"/>
        <w:rPr>
          <w:lang w:eastAsia="ko-KR"/>
        </w:rPr>
      </w:pPr>
      <w:r>
        <w:rPr>
          <w:lang w:eastAsia="ko-KR"/>
        </w:rPr>
        <w:t>2.</w:t>
      </w:r>
      <w:r>
        <w:rPr>
          <w:lang w:eastAsia="ko-KR"/>
        </w:rPr>
        <w:t xml:space="preserve"> Take actions consistent with the ePWS-UE function (e.g. IoT) in response to specific Warning Notifications based on the content of the Warning Notification, e.g. shut down machinery or trigger a building alarm system.</w:t>
      </w:r>
    </w:p>
    <w:p>
      <w:pPr>
        <w:pStyle w:val="Heading3"/>
        <w:rPr>
          <w:lang w:eastAsia="ko-KR"/>
        </w:rPr>
      </w:pPr>
      <w:bookmarkStart w:id="51" w:name="__RefHeading___Toc52642449"/>
      <w:bookmarkEnd w:id="51"/>
      <w:r>
        <w:rPr/>
        <w:t>9.4.2</w:t>
        <w:tab/>
        <w:t xml:space="preserve">Requirements </w:t>
      </w:r>
      <w:r>
        <w:rPr>
          <w:lang w:eastAsia="ko-KR"/>
        </w:rPr>
        <w:t>for ePWS-UE with a user interface</w:t>
      </w:r>
      <w:r>
        <w:rPr>
          <w:lang w:eastAsia="ko-KR"/>
        </w:rPr>
        <w:t xml:space="preserve"> incapable of displaying text based Warning Notification</w:t>
      </w:r>
    </w:p>
    <w:p>
      <w:pPr>
        <w:pStyle w:val="Normal"/>
        <w:rPr/>
      </w:pPr>
      <w:r>
        <w:rPr>
          <w:lang w:eastAsia="ko-KR"/>
        </w:rPr>
        <w:t>The</w:t>
      </w:r>
      <w:r>
        <w:rPr>
          <w:lang w:eastAsia="ko-KR"/>
        </w:rPr>
        <w:t xml:space="preserve"> ePWS-UE with a user interface that is not capable of displaying a text-based content shall be able to support the reception of a Warning Notification broadcast from the 3GPP network and</w:t>
      </w:r>
      <w:r>
        <w:rPr>
          <w:lang w:eastAsia="ko-KR"/>
        </w:rPr>
        <w:t xml:space="preserve"> shall be able to support the extraction of the information on the type of a notified event </w:t>
      </w:r>
      <w:r>
        <w:rPr>
          <w:lang w:eastAsia="ko-KR"/>
        </w:rPr>
        <w:t>or</w:t>
      </w:r>
      <w:r>
        <w:rPr>
          <w:lang w:eastAsia="ko-KR"/>
        </w:rPr>
        <w:t xml:space="preserve"> disaster </w:t>
      </w:r>
      <w:r>
        <w:rPr>
          <w:lang w:eastAsia="ko-KR"/>
        </w:rPr>
        <w:t xml:space="preserve">from </w:t>
      </w:r>
      <w:r>
        <w:rPr>
          <w:lang w:eastAsia="ko-KR"/>
        </w:rPr>
        <w:t>the received Warning Notification</w:t>
      </w:r>
      <w:r>
        <w:rPr>
          <w:lang w:eastAsia="ko-KR"/>
        </w:rPr>
        <w:t>.</w:t>
      </w:r>
    </w:p>
    <w:p>
      <w:pPr>
        <w:pStyle w:val="NO"/>
        <w:rPr>
          <w:lang w:eastAsia="ko-KR"/>
        </w:rPr>
      </w:pPr>
      <w:r>
        <w:rPr>
          <w:lang w:eastAsia="ko-KR"/>
        </w:rPr>
        <w:t>NOTE:</w:t>
        <w:tab/>
        <w:t>The information</w:t>
      </w:r>
      <w:r>
        <w:rPr>
          <w:lang w:eastAsia="ko-KR"/>
        </w:rPr>
        <w:t xml:space="preserve"> extractable from the received Warning Notification may be an identifier of an event or a disaster.</w:t>
      </w:r>
    </w:p>
    <w:p>
      <w:pPr>
        <w:pStyle w:val="Heading2"/>
        <w:rPr>
          <w:rFonts w:eastAsia="MS PGothic"/>
        </w:rPr>
      </w:pPr>
      <w:bookmarkStart w:id="52" w:name="__RefHeading___Toc52642450"/>
      <w:bookmarkEnd w:id="52"/>
      <w:r>
        <w:rPr>
          <w:rFonts w:eastAsia="MS PGothic"/>
        </w:rPr>
        <w:t>9.5</w:t>
        <w:tab/>
        <w:t>Requirements for the improvement of understanding the Warning Notification</w:t>
      </w:r>
    </w:p>
    <w:p>
      <w:pPr>
        <w:pStyle w:val="Normal"/>
        <w:rPr/>
      </w:pPr>
      <w:r>
        <w:rPr>
          <w:lang w:eastAsia="ko-KR"/>
        </w:rPr>
        <w:t xml:space="preserve">The </w:t>
      </w:r>
      <w:r>
        <w:rPr>
          <w:lang w:eastAsia="ko-KR"/>
        </w:rPr>
        <w:t>ePWS-</w:t>
      </w:r>
      <w:r>
        <w:rPr>
          <w:lang w:eastAsia="ko-KR"/>
        </w:rPr>
        <w:t xml:space="preserve">UE with a user interface </w:t>
      </w:r>
      <w:r>
        <w:rPr>
          <w:lang w:eastAsia="ko-KR"/>
        </w:rPr>
        <w:t xml:space="preserve">providing accessibility extensions </w:t>
      </w:r>
      <w:r>
        <w:rPr>
          <w:lang w:eastAsia="ko-KR"/>
        </w:rPr>
        <w:t>to mobile users with disabilities</w:t>
      </w:r>
      <w:r>
        <w:rPr>
          <w:lang w:eastAsia="ko-KR"/>
        </w:rPr>
        <w:t xml:space="preserve"> shall be able to support the reception of a Warning Notification broadcast from the 3GPP network.</w:t>
      </w:r>
    </w:p>
    <w:p>
      <w:pPr>
        <w:pStyle w:val="Normal"/>
        <w:rPr/>
      </w:pPr>
      <w:r>
        <w:rPr>
          <w:lang w:eastAsia="ko-KR"/>
        </w:rPr>
        <w:t xml:space="preserve">The </w:t>
      </w:r>
      <w:r>
        <w:rPr>
          <w:lang w:eastAsia="ko-KR"/>
        </w:rPr>
        <w:t>ePWS-</w:t>
      </w:r>
      <w:r>
        <w:rPr>
          <w:lang w:eastAsia="ko-KR"/>
        </w:rPr>
        <w:t xml:space="preserve">UE with a user interface </w:t>
      </w:r>
      <w:r>
        <w:rPr>
          <w:lang w:eastAsia="ko-KR"/>
        </w:rPr>
        <w:t xml:space="preserve">providing accessibility extensions </w:t>
      </w:r>
      <w:r>
        <w:rPr>
          <w:lang w:eastAsia="ko-KR"/>
        </w:rPr>
        <w:t>to mobile users with disabilities</w:t>
      </w:r>
      <w:r>
        <w:rPr>
          <w:lang w:eastAsia="ko-KR"/>
        </w:rPr>
        <w:t xml:space="preserve"> shall be able to support the extraction of any information on the type of a PWS notified event or disaster from the received Warning Notification</w:t>
      </w:r>
    </w:p>
    <w:p>
      <w:pPr>
        <w:pStyle w:val="Normal"/>
        <w:rPr>
          <w:lang w:eastAsia="ko-KR"/>
        </w:rPr>
      </w:pPr>
      <w:r>
        <w:rPr>
          <w:lang w:eastAsia="ko-KR"/>
        </w:rPr>
        <w:t xml:space="preserve">The </w:t>
      </w:r>
      <w:r>
        <w:rPr>
          <w:lang w:eastAsia="ko-KR"/>
        </w:rPr>
        <w:t>ePWS-</w:t>
      </w:r>
      <w:r>
        <w:rPr>
          <w:lang w:eastAsia="ko-KR"/>
        </w:rPr>
        <w:t xml:space="preserve">UE with a user interface </w:t>
      </w:r>
      <w:r>
        <w:rPr>
          <w:lang w:eastAsia="ko-KR"/>
        </w:rPr>
        <w:t xml:space="preserve">providing accessibility extensions </w:t>
      </w:r>
      <w:r>
        <w:rPr>
          <w:lang w:eastAsia="ko-KR"/>
        </w:rPr>
        <w:t>to mobile users with disabilities</w:t>
      </w:r>
      <w:r>
        <w:rPr>
          <w:lang w:eastAsia="ko-KR"/>
        </w:rPr>
        <w:t xml:space="preserve"> shall support the presentation of the information that improves the comprehension of Warning Notification by the accessibility extensions.</w:t>
      </w:r>
    </w:p>
    <w:p>
      <w:pPr>
        <w:pStyle w:val="NO"/>
        <w:rPr>
          <w:lang w:eastAsia="ko-KR"/>
        </w:rPr>
      </w:pPr>
      <w:r>
        <w:rPr>
          <w:lang w:eastAsia="ko-KR"/>
        </w:rPr>
        <w:t>NOTE:</w:t>
        <w:tab/>
      </w:r>
      <w:r>
        <w:rPr>
          <w:lang w:eastAsia="ko-KR"/>
        </w:rPr>
        <w:t>Subject to regional regulatory requirements the ePWS-UE may use alternative alerting modes for user alerting consistent with ePWS-UE accessibility extensions and based on the content of the Warning Notification.</w:t>
      </w:r>
    </w:p>
    <w:p>
      <w:pPr>
        <w:pStyle w:val="Normal"/>
        <w:rPr/>
      </w:pPr>
      <w:r>
        <w:rPr>
          <w:lang w:eastAsia="ko-KR"/>
        </w:rPr>
        <w:t>A PWS-UE may support the extraction and presentation of information representing a disaster or an event identifiable by Warning Notifications.</w:t>
      </w:r>
    </w:p>
    <w:p>
      <w:pPr>
        <w:pStyle w:val="NO"/>
        <w:rPr>
          <w:lang w:eastAsia="ko-KR"/>
        </w:rPr>
      </w:pPr>
      <w:r>
        <w:rPr>
          <w:lang w:eastAsia="ko-KR"/>
        </w:rPr>
      </w:r>
    </w:p>
    <w:p>
      <w:pPr>
        <w:pStyle w:val="Heading1"/>
        <w:ind w:left="1134" w:hanging="1134"/>
        <w:rPr/>
      </w:pPr>
      <w:bookmarkStart w:id="53" w:name="__RefHeading___Toc52642451"/>
      <w:bookmarkEnd w:id="53"/>
      <w:r>
        <w:rPr/>
        <w:t>10</w:t>
        <w:tab/>
      </w:r>
      <w:r>
        <w:rPr>
          <w:rFonts w:eastAsia="Malgun Gothic"/>
        </w:rPr>
        <w:t>Void</w:t>
      </w:r>
    </w:p>
    <w:p>
      <w:pPr>
        <w:pStyle w:val="Heading2"/>
        <w:rPr/>
      </w:pPr>
      <w:bookmarkStart w:id="54" w:name="__RefHeading___Toc52642452"/>
      <w:bookmarkEnd w:id="54"/>
      <w:r>
        <w:rPr/>
        <w:t>10.1</w:t>
        <w:tab/>
      </w:r>
      <w:r>
        <w:rPr>
          <w:rFonts w:eastAsia="Malgun Gothic"/>
        </w:rPr>
        <w:t>Void</w:t>
      </w:r>
    </w:p>
    <w:p>
      <w:pPr>
        <w:pStyle w:val="Heading2"/>
        <w:rPr/>
      </w:pPr>
      <w:bookmarkStart w:id="55" w:name="__RefHeading___Toc52642453"/>
      <w:bookmarkEnd w:id="55"/>
      <w:r>
        <w:rPr/>
        <w:t>10.2</w:t>
        <w:tab/>
      </w:r>
      <w:r>
        <w:rPr>
          <w:rFonts w:eastAsia="Malgun Gothic"/>
        </w:rPr>
        <w:t>Void</w:t>
      </w:r>
      <w:r>
        <w:br w:type="page"/>
      </w:r>
    </w:p>
    <w:p>
      <w:pPr>
        <w:pStyle w:val="Heading8"/>
        <w:ind w:left="0" w:hanging="0"/>
        <w:rPr/>
      </w:pPr>
      <w:bookmarkStart w:id="56" w:name="__RefHeading___Toc52642454"/>
      <w:bookmarkEnd w:id="56"/>
      <w:r>
        <w:rPr/>
        <w:t>Annex A (informative):</w:t>
        <w:br/>
        <w:t>Change history</w:t>
      </w:r>
    </w:p>
    <w:tbl>
      <w:tblPr>
        <w:tblW w:w="9777" w:type="dxa"/>
        <w:jc w:val="left"/>
        <w:tblInd w:w="-7" w:type="dxa"/>
        <w:tblLayout w:type="fixed"/>
        <w:tblCellMar>
          <w:top w:w="0" w:type="dxa"/>
          <w:left w:w="40" w:type="dxa"/>
          <w:bottom w:w="0" w:type="dxa"/>
          <w:right w:w="40" w:type="dxa"/>
        </w:tblCellMar>
      </w:tblPr>
      <w:tblGrid>
        <w:gridCol w:w="800"/>
        <w:gridCol w:w="901"/>
        <w:gridCol w:w="992"/>
        <w:gridCol w:w="709"/>
        <w:gridCol w:w="567"/>
        <w:gridCol w:w="428"/>
        <w:gridCol w:w="596"/>
        <w:gridCol w:w="391"/>
        <w:gridCol w:w="2409"/>
        <w:gridCol w:w="567"/>
        <w:gridCol w:w="567"/>
        <w:gridCol w:w="850"/>
      </w:tblGrid>
      <w:tr>
        <w:trPr>
          <w:cantSplit w:val="true"/>
        </w:trPr>
        <w:tc>
          <w:tcPr>
            <w:tcW w:w="9777" w:type="dxa"/>
            <w:gridSpan w:val="12"/>
            <w:tcBorders>
              <w:top w:val="single" w:sz="6" w:space="0" w:color="000000"/>
              <w:left w:val="single" w:sz="6" w:space="0" w:color="000000"/>
              <w:bottom w:val="single" w:sz="6" w:space="0" w:color="000000"/>
              <w:right w:val="single" w:sz="6" w:space="0" w:color="000000"/>
            </w:tcBorders>
            <w:shd w:fill="FFFFFF" w:val="clear"/>
          </w:tcPr>
          <w:p>
            <w:pPr>
              <w:pStyle w:val="TH"/>
              <w:keepLines w:val="false"/>
              <w:spacing w:before="0" w:after="0"/>
              <w:rPr>
                <w:rFonts w:ascii="Times New Roman" w:hAnsi="Times New Roman" w:cs="Times New Roman"/>
                <w:color w:val="000000"/>
                <w:sz w:val="16"/>
              </w:rPr>
            </w:pPr>
            <w:r>
              <w:rPr>
                <w:rFonts w:cs="Times New Roman" w:ascii="Times New Roman" w:hAnsi="Times New Roman"/>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SA#</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SA Doc.</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SA1 Doc</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Spec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Rev</w:t>
            </w:r>
          </w:p>
        </w:tc>
        <w:tc>
          <w:tcPr>
            <w:tcW w:w="59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Rel</w:t>
            </w:r>
          </w:p>
        </w:tc>
        <w:tc>
          <w:tcPr>
            <w:tcW w:w="39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24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c>
          <w:tcPr>
            <w:tcW w:w="850"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WI</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SP-080788</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S1-084395</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22.268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One-step-approved by SA#42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9.0.0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PWS</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SP-43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SP-090085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S1-090201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22.268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0001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D</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Fix for a note that is floating out of context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9.1.0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PWS-S1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SP-43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SP-090085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S1-090202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22.268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0002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Proposal to solve conflicting requirements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9.1.0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PWS-S1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SP-43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SP-090085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S1-090203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22.268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0004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Regulatory Requirements Pertaining to Roaming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9.1.0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PWS-S1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SP-43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SP-090085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S1-090204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22.268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0005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Rel-9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Removal of "subject to regulatory requirements" from PWS-UE requirements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9.1.0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PWS-S1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SP-43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ETSI clean-up: apply correct style and layout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9.1.0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SP-44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SP-090375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S1-091398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22.268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0006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 Reference [4]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9.1.0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9.2.0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PWS</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SP-44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SP-090375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S1-091397</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22.268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0007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CR 22.268 Clarify Requirements for Handling of Concurrent PWS Warning Notifications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9.1.0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9.2.0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PWS</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SP-44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Re-introduction of the figure in 6.1 which disappeared for some obscure reason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9.2.0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9.2.1</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LTE logo changed into LTE Advanced logo</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11.0.1</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SP-51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SP-110172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S1-110022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22.268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0010</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Rel-11</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RAT support for EU-Alert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11.1.0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TEI11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SP-53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SP-110574</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S1-112405</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22.268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0017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4</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Rel-11</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A</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Korean Public Alert System specific requirements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11.1.0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11.2.0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TEI10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SP-54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SP-110872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S1-113239r</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22.268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0019</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Rel-11</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A</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Updates on Korean Public Alert System specific requirements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11.2.0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11.3.0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TEI10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SP-54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SP-110813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S1-113441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22.268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0020</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Rel-11</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CMAS messages in Multiple Languages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11.2.0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11.3.0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TEI11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SP-55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SP-120172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S1-120341r</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22.268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0027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6</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Rel-11</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A</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PWS Security requirement correction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11.3.0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11.4.0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PWS</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SP-55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SP-120185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S1-120338r</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22.268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0024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7</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Rel-11</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Disabling receipt of PWS messages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11.3.0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11.4.0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TEI11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SP-57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SP-120529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S1-122082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22.268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0037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Rel-12</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Introduction of PWS Security requirements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11.4.0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12.0.0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PWS_Sec</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SP-58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SP-120870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S1-124468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22.268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0040</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Rel-12</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Clarification of conditions of PWS Security requirements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12.1.0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PWS_Sec</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rPr>
            </w:pPr>
            <w:r>
              <w:rPr>
                <w:sz w:val="16"/>
              </w:rPr>
              <w:t>SP-60</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rPr>
            </w:pPr>
            <w:r>
              <w:rPr>
                <w:sz w:val="16"/>
              </w:rPr>
              <w:t>SP-130196</w:t>
            </w:r>
          </w:p>
        </w:tc>
        <w:tc>
          <w:tcPr>
            <w:tcW w:w="992"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rPr>
            </w:pPr>
            <w:r>
              <w:rPr>
                <w:sz w:val="16"/>
              </w:rPr>
              <w:t>S1-133290</w:t>
            </w:r>
          </w:p>
        </w:tc>
        <w:tc>
          <w:tcPr>
            <w:tcW w:w="709"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rPr>
            </w:pPr>
            <w:r>
              <w:rPr>
                <w:sz w:val="16"/>
              </w:rPr>
              <w:t>22.268</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rPr>
            </w:pPr>
            <w:r>
              <w:rPr>
                <w:sz w:val="16"/>
              </w:rPr>
              <w:t>0045</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rPr>
            </w:pPr>
            <w:r>
              <w:rPr>
                <w:sz w:val="16"/>
              </w:rPr>
              <w:t>2</w:t>
            </w:r>
          </w:p>
        </w:tc>
        <w:tc>
          <w:tcPr>
            <w:tcW w:w="59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rPr>
            </w:pPr>
            <w:r>
              <w:rPr>
                <w:sz w:val="16"/>
              </w:rPr>
              <w:t>Rel-12</w:t>
            </w:r>
          </w:p>
        </w:tc>
        <w:tc>
          <w:tcPr>
            <w:tcW w:w="39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rPr>
            </w:pPr>
            <w:r>
              <w:rPr>
                <w:sz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rPr>
            </w:pPr>
            <w:r>
              <w:rPr>
                <w:sz w:val="16"/>
              </w:rPr>
              <w:t>CR on Rel-11 alignment regarding disabling and enabling of PWS Notifications</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rPr>
            </w:pPr>
            <w:r>
              <w:rPr>
                <w:sz w:val="16"/>
              </w:rPr>
              <w:t>12.1.0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rPr>
            </w:pPr>
            <w:r>
              <w:rPr>
                <w:sz w:val="16"/>
              </w:rPr>
              <w:t>12.2.0</w:t>
            </w:r>
          </w:p>
        </w:tc>
        <w:tc>
          <w:tcPr>
            <w:tcW w:w="850"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rPr>
            </w:pPr>
            <w:r>
              <w:rPr>
                <w:sz w:val="16"/>
              </w:rPr>
              <w:t>TEI12</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rPr>
            </w:pPr>
            <w:r>
              <w:rPr>
                <w:sz w:val="16"/>
              </w:rPr>
              <w:t>SP-60</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rPr>
            </w:pPr>
            <w:r>
              <w:rPr>
                <w:sz w:val="16"/>
              </w:rPr>
              <w:t>SP-130196</w:t>
            </w:r>
          </w:p>
        </w:tc>
        <w:tc>
          <w:tcPr>
            <w:tcW w:w="992"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rPr>
            </w:pPr>
            <w:r>
              <w:rPr>
                <w:sz w:val="16"/>
              </w:rPr>
              <w:t>S1-133292</w:t>
            </w:r>
          </w:p>
        </w:tc>
        <w:tc>
          <w:tcPr>
            <w:tcW w:w="709"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rPr>
            </w:pPr>
            <w:r>
              <w:rPr>
                <w:sz w:val="16"/>
              </w:rPr>
              <w:t>22.268</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rPr>
            </w:pPr>
            <w:r>
              <w:rPr>
                <w:sz w:val="16"/>
              </w:rPr>
              <w:t>0046</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rPr>
            </w:pPr>
            <w:r>
              <w:rPr>
                <w:sz w:val="16"/>
              </w:rPr>
              <w:t>1</w:t>
            </w:r>
          </w:p>
        </w:tc>
        <w:tc>
          <w:tcPr>
            <w:tcW w:w="59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rPr>
            </w:pPr>
            <w:r>
              <w:rPr>
                <w:sz w:val="16"/>
              </w:rPr>
              <w:t>Rel-12</w:t>
            </w:r>
          </w:p>
        </w:tc>
        <w:tc>
          <w:tcPr>
            <w:tcW w:w="39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rPr>
            </w:pPr>
            <w:r>
              <w:rPr>
                <w:sz w:val="16"/>
              </w:rPr>
              <w:t>C</w:t>
            </w:r>
          </w:p>
        </w:tc>
        <w:tc>
          <w:tcPr>
            <w:tcW w:w="2409"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sz w:val="16"/>
              </w:rPr>
              <w:t>CR regarding PWS integrity protection when roaming internationally</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rPr>
            </w:pPr>
            <w:r>
              <w:rPr>
                <w:sz w:val="16"/>
              </w:rPr>
              <w:t>12.1.0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rPr>
            </w:pPr>
            <w:r>
              <w:rPr>
                <w:sz w:val="16"/>
              </w:rPr>
              <w:t>12.2.0</w:t>
            </w:r>
          </w:p>
        </w:tc>
        <w:tc>
          <w:tcPr>
            <w:tcW w:w="850"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rPr>
            </w:pPr>
            <w:r>
              <w:rPr>
                <w:sz w:val="16"/>
              </w:rPr>
              <w:t>TEI12</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SP-70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SP-150748</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S1-154480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22.268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0047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Rel-13</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A bandwidth reduced low complexity UE or a UE supporting eDRX may not support PWS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12.2.0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13.0.0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TEI13</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SP-75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to Rel-14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13.0.0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14.0.0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hyperlink r:id="rId14">
              <w:r>
                <w:rPr>
                  <w:rStyle w:val="InternetLink"/>
                  <w:sz w:val="16"/>
                </w:rPr>
                <w:t>SP-76</w:t>
              </w:r>
            </w:hyperlink>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SP-170441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hyperlink r:id="rId15">
              <w:r>
                <w:rPr>
                  <w:rStyle w:val="InternetLink"/>
                  <w:sz w:val="16"/>
                </w:rPr>
                <w:t>S1-172424</w:t>
              </w:r>
            </w:hyperlink>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hyperlink r:id="rId16">
              <w:r>
                <w:rPr>
                  <w:rStyle w:val="InternetLink"/>
                  <w:sz w:val="16"/>
                </w:rPr>
                <w:t>22.268</w:t>
              </w:r>
            </w:hyperlink>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0048</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hyperlink r:id="rId17">
              <w:r>
                <w:rPr>
                  <w:rStyle w:val="InternetLink"/>
                  <w:sz w:val="16"/>
                </w:rPr>
                <w:t>Rel-14</w:t>
              </w:r>
            </w:hyperlink>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Alignment of 3GPP PWS specifications to recent FCC WEA/CMAS regulation changes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14.0.0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14.1.0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hyperlink r:id="rId18">
              <w:r>
                <w:rPr>
                  <w:rStyle w:val="InternetLink"/>
                  <w:sz w:val="16"/>
                </w:rPr>
                <w:t>TEI14</w:t>
              </w:r>
            </w:hyperlink>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hyperlink r:id="rId19">
              <w:r>
                <w:rPr>
                  <w:rStyle w:val="InternetLink"/>
                  <w:sz w:val="16"/>
                </w:rPr>
                <w:t>-</w:t>
              </w:r>
            </w:hyperlink>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hyperlink r:id="rId20">
              <w:r>
                <w:rPr>
                  <w:rStyle w:val="InternetLink"/>
                  <w:sz w:val="16"/>
                </w:rPr>
                <w:t>-</w:t>
              </w:r>
            </w:hyperlink>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hyperlink r:id="rId21">
              <w:r>
                <w:rPr>
                  <w:rStyle w:val="InternetLink"/>
                  <w:sz w:val="16"/>
                </w:rPr>
                <w:t>-</w:t>
              </w:r>
            </w:hyperlink>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hyperlink r:id="rId22">
              <w:r>
                <w:rPr>
                  <w:rStyle w:val="InternetLink"/>
                  <w:sz w:val="16"/>
                </w:rPr>
                <w:t>-</w:t>
              </w:r>
            </w:hyperlink>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Creation of v.15.0.0 identical to v.14.1.0 because of the CRs approved at SP#79 raising the spec from v.14 to v.16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14.1.0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15.0.0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hyperlink r:id="rId23">
              <w:r>
                <w:rPr>
                  <w:rStyle w:val="InternetLink"/>
                  <w:sz w:val="16"/>
                </w:rPr>
                <w:t>-</w:t>
              </w:r>
            </w:hyperlink>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SP-79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SP-180135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24">
              <w:r>
                <w:rPr>
                  <w:rStyle w:val="InternetLink"/>
                  <w:rFonts w:cs="Arial" w:ascii="Arial" w:hAnsi="Arial"/>
                  <w:sz w:val="16"/>
                </w:rPr>
                <w:t>S1-180584</w:t>
              </w:r>
            </w:hyperlink>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25">
              <w:r>
                <w:rPr>
                  <w:rStyle w:val="InternetLink"/>
                  <w:rFonts w:cs="Arial" w:ascii="Arial" w:hAnsi="Arial"/>
                  <w:sz w:val="16"/>
                </w:rPr>
                <w:t>22.268</w:t>
              </w:r>
            </w:hyperlink>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0052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26">
              <w:r>
                <w:rPr>
                  <w:rStyle w:val="InternetLink"/>
                  <w:rFonts w:cs="Arial" w:ascii="Arial" w:hAnsi="Arial"/>
                  <w:sz w:val="16"/>
                </w:rPr>
                <w:t>Rel-16</w:t>
              </w:r>
            </w:hyperlink>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Requirements for 3GPP system supporting ePWS-UEs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15.0.0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16.0.0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27">
              <w:r>
                <w:rPr>
                  <w:rStyle w:val="InternetLink"/>
                  <w:rFonts w:cs="Arial" w:ascii="Arial" w:hAnsi="Arial"/>
                  <w:sz w:val="16"/>
                </w:rPr>
                <w:t>ePWS</w:t>
              </w:r>
            </w:hyperlink>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SP-79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SP-180135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28">
              <w:r>
                <w:rPr>
                  <w:rStyle w:val="InternetLink"/>
                  <w:rFonts w:cs="Arial" w:ascii="Arial" w:hAnsi="Arial"/>
                  <w:sz w:val="16"/>
                </w:rPr>
                <w:t>S1-180585</w:t>
              </w:r>
            </w:hyperlink>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29">
              <w:r>
                <w:rPr>
                  <w:rStyle w:val="InternetLink"/>
                  <w:rFonts w:cs="Arial" w:ascii="Arial" w:hAnsi="Arial"/>
                  <w:sz w:val="16"/>
                </w:rPr>
                <w:t>22.268</w:t>
              </w:r>
            </w:hyperlink>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0049</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4</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30">
              <w:r>
                <w:rPr>
                  <w:rStyle w:val="InternetLink"/>
                  <w:rFonts w:cs="Arial" w:ascii="Arial" w:hAnsi="Arial"/>
                  <w:sz w:val="16"/>
                </w:rPr>
                <w:t>Rel-16</w:t>
              </w:r>
            </w:hyperlink>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Definition of ePWS-UE and abbreviation of ePWS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15.0.0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16.0.0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31">
              <w:r>
                <w:rPr>
                  <w:rStyle w:val="InternetLink"/>
                  <w:rFonts w:cs="Arial" w:ascii="Arial" w:hAnsi="Arial"/>
                  <w:sz w:val="16"/>
                </w:rPr>
                <w:t>ePWS</w:t>
              </w:r>
            </w:hyperlink>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SP-79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SP-180135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32">
              <w:r>
                <w:rPr>
                  <w:rStyle w:val="InternetLink"/>
                  <w:rFonts w:cs="Arial" w:ascii="Arial" w:hAnsi="Arial"/>
                  <w:sz w:val="16"/>
                </w:rPr>
                <w:t>S1-180586</w:t>
              </w:r>
            </w:hyperlink>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33">
              <w:r>
                <w:rPr>
                  <w:rStyle w:val="InternetLink"/>
                  <w:rFonts w:cs="Arial" w:ascii="Arial" w:hAnsi="Arial"/>
                  <w:sz w:val="16"/>
                </w:rPr>
                <w:t>22.268</w:t>
              </w:r>
            </w:hyperlink>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0051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3</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34">
              <w:r>
                <w:rPr>
                  <w:rStyle w:val="InternetLink"/>
                  <w:rFonts w:cs="Arial" w:ascii="Arial" w:hAnsi="Arial"/>
                  <w:sz w:val="16"/>
                </w:rPr>
                <w:t>Rel-16</w:t>
              </w:r>
            </w:hyperlink>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Background of ePWS-UE requirements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15.0.0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16.0.0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35">
              <w:r>
                <w:rPr>
                  <w:rStyle w:val="InternetLink"/>
                  <w:rFonts w:cs="Arial" w:ascii="Arial" w:hAnsi="Arial"/>
                  <w:sz w:val="16"/>
                </w:rPr>
                <w:t>ePWS</w:t>
              </w:r>
            </w:hyperlink>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SP-79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SP-180135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36">
              <w:r>
                <w:rPr>
                  <w:rStyle w:val="InternetLink"/>
                  <w:rFonts w:cs="Arial" w:ascii="Arial" w:hAnsi="Arial"/>
                  <w:sz w:val="16"/>
                </w:rPr>
                <w:t>S1-180587</w:t>
              </w:r>
            </w:hyperlink>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37">
              <w:r>
                <w:rPr>
                  <w:rStyle w:val="InternetLink"/>
                  <w:rFonts w:cs="Arial" w:ascii="Arial" w:hAnsi="Arial"/>
                  <w:sz w:val="16"/>
                </w:rPr>
                <w:t>22.268</w:t>
              </w:r>
            </w:hyperlink>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0053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3</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38">
              <w:r>
                <w:rPr>
                  <w:rStyle w:val="InternetLink"/>
                  <w:rFonts w:cs="Arial" w:ascii="Arial" w:hAnsi="Arial"/>
                  <w:sz w:val="16"/>
                </w:rPr>
                <w:t>Rel-16</w:t>
              </w:r>
            </w:hyperlink>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Requirements for ePWS-UE with different or no user interface or with different roles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15.0.0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16.0.0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39">
              <w:r>
                <w:rPr>
                  <w:rStyle w:val="InternetLink"/>
                  <w:rFonts w:cs="Arial" w:ascii="Arial" w:hAnsi="Arial"/>
                  <w:sz w:val="16"/>
                </w:rPr>
                <w:t>ePWS</w:t>
              </w:r>
            </w:hyperlink>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SP-79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SP-180135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40">
              <w:r>
                <w:rPr>
                  <w:rStyle w:val="InternetLink"/>
                  <w:rFonts w:cs="Arial" w:ascii="Arial" w:hAnsi="Arial"/>
                  <w:sz w:val="16"/>
                </w:rPr>
                <w:t>S1-180588</w:t>
              </w:r>
            </w:hyperlink>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41">
              <w:r>
                <w:rPr>
                  <w:rStyle w:val="InternetLink"/>
                  <w:rFonts w:cs="Arial" w:ascii="Arial" w:hAnsi="Arial"/>
                  <w:sz w:val="16"/>
                </w:rPr>
                <w:t>22.268</w:t>
              </w:r>
            </w:hyperlink>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0054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42">
              <w:r>
                <w:rPr>
                  <w:rStyle w:val="InternetLink"/>
                  <w:rFonts w:cs="Arial" w:ascii="Arial" w:hAnsi="Arial"/>
                  <w:sz w:val="16"/>
                </w:rPr>
                <w:t>Rel-16</w:t>
              </w:r>
            </w:hyperlink>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Requirements for the improvement of understanding the PWS message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15.0.0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16.0.0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43">
              <w:r>
                <w:rPr>
                  <w:rStyle w:val="InternetLink"/>
                  <w:rFonts w:cs="Arial" w:ascii="Arial" w:hAnsi="Arial"/>
                  <w:sz w:val="16"/>
                </w:rPr>
                <w:t>ePWS</w:t>
              </w:r>
            </w:hyperlink>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SP-79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SP-180135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44">
              <w:r>
                <w:rPr>
                  <w:rStyle w:val="InternetLink"/>
                  <w:rFonts w:cs="Arial" w:ascii="Arial" w:hAnsi="Arial"/>
                  <w:sz w:val="16"/>
                </w:rPr>
                <w:t>S1-180589</w:t>
              </w:r>
            </w:hyperlink>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45">
              <w:r>
                <w:rPr>
                  <w:rStyle w:val="InternetLink"/>
                  <w:rFonts w:cs="Arial" w:ascii="Arial" w:hAnsi="Arial"/>
                  <w:sz w:val="16"/>
                </w:rPr>
                <w:t>22.268</w:t>
              </w:r>
            </w:hyperlink>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0055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3</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46">
              <w:r>
                <w:rPr>
                  <w:rStyle w:val="InternetLink"/>
                  <w:rFonts w:cs="Arial" w:ascii="Arial" w:hAnsi="Arial"/>
                  <w:sz w:val="16"/>
                </w:rPr>
                <w:t>Rel-16</w:t>
              </w:r>
            </w:hyperlink>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Addition of NOTE in legacy requirements for the improvement of understanding the PWS message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15.0.0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16.0.0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47">
              <w:r>
                <w:rPr>
                  <w:rStyle w:val="InternetLink"/>
                  <w:rFonts w:cs="Arial" w:ascii="Arial" w:hAnsi="Arial"/>
                  <w:sz w:val="16"/>
                </w:rPr>
                <w:t>ePWS</w:t>
              </w:r>
            </w:hyperlink>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48">
              <w:r>
                <w:rPr>
                  <w:rStyle w:val="InternetLink"/>
                  <w:rFonts w:cs="Arial" w:ascii="Arial" w:hAnsi="Arial"/>
                  <w:sz w:val="16"/>
                </w:rPr>
                <w:t>SP-80</w:t>
              </w:r>
            </w:hyperlink>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SP-180308</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49">
              <w:r>
                <w:rPr>
                  <w:rStyle w:val="InternetLink"/>
                  <w:rFonts w:cs="Arial" w:ascii="Arial" w:hAnsi="Arial"/>
                  <w:sz w:val="16"/>
                </w:rPr>
                <w:t>S1-181564</w:t>
              </w:r>
            </w:hyperlink>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50">
              <w:r>
                <w:rPr>
                  <w:rStyle w:val="InternetLink"/>
                  <w:rFonts w:cs="Arial" w:ascii="Arial" w:hAnsi="Arial"/>
                  <w:sz w:val="16"/>
                </w:rPr>
                <w:t>22.268</w:t>
              </w:r>
            </w:hyperlink>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0059</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51">
              <w:r>
                <w:rPr>
                  <w:rStyle w:val="InternetLink"/>
                  <w:rFonts w:cs="Arial" w:ascii="Arial" w:hAnsi="Arial"/>
                  <w:sz w:val="16"/>
                </w:rPr>
                <w:t>Rel-16</w:t>
              </w:r>
            </w:hyperlink>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A</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Alignment of 3GPP PWS specifications to recent FCC WEA regulation changes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16.1.0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52">
              <w:r>
                <w:rPr>
                  <w:rStyle w:val="InternetLink"/>
                  <w:rFonts w:cs="Arial" w:ascii="Arial" w:hAnsi="Arial"/>
                  <w:sz w:val="16"/>
                </w:rPr>
                <w:t>TEI15</w:t>
              </w:r>
            </w:hyperlink>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SP-81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SP-180754</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S1-182440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22.268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0061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Rel-16</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A</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Additional requirements in KPAS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16.1.0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16.2.0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TEI15</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SP-81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SP-180756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S1-182235</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22.268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0062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 </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Rel-16</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EU-alert applicability for 5G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16.1.0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16.2.0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TEI16</w:t>
            </w:r>
          </w:p>
        </w:tc>
      </w:tr>
    </w:tbl>
    <w:p>
      <w:pPr>
        <w:pStyle w:val="Normal"/>
        <w:rPr/>
      </w:pPr>
      <w:r>
        <w:rPr/>
      </w:r>
    </w:p>
    <w:tbl>
      <w:tblPr>
        <w:tblW w:w="9687" w:type="dxa"/>
        <w:jc w:val="left"/>
        <w:tblInd w:w="-7" w:type="dxa"/>
        <w:tblLayout w:type="fixed"/>
        <w:tblCellMar>
          <w:top w:w="0" w:type="dxa"/>
          <w:left w:w="40" w:type="dxa"/>
          <w:bottom w:w="0" w:type="dxa"/>
          <w:right w:w="40" w:type="dxa"/>
        </w:tblCellMar>
      </w:tblPr>
      <w:tblGrid>
        <w:gridCol w:w="48"/>
        <w:gridCol w:w="752"/>
        <w:gridCol w:w="48"/>
        <w:gridCol w:w="752"/>
        <w:gridCol w:w="48"/>
        <w:gridCol w:w="998"/>
        <w:gridCol w:w="48"/>
        <w:gridCol w:w="425"/>
        <w:gridCol w:w="48"/>
        <w:gridCol w:w="377"/>
        <w:gridCol w:w="48"/>
        <w:gridCol w:w="377"/>
        <w:gridCol w:w="48"/>
        <w:gridCol w:w="4914"/>
        <w:gridCol w:w="48"/>
        <w:gridCol w:w="660"/>
        <w:gridCol w:w="48"/>
      </w:tblGrid>
      <w:tr>
        <w:trPr>
          <w:cantSplit w:val="true"/>
        </w:trPr>
        <w:tc>
          <w:tcPr>
            <w:tcW w:w="9639" w:type="dxa"/>
            <w:gridSpan w:val="16"/>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c>
          <w:tcPr>
            <w:tcW w:w="48" w:type="dxa"/>
            <w:tcBorders/>
            <w:tcMar>
              <w:left w:w="0" w:type="dxa"/>
              <w:right w:w="0" w:type="dxa"/>
            </w:tcMar>
          </w:tcPr>
          <w:p>
            <w:pPr>
              <w:pStyle w:val="Normal"/>
              <w:snapToGrid w:val="false"/>
              <w:spacing w:before="0" w:after="180"/>
              <w:rPr>
                <w:b/>
                <w:b/>
                <w:sz w:val="16"/>
              </w:rPr>
            </w:pPr>
            <w:r>
              <w:rPr>
                <w:b/>
                <w:sz w:val="16"/>
              </w:rPr>
            </w:r>
          </w:p>
        </w:tc>
      </w:tr>
      <w:tr>
        <w:trPr/>
        <w:tc>
          <w:tcPr>
            <w:tcW w:w="800"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46"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73"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c>
          <w:tcPr>
            <w:tcW w:w="48" w:type="dxa"/>
            <w:tcBorders/>
            <w:tcMar>
              <w:left w:w="0" w:type="dxa"/>
              <w:right w:w="0" w:type="dxa"/>
            </w:tcMar>
          </w:tcPr>
          <w:p>
            <w:pPr>
              <w:pStyle w:val="Normal"/>
              <w:snapToGrid w:val="false"/>
              <w:spacing w:before="0" w:after="180"/>
              <w:rPr>
                <w:b/>
                <w:b/>
                <w:sz w:val="16"/>
              </w:rPr>
            </w:pPr>
            <w:r>
              <w:rPr>
                <w:b/>
                <w:sz w:val="16"/>
              </w:rPr>
            </w:r>
          </w:p>
        </w:tc>
      </w:tr>
      <w:tr>
        <w:trPr/>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2019-06</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SA#84</w:t>
            </w:r>
          </w:p>
        </w:tc>
        <w:tc>
          <w:tcPr>
            <w:tcW w:w="104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SP-190301</w:t>
            </w:r>
          </w:p>
        </w:tc>
        <w:tc>
          <w:tcPr>
            <w:tcW w:w="47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0063</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F</w:t>
            </w:r>
          </w:p>
        </w:tc>
        <w:tc>
          <w:tcPr>
            <w:tcW w:w="4962"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CR 22.268-0063 Roaming requirements and security requirements for ePWS-UEs</w:t>
            </w:r>
          </w:p>
        </w:tc>
        <w:tc>
          <w:tcPr>
            <w:tcW w:w="70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16.3.0</w:t>
            </w:r>
          </w:p>
        </w:tc>
        <w:tc>
          <w:tcPr>
            <w:tcW w:w="48" w:type="dxa"/>
            <w:tcBorders/>
            <w:tcMar>
              <w:left w:w="0" w:type="dxa"/>
              <w:right w:w="0" w:type="dxa"/>
            </w:tcMar>
          </w:tcPr>
          <w:p>
            <w:pPr>
              <w:pStyle w:val="Normal"/>
              <w:snapToGrid w:val="false"/>
              <w:spacing w:before="0" w:after="180"/>
              <w:rPr>
                <w:rFonts w:ascii="Arial" w:hAnsi="Arial" w:cs="Arial"/>
                <w:sz w:val="16"/>
              </w:rPr>
            </w:pPr>
            <w:r>
              <w:rPr>
                <w:rFonts w:cs="Arial" w:ascii="Arial" w:hAnsi="Arial"/>
                <w:sz w:val="16"/>
              </w:rPr>
            </w:r>
          </w:p>
        </w:tc>
      </w:tr>
      <w:tr>
        <w:trPr/>
        <w:tc>
          <w:tcPr>
            <w:tcW w:w="48" w:type="dxa"/>
            <w:tcBorders/>
            <w:tcMar>
              <w:left w:w="0" w:type="dxa"/>
              <w:right w:w="0" w:type="dxa"/>
            </w:tcMar>
          </w:tcPr>
          <w:p>
            <w:pPr>
              <w:pStyle w:val="TableContents"/>
              <w:spacing w:before="0" w:after="180"/>
              <w:rPr>
                <w:rFonts w:ascii="Arial" w:hAnsi="Arial" w:cs="Arial"/>
                <w:sz w:val="16"/>
              </w:rPr>
            </w:pPr>
            <w:r>
              <w:rPr>
                <w:rFonts w:cs="Arial" w:ascii="Arial" w:hAnsi="Arial"/>
                <w:sz w:val="16"/>
              </w:rPr>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sz w:val="16"/>
              </w:rPr>
            </w:pPr>
            <w:r>
              <w:rPr>
                <w:rFonts w:cs="Arial" w:ascii="Arial" w:hAnsi="Arial"/>
                <w:sz w:val="16"/>
              </w:rPr>
              <w:t>2020-09</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sz w:val="16"/>
              </w:rPr>
            </w:pPr>
            <w:r>
              <w:rPr>
                <w:rFonts w:cs="Arial" w:ascii="Arial" w:hAnsi="Arial"/>
                <w:sz w:val="16"/>
              </w:rPr>
              <w:t>SA#89e</w:t>
            </w:r>
          </w:p>
        </w:tc>
        <w:tc>
          <w:tcPr>
            <w:tcW w:w="1046" w:type="dxa"/>
            <w:gridSpan w:val="2"/>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sz w:val="16"/>
              </w:rPr>
            </w:pPr>
            <w:r>
              <w:rPr>
                <w:rFonts w:cs="Arial" w:ascii="Arial" w:hAnsi="Arial"/>
                <w:sz w:val="16"/>
              </w:rPr>
              <w:t>SP-200785</w:t>
            </w:r>
          </w:p>
        </w:tc>
        <w:tc>
          <w:tcPr>
            <w:tcW w:w="473" w:type="dxa"/>
            <w:gridSpan w:val="2"/>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sz w:val="16"/>
              </w:rPr>
            </w:pPr>
            <w:r>
              <w:rPr>
                <w:rFonts w:cs="Arial" w:ascii="Arial" w:hAnsi="Arial"/>
                <w:sz w:val="16"/>
              </w:rPr>
              <w:t>64</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sz w:val="16"/>
              </w:rPr>
            </w:pPr>
            <w:r>
              <w:rPr>
                <w:rFonts w:cs="Arial" w:ascii="Arial" w:hAnsi="Arial"/>
                <w:sz w:val="16"/>
              </w:rPr>
              <w:t>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sz w:val="16"/>
              </w:rPr>
            </w:pPr>
            <w:r>
              <w:rPr>
                <w:rFonts w:cs="Arial" w:ascii="Arial" w:hAnsi="Arial"/>
                <w:sz w:val="16"/>
              </w:rPr>
              <w:t>F</w:t>
            </w:r>
          </w:p>
        </w:tc>
        <w:tc>
          <w:tcPr>
            <w:tcW w:w="4962" w:type="dxa"/>
            <w:gridSpan w:val="2"/>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sz w:val="16"/>
              </w:rPr>
            </w:pPr>
            <w:r>
              <w:rPr>
                <w:rFonts w:cs="Arial" w:ascii="Arial" w:hAnsi="Arial"/>
                <w:sz w:val="16"/>
              </w:rPr>
              <w:t>R16 CR to TS22.268 for Requirement alignment for Relay</w:t>
            </w:r>
          </w:p>
        </w:tc>
        <w:tc>
          <w:tcPr>
            <w:tcW w:w="708" w:type="dxa"/>
            <w:gridSpan w:val="2"/>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sz w:val="16"/>
              </w:rPr>
            </w:pPr>
            <w:r>
              <w:rPr>
                <w:rFonts w:cs="Arial" w:ascii="Arial" w:hAnsi="Arial"/>
                <w:sz w:val="16"/>
              </w:rPr>
              <w:t>16.4.0</w:t>
            </w:r>
          </w:p>
        </w:tc>
      </w:tr>
    </w:tbl>
    <w:p>
      <w:pPr>
        <w:pStyle w:val="Normal"/>
        <w:widowControl/>
        <w:overflowPunct w:val="false"/>
        <w:autoSpaceDE w:val="false"/>
        <w:bidi w:val="0"/>
        <w:spacing w:before="0" w:after="180"/>
        <w:textAlignment w:val="baseline"/>
        <w:rPr/>
      </w:pPr>
      <w:r>
        <w:rPr/>
      </w:r>
    </w:p>
    <w:sectPr>
      <w:headerReference w:type="default" r:id="rId53"/>
      <w:footerReference w:type="default" r:id="rId54"/>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Calibri">
    <w:charset w:val="00"/>
    <w:family w:val="swiss"/>
    <w:pitch w:val="variable"/>
  </w:font>
  <w:font w:name="Verdana">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2">
              <wp:simplePos x="0" y="0"/>
              <wp:positionH relativeFrom="margin">
                <wp:align>right</wp:align>
              </wp:positionH>
              <wp:positionV relativeFrom="paragraph">
                <wp:posOffset>635</wp:posOffset>
              </wp:positionV>
              <wp:extent cx="1818640" cy="131445"/>
              <wp:effectExtent l="0" t="0" r="0" b="0"/>
              <wp:wrapSquare wrapText="largest"/>
              <wp:docPr id="15"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22.268 V16.4.0 (2020-09)</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22.268 V16.4.0 (2020-09)</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1">
              <wp:simplePos x="0" y="0"/>
              <wp:positionH relativeFrom="margin">
                <wp:align>center</wp:align>
              </wp:positionH>
              <wp:positionV relativeFrom="paragraph">
                <wp:posOffset>635</wp:posOffset>
              </wp:positionV>
              <wp:extent cx="127635" cy="131445"/>
              <wp:effectExtent l="0" t="0" r="0" b="0"/>
              <wp:wrapSquare wrapText="largest"/>
              <wp:docPr id="16"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20</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20</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0">
              <wp:simplePos x="0" y="0"/>
              <wp:positionH relativeFrom="margin">
                <wp:align>left</wp:align>
              </wp:positionH>
              <wp:positionV relativeFrom="paragraph">
                <wp:posOffset>635</wp:posOffset>
              </wp:positionV>
              <wp:extent cx="591820" cy="131445"/>
              <wp:effectExtent l="0" t="0" r="0" b="0"/>
              <wp:wrapSquare wrapText="largest"/>
              <wp:docPr id="17"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080"/>
        </w:tabs>
        <w:ind w:left="0" w:firstLine="720"/>
      </w:pPr>
    </w:lvl>
  </w:abstractNum>
  <w:abstractNum w:abstractNumId="3">
    <w:lvl w:ilvl="0">
      <w:numFmt w:val="bullet"/>
      <w:lvlText w:val=""/>
      <w:lvlJc w:val="left"/>
      <w:pPr>
        <w:tabs>
          <w:tab w:val="num" w:pos="283"/>
        </w:tabs>
        <w:ind w:left="567" w:hanging="283"/>
      </w:pPr>
      <w:rPr>
        <w:rFonts w:ascii="Symbol" w:hAnsi="Symbol" w:cs="Symbol" w:hint="default"/>
      </w:rPr>
    </w:lvl>
  </w:abstractNum>
  <w:abstractNum w:abstractNumId="4">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B1Char">
    <w:name w:val="B1 Char"/>
    <w:qFormat/>
    <w:rPr/>
  </w:style>
  <w:style w:type="character" w:styleId="ParaNumChar">
    <w:name w:val="ParaNum Char"/>
    <w:qFormat/>
    <w:rPr>
      <w:lang w:val="en-US"/>
    </w:rPr>
  </w:style>
  <w:style w:type="character" w:styleId="FootnoteTextChar">
    <w:name w:val="Footnote Text Char"/>
    <w:qFormat/>
    <w:rPr>
      <w:sz w:val="16"/>
    </w:rPr>
  </w:style>
  <w:style w:type="character" w:styleId="Heading1Char">
    <w:name w:val="Heading 1 Char"/>
    <w:qFormat/>
    <w:rPr>
      <w:rFonts w:ascii="Arial" w:hAnsi="Arial" w:cs="Arial"/>
      <w:sz w:val="36"/>
      <w:lang w:val="en-GB" w:bidi="ar-S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6"/>
      </w:numPr>
    </w:pPr>
    <w:rPr/>
  </w:style>
  <w:style w:type="paragraph" w:styleId="ListBullet2">
    <w:name w:val="List Bullet 2"/>
    <w:basedOn w:val="ListBullet"/>
    <w:qFormat/>
    <w:pPr>
      <w:numPr>
        <w:ilvl w:val="0"/>
        <w:numId w:val="7"/>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8"/>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ParaNum">
    <w:name w:val="ParaNum"/>
    <w:basedOn w:val="Normal"/>
    <w:qFormat/>
    <w:pPr>
      <w:numPr>
        <w:ilvl w:val="0"/>
        <w:numId w:val="2"/>
      </w:numPr>
      <w:tabs>
        <w:tab w:val="clear" w:pos="284"/>
        <w:tab w:val="left" w:pos="1440" w:leader="none"/>
      </w:tabs>
      <w:overflowPunct w:val="false"/>
      <w:autoSpaceDE w:val="false"/>
      <w:spacing w:before="0" w:after="120"/>
      <w:textAlignment w:val="baseline"/>
    </w:pPr>
    <w:rPr>
      <w:lang w:val="en-US"/>
    </w:rPr>
  </w:style>
  <w:style w:type="paragraph" w:styleId="FL">
    <w:name w:val="FL"/>
    <w:basedOn w:val="Normal"/>
    <w:qFormat/>
    <w:pPr>
      <w:keepNext w:val="true"/>
      <w:keepLines/>
      <w:spacing w:before="60" w:after="180"/>
      <w:jc w:val="center"/>
    </w:pPr>
    <w:rPr>
      <w:rFonts w:ascii="Arial" w:hAnsi="Arial" w:cs="Arial"/>
      <w:b/>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image" Target="media/image4.wmf"/><Relationship Id="rId10" Type="http://schemas.openxmlformats.org/officeDocument/2006/relationships/image" Target="media/image5.png"/><Relationship Id="rId11" Type="http://schemas.openxmlformats.org/officeDocument/2006/relationships/image" Target="media/image3.png"/><Relationship Id="rId12" Type="http://schemas.openxmlformats.org/officeDocument/2006/relationships/image" Target="media/image3.png"/><Relationship Id="rId13" Type="http://schemas.openxmlformats.org/officeDocument/2006/relationships/image" Target="media/image6.jpeg"/><Relationship Id="rId14" Type="http://schemas.openxmlformats.org/officeDocument/2006/relationships/hyperlink" Target="http://portal.3gpp.org/desktopmodules/Release/ReleaseDetails.aspx?releaseId=189" TargetMode="External"/><Relationship Id="rId15" Type="http://schemas.openxmlformats.org/officeDocument/2006/relationships/hyperlink" Target="http://www.3gpp.org/ftp/tsg_sa/WG1_Serv/TSGS1_78_Porto/docs/S1-172424.zip" TargetMode="External"/><Relationship Id="rId16" Type="http://schemas.openxmlformats.org/officeDocument/2006/relationships/hyperlink" Target="http://portal.3gpp.org/desktopmodules/Specifications/SpecificationDetails.aspx?specificationId=639" TargetMode="External"/><Relationship Id="rId17" Type="http://schemas.openxmlformats.org/officeDocument/2006/relationships/hyperlink" Target="http://portal.3gpp.org/desktopmodules/Release/ReleaseDetails.aspx?releaseId=189" TargetMode="External"/><Relationship Id="rId18" Type="http://schemas.openxmlformats.org/officeDocument/2006/relationships/hyperlink" Target="http://portal.3gpp.org/desktopmodules/WorkItem/WorkItemDetails.aspx?workitemId=680099" TargetMode="External"/><Relationship Id="rId19" Type="http://schemas.openxmlformats.org/officeDocument/2006/relationships/hyperlink" Target="http://portal.3gpp.org/desktopmodules/Release/ReleaseDetails.aspx?releaseId=189" TargetMode="External"/><Relationship Id="rId20" Type="http://schemas.openxmlformats.org/officeDocument/2006/relationships/hyperlink" Target="http://www.3gpp.org/ftp/tsg_sa/WG1_Serv/TSGS1_78_Porto/docs/S1-172424.zip" TargetMode="External"/><Relationship Id="rId21" Type="http://schemas.openxmlformats.org/officeDocument/2006/relationships/hyperlink" Target="http://portal.3gpp.org/desktopmodules/Specifications/SpecificationDetails.aspx?specificationId=639" TargetMode="External"/><Relationship Id="rId22" Type="http://schemas.openxmlformats.org/officeDocument/2006/relationships/hyperlink" Target="http://portal.3gpp.org/desktopmodules/Release/ReleaseDetails.aspx?releaseId=189" TargetMode="External"/><Relationship Id="rId23" Type="http://schemas.openxmlformats.org/officeDocument/2006/relationships/hyperlink" Target="http://portal.3gpp.org/desktopmodules/WorkItem/WorkItemDetails.aspx?workitemId=680099" TargetMode="External"/><Relationship Id="rId24" Type="http://schemas.openxmlformats.org/officeDocument/2006/relationships/hyperlink" Target="http://www.3gpp.org/ftp/tsg_sa/WG1_Serv/TSGS1_81_Fukuoka/docs/S1-180584.zip" TargetMode="External"/><Relationship Id="rId25" Type="http://schemas.openxmlformats.org/officeDocument/2006/relationships/hyperlink" Target="http://portal.3gpp.org/desktopmodules/Specifications/SpecificationDetails.aspx?specificationId=639" TargetMode="External"/><Relationship Id="rId26" Type="http://schemas.openxmlformats.org/officeDocument/2006/relationships/hyperlink" Target="http://portal.3gpp.org/desktopmodules/Release/ReleaseDetails.aspx?releaseId=191" TargetMode="External"/><Relationship Id="rId27" Type="http://schemas.openxmlformats.org/officeDocument/2006/relationships/hyperlink" Target="http://portal.3gpp.org/desktopmodules/WorkItem/WorkItemDetails.aspx?workitemId=780003" TargetMode="External"/><Relationship Id="rId28" Type="http://schemas.openxmlformats.org/officeDocument/2006/relationships/hyperlink" Target="http://www.3gpp.org/ftp/tsg_sa/WG1_Serv/TSGS1_81_Fukuoka/docs/S1-180585.zip" TargetMode="External"/><Relationship Id="rId29" Type="http://schemas.openxmlformats.org/officeDocument/2006/relationships/hyperlink" Target="http://portal.3gpp.org/desktopmodules/Specifications/SpecificationDetails.aspx?specificationId=639" TargetMode="External"/><Relationship Id="rId30" Type="http://schemas.openxmlformats.org/officeDocument/2006/relationships/hyperlink" Target="http://portal.3gpp.org/desktopmodules/Release/ReleaseDetails.aspx?releaseId=191" TargetMode="External"/><Relationship Id="rId31" Type="http://schemas.openxmlformats.org/officeDocument/2006/relationships/hyperlink" Target="http://portal.3gpp.org/desktopmodules/WorkItem/WorkItemDetails.aspx?workitemId=780003" TargetMode="External"/><Relationship Id="rId32" Type="http://schemas.openxmlformats.org/officeDocument/2006/relationships/hyperlink" Target="http://www.3gpp.org/ftp/tsg_sa/WG1_Serv/TSGS1_81_Fukuoka/docs/S1-180586.zip" TargetMode="External"/><Relationship Id="rId33" Type="http://schemas.openxmlformats.org/officeDocument/2006/relationships/hyperlink" Target="http://portal.3gpp.org/desktopmodules/Specifications/SpecificationDetails.aspx?specificationId=639" TargetMode="External"/><Relationship Id="rId34" Type="http://schemas.openxmlformats.org/officeDocument/2006/relationships/hyperlink" Target="http://portal.3gpp.org/desktopmodules/Release/ReleaseDetails.aspx?releaseId=191" TargetMode="External"/><Relationship Id="rId35" Type="http://schemas.openxmlformats.org/officeDocument/2006/relationships/hyperlink" Target="http://portal.3gpp.org/desktopmodules/WorkItem/WorkItemDetails.aspx?workitemId=780003" TargetMode="External"/><Relationship Id="rId36" Type="http://schemas.openxmlformats.org/officeDocument/2006/relationships/hyperlink" Target="http://www.3gpp.org/ftp/tsg_sa/WG1_Serv/TSGS1_81_Fukuoka/docs/S1-180587.zip" TargetMode="External"/><Relationship Id="rId37" Type="http://schemas.openxmlformats.org/officeDocument/2006/relationships/hyperlink" Target="http://portal.3gpp.org/desktopmodules/Specifications/SpecificationDetails.aspx?specificationId=639" TargetMode="External"/><Relationship Id="rId38" Type="http://schemas.openxmlformats.org/officeDocument/2006/relationships/hyperlink" Target="http://portal.3gpp.org/desktopmodules/Release/ReleaseDetails.aspx?releaseId=191" TargetMode="External"/><Relationship Id="rId39" Type="http://schemas.openxmlformats.org/officeDocument/2006/relationships/hyperlink" Target="http://portal.3gpp.org/desktopmodules/WorkItem/WorkItemDetails.aspx?workitemId=780003" TargetMode="External"/><Relationship Id="rId40" Type="http://schemas.openxmlformats.org/officeDocument/2006/relationships/hyperlink" Target="http://www.3gpp.org/ftp/tsg_sa/WG1_Serv/TSGS1_81_Fukuoka/docs/S1-180588.zip" TargetMode="External"/><Relationship Id="rId41" Type="http://schemas.openxmlformats.org/officeDocument/2006/relationships/hyperlink" Target="http://portal.3gpp.org/desktopmodules/Specifications/SpecificationDetails.aspx?specificationId=639" TargetMode="External"/><Relationship Id="rId42" Type="http://schemas.openxmlformats.org/officeDocument/2006/relationships/hyperlink" Target="http://portal.3gpp.org/desktopmodules/Release/ReleaseDetails.aspx?releaseId=191" TargetMode="External"/><Relationship Id="rId43" Type="http://schemas.openxmlformats.org/officeDocument/2006/relationships/hyperlink" Target="http://portal.3gpp.org/desktopmodules/WorkItem/WorkItemDetails.aspx?workitemId=780003" TargetMode="External"/><Relationship Id="rId44" Type="http://schemas.openxmlformats.org/officeDocument/2006/relationships/hyperlink" Target="http://www.3gpp.org/ftp/tsg_sa/WG1_Serv/TSGS1_81_Fukuoka/docs/S1-180589.zip" TargetMode="External"/><Relationship Id="rId45" Type="http://schemas.openxmlformats.org/officeDocument/2006/relationships/hyperlink" Target="http://portal.3gpp.org/desktopmodules/Specifications/SpecificationDetails.aspx?specificationId=639" TargetMode="External"/><Relationship Id="rId46" Type="http://schemas.openxmlformats.org/officeDocument/2006/relationships/hyperlink" Target="http://portal.3gpp.org/desktopmodules/Release/ReleaseDetails.aspx?releaseId=191" TargetMode="External"/><Relationship Id="rId47" Type="http://schemas.openxmlformats.org/officeDocument/2006/relationships/hyperlink" Target="http://portal.3gpp.org/desktopmodules/WorkItem/WorkItemDetails.aspx?workitemId=780003" TargetMode="External"/><Relationship Id="rId48" Type="http://schemas.openxmlformats.org/officeDocument/2006/relationships/hyperlink" Target="http://portal.3gpp.org/desktopmodules/Specifications/SpecificationDetails.aspx?specificationId=639" TargetMode="External"/><Relationship Id="rId49" Type="http://schemas.openxmlformats.org/officeDocument/2006/relationships/hyperlink" Target="http://www.3gpp.org/ftp/tsg_sa/WG1_Serv/TSGS1_82_Dubrovnik/Docs/S1-181564.zip" TargetMode="External"/><Relationship Id="rId50" Type="http://schemas.openxmlformats.org/officeDocument/2006/relationships/hyperlink" Target="http://portal.3gpp.org/desktopmodules/Specifications/SpecificationDetails.aspx?specificationId=639" TargetMode="External"/><Relationship Id="rId51" Type="http://schemas.openxmlformats.org/officeDocument/2006/relationships/hyperlink" Target="http://portal.3gpp.org/desktopmodules/Release/ReleaseDetails.aspx?releaseId=191" TargetMode="External"/><Relationship Id="rId52" Type="http://schemas.openxmlformats.org/officeDocument/2006/relationships/hyperlink" Target="http://portal.3gpp.org/desktopmodules/WorkItem/WorkItemDetails.aspx?workitemId=750033" TargetMode="External"/><Relationship Id="rId53" Type="http://schemas.openxmlformats.org/officeDocument/2006/relationships/header" Target="header2.xml"/><Relationship Id="rId54" Type="http://schemas.openxmlformats.org/officeDocument/2006/relationships/footer" Target="footer2.xml"/><Relationship Id="rId55" Type="http://schemas.openxmlformats.org/officeDocument/2006/relationships/numbering" Target="numbering.xml"/><Relationship Id="rId56" Type="http://schemas.openxmlformats.org/officeDocument/2006/relationships/fontTable" Target="fontTable.xml"/><Relationship Id="rId5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2020-10-03T16:32:00Z</dcterms:created>
  <dc:creator>MCC Support</dc:creator>
  <dc:description/>
  <cp:keywords>Alert Public Warning UMTS LTE</cp:keywords>
  <dc:language>en-US</dc:language>
  <cp:lastModifiedBy>Alain Sultan</cp:lastModifiedBy>
  <dcterms:modified xsi:type="dcterms:W3CDTF">2020-10-03T16:33:00Z</dcterms:modified>
  <cp:revision>3</cp:revision>
  <dc:subject>Public Warning System (PWS) requirements  (Release 12)</dc:subject>
  <dc:title>3GPP TS 22.268</dc:title>
</cp:coreProperties>
</file>