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TR 22.903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TR 22.903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197610"/>
                <wp:effectExtent l="0" t="0" r="0" b="0"/>
                <wp:wrapTopAndBottom/>
                <wp:docPr id="3" name="Frame3"/>
                <a:graphic xmlns:a="http://schemas.openxmlformats.org/drawingml/2006/main">
                  <a:graphicData uri="http://schemas.microsoft.com/office/word/2010/wordprocessingShape">
                    <wps:wsp>
                      <wps:cNvSpPr txBox="1"/>
                      <wps:spPr>
                        <a:xfrm>
                          <a:off x="0" y="0"/>
                          <a:ext cx="6479540" cy="1197610"/>
                        </a:xfrm>
                        <a:prstGeom prst="rect"/>
                        <a:solidFill>
                          <a:srgbClr val="FFFFFF">
                            <a:alpha val="0"/>
                          </a:srgbClr>
                        </a:solidFill>
                      </wps:spPr>
                      <wps:txbx>
                        <w:txbxContent>
                          <w:p>
                            <w:pPr>
                              <w:pStyle w:val="ZT"/>
                              <w:rPr/>
                            </w:pPr>
                            <w:r>
                              <w:rPr/>
                              <w:t>3rd Generation Partnership Project;</w:t>
                            </w:r>
                          </w:p>
                          <w:p>
                            <w:pPr>
                              <w:pStyle w:val="ZT"/>
                              <w:rPr/>
                            </w:pPr>
                            <w:r>
                              <w:rPr/>
                              <w:t xml:space="preserve">Technical Specification Group </w:t>
                            </w:r>
                            <w:r>
                              <w:rPr>
                                <w:lang w:val="en-US"/>
                              </w:rPr>
                              <w:t>Services and System Aspects</w:t>
                            </w:r>
                            <w:r>
                              <w:rPr/>
                              <w:t>;</w:t>
                            </w:r>
                          </w:p>
                          <w:p>
                            <w:pPr>
                              <w:pStyle w:val="ZT"/>
                              <w:rPr/>
                            </w:pPr>
                            <w:r>
                              <w:rPr/>
                              <w:t>Study on Videotelephony teleservice</w:t>
                            </w:r>
                          </w:p>
                          <w:p>
                            <w:pPr>
                              <w:pStyle w:val="ZT"/>
                              <w:rPr/>
                            </w:pPr>
                            <w:r>
                              <w:rPr>
                                <w:rFonts w:eastAsia="Arial"/>
                              </w:rPr>
                              <w:t xml:space="preserve"> </w:t>
                            </w: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94.3pt;mso-wrap-distance-left:0pt;mso-wrap-distance-right:0pt;mso-wrap-distance-top:0pt;mso-wrap-distance-bottom:0pt;margin-top:47.7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 xml:space="preserve">Technical Specification Group </w:t>
                      </w:r>
                      <w:r>
                        <w:rPr>
                          <w:lang w:val="en-US"/>
                        </w:rPr>
                        <w:t>Services and System Aspects</w:t>
                      </w:r>
                      <w:r>
                        <w:rPr/>
                        <w:t>;</w:t>
                      </w:r>
                    </w:p>
                    <w:p>
                      <w:pPr>
                        <w:pStyle w:val="ZT"/>
                        <w:rPr/>
                      </w:pPr>
                      <w:r>
                        <w:rPr/>
                        <w:t>Study on Videotelephony teleservice</w:t>
                      </w:r>
                    </w:p>
                    <w:p>
                      <w:pPr>
                        <w:pStyle w:val="ZT"/>
                        <w:rPr/>
                      </w:pPr>
                      <w:r>
                        <w:rPr>
                          <w:rFonts w:eastAsia="Arial"/>
                        </w:rPr>
                        <w:t xml:space="preserve"> </w:t>
                      </w: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186815"/>
                <wp:effectExtent l="0" t="0" r="0" b="0"/>
                <wp:wrapTopAndBottom/>
                <wp:docPr id="4" name="Frame4"/>
                <a:graphic xmlns:a="http://schemas.openxmlformats.org/drawingml/2006/main">
                  <a:graphicData uri="http://schemas.microsoft.com/office/word/2010/wordprocessingShape">
                    <wps:wsp>
                      <wps:cNvSpPr txBox="1"/>
                      <wps:spPr>
                        <a:xfrm>
                          <a:off x="0" y="0"/>
                          <a:ext cx="6480810" cy="118681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624965" cy="112331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624965" cy="112331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93.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624965" cy="112331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624965" cy="112331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Guidance"/>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UMTS, video, telephony, teleservice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UMTS, video, telephony, teleservice</w:t>
                      </w:r>
                    </w:p>
                  </w:txbxContent>
                </v:textbox>
                <w10:wrap type="topAndBottom"/>
              </v:rect>
            </w:pict>
          </mc:Fallback>
        </mc:AlternateContent>
      </w:r>
    </w:p>
    <w:p>
      <w:pPr>
        <w:pStyle w:val="Normal"/>
        <w:rPr/>
      </w:pPr>
      <w:r>
        <w:rPr/>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812290"/>
                <wp:effectExtent l="0" t="0" r="0" b="0"/>
                <wp:wrapTopAndBottom/>
                <wp:docPr id="13" name="Frame9"/>
                <a:graphic xmlns:a="http://schemas.openxmlformats.org/drawingml/2006/main">
                  <a:graphicData uri="http://schemas.microsoft.com/office/word/2010/wordprocessingShape">
                    <wps:wsp>
                      <wps:cNvSpPr txBox="1"/>
                      <wps:spPr>
                        <a:xfrm>
                          <a:off x="0" y="0"/>
                          <a:ext cx="6121400" cy="1812290"/>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wps:txbx>
                      <wps:bodyPr anchor="t" lIns="0" tIns="0" rIns="0" bIns="12700">
                        <a:noAutofit/>
                      </wps:bodyPr>
                    </wps:wsp>
                  </a:graphicData>
                </a:graphic>
              </wp:anchor>
            </w:drawing>
          </mc:Choice>
          <mc:Fallback>
            <w:pict>
              <v:rect fillcolor="#FFFFFF" style="position:absolute;rotation:-0;width:482pt;height:142.7pt;mso-wrap-distance-left:0pt;mso-wrap-distance-right:0pt;mso-wrap-distance-top:0pt;mso-wrap-distance-bottom:0pt;margin-top:571.7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v:textbox>
                <w10:wrap type="topAndBottom"/>
              </v:rect>
            </w:pict>
          </mc:Fallback>
        </mc:AlternateContent>
      </w:r>
    </w:p>
    <w:p>
      <w:pPr>
        <w:pStyle w:val="TT"/>
        <w:rPr/>
      </w:pPr>
      <w:bookmarkStart w:id="4" w:name="page2"/>
      <w:bookmarkEnd w:id="4"/>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sz w:val="24"/>
              <w:szCs w:val="24"/>
              <w:lang w:val="en-US" w:eastAsia="en-US"/>
            </w:rPr>
          </w:pPr>
          <w:r>
            <w:fldChar w:fldCharType="begin"/>
          </w:r>
          <w:r>
            <w:rPr>
              <w:sz w:val="22"/>
              <w:szCs w:val="20"/>
              <w:rFonts w:eastAsia="MS Mincho;ＭＳ 明朝" w:cs="Times New Roman"/>
              <w:color w:val="auto"/>
              <w:lang w:val="en-GB" w:eastAsia="en-US" w:bidi="ar-SA"/>
            </w:rPr>
            <w:instrText xml:space="preserve"> TOC \o "1-9" </w:instrText>
          </w:r>
          <w:r>
            <w:rPr>
              <w:sz w:val="22"/>
              <w:szCs w:val="20"/>
              <w:rFonts w:eastAsia="MS Mincho;ＭＳ 明朝" w:cs="Times New Roman"/>
              <w:color w:val="auto"/>
              <w:lang w:val="en-GB" w:eastAsia="en-US" w:bidi="ar-SA"/>
            </w:rPr>
            <w:fldChar w:fldCharType="separate"/>
          </w:r>
          <w:r>
            <w:rPr>
              <w:rFonts w:eastAsia="MS Mincho;ＭＳ 明朝" w:cs="Times New Roman"/>
              <w:color w:val="auto"/>
              <w:sz w:val="22"/>
              <w:szCs w:val="20"/>
              <w:lang w:val="en-GB" w:eastAsia="en-US" w:bidi="ar-SA"/>
            </w:rPr>
            <w:t>Foreword</w:t>
            <w:tab/>
          </w:r>
          <w:hyperlink w:anchor="__RefHeading___Toc217730754">
            <w:r>
              <w:rPr>
                <w:rStyle w:val="IndexLink"/>
                <w:rFonts w:eastAsia="MS Mincho;ＭＳ 明朝" w:cs="Times New Roman"/>
                <w:color w:val="auto"/>
                <w:sz w:val="22"/>
                <w:szCs w:val="20"/>
                <w:lang w:val="en-GB" w:eastAsia="en-US" w:bidi="ar-SA"/>
              </w:rPr>
              <w:t>4</w:t>
            </w:r>
          </w:hyperlink>
        </w:p>
        <w:p>
          <w:pPr>
            <w:pStyle w:val="Contents1"/>
            <w:rPr>
              <w:sz w:val="24"/>
              <w:szCs w:val="24"/>
              <w:lang w:val="en-US" w:eastAsia="en-US"/>
            </w:rPr>
          </w:pPr>
          <w:r>
            <w:rPr/>
            <w:t>1</w:t>
          </w:r>
          <w:r>
            <w:rPr>
              <w:sz w:val="24"/>
              <w:szCs w:val="24"/>
              <w:lang w:val="en-US" w:eastAsia="en-US"/>
            </w:rPr>
            <w:tab/>
          </w:r>
          <w:r>
            <w:rPr/>
            <w:t>Scope</w:t>
            <w:tab/>
          </w:r>
          <w:hyperlink w:anchor="__RefHeading___Toc217730755">
            <w:r>
              <w:rPr>
                <w:rStyle w:val="IndexLink"/>
              </w:rPr>
              <w:t>5</w:t>
            </w:r>
          </w:hyperlink>
        </w:p>
        <w:p>
          <w:pPr>
            <w:pStyle w:val="Contents1"/>
            <w:rPr>
              <w:sz w:val="24"/>
              <w:szCs w:val="24"/>
              <w:lang w:val="en-US" w:eastAsia="en-US"/>
            </w:rPr>
          </w:pPr>
          <w:r>
            <w:rPr/>
            <w:t>2</w:t>
          </w:r>
          <w:r>
            <w:rPr>
              <w:sz w:val="24"/>
              <w:szCs w:val="24"/>
              <w:lang w:val="en-US" w:eastAsia="en-US"/>
            </w:rPr>
            <w:tab/>
          </w:r>
          <w:r>
            <w:rPr/>
            <w:t>References</w:t>
            <w:tab/>
          </w:r>
          <w:hyperlink w:anchor="__RefHeading___Toc217730756">
            <w:r>
              <w:rPr>
                <w:rStyle w:val="IndexLink"/>
              </w:rPr>
              <w:t>5</w:t>
            </w:r>
          </w:hyperlink>
        </w:p>
        <w:p>
          <w:pPr>
            <w:pStyle w:val="Contents1"/>
            <w:rPr>
              <w:sz w:val="24"/>
              <w:szCs w:val="24"/>
              <w:lang w:val="en-US" w:eastAsia="en-US"/>
            </w:rPr>
          </w:pPr>
          <w:r>
            <w:rPr/>
            <w:t>3</w:t>
          </w:r>
          <w:r>
            <w:rPr>
              <w:sz w:val="24"/>
              <w:szCs w:val="24"/>
              <w:lang w:val="en-US" w:eastAsia="en-US"/>
            </w:rPr>
            <w:tab/>
          </w:r>
          <w:r>
            <w:rPr/>
            <w:t>Definitions, symbols and abbreviations</w:t>
            <w:tab/>
          </w:r>
          <w:hyperlink w:anchor="__RefHeading___Toc217730757">
            <w:r>
              <w:rPr>
                <w:rStyle w:val="IndexLink"/>
              </w:rPr>
              <w:t>5</w:t>
            </w:r>
          </w:hyperlink>
        </w:p>
        <w:p>
          <w:pPr>
            <w:pStyle w:val="Contents2"/>
            <w:rPr>
              <w:sz w:val="24"/>
              <w:szCs w:val="24"/>
              <w:lang w:val="en-US" w:eastAsia="en-US"/>
            </w:rPr>
          </w:pPr>
          <w:r>
            <w:rPr/>
            <w:t>3.1</w:t>
          </w:r>
          <w:r>
            <w:rPr>
              <w:sz w:val="24"/>
              <w:szCs w:val="24"/>
              <w:lang w:val="en-US" w:eastAsia="en-US"/>
            </w:rPr>
            <w:tab/>
          </w:r>
          <w:r>
            <w:rPr/>
            <w:t>Definitions</w:t>
            <w:tab/>
          </w:r>
          <w:hyperlink w:anchor="__RefHeading___Toc217730758">
            <w:r>
              <w:rPr>
                <w:rStyle w:val="IndexLink"/>
              </w:rPr>
              <w:t>5</w:t>
            </w:r>
          </w:hyperlink>
        </w:p>
        <w:p>
          <w:pPr>
            <w:pStyle w:val="Contents2"/>
            <w:rPr>
              <w:sz w:val="24"/>
              <w:szCs w:val="24"/>
              <w:lang w:val="en-US" w:eastAsia="en-US"/>
            </w:rPr>
          </w:pPr>
          <w:r>
            <w:rPr/>
            <w:t>3.2</w:t>
          </w:r>
          <w:r>
            <w:rPr>
              <w:sz w:val="24"/>
              <w:szCs w:val="24"/>
              <w:lang w:val="en-US" w:eastAsia="en-US"/>
            </w:rPr>
            <w:tab/>
          </w:r>
          <w:r>
            <w:rPr/>
            <w:t>Abbreviations</w:t>
            <w:tab/>
          </w:r>
          <w:hyperlink w:anchor="__RefHeading___Toc217730759">
            <w:r>
              <w:rPr>
                <w:rStyle w:val="IndexLink"/>
              </w:rPr>
              <w:t>5</w:t>
            </w:r>
          </w:hyperlink>
        </w:p>
        <w:p>
          <w:pPr>
            <w:pStyle w:val="Contents1"/>
            <w:rPr>
              <w:sz w:val="24"/>
              <w:szCs w:val="24"/>
              <w:lang w:val="en-US" w:eastAsia="en-US"/>
            </w:rPr>
          </w:pPr>
          <w:r>
            <w:rPr/>
            <w:t>4</w:t>
          </w:r>
          <w:r>
            <w:rPr>
              <w:sz w:val="24"/>
              <w:szCs w:val="24"/>
              <w:lang w:val="en-US" w:eastAsia="en-US"/>
            </w:rPr>
            <w:tab/>
          </w:r>
          <w:r>
            <w:rPr/>
            <w:t>Overview of CS videotelephony support in 3GPP specifications up to Release 6</w:t>
            <w:tab/>
          </w:r>
          <w:hyperlink w:anchor="__RefHeading___Toc217730760">
            <w:r>
              <w:rPr>
                <w:rStyle w:val="IndexLink"/>
              </w:rPr>
              <w:t>6</w:t>
            </w:r>
          </w:hyperlink>
        </w:p>
        <w:p>
          <w:pPr>
            <w:pStyle w:val="Contents2"/>
            <w:rPr>
              <w:sz w:val="24"/>
              <w:szCs w:val="24"/>
              <w:lang w:val="en-US" w:eastAsia="en-US"/>
            </w:rPr>
          </w:pPr>
          <w:r>
            <w:rPr/>
            <w:t>4.1</w:t>
          </w:r>
          <w:r>
            <w:rPr>
              <w:sz w:val="24"/>
              <w:szCs w:val="24"/>
              <w:lang w:val="en-US" w:eastAsia="en-US"/>
            </w:rPr>
            <w:tab/>
          </w:r>
          <w:r>
            <w:rPr/>
            <w:t>Codec</w:t>
            <w:tab/>
          </w:r>
          <w:hyperlink w:anchor="__RefHeading___Toc217730761">
            <w:r>
              <w:rPr>
                <w:rStyle w:val="IndexLink"/>
              </w:rPr>
              <w:t>6</w:t>
            </w:r>
          </w:hyperlink>
        </w:p>
        <w:p>
          <w:pPr>
            <w:pStyle w:val="Contents2"/>
            <w:rPr>
              <w:sz w:val="24"/>
              <w:szCs w:val="24"/>
              <w:lang w:val="en-US" w:eastAsia="en-US"/>
            </w:rPr>
          </w:pPr>
          <w:r>
            <w:rPr/>
            <w:t>4.2</w:t>
          </w:r>
          <w:r>
            <w:rPr>
              <w:sz w:val="24"/>
              <w:szCs w:val="24"/>
              <w:lang w:val="en-US" w:eastAsia="en-US"/>
            </w:rPr>
            <w:tab/>
          </w:r>
          <w:r>
            <w:rPr/>
            <w:t>Charging</w:t>
            <w:tab/>
          </w:r>
          <w:hyperlink w:anchor="__RefHeading___Toc217730762">
            <w:r>
              <w:rPr>
                <w:rStyle w:val="IndexLink"/>
              </w:rPr>
              <w:t>6</w:t>
            </w:r>
          </w:hyperlink>
        </w:p>
        <w:p>
          <w:pPr>
            <w:pStyle w:val="Contents2"/>
            <w:rPr>
              <w:sz w:val="24"/>
              <w:szCs w:val="24"/>
              <w:lang w:val="en-US" w:eastAsia="en-US"/>
            </w:rPr>
          </w:pPr>
          <w:r>
            <w:rPr/>
            <w:t>4.</w:t>
          </w:r>
          <w:r>
            <w:rPr>
              <w:lang w:val="en-US" w:eastAsia="en-US"/>
            </w:rPr>
            <w:t>3</w:t>
          </w:r>
          <w:r>
            <w:rPr>
              <w:sz w:val="24"/>
              <w:szCs w:val="24"/>
              <w:lang w:val="en-US" w:eastAsia="en-US"/>
            </w:rPr>
            <w:tab/>
          </w:r>
          <w:r>
            <w:rPr/>
            <w:t>Supplementary services</w:t>
            <w:tab/>
          </w:r>
          <w:hyperlink w:anchor="__RefHeading___Toc217730763">
            <w:r>
              <w:rPr>
                <w:rStyle w:val="IndexLink"/>
              </w:rPr>
              <w:t>6</w:t>
            </w:r>
          </w:hyperlink>
        </w:p>
        <w:p>
          <w:pPr>
            <w:pStyle w:val="Contents1"/>
            <w:rPr>
              <w:sz w:val="24"/>
              <w:szCs w:val="24"/>
              <w:lang w:val="en-US" w:eastAsia="en-US"/>
            </w:rPr>
          </w:pPr>
          <w:r>
            <w:rPr/>
            <w:t>5</w:t>
          </w:r>
          <w:r>
            <w:rPr>
              <w:sz w:val="24"/>
              <w:szCs w:val="24"/>
              <w:lang w:val="en-US" w:eastAsia="en-US"/>
            </w:rPr>
            <w:tab/>
          </w:r>
          <w:r>
            <w:rPr/>
            <w:t>Requirements for videotelephony service</w:t>
            <w:tab/>
          </w:r>
          <w:hyperlink w:anchor="__RefHeading___Toc217730764">
            <w:r>
              <w:rPr>
                <w:rStyle w:val="IndexLink"/>
              </w:rPr>
              <w:t>7</w:t>
            </w:r>
          </w:hyperlink>
        </w:p>
        <w:p>
          <w:pPr>
            <w:pStyle w:val="Contents2"/>
            <w:rPr>
              <w:sz w:val="24"/>
              <w:szCs w:val="24"/>
              <w:lang w:val="en-US" w:eastAsia="en-US"/>
            </w:rPr>
          </w:pPr>
          <w:r>
            <w:rPr/>
            <w:t>5.1</w:t>
          </w:r>
          <w:r>
            <w:rPr>
              <w:sz w:val="24"/>
              <w:szCs w:val="24"/>
              <w:lang w:val="en-US" w:eastAsia="en-US"/>
            </w:rPr>
            <w:tab/>
          </w:r>
          <w:r>
            <w:rPr/>
            <w:t>Charging</w:t>
            <w:tab/>
          </w:r>
          <w:hyperlink w:anchor="__RefHeading___Toc217730765">
            <w:r>
              <w:rPr>
                <w:rStyle w:val="IndexLink"/>
              </w:rPr>
              <w:t>7</w:t>
            </w:r>
          </w:hyperlink>
        </w:p>
        <w:p>
          <w:pPr>
            <w:pStyle w:val="Contents2"/>
            <w:rPr>
              <w:sz w:val="24"/>
              <w:szCs w:val="24"/>
              <w:lang w:val="en-US" w:eastAsia="en-US"/>
            </w:rPr>
          </w:pPr>
          <w:r>
            <w:rPr/>
            <w:t>5.2</w:t>
          </w:r>
          <w:r>
            <w:rPr>
              <w:sz w:val="24"/>
              <w:szCs w:val="24"/>
              <w:lang w:val="en-US" w:eastAsia="en-US"/>
            </w:rPr>
            <w:tab/>
          </w:r>
          <w:r>
            <w:rPr/>
            <w:t>Codec negotiation</w:t>
            <w:tab/>
          </w:r>
          <w:hyperlink w:anchor="__RefHeading___Toc217730766">
            <w:r>
              <w:rPr>
                <w:rStyle w:val="IndexLink"/>
              </w:rPr>
              <w:t>7</w:t>
            </w:r>
          </w:hyperlink>
        </w:p>
        <w:p>
          <w:pPr>
            <w:pStyle w:val="Contents2"/>
            <w:rPr>
              <w:sz w:val="24"/>
              <w:szCs w:val="24"/>
              <w:lang w:val="en-US" w:eastAsia="en-US"/>
            </w:rPr>
          </w:pPr>
          <w:r>
            <w:rPr/>
            <w:t>5.3</w:t>
          </w:r>
          <w:r>
            <w:rPr>
              <w:sz w:val="24"/>
              <w:szCs w:val="24"/>
              <w:lang w:val="en-US" w:eastAsia="en-US"/>
            </w:rPr>
            <w:tab/>
          </w:r>
          <w:r>
            <w:rPr/>
            <w:t>Security</w:t>
            <w:tab/>
          </w:r>
          <w:hyperlink w:anchor="__RefHeading___Toc217730767">
            <w:r>
              <w:rPr>
                <w:rStyle w:val="IndexLink"/>
              </w:rPr>
              <w:t>8</w:t>
            </w:r>
          </w:hyperlink>
        </w:p>
        <w:p>
          <w:pPr>
            <w:pStyle w:val="Contents2"/>
            <w:rPr>
              <w:sz w:val="24"/>
              <w:szCs w:val="24"/>
              <w:lang w:val="en-US" w:eastAsia="en-US"/>
            </w:rPr>
          </w:pPr>
          <w:r>
            <w:rPr/>
            <w:t>5.4</w:t>
          </w:r>
          <w:r>
            <w:rPr>
              <w:sz w:val="24"/>
              <w:szCs w:val="24"/>
              <w:lang w:val="en-US" w:eastAsia="en-US"/>
            </w:rPr>
            <w:tab/>
          </w:r>
          <w:r>
            <w:rPr/>
            <w:t>Privacy</w:t>
            <w:tab/>
          </w:r>
          <w:hyperlink w:anchor="__RefHeading___Toc217730768">
            <w:r>
              <w:rPr>
                <w:rStyle w:val="IndexLink"/>
              </w:rPr>
              <w:t>8</w:t>
            </w:r>
          </w:hyperlink>
        </w:p>
        <w:p>
          <w:pPr>
            <w:pStyle w:val="Contents2"/>
            <w:rPr>
              <w:sz w:val="24"/>
              <w:szCs w:val="24"/>
              <w:lang w:val="en-US" w:eastAsia="en-US"/>
            </w:rPr>
          </w:pPr>
          <w:r>
            <w:rPr/>
            <w:t>5.5</w:t>
          </w:r>
          <w:r>
            <w:rPr>
              <w:sz w:val="24"/>
              <w:szCs w:val="24"/>
              <w:lang w:val="en-US" w:eastAsia="en-US"/>
            </w:rPr>
            <w:tab/>
          </w:r>
          <w:r>
            <w:rPr/>
            <w:t>Supplementary service support</w:t>
            <w:tab/>
          </w:r>
          <w:hyperlink w:anchor="__RefHeading___Toc217730769">
            <w:r>
              <w:rPr>
                <w:rStyle w:val="IndexLink"/>
              </w:rPr>
              <w:t>8</w:t>
            </w:r>
          </w:hyperlink>
        </w:p>
        <w:p>
          <w:pPr>
            <w:pStyle w:val="Contents2"/>
            <w:rPr>
              <w:sz w:val="24"/>
              <w:szCs w:val="24"/>
              <w:lang w:val="en-US" w:eastAsia="en-US"/>
            </w:rPr>
          </w:pPr>
          <w:r>
            <w:rPr/>
            <w:t>5.6</w:t>
          </w:r>
          <w:r>
            <w:rPr>
              <w:sz w:val="24"/>
              <w:szCs w:val="24"/>
              <w:lang w:val="en-US" w:eastAsia="en-US"/>
            </w:rPr>
            <w:tab/>
          </w:r>
          <w:r>
            <w:rPr/>
            <w:t>Fall back to speech and in-call modification</w:t>
            <w:tab/>
          </w:r>
          <w:hyperlink w:anchor="__RefHeading___Toc217730770">
            <w:r>
              <w:rPr>
                <w:rStyle w:val="IndexLink"/>
              </w:rPr>
              <w:t>9</w:t>
            </w:r>
          </w:hyperlink>
        </w:p>
        <w:p>
          <w:pPr>
            <w:pStyle w:val="Contents2"/>
            <w:rPr>
              <w:sz w:val="24"/>
              <w:szCs w:val="24"/>
              <w:lang w:val="en-US" w:eastAsia="en-US"/>
            </w:rPr>
          </w:pPr>
          <w:r>
            <w:rPr/>
            <w:t>5.7</w:t>
          </w:r>
          <w:r>
            <w:rPr>
              <w:sz w:val="24"/>
              <w:szCs w:val="24"/>
              <w:lang w:val="en-US" w:eastAsia="en-US"/>
            </w:rPr>
            <w:tab/>
          </w:r>
          <w:r>
            <w:rPr/>
            <w:t>Subscription</w:t>
            <w:tab/>
          </w:r>
          <w:hyperlink w:anchor="__RefHeading___Toc217730771">
            <w:r>
              <w:rPr>
                <w:rStyle w:val="IndexLink"/>
              </w:rPr>
              <w:t>9</w:t>
            </w:r>
          </w:hyperlink>
        </w:p>
        <w:p>
          <w:pPr>
            <w:pStyle w:val="Contents2"/>
            <w:rPr>
              <w:sz w:val="24"/>
              <w:szCs w:val="24"/>
              <w:lang w:val="en-US" w:eastAsia="en-US"/>
            </w:rPr>
          </w:pPr>
          <w:r>
            <w:rPr/>
            <w:t>5.8</w:t>
          </w:r>
          <w:r>
            <w:rPr>
              <w:sz w:val="24"/>
              <w:szCs w:val="24"/>
              <w:lang w:val="en-US" w:eastAsia="en-US"/>
            </w:rPr>
            <w:tab/>
          </w:r>
          <w:r>
            <w:rPr/>
            <w:t>Handover</w:t>
            <w:tab/>
          </w:r>
          <w:hyperlink w:anchor="__RefHeading___Toc217730772">
            <w:r>
              <w:rPr>
                <w:rStyle w:val="IndexLink"/>
              </w:rPr>
              <w:t>9</w:t>
            </w:r>
          </w:hyperlink>
        </w:p>
        <w:p>
          <w:pPr>
            <w:pStyle w:val="Contents2"/>
            <w:rPr>
              <w:sz w:val="24"/>
              <w:szCs w:val="24"/>
              <w:lang w:val="en-US" w:eastAsia="en-US"/>
            </w:rPr>
          </w:pPr>
          <w:r>
            <w:rPr/>
            <w:t>5.9</w:t>
          </w:r>
          <w:r>
            <w:rPr>
              <w:sz w:val="24"/>
              <w:szCs w:val="24"/>
              <w:lang w:val="en-US" w:eastAsia="en-US"/>
            </w:rPr>
            <w:tab/>
          </w:r>
          <w:r>
            <w:rPr/>
            <w:t>Emergency calls support</w:t>
            <w:tab/>
          </w:r>
          <w:hyperlink w:anchor="__RefHeading___Toc217730773">
            <w:r>
              <w:rPr>
                <w:rStyle w:val="IndexLink"/>
              </w:rPr>
              <w:t>9</w:t>
            </w:r>
          </w:hyperlink>
        </w:p>
        <w:p>
          <w:pPr>
            <w:pStyle w:val="Contents2"/>
            <w:rPr>
              <w:sz w:val="24"/>
              <w:szCs w:val="24"/>
              <w:lang w:val="en-US" w:eastAsia="en-US"/>
            </w:rPr>
          </w:pPr>
          <w:r>
            <w:rPr/>
            <w:t>5.10</w:t>
          </w:r>
          <w:r>
            <w:rPr>
              <w:sz w:val="24"/>
              <w:szCs w:val="24"/>
              <w:lang w:val="en-US" w:eastAsia="en-US"/>
            </w:rPr>
            <w:tab/>
          </w:r>
          <w:r>
            <w:rPr/>
            <w:t>Notifications to the User</w:t>
            <w:tab/>
          </w:r>
          <w:hyperlink w:anchor="__RefHeading___Toc217730774">
            <w:r>
              <w:rPr>
                <w:rStyle w:val="IndexLink"/>
              </w:rPr>
              <w:t>9</w:t>
            </w:r>
          </w:hyperlink>
        </w:p>
        <w:p>
          <w:pPr>
            <w:pStyle w:val="Contents1"/>
            <w:rPr>
              <w:sz w:val="24"/>
              <w:szCs w:val="24"/>
              <w:lang w:val="en-US" w:eastAsia="en-US"/>
            </w:rPr>
          </w:pPr>
          <w:r>
            <w:rPr/>
            <w:t>6</w:t>
          </w:r>
          <w:r>
            <w:rPr>
              <w:sz w:val="24"/>
              <w:szCs w:val="24"/>
              <w:lang w:val="en-US" w:eastAsia="en-US"/>
            </w:rPr>
            <w:tab/>
          </w:r>
          <w:r>
            <w:rPr/>
            <w:t>Backwards compatibility requirements</w:t>
            <w:tab/>
          </w:r>
          <w:hyperlink w:anchor="__RefHeading___Toc217730775">
            <w:r>
              <w:rPr>
                <w:rStyle w:val="IndexLink"/>
              </w:rPr>
              <w:t>10</w:t>
            </w:r>
          </w:hyperlink>
        </w:p>
        <w:p>
          <w:pPr>
            <w:pStyle w:val="Contents2"/>
            <w:rPr>
              <w:sz w:val="24"/>
              <w:szCs w:val="24"/>
              <w:lang w:val="en-US" w:eastAsia="en-US"/>
            </w:rPr>
          </w:pPr>
          <w:r>
            <w:rPr/>
            <w:t>6.1</w:t>
          </w:r>
          <w:r>
            <w:rPr>
              <w:sz w:val="24"/>
              <w:szCs w:val="24"/>
              <w:lang w:val="en-US" w:eastAsia="en-US"/>
            </w:rPr>
            <w:tab/>
          </w:r>
          <w:r>
            <w:rPr/>
            <w:t>General description of functionalities that are supported in a videotelephony call to a pre Rel-7 videotelephony</w:t>
            <w:tab/>
          </w:r>
          <w:hyperlink w:anchor="__RefHeading___Toc217730776">
            <w:r>
              <w:rPr>
                <w:rStyle w:val="IndexLink"/>
              </w:rPr>
              <w:t>12</w:t>
            </w:r>
          </w:hyperlink>
        </w:p>
        <w:p>
          <w:pPr>
            <w:pStyle w:val="Contents2"/>
            <w:rPr>
              <w:sz w:val="24"/>
              <w:szCs w:val="24"/>
              <w:lang w:val="en-US" w:eastAsia="en-US"/>
            </w:rPr>
          </w:pPr>
          <w:r>
            <w:rPr/>
            <w:t>6.2</w:t>
          </w:r>
          <w:r>
            <w:rPr>
              <w:sz w:val="24"/>
              <w:szCs w:val="24"/>
              <w:lang w:val="en-US" w:eastAsia="en-US"/>
            </w:rPr>
            <w:tab/>
          </w:r>
          <w:r>
            <w:rPr/>
            <w:t>Interoperability with fixed videotelephony service</w:t>
            <w:tab/>
          </w:r>
          <w:hyperlink w:anchor="__RefHeading___Toc217730777">
            <w:r>
              <w:rPr>
                <w:rStyle w:val="IndexLink"/>
              </w:rPr>
              <w:t>12</w:t>
            </w:r>
          </w:hyperlink>
        </w:p>
        <w:p>
          <w:pPr>
            <w:pStyle w:val="Contents1"/>
            <w:rPr>
              <w:sz w:val="24"/>
              <w:szCs w:val="24"/>
              <w:lang w:val="en-US" w:eastAsia="en-US"/>
            </w:rPr>
          </w:pPr>
          <w:r>
            <w:rPr/>
            <w:t>7</w:t>
          </w:r>
          <w:r>
            <w:rPr>
              <w:sz w:val="24"/>
              <w:szCs w:val="24"/>
            </w:rPr>
            <w:tab/>
          </w:r>
          <w:r>
            <w:rPr>
              <w:lang w:val="en-US" w:eastAsia="en-US"/>
            </w:rPr>
            <w:t>International calls and roaming</w:t>
          </w:r>
          <w:r>
            <w:rPr/>
            <w:tab/>
          </w:r>
          <w:hyperlink w:anchor="__RefHeading___Toc217730778">
            <w:r>
              <w:rPr>
                <w:rStyle w:val="IndexLink"/>
              </w:rPr>
              <w:t>12</w:t>
            </w:r>
          </w:hyperlink>
        </w:p>
        <w:p>
          <w:pPr>
            <w:pStyle w:val="Contents1"/>
            <w:rPr>
              <w:sz w:val="24"/>
              <w:szCs w:val="24"/>
              <w:lang w:val="en-US" w:eastAsia="en-US"/>
            </w:rPr>
          </w:pPr>
          <w:r>
            <w:rPr/>
            <w:t>8</w:t>
          </w:r>
          <w:r>
            <w:rPr>
              <w:sz w:val="24"/>
              <w:szCs w:val="24"/>
              <w:lang w:val="en-US" w:eastAsia="en-US"/>
            </w:rPr>
            <w:tab/>
          </w:r>
          <w:r>
            <w:rPr>
              <w:lang w:val="en-US" w:eastAsia="en-US"/>
            </w:rPr>
            <w:t>Conclusions</w:t>
          </w:r>
          <w:r>
            <w:rPr/>
            <w:tab/>
          </w:r>
          <w:hyperlink w:anchor="__RefHeading___Toc217730779">
            <w:r>
              <w:rPr>
                <w:rStyle w:val="IndexLink"/>
              </w:rPr>
              <w:t>12</w:t>
            </w:r>
          </w:hyperlink>
        </w:p>
        <w:p>
          <w:pPr>
            <w:pStyle w:val="Contents9"/>
            <w:rPr>
              <w:b w:val="false"/>
              <w:b w:val="false"/>
              <w:sz w:val="24"/>
              <w:szCs w:val="24"/>
              <w:lang w:val="en-US" w:eastAsia="en-US"/>
            </w:rPr>
          </w:pPr>
          <w:r>
            <w:rPr/>
            <w:t>Annex A:</w:t>
            <w:tab/>
            <w:t xml:space="preserve"> Existing requirements for videotelephony</w:t>
            <w:tab/>
          </w:r>
          <w:hyperlink w:anchor="__RefHeading___Toc217730780">
            <w:r>
              <w:rPr>
                <w:rStyle w:val="IndexLink"/>
              </w:rPr>
              <w:t>14</w:t>
            </w:r>
          </w:hyperlink>
        </w:p>
        <w:p>
          <w:pPr>
            <w:pStyle w:val="Contents9"/>
            <w:rPr>
              <w:sz w:val="24"/>
              <w:szCs w:val="24"/>
              <w:lang w:val="en-US" w:eastAsia="en-US"/>
            </w:rPr>
          </w:pPr>
          <w:r>
            <w:rPr>
              <w:b w:val="false"/>
            </w:rPr>
            <w:t>Annex B:</w:t>
            <w:tab/>
            <w:t>Change history</w:t>
            <w:tab/>
          </w:r>
          <w:hyperlink w:anchor="__RefHeading___Toc217730781">
            <w:r>
              <w:rPr>
                <w:rStyle w:val="IndexLink"/>
                <w:b w:val="false"/>
              </w:rPr>
              <w:t>15</w:t>
            </w:r>
          </w:hyperlink>
          <w:r>
            <w:rPr>
              <w:rStyle w:val="IndexLink"/>
              <w:b w:val="false"/>
            </w:rPr>
            <w:fldChar w:fldCharType="end"/>
          </w:r>
        </w:p>
      </w:sdtContent>
    </w:sdt>
    <w:p>
      <w:pPr>
        <w:pStyle w:val="Normal"/>
        <w:rPr>
          <w:b/>
          <w:b/>
          <w:sz w:val="22"/>
          <w:szCs w:val="24"/>
          <w:lang w:val="en-US" w:eastAsia="en-US"/>
        </w:rPr>
      </w:pPr>
      <w:r>
        <w:rPr>
          <w:b/>
          <w:sz w:val="22"/>
          <w:szCs w:val="24"/>
          <w:lang w:val="en-US" w:eastAsia="en-US"/>
        </w:rPr>
      </w:r>
      <w:r>
        <w:br w:type="page"/>
      </w:r>
    </w:p>
    <w:p>
      <w:pPr>
        <w:pStyle w:val="Heading1"/>
        <w:ind w:left="1134" w:hanging="1134"/>
        <w:rPr/>
      </w:pPr>
      <w:bookmarkStart w:id="5" w:name="__RefHeading___Toc217730754"/>
      <w:bookmarkEnd w:id="5"/>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6" w:name="__RefHeading___Toc217730755"/>
      <w:bookmarkEnd w:id="6"/>
      <w:r>
        <w:rPr/>
        <w:t>1</w:t>
        <w:tab/>
        <w:t>Scope</w:t>
      </w:r>
    </w:p>
    <w:p>
      <w:pPr>
        <w:pStyle w:val="Normal"/>
        <w:rPr/>
      </w:pPr>
      <w:r>
        <w:rPr/>
        <w:t xml:space="preserve">The present document intends to analyse the introduction of additional functionalities for the videotelephony service in addition to what is provided in the 3GPP specifications up to Release 6. The functionalities will include but are not limited to codec negotiation, charging principles, supplementary services support. The approach followed is to evaluate how functionalities which are applicable to existing teleservices can be replicated for videotelephony. </w:t>
      </w:r>
    </w:p>
    <w:p>
      <w:pPr>
        <w:pStyle w:val="Normal"/>
        <w:rPr/>
      </w:pPr>
      <w:r>
        <w:rPr/>
        <w:t>The document will analyse how the new functionalities will impact the backwards compatibility with the existing CS multimedia service and will whether it is beneficial to create a videotelephony teleservice.</w:t>
      </w:r>
    </w:p>
    <w:p>
      <w:pPr>
        <w:pStyle w:val="Heading1"/>
        <w:ind w:left="1134" w:hanging="1134"/>
        <w:rPr/>
      </w:pPr>
      <w:bookmarkStart w:id="7" w:name="__RefHeading___Toc217730756"/>
      <w:bookmarkEnd w:id="7"/>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left="568" w:hanging="284"/>
        <w:rPr/>
      </w:pPr>
      <w:r>
        <w:rPr/>
        <w:t>References are either specific (identified by date of publication, edition number, version number, etc.) or non</w:t>
        <w:noBreakHyphen/>
        <w:t>specific.</w:t>
      </w:r>
    </w:p>
    <w:p>
      <w:pPr>
        <w:pStyle w:val="ListBullet"/>
        <w:numPr>
          <w:ilvl w:val="0"/>
          <w:numId w:val="2"/>
        </w:numPr>
        <w:ind w:left="568" w:hanging="284"/>
        <w:rPr/>
      </w:pPr>
      <w:r>
        <w:rPr/>
        <w:t>For a specific reference, subsequent revisions do not apply.</w:t>
      </w:r>
    </w:p>
    <w:p>
      <w:pPr>
        <w:pStyle w:val="ListBullet"/>
        <w:numPr>
          <w:ilvl w:val="0"/>
          <w:numId w:val="2"/>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3GPP TS 22.004:</w:t>
        <w:tab/>
        <w:t>"General on Supplementary Services".</w:t>
      </w:r>
    </w:p>
    <w:p>
      <w:pPr>
        <w:pStyle w:val="EX"/>
        <w:rPr/>
      </w:pPr>
      <w:r>
        <w:rPr/>
        <w:t>[3]</w:t>
        <w:tab/>
        <w:t>3GPP TS 22 101: "Service Principles".</w:t>
      </w:r>
    </w:p>
    <w:p>
      <w:pPr>
        <w:pStyle w:val="EX"/>
        <w:rPr/>
      </w:pPr>
      <w:r>
        <w:rPr/>
        <w:t>[4]</w:t>
        <w:tab/>
        <w:t>3GPP TS 26.110:</w:t>
        <w:tab/>
        <w:t>"Codec for circuit switched multimedia telephony service".</w:t>
      </w:r>
    </w:p>
    <w:p>
      <w:pPr>
        <w:pStyle w:val="EX"/>
        <w:rPr/>
      </w:pPr>
      <w:r>
        <w:rPr/>
        <w:t>[5]</w:t>
        <w:tab/>
        <w:t>3GPP TS 26.111: "Modification to H.324".</w:t>
      </w:r>
    </w:p>
    <w:p>
      <w:pPr>
        <w:pStyle w:val="EX"/>
        <w:rPr/>
      </w:pPr>
      <w:r>
        <w:rPr/>
        <w:t>[6]</w:t>
        <w:tab/>
        <w:t>3GPP TS 21.133: "</w:t>
      </w:r>
      <w:r>
        <w:rPr>
          <w:bCs/>
        </w:rPr>
        <w:t>3G security; Security threats and requirements".</w:t>
      </w:r>
    </w:p>
    <w:p>
      <w:pPr>
        <w:pStyle w:val="Heading1"/>
        <w:ind w:left="1134" w:hanging="1134"/>
        <w:rPr/>
      </w:pPr>
      <w:bookmarkStart w:id="8" w:name="__RefHeading___Toc217730757"/>
      <w:bookmarkEnd w:id="8"/>
      <w:r>
        <w:rPr/>
        <w:t>3</w:t>
        <w:tab/>
        <w:t>Definitions, symbols and abbreviations</w:t>
      </w:r>
    </w:p>
    <w:p>
      <w:pPr>
        <w:pStyle w:val="Heading2"/>
        <w:rPr/>
      </w:pPr>
      <w:bookmarkStart w:id="9" w:name="__RefHeading___Toc217730758"/>
      <w:bookmarkEnd w:id="9"/>
      <w:r>
        <w:rPr/>
        <w:t>3.1</w:t>
        <w:tab/>
        <w:t>Definitions</w:t>
      </w:r>
    </w:p>
    <w:p>
      <w:pPr>
        <w:pStyle w:val="Normal"/>
        <w:rPr/>
      </w:pPr>
      <w:r>
        <w:rPr/>
        <w:t>For the purposes of the present document, the following terms and definitions apply.</w:t>
      </w:r>
    </w:p>
    <w:p>
      <w:pPr>
        <w:pStyle w:val="Normal"/>
        <w:rPr/>
      </w:pPr>
      <w:r>
        <w:rPr>
          <w:b/>
        </w:rPr>
        <w:t>Teleservice:</w:t>
      </w:r>
      <w:r>
        <w:rPr/>
        <w:t xml:space="preserve"> Is a type of telecommunication service that provides the complete capability, including terminal equipment functions, for communication between users according to standardised protocols and transmission capabilities established by agreement between operators.</w:t>
      </w:r>
    </w:p>
    <w:p>
      <w:pPr>
        <w:pStyle w:val="Normal"/>
        <w:rPr/>
      </w:pPr>
      <w:r>
        <w:rPr>
          <w:b/>
        </w:rPr>
        <w:t>Videotelephony</w:t>
      </w:r>
      <w:r>
        <w:rPr/>
        <w:t>: a instance of bidirectional multimedia communications between two parties where a speech component and a video component are transmitted and received.</w:t>
      </w:r>
    </w:p>
    <w:p>
      <w:pPr>
        <w:pStyle w:val="Heading2"/>
        <w:rPr/>
      </w:pPr>
      <w:bookmarkStart w:id="10" w:name="__RefHeading___Toc217730759"/>
      <w:bookmarkEnd w:id="10"/>
      <w:r>
        <w:rPr/>
        <w:t>3.2</w:t>
        <w:tab/>
        <w:t>Abbreviations</w:t>
      </w:r>
    </w:p>
    <w:p>
      <w:pPr>
        <w:pStyle w:val="Normal"/>
        <w:keepNext w:val="true"/>
        <w:rPr/>
      </w:pPr>
      <w:r>
        <w:rPr/>
        <w:t>For the purposes of the present document, the following abbreviations apply:</w:t>
      </w:r>
    </w:p>
    <w:p>
      <w:pPr>
        <w:pStyle w:val="EW"/>
        <w:rPr/>
      </w:pPr>
      <w:r>
        <w:rPr/>
        <w:t>VT</w:t>
        <w:tab/>
        <w:t>Video Telephony</w:t>
      </w:r>
    </w:p>
    <w:p>
      <w:pPr>
        <w:pStyle w:val="EW"/>
        <w:rPr/>
      </w:pPr>
      <w:r>
        <w:rPr/>
        <w:t>UE</w:t>
        <w:tab/>
        <w:t>User Equipment</w:t>
      </w:r>
    </w:p>
    <w:p>
      <w:pPr>
        <w:pStyle w:val="EW"/>
        <w:rPr/>
      </w:pPr>
      <w:r>
        <w:rPr/>
      </w:r>
    </w:p>
    <w:p>
      <w:pPr>
        <w:pStyle w:val="Normal"/>
        <w:rPr/>
      </w:pPr>
      <w:r>
        <w:rPr/>
        <w:t>Further abbreviations are given in 3GPP TR 21.905 [1].</w:t>
      </w:r>
    </w:p>
    <w:p>
      <w:pPr>
        <w:pStyle w:val="Heading1"/>
        <w:ind w:left="1134" w:hanging="1134"/>
        <w:rPr/>
      </w:pPr>
      <w:bookmarkStart w:id="11" w:name="__RefHeading___Toc217730760"/>
      <w:bookmarkEnd w:id="11"/>
      <w:r>
        <w:rPr/>
        <w:t>4</w:t>
        <w:tab/>
        <w:t>Overview of CS videotelephony support in 3GPP specifications up to Release 6</w:t>
      </w:r>
    </w:p>
    <w:p>
      <w:pPr>
        <w:pStyle w:val="Normal"/>
        <w:rPr>
          <w:lang w:eastAsia="ja-JP"/>
        </w:rPr>
      </w:pPr>
      <w:r>
        <w:rPr/>
        <w:t xml:space="preserve">The CS Multimedia telephony is a Bearer Service, which is using the basic bearer service BS30 in the Core Network. On the air interface the BS30 </w:t>
      </w:r>
      <w:r>
        <w:rPr>
          <w:lang w:eastAsia="ja-JP"/>
        </w:rPr>
        <w:t xml:space="preserve">is </w:t>
      </w:r>
      <w:r>
        <w:rPr/>
        <w:t>mapped to the Radio Access Bearer (RAB) using the traffic class “Conversational” with 64kbps CS in UL and DL direction.</w:t>
      </w:r>
    </w:p>
    <w:p>
      <w:pPr>
        <w:pStyle w:val="Heading2"/>
        <w:rPr/>
      </w:pPr>
      <w:bookmarkStart w:id="12" w:name="__RefHeading___Toc217730761"/>
      <w:bookmarkEnd w:id="12"/>
      <w:r>
        <w:rPr/>
        <w:t>4.</w:t>
      </w:r>
      <w:r>
        <w:rPr/>
        <w:t>1</w:t>
      </w:r>
      <w:r>
        <w:rPr/>
        <w:tab/>
        <w:t>Codec</w:t>
      </w:r>
    </w:p>
    <w:p>
      <w:pPr>
        <w:pStyle w:val="Normal"/>
        <w:rPr/>
      </w:pPr>
      <w:r>
        <w:rPr/>
        <w:t xml:space="preserve">ITU-T </w:t>
      </w:r>
      <w:r>
        <w:rPr>
          <w:lang w:eastAsia="ja-JP"/>
        </w:rPr>
        <w:t xml:space="preserve">has specified that </w:t>
      </w:r>
      <w:r>
        <w:rPr/>
        <w:t>Recommendation H</w:t>
      </w:r>
      <w:r>
        <w:rPr>
          <w:lang w:eastAsia="ja-JP"/>
        </w:rPr>
        <w:t>.</w:t>
      </w:r>
      <w:r>
        <w:rPr/>
        <w:t>324 should be used for video telephony in circuit switched connection. The 3GPP-variant of H</w:t>
      </w:r>
      <w:r>
        <w:rPr>
          <w:lang w:eastAsia="ja-JP"/>
        </w:rPr>
        <w:t>.</w:t>
      </w:r>
      <w:r>
        <w:rPr/>
        <w:t xml:space="preserve">324 is named 3G-324M and the corresponding 3GPP specification is the </w:t>
      </w:r>
      <w:r>
        <w:rPr>
          <w:lang w:eastAsia="ja-JP"/>
        </w:rPr>
        <w:t>[4]</w:t>
      </w:r>
      <w:r>
        <w:rPr>
          <w:lang w:eastAsia="ja-JP"/>
        </w:rPr>
        <w:t xml:space="preserve"> TS 26.110 </w:t>
      </w:r>
      <w:r>
        <w:rPr>
          <w:lang w:eastAsia="ja-JP"/>
        </w:rPr>
        <w:t>" Codec for circuit switched multimedia telephony service"</w:t>
      </w:r>
      <w:r>
        <w:rPr/>
        <w:t xml:space="preserve"> and [5] TS 26.111 " Modification to H.324". 3G-324M terminals provide real-time video, audio, or data, in any combination over 3GPP circuit-switched radio networks.</w:t>
      </w:r>
    </w:p>
    <w:p>
      <w:pPr>
        <w:pStyle w:val="Heading2"/>
        <w:rPr/>
      </w:pPr>
      <w:bookmarkStart w:id="13" w:name="__RefHeading___Toc217730762"/>
      <w:bookmarkEnd w:id="13"/>
      <w:r>
        <w:rPr/>
        <w:t>4.</w:t>
      </w:r>
      <w:r>
        <w:rPr/>
        <w:t>2</w:t>
      </w:r>
      <w:r>
        <w:rPr/>
        <w:tab/>
        <w:t>Charging</w:t>
      </w:r>
    </w:p>
    <w:p>
      <w:pPr>
        <w:pStyle w:val="Normal"/>
        <w:rPr/>
      </w:pPr>
      <w:r>
        <w:rPr/>
        <w:t>The RAB and the corresponding BS30 is not only for video telephony, data transfer is also possible. The user is able to select via terminal</w:t>
      </w:r>
      <w:r>
        <w:rPr>
          <w:lang w:eastAsia="ja-JP"/>
        </w:rPr>
        <w:t>, depending on terminal capabilities,</w:t>
      </w:r>
      <w:r>
        <w:rPr/>
        <w:t xml:space="preserve"> which service </w:t>
      </w:r>
      <w:r>
        <w:rPr>
          <w:lang w:eastAsia="ja-JP"/>
        </w:rPr>
        <w:t>they</w:t>
      </w:r>
      <w:r>
        <w:rPr/>
        <w:t xml:space="preserve"> prefer, but the CN may not be able to distinguish between video telephony and data transfer unless the UE provides such indication. This also applies to changes during call set-up and in-call modification of the requested service. That means the current charging architecture may not be able to </w:t>
      </w:r>
      <w:r>
        <w:rPr>
          <w:lang w:eastAsia="ja-JP"/>
        </w:rPr>
        <w:t>support</w:t>
      </w:r>
      <w:r>
        <w:rPr/>
        <w:t xml:space="preserve"> e.g. two different pricing models for video telephony and data transfer.</w:t>
      </w:r>
    </w:p>
    <w:p>
      <w:pPr>
        <w:pStyle w:val="Heading2"/>
        <w:rPr/>
      </w:pPr>
      <w:bookmarkStart w:id="14" w:name="__RefHeading___Toc217730763"/>
      <w:bookmarkEnd w:id="14"/>
      <w:r>
        <w:rPr/>
        <w:t>4.</w:t>
      </w:r>
      <w:r>
        <w:rPr>
          <w:lang w:eastAsia="ja-JP"/>
        </w:rPr>
        <w:t>3</w:t>
      </w:r>
      <w:r>
        <w:rPr/>
        <w:tab/>
        <w:t>Supplementary services</w:t>
      </w:r>
    </w:p>
    <w:p>
      <w:pPr>
        <w:pStyle w:val="Normal"/>
        <w:rPr/>
      </w:pPr>
      <w:r>
        <w:rPr/>
        <w:t>The BS30 is a general synchronous bearer service with support of supplementary services. [2] TS 22.004 includes an overview of the supplementary services which are supported and which are not supported by the BS30 bearer</w:t>
      </w:r>
      <w:r>
        <w:rPr>
          <w:lang w:eastAsia="ja-JP"/>
        </w:rPr>
        <w:t xml:space="preserve"> as shown in t</w:t>
      </w:r>
      <w:r>
        <w:rPr/>
        <w:t>he table below:</w:t>
      </w:r>
    </w:p>
    <w:p>
      <w:pPr>
        <w:pStyle w:val="TH"/>
        <w:rPr/>
      </w:pPr>
      <w:r>
        <w:rPr/>
      </w:r>
    </w:p>
    <w:tbl>
      <w:tblPr>
        <w:tblW w:w="6373" w:type="dxa"/>
        <w:jc w:val="left"/>
        <w:tblInd w:w="-113" w:type="dxa"/>
        <w:tblLayout w:type="fixed"/>
        <w:tblCellMar>
          <w:top w:w="0" w:type="dxa"/>
          <w:left w:w="108" w:type="dxa"/>
          <w:bottom w:w="0" w:type="dxa"/>
          <w:right w:w="108" w:type="dxa"/>
        </w:tblCellMar>
      </w:tblPr>
      <w:tblGrid>
        <w:gridCol w:w="1167"/>
        <w:gridCol w:w="2697"/>
        <w:gridCol w:w="2509"/>
      </w:tblGrid>
      <w:tr>
        <w:trPr/>
        <w:tc>
          <w:tcPr>
            <w:tcW w:w="3864" w:type="dxa"/>
            <w:gridSpan w:val="2"/>
            <w:tcBorders>
              <w:top w:val="single" w:sz="4" w:space="0" w:color="000000"/>
              <w:left w:val="single" w:sz="4" w:space="0" w:color="000000"/>
              <w:bottom w:val="single" w:sz="4" w:space="0" w:color="000000"/>
              <w:right w:val="single" w:sz="4" w:space="0" w:color="000000"/>
            </w:tcBorders>
          </w:tcPr>
          <w:p>
            <w:pPr>
              <w:pStyle w:val="TAH"/>
              <w:rPr/>
            </w:pPr>
            <w:r>
              <w:rPr/>
              <w:t>Supplementary Service</w:t>
            </w:r>
          </w:p>
        </w:tc>
        <w:tc>
          <w:tcPr>
            <w:tcW w:w="2509" w:type="dxa"/>
            <w:tcBorders>
              <w:top w:val="single" w:sz="4" w:space="0" w:color="000000"/>
              <w:left w:val="single" w:sz="4" w:space="0" w:color="000000"/>
              <w:bottom w:val="single" w:sz="4" w:space="0" w:color="000000"/>
              <w:right w:val="single" w:sz="4" w:space="0" w:color="000000"/>
            </w:tcBorders>
          </w:tcPr>
          <w:p>
            <w:pPr>
              <w:pStyle w:val="TAH"/>
              <w:rPr/>
            </w:pPr>
            <w:r>
              <w:rPr/>
              <w:t>Support by BS30</w:t>
            </w:r>
          </w:p>
        </w:tc>
      </w:tr>
      <w:tr>
        <w:trPr/>
        <w:tc>
          <w:tcPr>
            <w:tcW w:w="1167" w:type="dxa"/>
            <w:tcBorders>
              <w:top w:val="single" w:sz="4" w:space="0" w:color="000000"/>
              <w:left w:val="single" w:sz="4" w:space="0" w:color="000000"/>
              <w:bottom w:val="single" w:sz="4" w:space="0" w:color="000000"/>
              <w:right w:val="single" w:sz="4" w:space="0" w:color="000000"/>
            </w:tcBorders>
          </w:tcPr>
          <w:p>
            <w:pPr>
              <w:pStyle w:val="TAL"/>
              <w:rPr/>
            </w:pPr>
            <w:r>
              <w:rPr/>
              <w:t>eMLPP</w:t>
            </w:r>
          </w:p>
        </w:tc>
        <w:tc>
          <w:tcPr>
            <w:tcW w:w="2697" w:type="dxa"/>
            <w:tcBorders>
              <w:top w:val="single" w:sz="4" w:space="0" w:color="000000"/>
              <w:left w:val="single" w:sz="4" w:space="0" w:color="000000"/>
              <w:bottom w:val="single" w:sz="4" w:space="0" w:color="000000"/>
              <w:right w:val="single" w:sz="4" w:space="0" w:color="000000"/>
            </w:tcBorders>
          </w:tcPr>
          <w:p>
            <w:pPr>
              <w:pStyle w:val="TAL"/>
              <w:rPr>
                <w:sz w:val="22"/>
                <w:szCs w:val="22"/>
              </w:rPr>
            </w:pPr>
            <w:r>
              <w:rPr/>
              <w:t>enhanced Multi</w:t>
              <w:noBreakHyphen/>
              <w:t>Level Precedence and Pre</w:t>
              <w:noBreakHyphen/>
              <w:t>emption</w:t>
            </w:r>
          </w:p>
        </w:tc>
        <w:tc>
          <w:tcPr>
            <w:tcW w:w="2509" w:type="dxa"/>
            <w:tcBorders>
              <w:top w:val="single" w:sz="4" w:space="0" w:color="000000"/>
              <w:left w:val="single" w:sz="4" w:space="0" w:color="000000"/>
              <w:bottom w:val="single" w:sz="4" w:space="0" w:color="000000"/>
              <w:right w:val="single" w:sz="4" w:space="0" w:color="000000"/>
            </w:tcBorders>
          </w:tcPr>
          <w:p>
            <w:pPr>
              <w:pStyle w:val="TAC"/>
              <w:rPr/>
            </w:pPr>
            <w:r>
              <w:rPr/>
              <w:t>Yes</w:t>
            </w:r>
          </w:p>
        </w:tc>
      </w:tr>
      <w:tr>
        <w:trPr/>
        <w:tc>
          <w:tcPr>
            <w:tcW w:w="1167" w:type="dxa"/>
            <w:tcBorders>
              <w:top w:val="single" w:sz="4" w:space="0" w:color="000000"/>
              <w:left w:val="single" w:sz="4" w:space="0" w:color="000000"/>
              <w:bottom w:val="single" w:sz="4" w:space="0" w:color="000000"/>
              <w:right w:val="single" w:sz="4" w:space="0" w:color="000000"/>
            </w:tcBorders>
          </w:tcPr>
          <w:p>
            <w:pPr>
              <w:pStyle w:val="TAL"/>
              <w:rPr/>
            </w:pPr>
            <w:r>
              <w:rPr/>
              <w:t>CD</w:t>
            </w:r>
          </w:p>
        </w:tc>
        <w:tc>
          <w:tcPr>
            <w:tcW w:w="2697" w:type="dxa"/>
            <w:tcBorders>
              <w:top w:val="single" w:sz="4" w:space="0" w:color="000000"/>
              <w:left w:val="single" w:sz="4" w:space="0" w:color="000000"/>
              <w:bottom w:val="single" w:sz="4" w:space="0" w:color="000000"/>
              <w:right w:val="single" w:sz="4" w:space="0" w:color="000000"/>
            </w:tcBorders>
          </w:tcPr>
          <w:p>
            <w:pPr>
              <w:pStyle w:val="TAL"/>
              <w:rPr>
                <w:sz w:val="22"/>
                <w:szCs w:val="22"/>
              </w:rPr>
            </w:pPr>
            <w:r>
              <w:rPr/>
              <w:t>Call Deflection</w:t>
            </w:r>
          </w:p>
        </w:tc>
        <w:tc>
          <w:tcPr>
            <w:tcW w:w="2509" w:type="dxa"/>
            <w:tcBorders>
              <w:top w:val="single" w:sz="4" w:space="0" w:color="000000"/>
              <w:left w:val="single" w:sz="4" w:space="0" w:color="000000"/>
              <w:bottom w:val="single" w:sz="4" w:space="0" w:color="000000"/>
              <w:right w:val="single" w:sz="4" w:space="0" w:color="000000"/>
            </w:tcBorders>
          </w:tcPr>
          <w:p>
            <w:pPr>
              <w:pStyle w:val="TAC"/>
              <w:rPr/>
            </w:pPr>
            <w:r>
              <w:rPr/>
              <w:t>Yes</w:t>
            </w:r>
          </w:p>
        </w:tc>
      </w:tr>
      <w:tr>
        <w:trPr/>
        <w:tc>
          <w:tcPr>
            <w:tcW w:w="1167" w:type="dxa"/>
            <w:tcBorders>
              <w:top w:val="single" w:sz="4" w:space="0" w:color="000000"/>
              <w:left w:val="single" w:sz="4" w:space="0" w:color="000000"/>
              <w:bottom w:val="single" w:sz="4" w:space="0" w:color="000000"/>
              <w:right w:val="single" w:sz="4" w:space="0" w:color="000000"/>
            </w:tcBorders>
          </w:tcPr>
          <w:p>
            <w:pPr>
              <w:pStyle w:val="TAL"/>
              <w:rPr/>
            </w:pPr>
            <w:r>
              <w:rPr/>
              <w:t>CLIP</w:t>
            </w:r>
          </w:p>
        </w:tc>
        <w:tc>
          <w:tcPr>
            <w:tcW w:w="2697" w:type="dxa"/>
            <w:tcBorders>
              <w:top w:val="single" w:sz="4" w:space="0" w:color="000000"/>
              <w:left w:val="single" w:sz="4" w:space="0" w:color="000000"/>
              <w:bottom w:val="single" w:sz="4" w:space="0" w:color="000000"/>
              <w:right w:val="single" w:sz="4" w:space="0" w:color="000000"/>
            </w:tcBorders>
          </w:tcPr>
          <w:p>
            <w:pPr>
              <w:pStyle w:val="TAL"/>
              <w:rPr>
                <w:sz w:val="22"/>
                <w:szCs w:val="22"/>
              </w:rPr>
            </w:pPr>
            <w:r>
              <w:rPr/>
              <w:t>Calling Line Identification Presentation</w:t>
            </w:r>
          </w:p>
        </w:tc>
        <w:tc>
          <w:tcPr>
            <w:tcW w:w="2509" w:type="dxa"/>
            <w:tcBorders>
              <w:top w:val="single" w:sz="4" w:space="0" w:color="000000"/>
              <w:left w:val="single" w:sz="4" w:space="0" w:color="000000"/>
              <w:bottom w:val="single" w:sz="4" w:space="0" w:color="000000"/>
              <w:right w:val="single" w:sz="4" w:space="0" w:color="000000"/>
            </w:tcBorders>
          </w:tcPr>
          <w:p>
            <w:pPr>
              <w:pStyle w:val="TAC"/>
              <w:rPr/>
            </w:pPr>
            <w:r>
              <w:rPr/>
              <w:t>Yes</w:t>
            </w:r>
          </w:p>
        </w:tc>
      </w:tr>
      <w:tr>
        <w:trPr/>
        <w:tc>
          <w:tcPr>
            <w:tcW w:w="1167" w:type="dxa"/>
            <w:tcBorders>
              <w:top w:val="single" w:sz="4" w:space="0" w:color="000000"/>
              <w:left w:val="single" w:sz="4" w:space="0" w:color="000000"/>
              <w:bottom w:val="single" w:sz="4" w:space="0" w:color="000000"/>
              <w:right w:val="single" w:sz="4" w:space="0" w:color="000000"/>
            </w:tcBorders>
          </w:tcPr>
          <w:p>
            <w:pPr>
              <w:pStyle w:val="TAL"/>
              <w:rPr/>
            </w:pPr>
            <w:r>
              <w:rPr/>
              <w:t>CLIR</w:t>
            </w:r>
          </w:p>
        </w:tc>
        <w:tc>
          <w:tcPr>
            <w:tcW w:w="2697" w:type="dxa"/>
            <w:tcBorders>
              <w:top w:val="single" w:sz="4" w:space="0" w:color="000000"/>
              <w:left w:val="single" w:sz="4" w:space="0" w:color="000000"/>
              <w:bottom w:val="single" w:sz="4" w:space="0" w:color="000000"/>
              <w:right w:val="single" w:sz="4" w:space="0" w:color="000000"/>
            </w:tcBorders>
          </w:tcPr>
          <w:p>
            <w:pPr>
              <w:pStyle w:val="TAL"/>
              <w:rPr>
                <w:sz w:val="22"/>
                <w:szCs w:val="22"/>
              </w:rPr>
            </w:pPr>
            <w:r>
              <w:rPr/>
              <w:t>Calling Line Identification Restriction</w:t>
            </w:r>
          </w:p>
        </w:tc>
        <w:tc>
          <w:tcPr>
            <w:tcW w:w="2509" w:type="dxa"/>
            <w:tcBorders>
              <w:top w:val="single" w:sz="4" w:space="0" w:color="000000"/>
              <w:left w:val="single" w:sz="4" w:space="0" w:color="000000"/>
              <w:bottom w:val="single" w:sz="4" w:space="0" w:color="000000"/>
              <w:right w:val="single" w:sz="4" w:space="0" w:color="000000"/>
            </w:tcBorders>
          </w:tcPr>
          <w:p>
            <w:pPr>
              <w:pStyle w:val="TAC"/>
              <w:rPr/>
            </w:pPr>
            <w:r>
              <w:rPr/>
              <w:t>Yes</w:t>
            </w:r>
          </w:p>
        </w:tc>
      </w:tr>
      <w:tr>
        <w:trPr/>
        <w:tc>
          <w:tcPr>
            <w:tcW w:w="1167" w:type="dxa"/>
            <w:tcBorders>
              <w:top w:val="single" w:sz="4" w:space="0" w:color="000000"/>
              <w:left w:val="single" w:sz="4" w:space="0" w:color="000000"/>
              <w:bottom w:val="single" w:sz="4" w:space="0" w:color="000000"/>
              <w:right w:val="single" w:sz="4" w:space="0" w:color="000000"/>
            </w:tcBorders>
          </w:tcPr>
          <w:p>
            <w:pPr>
              <w:pStyle w:val="TAL"/>
              <w:rPr/>
            </w:pPr>
            <w:r>
              <w:rPr/>
              <w:t>COLP</w:t>
            </w:r>
          </w:p>
        </w:tc>
        <w:tc>
          <w:tcPr>
            <w:tcW w:w="2697" w:type="dxa"/>
            <w:tcBorders>
              <w:top w:val="single" w:sz="4" w:space="0" w:color="000000"/>
              <w:left w:val="single" w:sz="4" w:space="0" w:color="000000"/>
              <w:bottom w:val="single" w:sz="4" w:space="0" w:color="000000"/>
              <w:right w:val="single" w:sz="4" w:space="0" w:color="000000"/>
            </w:tcBorders>
          </w:tcPr>
          <w:p>
            <w:pPr>
              <w:pStyle w:val="TAL"/>
              <w:rPr>
                <w:sz w:val="22"/>
                <w:szCs w:val="22"/>
              </w:rPr>
            </w:pPr>
            <w:r>
              <w:rPr/>
              <w:t>Connected Line Identification Presentation</w:t>
            </w:r>
          </w:p>
        </w:tc>
        <w:tc>
          <w:tcPr>
            <w:tcW w:w="2509" w:type="dxa"/>
            <w:tcBorders>
              <w:top w:val="single" w:sz="4" w:space="0" w:color="000000"/>
              <w:left w:val="single" w:sz="4" w:space="0" w:color="000000"/>
              <w:bottom w:val="single" w:sz="4" w:space="0" w:color="000000"/>
              <w:right w:val="single" w:sz="4" w:space="0" w:color="000000"/>
            </w:tcBorders>
          </w:tcPr>
          <w:p>
            <w:pPr>
              <w:pStyle w:val="TAC"/>
              <w:rPr/>
            </w:pPr>
            <w:r>
              <w:rPr/>
              <w:t>Yes</w:t>
            </w:r>
          </w:p>
        </w:tc>
      </w:tr>
      <w:tr>
        <w:trPr/>
        <w:tc>
          <w:tcPr>
            <w:tcW w:w="1167" w:type="dxa"/>
            <w:tcBorders>
              <w:top w:val="single" w:sz="4" w:space="0" w:color="000000"/>
              <w:left w:val="single" w:sz="4" w:space="0" w:color="000000"/>
              <w:bottom w:val="single" w:sz="4" w:space="0" w:color="000000"/>
              <w:right w:val="single" w:sz="4" w:space="0" w:color="000000"/>
            </w:tcBorders>
          </w:tcPr>
          <w:p>
            <w:pPr>
              <w:pStyle w:val="TAL"/>
              <w:rPr/>
            </w:pPr>
            <w:r>
              <w:rPr/>
              <w:t>COLR</w:t>
            </w:r>
          </w:p>
        </w:tc>
        <w:tc>
          <w:tcPr>
            <w:tcW w:w="2697" w:type="dxa"/>
            <w:tcBorders>
              <w:top w:val="single" w:sz="4" w:space="0" w:color="000000"/>
              <w:left w:val="single" w:sz="4" w:space="0" w:color="000000"/>
              <w:bottom w:val="single" w:sz="4" w:space="0" w:color="000000"/>
              <w:right w:val="single" w:sz="4" w:space="0" w:color="000000"/>
            </w:tcBorders>
          </w:tcPr>
          <w:p>
            <w:pPr>
              <w:pStyle w:val="TAL"/>
              <w:rPr>
                <w:sz w:val="22"/>
                <w:szCs w:val="22"/>
              </w:rPr>
            </w:pPr>
            <w:r>
              <w:rPr/>
              <w:t>Connected Line Identification Restriction</w:t>
            </w:r>
          </w:p>
        </w:tc>
        <w:tc>
          <w:tcPr>
            <w:tcW w:w="2509" w:type="dxa"/>
            <w:tcBorders>
              <w:top w:val="single" w:sz="4" w:space="0" w:color="000000"/>
              <w:left w:val="single" w:sz="4" w:space="0" w:color="000000"/>
              <w:bottom w:val="single" w:sz="4" w:space="0" w:color="000000"/>
              <w:right w:val="single" w:sz="4" w:space="0" w:color="000000"/>
            </w:tcBorders>
          </w:tcPr>
          <w:p>
            <w:pPr>
              <w:pStyle w:val="TAC"/>
              <w:rPr/>
            </w:pPr>
            <w:r>
              <w:rPr/>
              <w:t>Yes</w:t>
            </w:r>
          </w:p>
        </w:tc>
      </w:tr>
      <w:tr>
        <w:trPr/>
        <w:tc>
          <w:tcPr>
            <w:tcW w:w="1167" w:type="dxa"/>
            <w:tcBorders>
              <w:top w:val="single" w:sz="4" w:space="0" w:color="000000"/>
              <w:left w:val="single" w:sz="4" w:space="0" w:color="000000"/>
              <w:bottom w:val="single" w:sz="4" w:space="0" w:color="000000"/>
              <w:right w:val="single" w:sz="4" w:space="0" w:color="000000"/>
            </w:tcBorders>
          </w:tcPr>
          <w:p>
            <w:pPr>
              <w:pStyle w:val="TAL"/>
              <w:rPr/>
            </w:pPr>
            <w:r>
              <w:rPr/>
              <w:t>CFU</w:t>
            </w:r>
          </w:p>
        </w:tc>
        <w:tc>
          <w:tcPr>
            <w:tcW w:w="2697" w:type="dxa"/>
            <w:tcBorders>
              <w:top w:val="single" w:sz="4" w:space="0" w:color="000000"/>
              <w:left w:val="single" w:sz="4" w:space="0" w:color="000000"/>
              <w:bottom w:val="single" w:sz="4" w:space="0" w:color="000000"/>
              <w:right w:val="single" w:sz="4" w:space="0" w:color="000000"/>
            </w:tcBorders>
          </w:tcPr>
          <w:p>
            <w:pPr>
              <w:pStyle w:val="TAL"/>
              <w:rPr>
                <w:sz w:val="22"/>
                <w:szCs w:val="22"/>
              </w:rPr>
            </w:pPr>
            <w:r>
              <w:rPr/>
              <w:t>Call Forwarding Unconditional</w:t>
            </w:r>
          </w:p>
        </w:tc>
        <w:tc>
          <w:tcPr>
            <w:tcW w:w="2509" w:type="dxa"/>
            <w:tcBorders>
              <w:top w:val="single" w:sz="4" w:space="0" w:color="000000"/>
              <w:left w:val="single" w:sz="4" w:space="0" w:color="000000"/>
              <w:bottom w:val="single" w:sz="4" w:space="0" w:color="000000"/>
              <w:right w:val="single" w:sz="4" w:space="0" w:color="000000"/>
            </w:tcBorders>
          </w:tcPr>
          <w:p>
            <w:pPr>
              <w:pStyle w:val="TAC"/>
              <w:rPr/>
            </w:pPr>
            <w:r>
              <w:rPr/>
              <w:t>Yes</w:t>
            </w:r>
          </w:p>
        </w:tc>
      </w:tr>
      <w:tr>
        <w:trPr/>
        <w:tc>
          <w:tcPr>
            <w:tcW w:w="1167" w:type="dxa"/>
            <w:tcBorders>
              <w:top w:val="single" w:sz="4" w:space="0" w:color="000000"/>
              <w:left w:val="single" w:sz="4" w:space="0" w:color="000000"/>
              <w:bottom w:val="single" w:sz="4" w:space="0" w:color="000000"/>
              <w:right w:val="single" w:sz="4" w:space="0" w:color="000000"/>
            </w:tcBorders>
          </w:tcPr>
          <w:p>
            <w:pPr>
              <w:pStyle w:val="TAL"/>
              <w:rPr/>
            </w:pPr>
            <w:r>
              <w:rPr/>
              <w:t>CFB</w:t>
            </w:r>
          </w:p>
        </w:tc>
        <w:tc>
          <w:tcPr>
            <w:tcW w:w="2697" w:type="dxa"/>
            <w:tcBorders>
              <w:top w:val="single" w:sz="4" w:space="0" w:color="000000"/>
              <w:left w:val="single" w:sz="4" w:space="0" w:color="000000"/>
              <w:bottom w:val="single" w:sz="4" w:space="0" w:color="000000"/>
              <w:right w:val="single" w:sz="4" w:space="0" w:color="000000"/>
            </w:tcBorders>
          </w:tcPr>
          <w:p>
            <w:pPr>
              <w:pStyle w:val="TAL"/>
              <w:rPr>
                <w:sz w:val="22"/>
                <w:szCs w:val="22"/>
              </w:rPr>
            </w:pPr>
            <w:r>
              <w:rPr/>
              <w:t>Call Forwarding on Mobile Subscriber Busy</w:t>
            </w:r>
          </w:p>
        </w:tc>
        <w:tc>
          <w:tcPr>
            <w:tcW w:w="2509" w:type="dxa"/>
            <w:tcBorders>
              <w:top w:val="single" w:sz="4" w:space="0" w:color="000000"/>
              <w:left w:val="single" w:sz="4" w:space="0" w:color="000000"/>
              <w:bottom w:val="single" w:sz="4" w:space="0" w:color="000000"/>
              <w:right w:val="single" w:sz="4" w:space="0" w:color="000000"/>
            </w:tcBorders>
          </w:tcPr>
          <w:p>
            <w:pPr>
              <w:pStyle w:val="TAC"/>
              <w:rPr/>
            </w:pPr>
            <w:r>
              <w:rPr/>
              <w:t>Yes</w:t>
            </w:r>
          </w:p>
        </w:tc>
      </w:tr>
      <w:tr>
        <w:trPr/>
        <w:tc>
          <w:tcPr>
            <w:tcW w:w="1167" w:type="dxa"/>
            <w:tcBorders>
              <w:top w:val="single" w:sz="4" w:space="0" w:color="000000"/>
              <w:left w:val="single" w:sz="4" w:space="0" w:color="000000"/>
              <w:bottom w:val="single" w:sz="4" w:space="0" w:color="000000"/>
              <w:right w:val="single" w:sz="4" w:space="0" w:color="000000"/>
            </w:tcBorders>
          </w:tcPr>
          <w:p>
            <w:pPr>
              <w:pStyle w:val="TAL"/>
              <w:rPr/>
            </w:pPr>
            <w:r>
              <w:rPr/>
              <w:t>CFNRy</w:t>
            </w:r>
          </w:p>
        </w:tc>
        <w:tc>
          <w:tcPr>
            <w:tcW w:w="2697" w:type="dxa"/>
            <w:tcBorders>
              <w:top w:val="single" w:sz="4" w:space="0" w:color="000000"/>
              <w:left w:val="single" w:sz="4" w:space="0" w:color="000000"/>
              <w:bottom w:val="single" w:sz="4" w:space="0" w:color="000000"/>
              <w:right w:val="single" w:sz="4" w:space="0" w:color="000000"/>
            </w:tcBorders>
          </w:tcPr>
          <w:p>
            <w:pPr>
              <w:pStyle w:val="TAL"/>
              <w:rPr>
                <w:sz w:val="22"/>
                <w:szCs w:val="22"/>
              </w:rPr>
            </w:pPr>
            <w:r>
              <w:rPr/>
              <w:t>Call Forwarding on No Reply</w:t>
            </w:r>
          </w:p>
        </w:tc>
        <w:tc>
          <w:tcPr>
            <w:tcW w:w="2509" w:type="dxa"/>
            <w:tcBorders>
              <w:top w:val="single" w:sz="4" w:space="0" w:color="000000"/>
              <w:left w:val="single" w:sz="4" w:space="0" w:color="000000"/>
              <w:bottom w:val="single" w:sz="4" w:space="0" w:color="000000"/>
              <w:right w:val="single" w:sz="4" w:space="0" w:color="000000"/>
            </w:tcBorders>
          </w:tcPr>
          <w:p>
            <w:pPr>
              <w:pStyle w:val="TAC"/>
              <w:rPr/>
            </w:pPr>
            <w:r>
              <w:rPr/>
              <w:t>Yes</w:t>
            </w:r>
          </w:p>
        </w:tc>
      </w:tr>
      <w:tr>
        <w:trPr/>
        <w:tc>
          <w:tcPr>
            <w:tcW w:w="1167" w:type="dxa"/>
            <w:tcBorders>
              <w:top w:val="single" w:sz="4" w:space="0" w:color="000000"/>
              <w:left w:val="single" w:sz="4" w:space="0" w:color="000000"/>
              <w:bottom w:val="single" w:sz="4" w:space="0" w:color="000000"/>
              <w:right w:val="single" w:sz="4" w:space="0" w:color="000000"/>
            </w:tcBorders>
          </w:tcPr>
          <w:p>
            <w:pPr>
              <w:pStyle w:val="TAL"/>
              <w:rPr/>
            </w:pPr>
            <w:r>
              <w:rPr/>
              <w:t>CFNRc</w:t>
            </w:r>
          </w:p>
        </w:tc>
        <w:tc>
          <w:tcPr>
            <w:tcW w:w="2697" w:type="dxa"/>
            <w:tcBorders>
              <w:top w:val="single" w:sz="4" w:space="0" w:color="000000"/>
              <w:left w:val="single" w:sz="4" w:space="0" w:color="000000"/>
              <w:bottom w:val="single" w:sz="4" w:space="0" w:color="000000"/>
              <w:right w:val="single" w:sz="4" w:space="0" w:color="000000"/>
            </w:tcBorders>
          </w:tcPr>
          <w:p>
            <w:pPr>
              <w:pStyle w:val="TAL"/>
              <w:rPr>
                <w:sz w:val="22"/>
                <w:szCs w:val="22"/>
              </w:rPr>
            </w:pPr>
            <w:r>
              <w:rPr/>
              <w:t>Call Forwarding on Mobile Subscriber Not Reachable</w:t>
            </w:r>
          </w:p>
        </w:tc>
        <w:tc>
          <w:tcPr>
            <w:tcW w:w="2509" w:type="dxa"/>
            <w:tcBorders>
              <w:top w:val="single" w:sz="4" w:space="0" w:color="000000"/>
              <w:left w:val="single" w:sz="4" w:space="0" w:color="000000"/>
              <w:bottom w:val="single" w:sz="4" w:space="0" w:color="000000"/>
              <w:right w:val="single" w:sz="4" w:space="0" w:color="000000"/>
            </w:tcBorders>
          </w:tcPr>
          <w:p>
            <w:pPr>
              <w:pStyle w:val="TAC"/>
              <w:rPr/>
            </w:pPr>
            <w:r>
              <w:rPr/>
              <w:t>Yes</w:t>
            </w:r>
          </w:p>
        </w:tc>
      </w:tr>
      <w:tr>
        <w:trPr/>
        <w:tc>
          <w:tcPr>
            <w:tcW w:w="1167" w:type="dxa"/>
            <w:tcBorders>
              <w:top w:val="single" w:sz="4" w:space="0" w:color="000000"/>
              <w:left w:val="single" w:sz="4" w:space="0" w:color="000000"/>
              <w:bottom w:val="single" w:sz="4" w:space="0" w:color="000000"/>
              <w:right w:val="single" w:sz="4" w:space="0" w:color="000000"/>
            </w:tcBorders>
          </w:tcPr>
          <w:p>
            <w:pPr>
              <w:pStyle w:val="TAL"/>
              <w:rPr/>
            </w:pPr>
            <w:r>
              <w:rPr/>
              <w:t>CW</w:t>
            </w:r>
          </w:p>
        </w:tc>
        <w:tc>
          <w:tcPr>
            <w:tcW w:w="2697" w:type="dxa"/>
            <w:tcBorders>
              <w:top w:val="single" w:sz="4" w:space="0" w:color="000000"/>
              <w:left w:val="single" w:sz="4" w:space="0" w:color="000000"/>
              <w:bottom w:val="single" w:sz="4" w:space="0" w:color="000000"/>
              <w:right w:val="single" w:sz="4" w:space="0" w:color="000000"/>
            </w:tcBorders>
          </w:tcPr>
          <w:p>
            <w:pPr>
              <w:pStyle w:val="TAL"/>
              <w:rPr>
                <w:sz w:val="22"/>
                <w:szCs w:val="22"/>
              </w:rPr>
            </w:pPr>
            <w:r>
              <w:rPr/>
              <w:t>Call Waiting</w:t>
            </w:r>
          </w:p>
        </w:tc>
        <w:tc>
          <w:tcPr>
            <w:tcW w:w="2509" w:type="dxa"/>
            <w:tcBorders>
              <w:top w:val="single" w:sz="4" w:space="0" w:color="000000"/>
              <w:left w:val="single" w:sz="4" w:space="0" w:color="000000"/>
              <w:bottom w:val="single" w:sz="4" w:space="0" w:color="000000"/>
              <w:right w:val="single" w:sz="4" w:space="0" w:color="000000"/>
            </w:tcBorders>
          </w:tcPr>
          <w:p>
            <w:pPr>
              <w:pStyle w:val="TAC"/>
              <w:rPr/>
            </w:pPr>
            <w:r>
              <w:rPr/>
              <w:t>Yes</w:t>
            </w:r>
          </w:p>
        </w:tc>
      </w:tr>
      <w:tr>
        <w:trPr/>
        <w:tc>
          <w:tcPr>
            <w:tcW w:w="1167" w:type="dxa"/>
            <w:tcBorders>
              <w:top w:val="single" w:sz="4" w:space="0" w:color="000000"/>
              <w:left w:val="single" w:sz="4" w:space="0" w:color="000000"/>
              <w:bottom w:val="single" w:sz="4" w:space="0" w:color="000000"/>
              <w:right w:val="single" w:sz="4" w:space="0" w:color="000000"/>
            </w:tcBorders>
          </w:tcPr>
          <w:p>
            <w:pPr>
              <w:pStyle w:val="TAL"/>
              <w:rPr/>
            </w:pPr>
            <w:r>
              <w:rPr/>
              <w:t>HOLD</w:t>
            </w:r>
          </w:p>
        </w:tc>
        <w:tc>
          <w:tcPr>
            <w:tcW w:w="2697" w:type="dxa"/>
            <w:tcBorders>
              <w:top w:val="single" w:sz="4" w:space="0" w:color="000000"/>
              <w:left w:val="single" w:sz="4" w:space="0" w:color="000000"/>
              <w:bottom w:val="single" w:sz="4" w:space="0" w:color="000000"/>
              <w:right w:val="single" w:sz="4" w:space="0" w:color="000000"/>
            </w:tcBorders>
          </w:tcPr>
          <w:p>
            <w:pPr>
              <w:pStyle w:val="TAL"/>
              <w:rPr>
                <w:sz w:val="22"/>
                <w:szCs w:val="22"/>
              </w:rPr>
            </w:pPr>
            <w:r>
              <w:rPr/>
              <w:t>Call Hold</w:t>
            </w:r>
          </w:p>
        </w:tc>
        <w:tc>
          <w:tcPr>
            <w:tcW w:w="2509" w:type="dxa"/>
            <w:tcBorders>
              <w:top w:val="single" w:sz="4" w:space="0" w:color="000000"/>
              <w:left w:val="single" w:sz="4" w:space="0" w:color="000000"/>
              <w:bottom w:val="single" w:sz="4" w:space="0" w:color="000000"/>
              <w:right w:val="single" w:sz="4" w:space="0" w:color="000000"/>
            </w:tcBorders>
          </w:tcPr>
          <w:p>
            <w:pPr>
              <w:pStyle w:val="TAC"/>
              <w:rPr/>
            </w:pPr>
            <w:r>
              <w:rPr/>
              <w:t>No</w:t>
            </w:r>
          </w:p>
        </w:tc>
      </w:tr>
      <w:tr>
        <w:trPr/>
        <w:tc>
          <w:tcPr>
            <w:tcW w:w="1167" w:type="dxa"/>
            <w:tcBorders>
              <w:top w:val="single" w:sz="4" w:space="0" w:color="000000"/>
              <w:left w:val="single" w:sz="4" w:space="0" w:color="000000"/>
              <w:bottom w:val="single" w:sz="4" w:space="0" w:color="000000"/>
              <w:right w:val="single" w:sz="4" w:space="0" w:color="000000"/>
            </w:tcBorders>
          </w:tcPr>
          <w:p>
            <w:pPr>
              <w:pStyle w:val="TAL"/>
              <w:rPr/>
            </w:pPr>
            <w:r>
              <w:rPr/>
              <w:t>MPTY</w:t>
            </w:r>
          </w:p>
        </w:tc>
        <w:tc>
          <w:tcPr>
            <w:tcW w:w="2697" w:type="dxa"/>
            <w:tcBorders>
              <w:top w:val="single" w:sz="4" w:space="0" w:color="000000"/>
              <w:left w:val="single" w:sz="4" w:space="0" w:color="000000"/>
              <w:bottom w:val="single" w:sz="4" w:space="0" w:color="000000"/>
              <w:right w:val="single" w:sz="4" w:space="0" w:color="000000"/>
            </w:tcBorders>
          </w:tcPr>
          <w:p>
            <w:pPr>
              <w:pStyle w:val="TAL"/>
              <w:rPr>
                <w:sz w:val="22"/>
                <w:szCs w:val="22"/>
              </w:rPr>
            </w:pPr>
            <w:r>
              <w:rPr/>
              <w:t>Multi Party Service</w:t>
            </w:r>
          </w:p>
        </w:tc>
        <w:tc>
          <w:tcPr>
            <w:tcW w:w="2509" w:type="dxa"/>
            <w:tcBorders>
              <w:top w:val="single" w:sz="4" w:space="0" w:color="000000"/>
              <w:left w:val="single" w:sz="4" w:space="0" w:color="000000"/>
              <w:bottom w:val="single" w:sz="4" w:space="0" w:color="000000"/>
              <w:right w:val="single" w:sz="4" w:space="0" w:color="000000"/>
            </w:tcBorders>
          </w:tcPr>
          <w:p>
            <w:pPr>
              <w:pStyle w:val="TAC"/>
              <w:rPr/>
            </w:pPr>
            <w:r>
              <w:rPr/>
              <w:t>No</w:t>
            </w:r>
          </w:p>
        </w:tc>
      </w:tr>
      <w:tr>
        <w:trPr/>
        <w:tc>
          <w:tcPr>
            <w:tcW w:w="1167" w:type="dxa"/>
            <w:tcBorders>
              <w:top w:val="single" w:sz="4" w:space="0" w:color="000000"/>
              <w:left w:val="single" w:sz="4" w:space="0" w:color="000000"/>
              <w:bottom w:val="single" w:sz="4" w:space="0" w:color="000000"/>
              <w:right w:val="single" w:sz="4" w:space="0" w:color="000000"/>
            </w:tcBorders>
          </w:tcPr>
          <w:p>
            <w:pPr>
              <w:pStyle w:val="TAL"/>
              <w:rPr/>
            </w:pPr>
            <w:r>
              <w:rPr/>
              <w:t>CUG</w:t>
            </w:r>
          </w:p>
        </w:tc>
        <w:tc>
          <w:tcPr>
            <w:tcW w:w="2697" w:type="dxa"/>
            <w:tcBorders>
              <w:top w:val="single" w:sz="4" w:space="0" w:color="000000"/>
              <w:left w:val="single" w:sz="4" w:space="0" w:color="000000"/>
              <w:bottom w:val="single" w:sz="4" w:space="0" w:color="000000"/>
              <w:right w:val="single" w:sz="4" w:space="0" w:color="000000"/>
            </w:tcBorders>
          </w:tcPr>
          <w:p>
            <w:pPr>
              <w:pStyle w:val="TAL"/>
              <w:rPr>
                <w:sz w:val="22"/>
                <w:szCs w:val="22"/>
              </w:rPr>
            </w:pPr>
            <w:r>
              <w:rPr/>
              <w:t>Closed User Group</w:t>
            </w:r>
          </w:p>
        </w:tc>
        <w:tc>
          <w:tcPr>
            <w:tcW w:w="2509" w:type="dxa"/>
            <w:tcBorders>
              <w:top w:val="single" w:sz="4" w:space="0" w:color="000000"/>
              <w:left w:val="single" w:sz="4" w:space="0" w:color="000000"/>
              <w:bottom w:val="single" w:sz="4" w:space="0" w:color="000000"/>
              <w:right w:val="single" w:sz="4" w:space="0" w:color="000000"/>
            </w:tcBorders>
          </w:tcPr>
          <w:p>
            <w:pPr>
              <w:pStyle w:val="TAC"/>
              <w:rPr/>
            </w:pPr>
            <w:r>
              <w:rPr/>
              <w:t>Yes</w:t>
            </w:r>
          </w:p>
        </w:tc>
      </w:tr>
      <w:tr>
        <w:trPr/>
        <w:tc>
          <w:tcPr>
            <w:tcW w:w="1167" w:type="dxa"/>
            <w:tcBorders>
              <w:top w:val="single" w:sz="4" w:space="0" w:color="000000"/>
              <w:left w:val="single" w:sz="4" w:space="0" w:color="000000"/>
              <w:bottom w:val="single" w:sz="4" w:space="0" w:color="000000"/>
              <w:right w:val="single" w:sz="4" w:space="0" w:color="000000"/>
            </w:tcBorders>
          </w:tcPr>
          <w:p>
            <w:pPr>
              <w:pStyle w:val="TAL"/>
              <w:rPr/>
            </w:pPr>
            <w:r>
              <w:rPr/>
              <w:t>AoCI</w:t>
            </w:r>
          </w:p>
        </w:tc>
        <w:tc>
          <w:tcPr>
            <w:tcW w:w="2697" w:type="dxa"/>
            <w:tcBorders>
              <w:top w:val="single" w:sz="4" w:space="0" w:color="000000"/>
              <w:left w:val="single" w:sz="4" w:space="0" w:color="000000"/>
              <w:bottom w:val="single" w:sz="4" w:space="0" w:color="000000"/>
              <w:right w:val="single" w:sz="4" w:space="0" w:color="000000"/>
            </w:tcBorders>
          </w:tcPr>
          <w:p>
            <w:pPr>
              <w:pStyle w:val="TAL"/>
              <w:rPr>
                <w:sz w:val="22"/>
                <w:szCs w:val="22"/>
              </w:rPr>
            </w:pPr>
            <w:r>
              <w:rPr/>
              <w:t>Advice of Charge (Information)</w:t>
            </w:r>
          </w:p>
        </w:tc>
        <w:tc>
          <w:tcPr>
            <w:tcW w:w="2509" w:type="dxa"/>
            <w:tcBorders>
              <w:top w:val="single" w:sz="4" w:space="0" w:color="000000"/>
              <w:left w:val="single" w:sz="4" w:space="0" w:color="000000"/>
              <w:bottom w:val="single" w:sz="4" w:space="0" w:color="000000"/>
              <w:right w:val="single" w:sz="4" w:space="0" w:color="000000"/>
            </w:tcBorders>
          </w:tcPr>
          <w:p>
            <w:pPr>
              <w:pStyle w:val="TAC"/>
              <w:rPr/>
            </w:pPr>
            <w:r>
              <w:rPr/>
              <w:t>Yes</w:t>
            </w:r>
          </w:p>
        </w:tc>
      </w:tr>
      <w:tr>
        <w:trPr/>
        <w:tc>
          <w:tcPr>
            <w:tcW w:w="1167" w:type="dxa"/>
            <w:tcBorders>
              <w:top w:val="single" w:sz="4" w:space="0" w:color="000000"/>
              <w:left w:val="single" w:sz="4" w:space="0" w:color="000000"/>
              <w:bottom w:val="single" w:sz="4" w:space="0" w:color="000000"/>
              <w:right w:val="single" w:sz="4" w:space="0" w:color="000000"/>
            </w:tcBorders>
          </w:tcPr>
          <w:p>
            <w:pPr>
              <w:pStyle w:val="TAL"/>
              <w:rPr/>
            </w:pPr>
            <w:r>
              <w:rPr/>
              <w:t>AoCC</w:t>
            </w:r>
          </w:p>
        </w:tc>
        <w:tc>
          <w:tcPr>
            <w:tcW w:w="2697" w:type="dxa"/>
            <w:tcBorders>
              <w:top w:val="single" w:sz="4" w:space="0" w:color="000000"/>
              <w:left w:val="single" w:sz="4" w:space="0" w:color="000000"/>
              <w:bottom w:val="single" w:sz="4" w:space="0" w:color="000000"/>
              <w:right w:val="single" w:sz="4" w:space="0" w:color="000000"/>
            </w:tcBorders>
          </w:tcPr>
          <w:p>
            <w:pPr>
              <w:pStyle w:val="TAL"/>
              <w:rPr>
                <w:sz w:val="22"/>
                <w:szCs w:val="22"/>
              </w:rPr>
            </w:pPr>
            <w:r>
              <w:rPr/>
              <w:t>Advice of Charge (Charging)</w:t>
            </w:r>
          </w:p>
        </w:tc>
        <w:tc>
          <w:tcPr>
            <w:tcW w:w="2509" w:type="dxa"/>
            <w:tcBorders>
              <w:top w:val="single" w:sz="4" w:space="0" w:color="000000"/>
              <w:left w:val="single" w:sz="4" w:space="0" w:color="000000"/>
              <w:bottom w:val="single" w:sz="4" w:space="0" w:color="000000"/>
              <w:right w:val="single" w:sz="4" w:space="0" w:color="000000"/>
            </w:tcBorders>
          </w:tcPr>
          <w:p>
            <w:pPr>
              <w:pStyle w:val="TAC"/>
              <w:rPr/>
            </w:pPr>
            <w:r>
              <w:rPr/>
              <w:t>Yes</w:t>
            </w:r>
          </w:p>
        </w:tc>
      </w:tr>
      <w:tr>
        <w:trPr/>
        <w:tc>
          <w:tcPr>
            <w:tcW w:w="1167" w:type="dxa"/>
            <w:tcBorders>
              <w:top w:val="single" w:sz="4" w:space="0" w:color="000000"/>
              <w:left w:val="single" w:sz="4" w:space="0" w:color="000000"/>
              <w:bottom w:val="single" w:sz="4" w:space="0" w:color="000000"/>
              <w:right w:val="single" w:sz="4" w:space="0" w:color="000000"/>
            </w:tcBorders>
          </w:tcPr>
          <w:p>
            <w:pPr>
              <w:pStyle w:val="TAL"/>
              <w:rPr/>
            </w:pPr>
            <w:r>
              <w:rPr/>
              <w:t>UUS</w:t>
            </w:r>
          </w:p>
        </w:tc>
        <w:tc>
          <w:tcPr>
            <w:tcW w:w="2697" w:type="dxa"/>
            <w:tcBorders>
              <w:top w:val="single" w:sz="4" w:space="0" w:color="000000"/>
              <w:left w:val="single" w:sz="4" w:space="0" w:color="000000"/>
              <w:bottom w:val="single" w:sz="4" w:space="0" w:color="000000"/>
              <w:right w:val="single" w:sz="4" w:space="0" w:color="000000"/>
            </w:tcBorders>
          </w:tcPr>
          <w:p>
            <w:pPr>
              <w:pStyle w:val="TAL"/>
              <w:rPr>
                <w:sz w:val="22"/>
                <w:szCs w:val="22"/>
              </w:rPr>
            </w:pPr>
            <w:r>
              <w:rPr/>
              <w:t>User</w:t>
              <w:noBreakHyphen/>
              <w:t>to</w:t>
              <w:noBreakHyphen/>
              <w:t>user signalling</w:t>
            </w:r>
          </w:p>
        </w:tc>
        <w:tc>
          <w:tcPr>
            <w:tcW w:w="2509" w:type="dxa"/>
            <w:tcBorders>
              <w:top w:val="single" w:sz="4" w:space="0" w:color="000000"/>
              <w:left w:val="single" w:sz="4" w:space="0" w:color="000000"/>
              <w:bottom w:val="single" w:sz="4" w:space="0" w:color="000000"/>
              <w:right w:val="single" w:sz="4" w:space="0" w:color="000000"/>
            </w:tcBorders>
          </w:tcPr>
          <w:p>
            <w:pPr>
              <w:pStyle w:val="TAC"/>
              <w:rPr/>
            </w:pPr>
            <w:r>
              <w:rPr/>
              <w:t>Yes</w:t>
            </w:r>
          </w:p>
        </w:tc>
      </w:tr>
      <w:tr>
        <w:trPr/>
        <w:tc>
          <w:tcPr>
            <w:tcW w:w="1167" w:type="dxa"/>
            <w:tcBorders>
              <w:top w:val="single" w:sz="4" w:space="0" w:color="000000"/>
              <w:left w:val="single" w:sz="4" w:space="0" w:color="000000"/>
              <w:bottom w:val="single" w:sz="4" w:space="0" w:color="000000"/>
              <w:right w:val="single" w:sz="4" w:space="0" w:color="000000"/>
            </w:tcBorders>
          </w:tcPr>
          <w:p>
            <w:pPr>
              <w:pStyle w:val="TAL"/>
              <w:rPr/>
            </w:pPr>
            <w:r>
              <w:rPr/>
              <w:t>BAOC</w:t>
            </w:r>
          </w:p>
        </w:tc>
        <w:tc>
          <w:tcPr>
            <w:tcW w:w="2697" w:type="dxa"/>
            <w:tcBorders>
              <w:top w:val="single" w:sz="4" w:space="0" w:color="000000"/>
              <w:left w:val="single" w:sz="4" w:space="0" w:color="000000"/>
              <w:bottom w:val="single" w:sz="4" w:space="0" w:color="000000"/>
              <w:right w:val="single" w:sz="4" w:space="0" w:color="000000"/>
            </w:tcBorders>
          </w:tcPr>
          <w:p>
            <w:pPr>
              <w:pStyle w:val="TAL"/>
              <w:rPr>
                <w:sz w:val="22"/>
                <w:szCs w:val="22"/>
              </w:rPr>
            </w:pPr>
            <w:r>
              <w:rPr/>
              <w:t>Barring of All Outgoing Calls</w:t>
            </w:r>
          </w:p>
        </w:tc>
        <w:tc>
          <w:tcPr>
            <w:tcW w:w="2509" w:type="dxa"/>
            <w:tcBorders>
              <w:top w:val="single" w:sz="4" w:space="0" w:color="000000"/>
              <w:left w:val="single" w:sz="4" w:space="0" w:color="000000"/>
              <w:bottom w:val="single" w:sz="4" w:space="0" w:color="000000"/>
              <w:right w:val="single" w:sz="4" w:space="0" w:color="000000"/>
            </w:tcBorders>
          </w:tcPr>
          <w:p>
            <w:pPr>
              <w:pStyle w:val="TAC"/>
              <w:rPr/>
            </w:pPr>
            <w:r>
              <w:rPr/>
              <w:t>Yes</w:t>
            </w:r>
          </w:p>
        </w:tc>
      </w:tr>
      <w:tr>
        <w:trPr/>
        <w:tc>
          <w:tcPr>
            <w:tcW w:w="1167" w:type="dxa"/>
            <w:tcBorders>
              <w:top w:val="single" w:sz="4" w:space="0" w:color="000000"/>
              <w:left w:val="single" w:sz="4" w:space="0" w:color="000000"/>
              <w:bottom w:val="single" w:sz="4" w:space="0" w:color="000000"/>
              <w:right w:val="single" w:sz="4" w:space="0" w:color="000000"/>
            </w:tcBorders>
          </w:tcPr>
          <w:p>
            <w:pPr>
              <w:pStyle w:val="TAL"/>
              <w:rPr/>
            </w:pPr>
            <w:r>
              <w:rPr/>
              <w:t>BOIC</w:t>
            </w:r>
          </w:p>
        </w:tc>
        <w:tc>
          <w:tcPr>
            <w:tcW w:w="2697" w:type="dxa"/>
            <w:tcBorders>
              <w:top w:val="single" w:sz="4" w:space="0" w:color="000000"/>
              <w:left w:val="single" w:sz="4" w:space="0" w:color="000000"/>
              <w:bottom w:val="single" w:sz="4" w:space="0" w:color="000000"/>
              <w:right w:val="single" w:sz="4" w:space="0" w:color="000000"/>
            </w:tcBorders>
          </w:tcPr>
          <w:p>
            <w:pPr>
              <w:pStyle w:val="TAL"/>
              <w:rPr>
                <w:sz w:val="22"/>
                <w:szCs w:val="22"/>
              </w:rPr>
            </w:pPr>
            <w:r>
              <w:rPr/>
              <w:t>Barring of Outgoing International Calls</w:t>
            </w:r>
          </w:p>
        </w:tc>
        <w:tc>
          <w:tcPr>
            <w:tcW w:w="2509" w:type="dxa"/>
            <w:tcBorders>
              <w:top w:val="single" w:sz="4" w:space="0" w:color="000000"/>
              <w:left w:val="single" w:sz="4" w:space="0" w:color="000000"/>
              <w:bottom w:val="single" w:sz="4" w:space="0" w:color="000000"/>
              <w:right w:val="single" w:sz="4" w:space="0" w:color="000000"/>
            </w:tcBorders>
          </w:tcPr>
          <w:p>
            <w:pPr>
              <w:pStyle w:val="TAC"/>
              <w:rPr/>
            </w:pPr>
            <w:r>
              <w:rPr/>
              <w:t>Yes</w:t>
            </w:r>
          </w:p>
        </w:tc>
      </w:tr>
      <w:tr>
        <w:trPr/>
        <w:tc>
          <w:tcPr>
            <w:tcW w:w="1167" w:type="dxa"/>
            <w:tcBorders>
              <w:top w:val="single" w:sz="4" w:space="0" w:color="000000"/>
              <w:left w:val="single" w:sz="4" w:space="0" w:color="000000"/>
              <w:bottom w:val="single" w:sz="4" w:space="0" w:color="000000"/>
              <w:right w:val="single" w:sz="4" w:space="0" w:color="000000"/>
            </w:tcBorders>
          </w:tcPr>
          <w:p>
            <w:pPr>
              <w:pStyle w:val="TAL"/>
              <w:rPr/>
            </w:pPr>
            <w:r>
              <w:rPr/>
              <w:t>BOIC</w:t>
              <w:noBreakHyphen/>
              <w:t>exHC</w:t>
            </w:r>
          </w:p>
        </w:tc>
        <w:tc>
          <w:tcPr>
            <w:tcW w:w="2697" w:type="dxa"/>
            <w:tcBorders>
              <w:top w:val="single" w:sz="4" w:space="0" w:color="000000"/>
              <w:left w:val="single" w:sz="4" w:space="0" w:color="000000"/>
              <w:bottom w:val="single" w:sz="4" w:space="0" w:color="000000"/>
              <w:right w:val="single" w:sz="4" w:space="0" w:color="000000"/>
            </w:tcBorders>
          </w:tcPr>
          <w:p>
            <w:pPr>
              <w:pStyle w:val="TAL"/>
              <w:rPr>
                <w:sz w:val="22"/>
                <w:szCs w:val="22"/>
              </w:rPr>
            </w:pPr>
            <w:r>
              <w:rPr/>
              <w:t>Barring of Outgoing International Calls except those directed to the Home PLMN Country</w:t>
            </w:r>
          </w:p>
        </w:tc>
        <w:tc>
          <w:tcPr>
            <w:tcW w:w="2509" w:type="dxa"/>
            <w:tcBorders>
              <w:top w:val="single" w:sz="4" w:space="0" w:color="000000"/>
              <w:left w:val="single" w:sz="4" w:space="0" w:color="000000"/>
              <w:bottom w:val="single" w:sz="4" w:space="0" w:color="000000"/>
              <w:right w:val="single" w:sz="4" w:space="0" w:color="000000"/>
            </w:tcBorders>
          </w:tcPr>
          <w:p>
            <w:pPr>
              <w:pStyle w:val="TAC"/>
              <w:rPr/>
            </w:pPr>
            <w:r>
              <w:rPr/>
              <w:t>Yes</w:t>
            </w:r>
          </w:p>
        </w:tc>
      </w:tr>
      <w:tr>
        <w:trPr/>
        <w:tc>
          <w:tcPr>
            <w:tcW w:w="1167" w:type="dxa"/>
            <w:tcBorders>
              <w:top w:val="single" w:sz="4" w:space="0" w:color="000000"/>
              <w:left w:val="single" w:sz="4" w:space="0" w:color="000000"/>
              <w:bottom w:val="single" w:sz="4" w:space="0" w:color="000000"/>
              <w:right w:val="single" w:sz="4" w:space="0" w:color="000000"/>
            </w:tcBorders>
          </w:tcPr>
          <w:p>
            <w:pPr>
              <w:pStyle w:val="TAL"/>
              <w:rPr/>
            </w:pPr>
            <w:r>
              <w:rPr/>
              <w:t>BIC</w:t>
            </w:r>
          </w:p>
        </w:tc>
        <w:tc>
          <w:tcPr>
            <w:tcW w:w="2697" w:type="dxa"/>
            <w:tcBorders>
              <w:top w:val="single" w:sz="4" w:space="0" w:color="000000"/>
              <w:left w:val="single" w:sz="4" w:space="0" w:color="000000"/>
              <w:bottom w:val="single" w:sz="4" w:space="0" w:color="000000"/>
              <w:right w:val="single" w:sz="4" w:space="0" w:color="000000"/>
            </w:tcBorders>
          </w:tcPr>
          <w:p>
            <w:pPr>
              <w:pStyle w:val="TAL"/>
              <w:rPr>
                <w:sz w:val="22"/>
                <w:szCs w:val="22"/>
              </w:rPr>
            </w:pPr>
            <w:r>
              <w:rPr/>
              <w:t>Barring of All Incoming Calls</w:t>
            </w:r>
          </w:p>
        </w:tc>
        <w:tc>
          <w:tcPr>
            <w:tcW w:w="2509" w:type="dxa"/>
            <w:tcBorders>
              <w:top w:val="single" w:sz="4" w:space="0" w:color="000000"/>
              <w:left w:val="single" w:sz="4" w:space="0" w:color="000000"/>
              <w:bottom w:val="single" w:sz="4" w:space="0" w:color="000000"/>
              <w:right w:val="single" w:sz="4" w:space="0" w:color="000000"/>
            </w:tcBorders>
          </w:tcPr>
          <w:p>
            <w:pPr>
              <w:pStyle w:val="TAC"/>
              <w:rPr/>
            </w:pPr>
            <w:r>
              <w:rPr/>
              <w:t>Yes</w:t>
            </w:r>
          </w:p>
        </w:tc>
      </w:tr>
      <w:tr>
        <w:trPr/>
        <w:tc>
          <w:tcPr>
            <w:tcW w:w="1167" w:type="dxa"/>
            <w:tcBorders>
              <w:top w:val="single" w:sz="4" w:space="0" w:color="000000"/>
              <w:left w:val="single" w:sz="4" w:space="0" w:color="000000"/>
              <w:bottom w:val="single" w:sz="4" w:space="0" w:color="000000"/>
              <w:right w:val="single" w:sz="4" w:space="0" w:color="000000"/>
            </w:tcBorders>
          </w:tcPr>
          <w:p>
            <w:pPr>
              <w:pStyle w:val="TAL"/>
              <w:rPr/>
            </w:pPr>
            <w:r>
              <w:rPr/>
              <w:t>BIC</w:t>
              <w:noBreakHyphen/>
              <w:t>Roam</w:t>
            </w:r>
          </w:p>
        </w:tc>
        <w:tc>
          <w:tcPr>
            <w:tcW w:w="2697" w:type="dxa"/>
            <w:tcBorders>
              <w:top w:val="single" w:sz="4" w:space="0" w:color="000000"/>
              <w:left w:val="single" w:sz="4" w:space="0" w:color="000000"/>
              <w:bottom w:val="single" w:sz="4" w:space="0" w:color="000000"/>
              <w:right w:val="single" w:sz="4" w:space="0" w:color="000000"/>
            </w:tcBorders>
          </w:tcPr>
          <w:p>
            <w:pPr>
              <w:pStyle w:val="TAL"/>
              <w:rPr>
                <w:sz w:val="22"/>
                <w:szCs w:val="22"/>
              </w:rPr>
            </w:pPr>
            <w:r>
              <w:rPr/>
              <w:t>Barring of Incoming Calls when Roaming Outside the Home PLMN Country</w:t>
            </w:r>
          </w:p>
        </w:tc>
        <w:tc>
          <w:tcPr>
            <w:tcW w:w="2509" w:type="dxa"/>
            <w:tcBorders>
              <w:top w:val="single" w:sz="4" w:space="0" w:color="000000"/>
              <w:left w:val="single" w:sz="4" w:space="0" w:color="000000"/>
              <w:bottom w:val="single" w:sz="4" w:space="0" w:color="000000"/>
              <w:right w:val="single" w:sz="4" w:space="0" w:color="000000"/>
            </w:tcBorders>
          </w:tcPr>
          <w:p>
            <w:pPr>
              <w:pStyle w:val="TAC"/>
              <w:rPr/>
            </w:pPr>
            <w:r>
              <w:rPr/>
              <w:t>Yes</w:t>
            </w:r>
          </w:p>
        </w:tc>
      </w:tr>
      <w:tr>
        <w:trPr/>
        <w:tc>
          <w:tcPr>
            <w:tcW w:w="1167" w:type="dxa"/>
            <w:tcBorders>
              <w:top w:val="single" w:sz="4" w:space="0" w:color="000000"/>
              <w:left w:val="single" w:sz="4" w:space="0" w:color="000000"/>
              <w:bottom w:val="single" w:sz="4" w:space="0" w:color="000000"/>
              <w:right w:val="single" w:sz="4" w:space="0" w:color="000000"/>
            </w:tcBorders>
          </w:tcPr>
          <w:p>
            <w:pPr>
              <w:pStyle w:val="TAL"/>
              <w:rPr/>
            </w:pPr>
            <w:r>
              <w:rPr/>
              <w:t>ECT</w:t>
            </w:r>
          </w:p>
        </w:tc>
        <w:tc>
          <w:tcPr>
            <w:tcW w:w="2697" w:type="dxa"/>
            <w:tcBorders>
              <w:top w:val="single" w:sz="4" w:space="0" w:color="000000"/>
              <w:left w:val="single" w:sz="4" w:space="0" w:color="000000"/>
              <w:bottom w:val="single" w:sz="4" w:space="0" w:color="000000"/>
              <w:right w:val="single" w:sz="4" w:space="0" w:color="000000"/>
            </w:tcBorders>
          </w:tcPr>
          <w:p>
            <w:pPr>
              <w:pStyle w:val="TAL"/>
              <w:rPr>
                <w:sz w:val="22"/>
                <w:szCs w:val="22"/>
              </w:rPr>
            </w:pPr>
            <w:r>
              <w:rPr/>
              <w:t>Explicit Call Transfer</w:t>
            </w:r>
          </w:p>
        </w:tc>
        <w:tc>
          <w:tcPr>
            <w:tcW w:w="2509" w:type="dxa"/>
            <w:tcBorders>
              <w:top w:val="single" w:sz="4" w:space="0" w:color="000000"/>
              <w:left w:val="single" w:sz="4" w:space="0" w:color="000000"/>
              <w:bottom w:val="single" w:sz="4" w:space="0" w:color="000000"/>
              <w:right w:val="single" w:sz="4" w:space="0" w:color="000000"/>
            </w:tcBorders>
          </w:tcPr>
          <w:p>
            <w:pPr>
              <w:pStyle w:val="TAC"/>
              <w:rPr/>
            </w:pPr>
            <w:r>
              <w:rPr/>
              <w:t>No</w:t>
            </w:r>
          </w:p>
        </w:tc>
      </w:tr>
      <w:tr>
        <w:trPr/>
        <w:tc>
          <w:tcPr>
            <w:tcW w:w="1167" w:type="dxa"/>
            <w:tcBorders>
              <w:top w:val="single" w:sz="4" w:space="0" w:color="000000"/>
              <w:left w:val="single" w:sz="4" w:space="0" w:color="000000"/>
              <w:bottom w:val="single" w:sz="4" w:space="0" w:color="000000"/>
              <w:right w:val="single" w:sz="4" w:space="0" w:color="000000"/>
            </w:tcBorders>
          </w:tcPr>
          <w:p>
            <w:pPr>
              <w:pStyle w:val="TAL"/>
              <w:rPr/>
            </w:pPr>
            <w:r>
              <w:rPr>
                <w:rFonts w:eastAsia="Arial"/>
                <w:sz w:val="14"/>
              </w:rPr>
              <w:t xml:space="preserve"> </w:t>
            </w:r>
            <w:r>
              <w:rPr/>
              <w:t>CCBS</w:t>
            </w:r>
          </w:p>
        </w:tc>
        <w:tc>
          <w:tcPr>
            <w:tcW w:w="2697" w:type="dxa"/>
            <w:tcBorders>
              <w:top w:val="single" w:sz="4" w:space="0" w:color="000000"/>
              <w:left w:val="single" w:sz="4" w:space="0" w:color="000000"/>
              <w:bottom w:val="single" w:sz="4" w:space="0" w:color="000000"/>
              <w:right w:val="single" w:sz="4" w:space="0" w:color="000000"/>
            </w:tcBorders>
          </w:tcPr>
          <w:p>
            <w:pPr>
              <w:pStyle w:val="TAL"/>
              <w:rPr>
                <w:sz w:val="22"/>
                <w:szCs w:val="22"/>
              </w:rPr>
            </w:pPr>
            <w:r>
              <w:rPr/>
              <w:t>Completion of calls to busy subscribers</w:t>
            </w:r>
          </w:p>
        </w:tc>
        <w:tc>
          <w:tcPr>
            <w:tcW w:w="2509" w:type="dxa"/>
            <w:tcBorders>
              <w:top w:val="single" w:sz="4" w:space="0" w:color="000000"/>
              <w:left w:val="single" w:sz="4" w:space="0" w:color="000000"/>
              <w:bottom w:val="single" w:sz="4" w:space="0" w:color="000000"/>
              <w:right w:val="single" w:sz="4" w:space="0" w:color="000000"/>
            </w:tcBorders>
          </w:tcPr>
          <w:p>
            <w:pPr>
              <w:pStyle w:val="TAC"/>
              <w:rPr/>
            </w:pPr>
            <w:r>
              <w:rPr/>
              <w:t>Yes</w:t>
            </w:r>
          </w:p>
        </w:tc>
      </w:tr>
      <w:tr>
        <w:trPr/>
        <w:tc>
          <w:tcPr>
            <w:tcW w:w="1167" w:type="dxa"/>
            <w:tcBorders>
              <w:top w:val="single" w:sz="4" w:space="0" w:color="000000"/>
              <w:left w:val="single" w:sz="4" w:space="0" w:color="000000"/>
              <w:bottom w:val="single" w:sz="4" w:space="0" w:color="000000"/>
              <w:right w:val="single" w:sz="4" w:space="0" w:color="000000"/>
            </w:tcBorders>
          </w:tcPr>
          <w:p>
            <w:pPr>
              <w:pStyle w:val="TAL"/>
              <w:rPr>
                <w:sz w:val="14"/>
              </w:rPr>
            </w:pPr>
            <w:r>
              <w:rPr/>
              <w:t>SPNP</w:t>
            </w:r>
          </w:p>
        </w:tc>
        <w:tc>
          <w:tcPr>
            <w:tcW w:w="2697" w:type="dxa"/>
            <w:tcBorders>
              <w:top w:val="single" w:sz="4" w:space="0" w:color="000000"/>
              <w:left w:val="single" w:sz="4" w:space="0" w:color="000000"/>
              <w:bottom w:val="single" w:sz="4" w:space="0" w:color="000000"/>
              <w:right w:val="single" w:sz="4" w:space="0" w:color="000000"/>
            </w:tcBorders>
          </w:tcPr>
          <w:p>
            <w:pPr>
              <w:pStyle w:val="TAL"/>
              <w:rPr>
                <w:sz w:val="22"/>
                <w:szCs w:val="22"/>
              </w:rPr>
            </w:pPr>
            <w:r>
              <w:rPr/>
              <w:t>Support of Private Numbering Plan</w:t>
            </w:r>
          </w:p>
        </w:tc>
        <w:tc>
          <w:tcPr>
            <w:tcW w:w="2509" w:type="dxa"/>
            <w:tcBorders>
              <w:top w:val="single" w:sz="4" w:space="0" w:color="000000"/>
              <w:left w:val="single" w:sz="4" w:space="0" w:color="000000"/>
              <w:bottom w:val="single" w:sz="4" w:space="0" w:color="000000"/>
              <w:right w:val="single" w:sz="4" w:space="0" w:color="000000"/>
            </w:tcBorders>
          </w:tcPr>
          <w:p>
            <w:pPr>
              <w:pStyle w:val="TAC"/>
              <w:rPr/>
            </w:pPr>
            <w:r>
              <w:rPr/>
              <w:t>Yes</w:t>
            </w:r>
          </w:p>
        </w:tc>
      </w:tr>
      <w:tr>
        <w:trPr/>
        <w:tc>
          <w:tcPr>
            <w:tcW w:w="1167" w:type="dxa"/>
            <w:tcBorders>
              <w:top w:val="single" w:sz="4" w:space="0" w:color="000000"/>
              <w:left w:val="single" w:sz="4" w:space="0" w:color="000000"/>
              <w:bottom w:val="single" w:sz="4" w:space="0" w:color="000000"/>
              <w:right w:val="single" w:sz="4" w:space="0" w:color="000000"/>
            </w:tcBorders>
          </w:tcPr>
          <w:p>
            <w:pPr>
              <w:pStyle w:val="TAL"/>
              <w:rPr/>
            </w:pPr>
            <w:r>
              <w:rPr/>
              <w:t>CNAP</w:t>
            </w:r>
          </w:p>
        </w:tc>
        <w:tc>
          <w:tcPr>
            <w:tcW w:w="2697" w:type="dxa"/>
            <w:tcBorders>
              <w:top w:val="single" w:sz="4" w:space="0" w:color="000000"/>
              <w:left w:val="single" w:sz="4" w:space="0" w:color="000000"/>
              <w:bottom w:val="single" w:sz="4" w:space="0" w:color="000000"/>
              <w:right w:val="single" w:sz="4" w:space="0" w:color="000000"/>
            </w:tcBorders>
          </w:tcPr>
          <w:p>
            <w:pPr>
              <w:pStyle w:val="TAL"/>
              <w:rPr>
                <w:sz w:val="22"/>
                <w:szCs w:val="22"/>
              </w:rPr>
            </w:pPr>
            <w:r>
              <w:rPr/>
              <w:t>Calling Name Presentation</w:t>
            </w:r>
          </w:p>
        </w:tc>
        <w:tc>
          <w:tcPr>
            <w:tcW w:w="2509" w:type="dxa"/>
            <w:tcBorders>
              <w:top w:val="single" w:sz="4" w:space="0" w:color="000000"/>
              <w:left w:val="single" w:sz="4" w:space="0" w:color="000000"/>
              <w:bottom w:val="single" w:sz="4" w:space="0" w:color="000000"/>
              <w:right w:val="single" w:sz="4" w:space="0" w:color="000000"/>
            </w:tcBorders>
          </w:tcPr>
          <w:p>
            <w:pPr>
              <w:pStyle w:val="TAC"/>
              <w:rPr/>
            </w:pPr>
            <w:r>
              <w:rPr/>
              <w:t>No</w:t>
            </w:r>
          </w:p>
        </w:tc>
      </w:tr>
      <w:tr>
        <w:trPr/>
        <w:tc>
          <w:tcPr>
            <w:tcW w:w="1167" w:type="dxa"/>
            <w:tcBorders>
              <w:top w:val="single" w:sz="4" w:space="0" w:color="000000"/>
              <w:left w:val="single" w:sz="4" w:space="0" w:color="000000"/>
              <w:bottom w:val="single" w:sz="4" w:space="0" w:color="000000"/>
              <w:right w:val="single" w:sz="4" w:space="0" w:color="000000"/>
            </w:tcBorders>
          </w:tcPr>
          <w:p>
            <w:pPr>
              <w:pStyle w:val="TAL"/>
              <w:rPr/>
            </w:pPr>
            <w:r>
              <w:rPr/>
              <w:t>MSP</w:t>
            </w:r>
          </w:p>
        </w:tc>
        <w:tc>
          <w:tcPr>
            <w:tcW w:w="2697" w:type="dxa"/>
            <w:tcBorders>
              <w:top w:val="single" w:sz="4" w:space="0" w:color="000000"/>
              <w:left w:val="single" w:sz="4" w:space="0" w:color="000000"/>
              <w:bottom w:val="single" w:sz="4" w:space="0" w:color="000000"/>
              <w:right w:val="single" w:sz="4" w:space="0" w:color="000000"/>
            </w:tcBorders>
          </w:tcPr>
          <w:p>
            <w:pPr>
              <w:pStyle w:val="TAL"/>
              <w:rPr/>
            </w:pPr>
            <w:r>
              <w:rPr/>
              <w:t>Multiple Subscriber Profiles</w:t>
            </w:r>
          </w:p>
        </w:tc>
        <w:tc>
          <w:tcPr>
            <w:tcW w:w="2509" w:type="dxa"/>
            <w:tcBorders>
              <w:top w:val="single" w:sz="4" w:space="0" w:color="000000"/>
              <w:left w:val="single" w:sz="4" w:space="0" w:color="000000"/>
              <w:bottom w:val="single" w:sz="4" w:space="0" w:color="000000"/>
              <w:right w:val="single" w:sz="4" w:space="0" w:color="000000"/>
            </w:tcBorders>
          </w:tcPr>
          <w:p>
            <w:pPr>
              <w:pStyle w:val="TAC"/>
              <w:rPr/>
            </w:pPr>
            <w:r>
              <w:rPr/>
              <w:t>Yes</w:t>
            </w:r>
          </w:p>
        </w:tc>
      </w:tr>
      <w:tr>
        <w:trPr/>
        <w:tc>
          <w:tcPr>
            <w:tcW w:w="1167" w:type="dxa"/>
            <w:tcBorders>
              <w:top w:val="single" w:sz="4" w:space="0" w:color="000000"/>
              <w:left w:val="single" w:sz="4" w:space="0" w:color="000000"/>
              <w:bottom w:val="single" w:sz="4" w:space="0" w:color="000000"/>
              <w:right w:val="single" w:sz="4" w:space="0" w:color="000000"/>
            </w:tcBorders>
          </w:tcPr>
          <w:p>
            <w:pPr>
              <w:pStyle w:val="TAL"/>
              <w:rPr/>
            </w:pPr>
            <w:r>
              <w:rPr/>
              <w:t>MC</w:t>
            </w:r>
          </w:p>
        </w:tc>
        <w:tc>
          <w:tcPr>
            <w:tcW w:w="2697" w:type="dxa"/>
            <w:tcBorders>
              <w:top w:val="single" w:sz="4" w:space="0" w:color="000000"/>
              <w:left w:val="single" w:sz="4" w:space="0" w:color="000000"/>
              <w:bottom w:val="single" w:sz="4" w:space="0" w:color="000000"/>
              <w:right w:val="single" w:sz="4" w:space="0" w:color="000000"/>
            </w:tcBorders>
          </w:tcPr>
          <w:p>
            <w:pPr>
              <w:pStyle w:val="TAL"/>
              <w:rPr>
                <w:sz w:val="22"/>
                <w:szCs w:val="22"/>
              </w:rPr>
            </w:pPr>
            <w:r>
              <w:rPr/>
              <w:t>Multicall</w:t>
            </w:r>
          </w:p>
        </w:tc>
        <w:tc>
          <w:tcPr>
            <w:tcW w:w="2509" w:type="dxa"/>
            <w:tcBorders>
              <w:top w:val="single" w:sz="4" w:space="0" w:color="000000"/>
              <w:left w:val="single" w:sz="4" w:space="0" w:color="000000"/>
              <w:bottom w:val="single" w:sz="4" w:space="0" w:color="000000"/>
              <w:right w:val="single" w:sz="4" w:space="0" w:color="000000"/>
            </w:tcBorders>
          </w:tcPr>
          <w:p>
            <w:pPr>
              <w:pStyle w:val="TAC"/>
              <w:rPr/>
            </w:pPr>
            <w:r>
              <w:rPr/>
              <w:t>Yes</w:t>
            </w:r>
          </w:p>
        </w:tc>
      </w:tr>
    </w:tbl>
    <w:p>
      <w:pPr>
        <w:pStyle w:val="Normal"/>
        <w:rPr>
          <w:sz w:val="22"/>
          <w:szCs w:val="22"/>
          <w:lang w:eastAsia="ja-JP"/>
        </w:rPr>
      </w:pPr>
      <w:r>
        <w:rPr>
          <w:sz w:val="22"/>
          <w:szCs w:val="22"/>
          <w:lang w:eastAsia="ja-JP"/>
        </w:rPr>
      </w:r>
    </w:p>
    <w:p>
      <w:pPr>
        <w:pStyle w:val="Heading1"/>
        <w:ind w:left="1134" w:hanging="1134"/>
        <w:rPr/>
      </w:pPr>
      <w:bookmarkStart w:id="15" w:name="__RefHeading___Toc217730764"/>
      <w:bookmarkEnd w:id="15"/>
      <w:r>
        <w:rPr/>
        <w:t>5</w:t>
        <w:tab/>
        <w:t>Requirements for videotelephony service</w:t>
      </w:r>
    </w:p>
    <w:p>
      <w:pPr>
        <w:pStyle w:val="Heading2"/>
        <w:rPr/>
      </w:pPr>
      <w:bookmarkStart w:id="16" w:name="__RefHeading___Toc217730765"/>
      <w:bookmarkEnd w:id="16"/>
      <w:r>
        <w:rPr/>
        <w:t>5.1</w:t>
        <w:tab/>
        <w:t>Charging</w:t>
      </w:r>
    </w:p>
    <w:p>
      <w:pPr>
        <w:pStyle w:val="Normal"/>
        <w:rPr/>
      </w:pPr>
      <w:r>
        <w:rPr/>
        <w:t>It should be possible for the network to identify when a videotelephony is established so that accurate charging can be realised. All the events related to the videotelephony call such as modifications of the service type</w:t>
      </w:r>
      <w:r>
        <w:rPr>
          <w:lang w:eastAsia="ja-JP"/>
        </w:rPr>
        <w:t xml:space="preserve"> (e.g. speech call to videotelephony call modification, fall back to speech)</w:t>
      </w:r>
      <w:r>
        <w:rPr/>
        <w:t>, modification of the codecs and so on should be recorded.</w:t>
      </w:r>
    </w:p>
    <w:p>
      <w:pPr>
        <w:pStyle w:val="Heading2"/>
        <w:rPr/>
      </w:pPr>
      <w:bookmarkStart w:id="17" w:name="__RefHeading___Toc217730766"/>
      <w:bookmarkEnd w:id="17"/>
      <w:r>
        <w:rPr/>
        <w:t>5.2</w:t>
        <w:tab/>
        <w:t>Codec negotiation</w:t>
      </w:r>
    </w:p>
    <w:p>
      <w:pPr>
        <w:pStyle w:val="Normal"/>
        <w:rPr/>
      </w:pPr>
      <w:r>
        <w:rPr>
          <w:lang w:eastAsia="ja-JP"/>
        </w:rPr>
        <w:t>I</w:t>
      </w:r>
      <w:r>
        <w:rPr/>
        <w:t xml:space="preserve">t should be possible for terminals to </w:t>
      </w:r>
      <w:r>
        <w:rPr>
          <w:lang w:eastAsia="ja-JP"/>
        </w:rPr>
        <w:t xml:space="preserve">perform codec </w:t>
      </w:r>
      <w:r>
        <w:rPr/>
        <w:t>negotiat</w:t>
      </w:r>
      <w:r>
        <w:rPr>
          <w:lang w:eastAsia="ja-JP"/>
        </w:rPr>
        <w:t xml:space="preserve">ion during videotelephony </w:t>
      </w:r>
      <w:r>
        <w:rPr/>
        <w:t>call</w:t>
      </w:r>
      <w:r>
        <w:rPr>
          <w:lang w:eastAsia="ja-JP"/>
        </w:rPr>
        <w:t xml:space="preserve"> set up</w:t>
      </w:r>
      <w:r>
        <w:rPr/>
        <w:t>.</w:t>
      </w:r>
      <w:r>
        <w:rPr>
          <w:lang w:eastAsia="ja-JP"/>
        </w:rPr>
        <w:t xml:space="preserve"> This should result in </w:t>
      </w:r>
      <w:r>
        <w:rPr>
          <w:lang w:eastAsia="ja-JP"/>
        </w:rPr>
        <w:t>reduced</w:t>
      </w:r>
      <w:r>
        <w:rPr>
          <w:lang w:eastAsia="ja-JP"/>
        </w:rPr>
        <w:t xml:space="preserve"> call set up time for videotelephony calls and may allow</w:t>
      </w:r>
      <w:r>
        <w:rPr/>
        <w:t xml:space="preserve"> new and more efficient video codecs </w:t>
      </w:r>
      <w:r>
        <w:rPr>
          <w:lang w:eastAsia="ja-JP"/>
        </w:rPr>
        <w:t xml:space="preserve">to be </w:t>
      </w:r>
      <w:r>
        <w:rPr/>
        <w:t xml:space="preserve">introduced </w:t>
      </w:r>
      <w:r>
        <w:rPr>
          <w:lang w:eastAsia="ja-JP"/>
        </w:rPr>
        <w:t>easily with</w:t>
      </w:r>
      <w:r>
        <w:rPr/>
        <w:t>in mobile networks</w:t>
      </w:r>
      <w:r>
        <w:rPr>
          <w:lang w:eastAsia="ja-JP"/>
        </w:rPr>
        <w:t>.</w:t>
      </w:r>
      <w:r>
        <w:rPr/>
        <w:t xml:space="preserve"> This should be realised in the same fashion as speech </w:t>
      </w:r>
      <w:r>
        <w:rPr>
          <w:lang w:eastAsia="ja-JP"/>
        </w:rPr>
        <w:t xml:space="preserve">call </w:t>
      </w:r>
      <w:r>
        <w:rPr/>
        <w:t xml:space="preserve">where the calling terminal presents to the recipient a list of supported codecs alongside the preferred one. </w:t>
      </w:r>
    </w:p>
    <w:p>
      <w:pPr>
        <w:pStyle w:val="Heading2"/>
        <w:rPr/>
      </w:pPr>
      <w:bookmarkStart w:id="18" w:name="__RefHeading___Toc217730767"/>
      <w:bookmarkEnd w:id="18"/>
      <w:r>
        <w:rPr/>
        <w:t>5.3</w:t>
        <w:tab/>
        <w:t>Security</w:t>
      </w:r>
    </w:p>
    <w:p>
      <w:pPr>
        <w:pStyle w:val="Normal"/>
        <w:rPr/>
      </w:pPr>
      <w:r>
        <w:rPr/>
        <w:t xml:space="preserve">The user shall be able to use and access the VT service in a secure manner. </w:t>
      </w:r>
      <w:r>
        <w:rPr>
          <w:lang w:val="en-US"/>
        </w:rPr>
        <w:t xml:space="preserve">It shall be possible to deny access to the VT service to unauthorized users. An authorization may be based on the identity of the originating and/or destination user/device. </w:t>
      </w:r>
    </w:p>
    <w:p>
      <w:pPr>
        <w:pStyle w:val="Normal"/>
        <w:rPr/>
      </w:pPr>
      <w:r>
        <w:rPr/>
        <w:t>The "Security Threats and Requirements" specified in [6] shall not be compromised.</w:t>
      </w:r>
    </w:p>
    <w:p>
      <w:pPr>
        <w:pStyle w:val="Heading2"/>
        <w:rPr/>
      </w:pPr>
      <w:bookmarkStart w:id="19" w:name="__RefHeading___Toc217730768"/>
      <w:bookmarkEnd w:id="19"/>
      <w:r>
        <w:rPr/>
        <w:t>5.4</w:t>
        <w:tab/>
        <w:t>Privacy</w:t>
      </w:r>
    </w:p>
    <w:p>
      <w:pPr>
        <w:pStyle w:val="Normal"/>
        <w:rPr/>
      </w:pPr>
      <w:r>
        <w:rPr/>
        <w:t xml:space="preserve">It shall be possible to prevent exchange of user’s identity during call setup (e.g., by using CLIR/COLR). In addition, to protect user privacy it shall be possible to: </w:t>
      </w:r>
    </w:p>
    <w:p>
      <w:pPr>
        <w:pStyle w:val="B1"/>
        <w:rPr/>
      </w:pPr>
      <w:r>
        <w:rPr/>
        <w:t>- enable/disable video camera during the call.</w:t>
      </w:r>
    </w:p>
    <w:p>
      <w:pPr>
        <w:pStyle w:val="B1"/>
        <w:rPr/>
      </w:pPr>
      <w:r>
        <w:rPr/>
        <w:t>- accept a video call in audio mode only.</w:t>
      </w:r>
    </w:p>
    <w:p>
      <w:pPr>
        <w:pStyle w:val="B1"/>
        <w:rPr/>
      </w:pPr>
      <w:r>
        <w:rPr/>
        <w:t>- enable/disable audio during the call (mute/unmute).</w:t>
      </w:r>
    </w:p>
    <w:p>
      <w:pPr>
        <w:pStyle w:val="Normal"/>
        <w:rPr/>
      </w:pPr>
      <w:r>
        <w:rPr/>
        <w:t>A recipient shall be informed of the identity of the sender in case the sender has not restricted his identity to be transmitted.</w:t>
      </w:r>
    </w:p>
    <w:p>
      <w:pPr>
        <w:pStyle w:val="Normal"/>
        <w:rPr/>
      </w:pPr>
      <w:r>
        <w:rPr/>
        <w:t xml:space="preserve">Optional support for ciphering user audio/video/data sessions should be considered.  </w:t>
      </w:r>
    </w:p>
    <w:p>
      <w:pPr>
        <w:pStyle w:val="NO"/>
        <w:rPr/>
      </w:pPr>
      <w:r>
        <w:rPr/>
        <w:t xml:space="preserve">Note: </w:t>
        <w:tab/>
        <w:t>this may be in conflict with lawful intercept if the encrypting in this case is user to user and the network is not able to recover the keys.</w:t>
      </w:r>
    </w:p>
    <w:p>
      <w:pPr>
        <w:pStyle w:val="Heading2"/>
        <w:rPr/>
      </w:pPr>
      <w:bookmarkStart w:id="20" w:name="__RefHeading___Toc217730769"/>
      <w:bookmarkEnd w:id="20"/>
      <w:r>
        <w:rPr/>
        <w:t>5.5</w:t>
        <w:tab/>
        <w:t>Supplementary service support</w:t>
      </w:r>
    </w:p>
    <w:p>
      <w:pPr>
        <w:pStyle w:val="Normal"/>
        <w:rPr/>
      </w:pPr>
      <w:r>
        <w:rPr/>
        <w:t>At least the following supplementary services should be supported for videotelephony, which are already available for BS30:</w:t>
      </w:r>
    </w:p>
    <w:p>
      <w:pPr>
        <w:pStyle w:val="B1"/>
        <w:rPr/>
      </w:pPr>
      <w:r>
        <w:rPr/>
        <w:t>-</w:t>
        <w:tab/>
        <w:t>eMLPP (enhanced Multi-Level Precedence and Pre-emption)</w:t>
      </w:r>
    </w:p>
    <w:p>
      <w:pPr>
        <w:pStyle w:val="B1"/>
        <w:rPr/>
      </w:pPr>
      <w:r>
        <w:rPr/>
        <w:t>-</w:t>
        <w:tab/>
        <w:t>CD (Call Delfection)</w:t>
      </w:r>
    </w:p>
    <w:p>
      <w:pPr>
        <w:pStyle w:val="B1"/>
        <w:rPr/>
      </w:pPr>
      <w:r>
        <w:rPr/>
        <w:t>-</w:t>
        <w:tab/>
        <w:t>CLIP (Calling Line Identification Presentation)</w:t>
      </w:r>
    </w:p>
    <w:p>
      <w:pPr>
        <w:pStyle w:val="B1"/>
        <w:rPr/>
      </w:pPr>
      <w:r>
        <w:rPr/>
        <w:t>-</w:t>
        <w:tab/>
        <w:t>CLIR (Calling Line Identification Restriction)</w:t>
      </w:r>
    </w:p>
    <w:p>
      <w:pPr>
        <w:pStyle w:val="B1"/>
        <w:rPr/>
      </w:pPr>
      <w:r>
        <w:rPr/>
        <w:t>-</w:t>
        <w:tab/>
        <w:t>COLP (Connected Line Identification Presentation)</w:t>
      </w:r>
    </w:p>
    <w:p>
      <w:pPr>
        <w:pStyle w:val="B1"/>
        <w:rPr/>
      </w:pPr>
      <w:r>
        <w:rPr/>
        <w:t>-</w:t>
        <w:tab/>
        <w:t>COLR (Connected Line Identification Restriction)</w:t>
      </w:r>
    </w:p>
    <w:p>
      <w:pPr>
        <w:pStyle w:val="B1"/>
        <w:rPr/>
      </w:pPr>
      <w:r>
        <w:rPr/>
        <w:t>-</w:t>
        <w:tab/>
        <w:t>all the call forwarding types (CFU, CFB, CFNRy, CFNRc)</w:t>
      </w:r>
    </w:p>
    <w:p>
      <w:pPr>
        <w:pStyle w:val="B1"/>
        <w:rPr>
          <w:lang w:eastAsia="ja-JP"/>
        </w:rPr>
      </w:pPr>
      <w:r>
        <w:rPr/>
        <w:t>-</w:t>
        <w:tab/>
        <w:t>- CW (Call Waiting)</w:t>
      </w:r>
    </w:p>
    <w:p>
      <w:pPr>
        <w:pStyle w:val="B1"/>
        <w:rPr/>
      </w:pPr>
      <w:r>
        <w:rPr/>
        <w:t>-</w:t>
        <w:tab/>
        <w:t>CUG (Closed User Group)</w:t>
      </w:r>
    </w:p>
    <w:p>
      <w:pPr>
        <w:pStyle w:val="B1"/>
        <w:rPr/>
      </w:pPr>
      <w:r>
        <w:rPr/>
        <w:t>-</w:t>
        <w:tab/>
        <w:t>AoCI (Advice of Charge Information) and AoCC (Advice of Charge Charging)</w:t>
      </w:r>
    </w:p>
    <w:p>
      <w:pPr>
        <w:pStyle w:val="B1"/>
        <w:rPr/>
      </w:pPr>
      <w:r>
        <w:rPr/>
        <w:t>-</w:t>
        <w:tab/>
        <w:t>UUS (User-to-user signalling)</w:t>
      </w:r>
    </w:p>
    <w:p>
      <w:pPr>
        <w:pStyle w:val="B1"/>
        <w:rPr/>
      </w:pPr>
      <w:r>
        <w:rPr/>
        <w:t>-</w:t>
        <w:tab/>
        <w:t>all types of barring (BAOC, BOIC, BOIC -exHC, BIC, BIC-Roam)</w:t>
      </w:r>
    </w:p>
    <w:p>
      <w:pPr>
        <w:pStyle w:val="B1"/>
        <w:rPr/>
      </w:pPr>
      <w:r>
        <w:rPr/>
        <w:t>-</w:t>
        <w:tab/>
        <w:t>CCBS (Call Completion to Busy Subscriber)</w:t>
      </w:r>
    </w:p>
    <w:p>
      <w:pPr>
        <w:pStyle w:val="B1"/>
        <w:rPr/>
      </w:pPr>
      <w:r>
        <w:rPr/>
        <w:t>-</w:t>
        <w:tab/>
        <w:t>SPNP (Support of Private Numbering Plan)</w:t>
      </w:r>
    </w:p>
    <w:p>
      <w:pPr>
        <w:pStyle w:val="B1"/>
        <w:rPr/>
      </w:pPr>
      <w:r>
        <w:rPr/>
        <w:t>-</w:t>
        <w:tab/>
        <w:t>MSP (Multiple Subscriber Profiles)</w:t>
      </w:r>
    </w:p>
    <w:p>
      <w:pPr>
        <w:pStyle w:val="B1"/>
        <w:rPr/>
      </w:pPr>
      <w:r>
        <w:rPr/>
        <w:t>-</w:t>
        <w:tab/>
        <w:t>MC (Multicall)</w:t>
      </w:r>
    </w:p>
    <w:p>
      <w:pPr>
        <w:pStyle w:val="Normal"/>
        <w:rPr>
          <w:lang w:eastAsia="ja-JP"/>
        </w:rPr>
      </w:pPr>
      <w:r>
        <w:rPr>
          <w:lang w:eastAsia="ja-JP"/>
        </w:rPr>
        <w:t>Furthermore following supplementary services should be supported:</w:t>
      </w:r>
    </w:p>
    <w:p>
      <w:pPr>
        <w:pStyle w:val="B1"/>
        <w:rPr/>
      </w:pPr>
      <w:r>
        <w:rPr>
          <w:lang w:eastAsia="ja-JP"/>
        </w:rPr>
        <w:t>-</w:t>
        <w:tab/>
        <w:t xml:space="preserve">HOLD: </w:t>
      </w:r>
    </w:p>
    <w:p>
      <w:pPr>
        <w:pStyle w:val="B1"/>
        <w:rPr/>
      </w:pPr>
      <w:r>
        <w:rPr>
          <w:lang w:eastAsia="ja-JP"/>
        </w:rPr>
        <w:t>-</w:t>
        <w:tab/>
        <w:t>CNAP (calling name presentation)</w:t>
      </w:r>
    </w:p>
    <w:p>
      <w:pPr>
        <w:pStyle w:val="Normal"/>
        <w:rPr/>
      </w:pPr>
      <w:r>
        <w:rPr/>
        <w:t xml:space="preserve">The support of multiparty is for further study. </w:t>
      </w:r>
    </w:p>
    <w:p>
      <w:pPr>
        <w:pStyle w:val="Heading2"/>
        <w:rPr/>
      </w:pPr>
      <w:bookmarkStart w:id="21" w:name="__RefHeading___Toc217730770"/>
      <w:bookmarkEnd w:id="21"/>
      <w:r>
        <w:rPr/>
        <w:t>5.6</w:t>
        <w:tab/>
        <w:t>Fall back to speech and in-call modification</w:t>
      </w:r>
    </w:p>
    <w:p>
      <w:pPr>
        <w:pStyle w:val="Normal"/>
        <w:rPr/>
      </w:pPr>
      <w:r>
        <w:rPr/>
        <w:t xml:space="preserve">When the </w:t>
      </w:r>
      <w:r>
        <w:rPr>
          <w:lang w:eastAsia="ja-JP"/>
        </w:rPr>
        <w:t xml:space="preserve">radio access </w:t>
      </w:r>
      <w:r>
        <w:rPr/>
        <w:t xml:space="preserve">network of the calling party or of the called party cannot support any longer the video media, </w:t>
      </w:r>
      <w:r>
        <w:rPr>
          <w:lang w:eastAsia="ja-JP"/>
        </w:rPr>
        <w:t xml:space="preserve">or the interconnection between networks does not or no longer support videotelephony, </w:t>
      </w:r>
      <w:r>
        <w:rPr/>
        <w:t xml:space="preserve">the videotelephony call should be downgraded to a speech call. The transition from videotelephony to speech should be realised with minimum (ideally without) interruptions. </w:t>
      </w:r>
    </w:p>
    <w:p>
      <w:pPr>
        <w:pStyle w:val="Normal"/>
        <w:rPr/>
      </w:pPr>
      <w:r>
        <w:rPr/>
        <w:t>When the videotelephony call can be supported again the downgraded call, i.e.the speech call, may be upgraded to a videotelephony call. The transition from speech to videotelephony should be realised with minimum (ideally without) interruptions.</w:t>
      </w:r>
    </w:p>
    <w:p>
      <w:pPr>
        <w:pStyle w:val="Normal"/>
        <w:rPr/>
      </w:pPr>
      <w:r>
        <w:rPr/>
        <w:t xml:space="preserve">The fall back from videotelephony to speech and the upgrade from speech to videotelephony should be supported when </w:t>
      </w:r>
      <w:r>
        <w:rPr>
          <w:lang w:eastAsia="ja-JP"/>
        </w:rPr>
        <w:t xml:space="preserve">requested by </w:t>
      </w:r>
      <w:r>
        <w:rPr/>
        <w:t>either part</w:t>
      </w:r>
      <w:r>
        <w:rPr>
          <w:lang w:eastAsia="ja-JP"/>
        </w:rPr>
        <w:t>y</w:t>
      </w:r>
      <w:r>
        <w:rPr/>
        <w:t xml:space="preserve">. </w:t>
      </w:r>
    </w:p>
    <w:p>
      <w:pPr>
        <w:pStyle w:val="Normal"/>
        <w:rPr/>
      </w:pPr>
      <w:r>
        <w:rPr/>
        <w:t xml:space="preserve">The user should be able to deny a service change from speech to videotelephony. </w:t>
      </w:r>
    </w:p>
    <w:p>
      <w:pPr>
        <w:pStyle w:val="Normal"/>
        <w:rPr>
          <w:lang w:eastAsia="ja-JP"/>
        </w:rPr>
      </w:pPr>
      <w:r>
        <w:rPr/>
        <w:t xml:space="preserve">It should be possible to accept a videotelephony call with downgrading to speech, which means the user should be able to request a downgrade of an incoming videotelephony call before the call is answered resulting in establishing a speech call only. </w:t>
      </w:r>
    </w:p>
    <w:p>
      <w:pPr>
        <w:pStyle w:val="Heading2"/>
        <w:rPr/>
      </w:pPr>
      <w:bookmarkStart w:id="22" w:name="__RefHeading___Toc217730771"/>
      <w:bookmarkEnd w:id="22"/>
      <w:r>
        <w:rPr/>
        <w:t>5.7</w:t>
        <w:tab/>
        <w:t>Subscription</w:t>
      </w:r>
    </w:p>
    <w:p>
      <w:pPr>
        <w:pStyle w:val="Normal"/>
        <w:rPr/>
      </w:pPr>
      <w:r>
        <w:rPr/>
        <w:t>It should be possible for the mobile operator to control the access to the videotelephony service by means of a subscription to the service.</w:t>
      </w:r>
    </w:p>
    <w:p>
      <w:pPr>
        <w:pStyle w:val="Heading2"/>
        <w:rPr>
          <w:lang w:eastAsia="ja-JP"/>
        </w:rPr>
      </w:pPr>
      <w:bookmarkStart w:id="23" w:name="__RefHeading___Toc217730772"/>
      <w:bookmarkEnd w:id="23"/>
      <w:r>
        <w:rPr/>
        <w:t>5</w:t>
      </w:r>
      <w:r>
        <w:rPr/>
        <w:t>.8</w:t>
        <w:tab/>
        <w:t>Handover</w:t>
      </w:r>
    </w:p>
    <w:p>
      <w:pPr>
        <w:pStyle w:val="Normal"/>
        <w:rPr>
          <w:lang w:eastAsia="ja-JP"/>
        </w:rPr>
      </w:pPr>
      <w:r>
        <w:rPr>
          <w:lang w:eastAsia="ja-JP"/>
        </w:rPr>
        <w:t>Inter-system handover between UMTS and GSM is not supported for 64 kbps UDI calls. In the</w:t>
      </w:r>
      <w:r>
        <w:rPr>
          <w:lang w:eastAsia="ja-JP"/>
        </w:rPr>
        <w:t xml:space="preserve"> </w:t>
      </w:r>
      <w:r>
        <w:rPr>
          <w:lang w:eastAsia="ja-JP"/>
        </w:rPr>
        <w:t>case of a user moving out of 3G coverage, the video call will be released. The user has to</w:t>
      </w:r>
      <w:r>
        <w:rPr>
          <w:lang w:eastAsia="ja-JP"/>
        </w:rPr>
        <w:t xml:space="preserve"> </w:t>
      </w:r>
      <w:r>
        <w:rPr>
          <w:lang w:eastAsia="ja-JP"/>
        </w:rPr>
        <w:t>establish a voice call either manually or the handset provides a voice call set up automatically. In</w:t>
      </w:r>
      <w:r>
        <w:rPr>
          <w:lang w:eastAsia="ja-JP"/>
        </w:rPr>
        <w:t xml:space="preserve"> </w:t>
      </w:r>
      <w:r>
        <w:rPr>
          <w:lang w:eastAsia="ja-JP"/>
        </w:rPr>
        <w:t>the early days of UMTS this is an especially likely scenario. Therefore, the handover from 3G to 2G</w:t>
      </w:r>
      <w:r>
        <w:rPr>
          <w:lang w:eastAsia="ja-JP"/>
        </w:rPr>
        <w:t xml:space="preserve"> </w:t>
      </w:r>
      <w:r>
        <w:rPr>
          <w:lang w:eastAsia="ja-JP"/>
        </w:rPr>
        <w:t>linked with a downgrade from video to voice is a desirable functionality.</w:t>
      </w:r>
    </w:p>
    <w:p>
      <w:pPr>
        <w:pStyle w:val="Normal"/>
        <w:rPr>
          <w:lang w:eastAsia="ja-JP"/>
        </w:rPr>
      </w:pPr>
      <w:r>
        <w:rPr>
          <w:lang w:eastAsia="ja-JP"/>
        </w:rPr>
        <w:t xml:space="preserve">Handover of </w:t>
      </w:r>
      <w:r>
        <w:rPr>
          <w:lang w:eastAsia="ja-JP"/>
        </w:rPr>
        <w:t>VT</w:t>
      </w:r>
      <w:r>
        <w:rPr>
          <w:lang w:eastAsia="ja-JP"/>
        </w:rPr>
        <w:t xml:space="preserve"> between UMTS and I-</w:t>
      </w:r>
      <w:r>
        <w:rPr>
          <w:lang w:eastAsia="ja-JP"/>
        </w:rPr>
        <w:t>WLAN should be available if the network is available and if the terminal has this functionality</w:t>
      </w:r>
      <w:r>
        <w:rPr>
          <w:lang w:eastAsia="ja-JP"/>
        </w:rPr>
        <w:t>.</w:t>
      </w:r>
    </w:p>
    <w:p>
      <w:pPr>
        <w:pStyle w:val="Heading2"/>
        <w:rPr/>
      </w:pPr>
      <w:bookmarkStart w:id="24" w:name="__RefHeading___Toc217730773"/>
      <w:bookmarkEnd w:id="24"/>
      <w:r>
        <w:rPr/>
        <w:t>5.9</w:t>
        <w:tab/>
        <w:t>Emergency calls support</w:t>
      </w:r>
    </w:p>
    <w:p>
      <w:pPr>
        <w:pStyle w:val="Normal"/>
        <w:rPr>
          <w:lang w:eastAsia="ja-JP"/>
        </w:rPr>
      </w:pPr>
      <w:r>
        <w:rPr>
          <w:lang w:eastAsia="ja-JP"/>
        </w:rPr>
        <w:t>The capability of establishing a videotelephony call towards an emergency number should not be mandatory. If a user attempts to establish a videotelephony call to an emergency service, which is not equipped to handle video telephony calls, the UE or the network should be able to transform it to an emergency speech call (TS12) set up request.</w:t>
      </w:r>
    </w:p>
    <w:p>
      <w:pPr>
        <w:pStyle w:val="Heading2"/>
        <w:rPr/>
      </w:pPr>
      <w:bookmarkStart w:id="25" w:name="__RefHeading___Toc217730774"/>
      <w:r>
        <w:rPr/>
        <w:t>5.10</w:t>
        <w:tab/>
        <w:t>Notifications to the User</w:t>
      </w:r>
      <w:bookmarkEnd w:id="25"/>
      <w:r>
        <w:rPr/>
        <w:t xml:space="preserve"> </w:t>
      </w:r>
    </w:p>
    <w:p>
      <w:pPr>
        <w:pStyle w:val="Normal"/>
        <w:rPr/>
      </w:pPr>
      <w:r>
        <w:rPr/>
        <w:t>A network should provide notifications to the user(s) if needed, e.g., if the call set-up is unsuccessful or modified (e.g., by applying supplementary services).</w:t>
      </w:r>
    </w:p>
    <w:p>
      <w:pPr>
        <w:pStyle w:val="Normal"/>
        <w:rPr/>
      </w:pPr>
      <w:r>
        <w:rPr/>
        <w:t>Notifications can consist of audible (e.g. announcement) and / or of visible ( e.g. picture or video) and / or textual information.</w:t>
      </w:r>
    </w:p>
    <w:p>
      <w:pPr>
        <w:pStyle w:val="Heading1"/>
        <w:ind w:left="1134" w:hanging="1134"/>
        <w:rPr/>
      </w:pPr>
      <w:bookmarkStart w:id="26" w:name="__RefHeading___Toc217730775"/>
      <w:bookmarkEnd w:id="26"/>
      <w:r>
        <w:rPr/>
        <w:t>6</w:t>
        <w:tab/>
        <w:t>Backwards compatibility requirements</w:t>
      </w:r>
    </w:p>
    <w:p>
      <w:pPr>
        <w:pStyle w:val="Normal"/>
        <w:rPr/>
      </w:pPr>
      <w:r>
        <w:rPr/>
        <w:t>Taking into account that there is already a large population of UE</w:t>
      </w:r>
      <w:r>
        <w:rPr>
          <w:lang w:eastAsia="ja-JP"/>
        </w:rPr>
        <w:t>s</w:t>
      </w:r>
      <w:r>
        <w:rPr/>
        <w:t xml:space="preserve"> and networks that support</w:t>
      </w:r>
      <w:r>
        <w:rPr>
          <w:lang w:eastAsia="ja-JP"/>
        </w:rPr>
        <w:t xml:space="preserve"> videotelephony services using the BS30 </w:t>
      </w:r>
      <w:r>
        <w:rPr>
          <w:lang w:eastAsia="ja-JP"/>
        </w:rPr>
        <w:t>multimedia</w:t>
      </w:r>
      <w:r>
        <w:rPr>
          <w:lang w:eastAsia="ja-JP"/>
        </w:rPr>
        <w:t xml:space="preserve"> call bearer service,  a new </w:t>
      </w:r>
      <w:r>
        <w:rPr/>
        <w:t xml:space="preserve">videotelephony </w:t>
      </w:r>
      <w:r>
        <w:rPr>
          <w:lang w:eastAsia="ja-JP"/>
        </w:rPr>
        <w:t>tele</w:t>
      </w:r>
      <w:r>
        <w:rPr/>
        <w:t>service</w:t>
      </w:r>
      <w:r>
        <w:rPr>
          <w:lang w:eastAsia="ja-JP"/>
        </w:rPr>
        <w:t xml:space="preserve"> (if specified)</w:t>
      </w:r>
      <w:r>
        <w:rPr/>
        <w:t xml:space="preserve"> </w:t>
      </w:r>
      <w:r>
        <w:rPr>
          <w:lang w:eastAsia="ja-JP"/>
        </w:rPr>
        <w:t xml:space="preserve">shall provide </w:t>
      </w:r>
      <w:r>
        <w:rPr/>
        <w:t>interworking</w:t>
      </w:r>
      <w:r>
        <w:rPr>
          <w:lang w:eastAsia="ja-JP"/>
        </w:rPr>
        <w:t xml:space="preserve"> and interoperability</w:t>
      </w:r>
      <w:r>
        <w:rPr/>
        <w:t xml:space="preserve"> </w:t>
      </w:r>
      <w:r>
        <w:rPr>
          <w:lang w:eastAsia="ja-JP"/>
        </w:rPr>
        <w:t>with</w:t>
      </w:r>
      <w:r>
        <w:rPr/>
        <w:t xml:space="preserve"> the BS30 multimedia call</w:t>
      </w:r>
      <w:r>
        <w:rPr>
          <w:lang w:eastAsia="ja-JP"/>
        </w:rPr>
        <w:t xml:space="preserve"> bearer service</w:t>
      </w:r>
      <w:r>
        <w:rPr/>
        <w:t>.</w:t>
      </w:r>
      <w:r>
        <w:rPr>
          <w:lang w:eastAsia="ja-JP"/>
        </w:rPr>
        <w:t xml:space="preserve"> M</w:t>
      </w:r>
      <w:r>
        <w:rPr>
          <w:lang w:eastAsia="ja-JP"/>
        </w:rPr>
        <w:t>o</w:t>
      </w:r>
      <w:r>
        <w:rPr>
          <w:lang w:eastAsia="ja-JP"/>
        </w:rPr>
        <w:t xml:space="preserve">reover, the specification of a videotelephony teleservice shall have no </w:t>
      </w:r>
      <w:r>
        <w:rPr>
          <w:lang w:eastAsia="ja-JP"/>
        </w:rPr>
        <w:t>negative</w:t>
      </w:r>
      <w:r>
        <w:rPr>
          <w:lang w:eastAsia="ja-JP"/>
        </w:rPr>
        <w:t xml:space="preserve"> impact on the interworking and interoperability of videotelephony services provided based on the BS30 multimedia call bearer service specified in 3GPP releases prior to Rel-7.</w:t>
      </w:r>
    </w:p>
    <w:p>
      <w:pPr>
        <w:pStyle w:val="Normal"/>
        <w:rPr>
          <w:lang w:eastAsia="ja-JP"/>
        </w:rPr>
      </w:pPr>
      <w:r>
        <w:rPr/>
        <w:t>It sh</w:t>
      </w:r>
      <w:r>
        <w:rPr>
          <w:lang w:eastAsia="ja-JP"/>
        </w:rPr>
        <w:t xml:space="preserve">all </w:t>
      </w:r>
      <w:r>
        <w:rPr/>
        <w:t xml:space="preserve">be possible for a videotelephony </w:t>
      </w:r>
      <w:r>
        <w:rPr>
          <w:lang w:eastAsia="ja-JP"/>
        </w:rPr>
        <w:t xml:space="preserve">teleservice </w:t>
      </w:r>
      <w:r>
        <w:rPr/>
        <w:t xml:space="preserve">capable UE to initiate and terminate a call towards a UE supporting BS30 multimedia calls. In other words, it is required that a videotelephony capable UE behaves towards a BS30 multimedia call capable network and/or UE as a BS30 multimedia call capable UE. </w:t>
      </w:r>
    </w:p>
    <w:p>
      <w:pPr>
        <w:pStyle w:val="Normal"/>
        <w:rPr>
          <w:lang w:eastAsia="ja-JP"/>
        </w:rPr>
      </w:pPr>
      <w:r>
        <w:rPr>
          <w:lang w:eastAsia="ja-JP"/>
        </w:rPr>
        <w:t>The following table provides an overview of the backwards compatibility requirements for a new videotelephony teleservice:</w:t>
      </w:r>
    </w:p>
    <w:p>
      <w:pPr>
        <w:pStyle w:val="TH"/>
        <w:rPr>
          <w:lang w:eastAsia="ja-JP"/>
        </w:rPr>
      </w:pPr>
      <w:r>
        <w:rPr>
          <w:lang w:eastAsia="ja-JP"/>
        </w:rPr>
      </w:r>
    </w:p>
    <w:tbl>
      <w:tblPr>
        <w:tblW w:w="7934" w:type="dxa"/>
        <w:jc w:val="left"/>
        <w:tblInd w:w="704" w:type="dxa"/>
        <w:tblLayout w:type="fixed"/>
        <w:tblCellMar>
          <w:top w:w="0" w:type="dxa"/>
          <w:left w:w="108" w:type="dxa"/>
          <w:bottom w:w="0" w:type="dxa"/>
          <w:right w:w="108" w:type="dxa"/>
        </w:tblCellMar>
      </w:tblPr>
      <w:tblGrid>
        <w:gridCol w:w="700"/>
        <w:gridCol w:w="1706"/>
        <w:gridCol w:w="1142"/>
        <w:gridCol w:w="2224"/>
        <w:gridCol w:w="2162"/>
      </w:tblGrid>
      <w:tr>
        <w:trPr>
          <w:cantSplit w:val="true"/>
        </w:trPr>
        <w:tc>
          <w:tcPr>
            <w:tcW w:w="3548" w:type="dxa"/>
            <w:gridSpan w:val="3"/>
            <w:vMerge w:val="restart"/>
            <w:tcBorders>
              <w:top w:val="single" w:sz="4" w:space="0" w:color="000000"/>
              <w:left w:val="single" w:sz="4" w:space="0" w:color="000000"/>
              <w:bottom w:val="single" w:sz="4" w:space="0" w:color="000000"/>
              <w:right w:val="single" w:sz="4" w:space="0" w:color="000000"/>
            </w:tcBorders>
          </w:tcPr>
          <w:p>
            <w:pPr>
              <w:pStyle w:val="TH"/>
              <w:snapToGrid w:val="false"/>
              <w:spacing w:before="60" w:after="180"/>
              <w:rPr>
                <w:lang w:eastAsia="ja-JP"/>
              </w:rPr>
            </w:pPr>
            <w:r>
              <w:rPr>
                <w:lang w:eastAsia="ja-JP"/>
              </w:rPr>
            </w:r>
          </w:p>
        </w:tc>
        <w:tc>
          <w:tcPr>
            <w:tcW w:w="4386" w:type="dxa"/>
            <w:gridSpan w:val="2"/>
            <w:tcBorders>
              <w:top w:val="single" w:sz="4" w:space="0" w:color="000000"/>
              <w:left w:val="single" w:sz="4" w:space="0" w:color="000000"/>
              <w:bottom w:val="single" w:sz="4" w:space="0" w:color="000000"/>
              <w:right w:val="single" w:sz="4" w:space="0" w:color="000000"/>
            </w:tcBorders>
          </w:tcPr>
          <w:p>
            <w:pPr>
              <w:pStyle w:val="TH"/>
              <w:spacing w:before="60" w:after="180"/>
              <w:rPr>
                <w:lang w:eastAsia="ja-JP"/>
              </w:rPr>
            </w:pPr>
            <w:r>
              <w:rPr>
                <w:lang w:eastAsia="ja-JP"/>
              </w:rPr>
              <w:t>UE feature support</w:t>
            </w:r>
          </w:p>
        </w:tc>
      </w:tr>
      <w:tr>
        <w:trPr>
          <w:cantSplit w:val="true"/>
        </w:trPr>
        <w:tc>
          <w:tcPr>
            <w:tcW w:w="3548" w:type="dxa"/>
            <w:gridSpan w:val="3"/>
            <w:vMerge w:val="continue"/>
            <w:tcBorders>
              <w:top w:val="single" w:sz="4" w:space="0" w:color="000000"/>
              <w:left w:val="single" w:sz="4" w:space="0" w:color="000000"/>
              <w:bottom w:val="single" w:sz="4" w:space="0" w:color="000000"/>
              <w:right w:val="single" w:sz="4" w:space="0" w:color="000000"/>
            </w:tcBorders>
          </w:tcPr>
          <w:p>
            <w:pPr>
              <w:pStyle w:val="TH"/>
              <w:snapToGrid w:val="false"/>
              <w:spacing w:before="60" w:after="180"/>
              <w:rPr>
                <w:lang w:eastAsia="ja-JP"/>
              </w:rPr>
            </w:pPr>
            <w:r>
              <w:rPr>
                <w:lang w:eastAsia="ja-JP"/>
              </w:rPr>
            </w:r>
          </w:p>
        </w:tc>
        <w:tc>
          <w:tcPr>
            <w:tcW w:w="2224"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lang w:eastAsia="ja-JP"/>
              </w:rPr>
              <w:t>New Videotelephony Teleservice</w:t>
            </w:r>
          </w:p>
        </w:tc>
        <w:tc>
          <w:tcPr>
            <w:tcW w:w="2162" w:type="dxa"/>
            <w:tcBorders>
              <w:top w:val="single" w:sz="4" w:space="0" w:color="000000"/>
              <w:left w:val="single" w:sz="4" w:space="0" w:color="000000"/>
              <w:bottom w:val="single" w:sz="4" w:space="0" w:color="000000"/>
              <w:right w:val="single" w:sz="4" w:space="0" w:color="000000"/>
            </w:tcBorders>
          </w:tcPr>
          <w:p>
            <w:pPr>
              <w:pStyle w:val="TH"/>
              <w:spacing w:before="60" w:after="180"/>
              <w:rPr>
                <w:lang w:eastAsia="ja-JP"/>
              </w:rPr>
            </w:pPr>
            <w:r>
              <w:rPr>
                <w:lang w:eastAsia="ja-JP"/>
              </w:rPr>
              <w:t>BS 30 Multimedia Call Bearer</w:t>
            </w:r>
          </w:p>
        </w:tc>
      </w:tr>
      <w:tr>
        <w:trPr>
          <w:trHeight w:val="571" w:hRule="atLeast"/>
          <w:cantSplit w:val="true"/>
        </w:trPr>
        <w:tc>
          <w:tcPr>
            <w:tcW w:w="700" w:type="dxa"/>
            <w:vMerge w:val="restart"/>
            <w:tcBorders>
              <w:top w:val="single" w:sz="4" w:space="0" w:color="000000"/>
              <w:left w:val="single" w:sz="4" w:space="0" w:color="000000"/>
              <w:bottom w:val="single" w:sz="4" w:space="0" w:color="000000"/>
              <w:right w:val="single" w:sz="4" w:space="0" w:color="000000"/>
            </w:tcBorders>
            <w:textDirection w:val="btLr"/>
          </w:tcPr>
          <w:p>
            <w:pPr>
              <w:pStyle w:val="TH"/>
              <w:spacing w:before="60" w:after="180"/>
              <w:rPr>
                <w:lang w:eastAsia="ja-JP"/>
              </w:rPr>
            </w:pPr>
            <w:r>
              <w:rPr>
                <w:lang w:eastAsia="ja-JP"/>
              </w:rPr>
              <w:t>Network feature support</w:t>
            </w:r>
          </w:p>
        </w:tc>
        <w:tc>
          <w:tcPr>
            <w:tcW w:w="1706" w:type="dxa"/>
            <w:vMerge w:val="restart"/>
            <w:tcBorders>
              <w:top w:val="single" w:sz="4" w:space="0" w:color="000000"/>
              <w:left w:val="single" w:sz="4" w:space="0" w:color="000000"/>
              <w:bottom w:val="single" w:sz="4" w:space="0" w:color="000000"/>
              <w:right w:val="single" w:sz="4" w:space="0" w:color="000000"/>
            </w:tcBorders>
          </w:tcPr>
          <w:p>
            <w:pPr>
              <w:pStyle w:val="TH"/>
              <w:spacing w:before="60" w:after="180"/>
              <w:rPr>
                <w:lang w:eastAsia="ja-JP"/>
              </w:rPr>
            </w:pPr>
            <w:r>
              <w:rPr>
                <w:lang w:eastAsia="ja-JP"/>
              </w:rPr>
              <w:t>New Videotelephony Teleservice</w:t>
            </w:r>
          </w:p>
        </w:tc>
        <w:tc>
          <w:tcPr>
            <w:tcW w:w="1142" w:type="dxa"/>
            <w:tcBorders>
              <w:top w:val="single" w:sz="4" w:space="0" w:color="000000"/>
              <w:left w:val="single" w:sz="4" w:space="0" w:color="000000"/>
              <w:bottom w:val="single" w:sz="4" w:space="0" w:color="000000"/>
              <w:right w:val="single" w:sz="4" w:space="0" w:color="000000"/>
            </w:tcBorders>
          </w:tcPr>
          <w:p>
            <w:pPr>
              <w:pStyle w:val="TH"/>
              <w:spacing w:before="60" w:after="180"/>
              <w:rPr>
                <w:lang w:eastAsia="ja-JP"/>
              </w:rPr>
            </w:pPr>
            <w:r>
              <w:rPr>
                <w:lang w:eastAsia="ja-JP"/>
              </w:rPr>
              <w:t>HPLMN</w:t>
            </w:r>
          </w:p>
        </w:tc>
        <w:tc>
          <w:tcPr>
            <w:tcW w:w="2224" w:type="dxa"/>
            <w:tcBorders>
              <w:top w:val="single" w:sz="4" w:space="0" w:color="000000"/>
              <w:left w:val="single" w:sz="4" w:space="0" w:color="000000"/>
              <w:bottom w:val="single" w:sz="4" w:space="0" w:color="000000"/>
              <w:right w:val="single" w:sz="4" w:space="0" w:color="000000"/>
            </w:tcBorders>
          </w:tcPr>
          <w:p>
            <w:pPr>
              <w:pStyle w:val="TH"/>
              <w:spacing w:before="60" w:after="180"/>
              <w:rPr>
                <w:lang w:eastAsia="ja-JP"/>
              </w:rPr>
            </w:pPr>
            <w:r>
              <w:rPr>
                <w:lang w:eastAsia="ja-JP"/>
              </w:rPr>
              <w:t>Out of scope of this study</w:t>
            </w:r>
          </w:p>
        </w:tc>
        <w:tc>
          <w:tcPr>
            <w:tcW w:w="2162" w:type="dxa"/>
            <w:tcBorders>
              <w:top w:val="single" w:sz="4" w:space="0" w:color="000000"/>
              <w:left w:val="single" w:sz="4" w:space="0" w:color="000000"/>
              <w:bottom w:val="single" w:sz="4" w:space="0" w:color="000000"/>
              <w:right w:val="single" w:sz="4" w:space="0" w:color="000000"/>
            </w:tcBorders>
          </w:tcPr>
          <w:p>
            <w:pPr>
              <w:pStyle w:val="TH"/>
              <w:spacing w:before="60" w:after="180"/>
              <w:rPr>
                <w:lang w:eastAsia="ja-JP"/>
              </w:rPr>
            </w:pPr>
            <w:r>
              <w:rPr>
                <w:lang w:eastAsia="ja-JP"/>
              </w:rPr>
              <w:t>Backwards Compatibility Required</w:t>
            </w:r>
          </w:p>
        </w:tc>
      </w:tr>
      <w:tr>
        <w:trPr>
          <w:trHeight w:val="495" w:hRule="atLeast"/>
          <w:cantSplit w:val="true"/>
        </w:trPr>
        <w:tc>
          <w:tcPr>
            <w:tcW w:w="700" w:type="dxa"/>
            <w:vMerge w:val="continue"/>
            <w:tcBorders>
              <w:top w:val="single" w:sz="4" w:space="0" w:color="000000"/>
              <w:left w:val="single" w:sz="4" w:space="0" w:color="000000"/>
              <w:bottom w:val="single" w:sz="4" w:space="0" w:color="000000"/>
              <w:right w:val="single" w:sz="4" w:space="0" w:color="000000"/>
            </w:tcBorders>
            <w:textDirection w:val="btLr"/>
          </w:tcPr>
          <w:p>
            <w:pPr>
              <w:pStyle w:val="TH"/>
              <w:snapToGrid w:val="false"/>
              <w:spacing w:before="60" w:after="180"/>
              <w:rPr>
                <w:lang w:eastAsia="ja-JP"/>
              </w:rPr>
            </w:pPr>
            <w:r>
              <w:rPr>
                <w:lang w:eastAsia="ja-JP"/>
              </w:rPr>
            </w:r>
          </w:p>
        </w:tc>
        <w:tc>
          <w:tcPr>
            <w:tcW w:w="1706" w:type="dxa"/>
            <w:vMerge w:val="continue"/>
            <w:tcBorders>
              <w:top w:val="single" w:sz="4" w:space="0" w:color="000000"/>
              <w:left w:val="single" w:sz="4" w:space="0" w:color="000000"/>
              <w:bottom w:val="single" w:sz="4" w:space="0" w:color="000000"/>
              <w:right w:val="single" w:sz="4" w:space="0" w:color="000000"/>
            </w:tcBorders>
          </w:tcPr>
          <w:p>
            <w:pPr>
              <w:pStyle w:val="TH"/>
              <w:snapToGrid w:val="false"/>
              <w:spacing w:before="60" w:after="180"/>
              <w:rPr>
                <w:lang w:eastAsia="ja-JP"/>
              </w:rPr>
            </w:pPr>
            <w:r>
              <w:rPr>
                <w:lang w:eastAsia="ja-JP"/>
              </w:rPr>
            </w:r>
          </w:p>
        </w:tc>
        <w:tc>
          <w:tcPr>
            <w:tcW w:w="1142" w:type="dxa"/>
            <w:tcBorders>
              <w:top w:val="single" w:sz="4" w:space="0" w:color="000000"/>
              <w:left w:val="single" w:sz="4" w:space="0" w:color="000000"/>
              <w:bottom w:val="single" w:sz="4" w:space="0" w:color="000000"/>
              <w:right w:val="single" w:sz="4" w:space="0" w:color="000000"/>
            </w:tcBorders>
          </w:tcPr>
          <w:p>
            <w:pPr>
              <w:pStyle w:val="TH"/>
              <w:spacing w:before="60" w:after="180"/>
              <w:rPr>
                <w:lang w:eastAsia="ja-JP"/>
              </w:rPr>
            </w:pPr>
            <w:r>
              <w:rPr>
                <w:lang w:eastAsia="ja-JP"/>
              </w:rPr>
              <w:t>VPLMN</w:t>
            </w:r>
          </w:p>
        </w:tc>
        <w:tc>
          <w:tcPr>
            <w:tcW w:w="2224" w:type="dxa"/>
            <w:tcBorders>
              <w:top w:val="single" w:sz="4" w:space="0" w:color="000000"/>
              <w:left w:val="single" w:sz="4" w:space="0" w:color="000000"/>
              <w:bottom w:val="single" w:sz="4" w:space="0" w:color="000000"/>
              <w:right w:val="single" w:sz="4" w:space="0" w:color="000000"/>
            </w:tcBorders>
          </w:tcPr>
          <w:p>
            <w:pPr>
              <w:pStyle w:val="TH"/>
              <w:spacing w:before="60" w:after="180"/>
              <w:rPr>
                <w:lang w:eastAsia="ja-JP"/>
              </w:rPr>
            </w:pPr>
            <w:r>
              <w:rPr>
                <w:lang w:eastAsia="ja-JP"/>
              </w:rPr>
              <w:t>Out of scope of this study</w:t>
            </w:r>
          </w:p>
        </w:tc>
        <w:tc>
          <w:tcPr>
            <w:tcW w:w="2162" w:type="dxa"/>
            <w:tcBorders>
              <w:top w:val="single" w:sz="4" w:space="0" w:color="000000"/>
              <w:left w:val="single" w:sz="4" w:space="0" w:color="000000"/>
              <w:bottom w:val="single" w:sz="4" w:space="0" w:color="000000"/>
              <w:right w:val="single" w:sz="4" w:space="0" w:color="000000"/>
            </w:tcBorders>
          </w:tcPr>
          <w:p>
            <w:pPr>
              <w:pStyle w:val="TH"/>
              <w:spacing w:before="60" w:after="180"/>
              <w:rPr>
                <w:lang w:eastAsia="ja-JP"/>
              </w:rPr>
            </w:pPr>
            <w:r>
              <w:rPr>
                <w:lang w:eastAsia="ja-JP"/>
              </w:rPr>
              <w:t>Backwards Compatibility Required</w:t>
            </w:r>
          </w:p>
        </w:tc>
      </w:tr>
      <w:tr>
        <w:trPr>
          <w:cantSplit w:val="true"/>
        </w:trPr>
        <w:tc>
          <w:tcPr>
            <w:tcW w:w="700" w:type="dxa"/>
            <w:vMerge w:val="continue"/>
            <w:tcBorders>
              <w:top w:val="single" w:sz="4" w:space="0" w:color="000000"/>
              <w:left w:val="single" w:sz="4" w:space="0" w:color="000000"/>
              <w:bottom w:val="single" w:sz="4" w:space="0" w:color="000000"/>
              <w:right w:val="single" w:sz="4" w:space="0" w:color="000000"/>
            </w:tcBorders>
            <w:textDirection w:val="btLr"/>
          </w:tcPr>
          <w:p>
            <w:pPr>
              <w:pStyle w:val="TH"/>
              <w:snapToGrid w:val="false"/>
              <w:spacing w:before="60" w:after="180"/>
              <w:rPr>
                <w:lang w:eastAsia="ja-JP"/>
              </w:rPr>
            </w:pPr>
            <w:r>
              <w:rPr>
                <w:lang w:eastAsia="ja-JP"/>
              </w:rPr>
            </w:r>
          </w:p>
        </w:tc>
        <w:tc>
          <w:tcPr>
            <w:tcW w:w="1706" w:type="dxa"/>
            <w:vMerge w:val="restart"/>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lang w:eastAsia="ja-JP"/>
              </w:rPr>
              <w:t>BS 30 Multimedia Call Bearer</w:t>
            </w:r>
          </w:p>
        </w:tc>
        <w:tc>
          <w:tcPr>
            <w:tcW w:w="1142" w:type="dxa"/>
            <w:tcBorders>
              <w:top w:val="single" w:sz="4" w:space="0" w:color="000000"/>
              <w:left w:val="single" w:sz="4" w:space="0" w:color="000000"/>
              <w:bottom w:val="single" w:sz="4" w:space="0" w:color="000000"/>
              <w:right w:val="single" w:sz="4" w:space="0" w:color="000000"/>
            </w:tcBorders>
          </w:tcPr>
          <w:p>
            <w:pPr>
              <w:pStyle w:val="TH"/>
              <w:spacing w:before="60" w:after="180"/>
              <w:rPr>
                <w:lang w:eastAsia="ja-JP"/>
              </w:rPr>
            </w:pPr>
            <w:r>
              <w:rPr>
                <w:lang w:eastAsia="ja-JP"/>
              </w:rPr>
              <w:t>HPLMN</w:t>
            </w:r>
          </w:p>
        </w:tc>
        <w:tc>
          <w:tcPr>
            <w:tcW w:w="2224" w:type="dxa"/>
            <w:tcBorders>
              <w:top w:val="single" w:sz="4" w:space="0" w:color="000000"/>
              <w:left w:val="single" w:sz="4" w:space="0" w:color="000000"/>
              <w:bottom w:val="single" w:sz="4" w:space="0" w:color="000000"/>
              <w:right w:val="single" w:sz="4" w:space="0" w:color="000000"/>
            </w:tcBorders>
          </w:tcPr>
          <w:p>
            <w:pPr>
              <w:pStyle w:val="TH"/>
              <w:spacing w:before="60" w:after="180"/>
              <w:rPr>
                <w:lang w:eastAsia="ja-JP"/>
              </w:rPr>
            </w:pPr>
            <w:r>
              <w:rPr>
                <w:lang w:eastAsia="ja-JP"/>
              </w:rPr>
              <w:t>Backwards Compatibility Required</w:t>
            </w:r>
          </w:p>
        </w:tc>
        <w:tc>
          <w:tcPr>
            <w:tcW w:w="2162" w:type="dxa"/>
            <w:tcBorders>
              <w:top w:val="single" w:sz="4" w:space="0" w:color="000000"/>
              <w:left w:val="single" w:sz="4" w:space="0" w:color="000000"/>
              <w:bottom w:val="single" w:sz="4" w:space="0" w:color="000000"/>
              <w:right w:val="single" w:sz="4" w:space="0" w:color="000000"/>
            </w:tcBorders>
          </w:tcPr>
          <w:p>
            <w:pPr>
              <w:pStyle w:val="TH"/>
              <w:spacing w:before="60" w:after="180"/>
              <w:rPr>
                <w:lang w:eastAsia="ja-JP"/>
              </w:rPr>
            </w:pPr>
            <w:r>
              <w:rPr>
                <w:lang w:eastAsia="ja-JP"/>
              </w:rPr>
              <w:t>Out of scope of this study</w:t>
            </w:r>
          </w:p>
        </w:tc>
      </w:tr>
      <w:tr>
        <w:trPr>
          <w:trHeight w:val="471" w:hRule="atLeast"/>
          <w:cantSplit w:val="true"/>
        </w:trPr>
        <w:tc>
          <w:tcPr>
            <w:tcW w:w="700" w:type="dxa"/>
            <w:vMerge w:val="continue"/>
            <w:tcBorders>
              <w:top w:val="single" w:sz="4" w:space="0" w:color="000000"/>
              <w:left w:val="single" w:sz="4" w:space="0" w:color="000000"/>
              <w:bottom w:val="single" w:sz="4" w:space="0" w:color="000000"/>
              <w:right w:val="single" w:sz="4" w:space="0" w:color="000000"/>
            </w:tcBorders>
            <w:textDirection w:val="btLr"/>
          </w:tcPr>
          <w:p>
            <w:pPr>
              <w:pStyle w:val="TH"/>
              <w:snapToGrid w:val="false"/>
              <w:spacing w:before="60" w:after="180"/>
              <w:rPr>
                <w:lang w:eastAsia="ja-JP"/>
              </w:rPr>
            </w:pPr>
            <w:r>
              <w:rPr>
                <w:lang w:eastAsia="ja-JP"/>
              </w:rPr>
            </w:r>
          </w:p>
        </w:tc>
        <w:tc>
          <w:tcPr>
            <w:tcW w:w="1706" w:type="dxa"/>
            <w:vMerge w:val="continue"/>
            <w:tcBorders>
              <w:top w:val="single" w:sz="4" w:space="0" w:color="000000"/>
              <w:left w:val="single" w:sz="4" w:space="0" w:color="000000"/>
              <w:bottom w:val="single" w:sz="4" w:space="0" w:color="000000"/>
              <w:right w:val="single" w:sz="4" w:space="0" w:color="000000"/>
            </w:tcBorders>
          </w:tcPr>
          <w:p>
            <w:pPr>
              <w:pStyle w:val="TH"/>
              <w:snapToGrid w:val="false"/>
              <w:spacing w:before="60" w:after="180"/>
              <w:rPr>
                <w:lang w:eastAsia="ja-JP"/>
              </w:rPr>
            </w:pPr>
            <w:r>
              <w:rPr>
                <w:lang w:eastAsia="ja-JP"/>
              </w:rPr>
            </w:r>
          </w:p>
        </w:tc>
        <w:tc>
          <w:tcPr>
            <w:tcW w:w="1142" w:type="dxa"/>
            <w:tcBorders>
              <w:top w:val="single" w:sz="4" w:space="0" w:color="000000"/>
              <w:left w:val="single" w:sz="4" w:space="0" w:color="000000"/>
              <w:bottom w:val="single" w:sz="4" w:space="0" w:color="000000"/>
              <w:right w:val="single" w:sz="4" w:space="0" w:color="000000"/>
            </w:tcBorders>
          </w:tcPr>
          <w:p>
            <w:pPr>
              <w:pStyle w:val="TH"/>
              <w:spacing w:before="60" w:after="180"/>
              <w:rPr>
                <w:lang w:eastAsia="ja-JP"/>
              </w:rPr>
            </w:pPr>
            <w:r>
              <w:rPr>
                <w:lang w:eastAsia="ja-JP"/>
              </w:rPr>
              <w:t>VPLMN</w:t>
            </w:r>
          </w:p>
        </w:tc>
        <w:tc>
          <w:tcPr>
            <w:tcW w:w="2224" w:type="dxa"/>
            <w:tcBorders>
              <w:top w:val="single" w:sz="4" w:space="0" w:color="000000"/>
              <w:left w:val="single" w:sz="4" w:space="0" w:color="000000"/>
              <w:bottom w:val="single" w:sz="4" w:space="0" w:color="000000"/>
              <w:right w:val="single" w:sz="4" w:space="0" w:color="000000"/>
            </w:tcBorders>
          </w:tcPr>
          <w:p>
            <w:pPr>
              <w:pStyle w:val="TH"/>
              <w:spacing w:before="60" w:after="180"/>
              <w:rPr>
                <w:lang w:eastAsia="ja-JP"/>
              </w:rPr>
            </w:pPr>
            <w:r>
              <w:rPr>
                <w:lang w:eastAsia="ja-JP"/>
              </w:rPr>
              <w:t>Backwards Compatibility Required</w:t>
            </w:r>
          </w:p>
        </w:tc>
        <w:tc>
          <w:tcPr>
            <w:tcW w:w="2162" w:type="dxa"/>
            <w:tcBorders>
              <w:top w:val="single" w:sz="4" w:space="0" w:color="000000"/>
              <w:left w:val="single" w:sz="4" w:space="0" w:color="000000"/>
              <w:bottom w:val="single" w:sz="4" w:space="0" w:color="000000"/>
              <w:right w:val="single" w:sz="4" w:space="0" w:color="000000"/>
            </w:tcBorders>
          </w:tcPr>
          <w:p>
            <w:pPr>
              <w:pStyle w:val="TH"/>
              <w:spacing w:before="60" w:after="180"/>
              <w:rPr>
                <w:lang w:eastAsia="ja-JP"/>
              </w:rPr>
            </w:pPr>
            <w:r>
              <w:rPr>
                <w:lang w:eastAsia="ja-JP"/>
              </w:rPr>
              <w:t>Out of scope of this study</w:t>
            </w:r>
          </w:p>
        </w:tc>
      </w:tr>
    </w:tbl>
    <w:p>
      <w:pPr>
        <w:pStyle w:val="TF"/>
        <w:rPr>
          <w:lang w:eastAsia="ja-JP"/>
        </w:rPr>
      </w:pPr>
      <w:r>
        <w:rPr>
          <w:lang w:eastAsia="ja-JP"/>
        </w:rPr>
        <w:br/>
      </w:r>
      <w:r>
        <w:rPr>
          <w:lang w:eastAsia="ja-JP"/>
        </w:rPr>
        <w:t xml:space="preserve">Figure </w:t>
      </w:r>
      <w:r>
        <w:rPr>
          <w:lang w:eastAsia="ja-JP"/>
        </w:rPr>
        <w:t>6.1</w:t>
      </w:r>
      <w:r>
        <w:rPr>
          <w:lang w:eastAsia="ja-JP"/>
        </w:rPr>
        <w:t>:</w:t>
        <w:tab/>
        <w:t xml:space="preserve">Overview of </w:t>
      </w:r>
      <w:r>
        <w:rPr/>
        <w:t>backward</w:t>
      </w:r>
      <w:r>
        <w:rPr>
          <w:lang w:eastAsia="ja-JP"/>
        </w:rPr>
        <w:t>s</w:t>
      </w:r>
      <w:r>
        <w:rPr/>
        <w:t xml:space="preserve"> compatibility</w:t>
      </w:r>
      <w:r>
        <w:rPr>
          <w:lang w:eastAsia="ja-JP"/>
        </w:rPr>
        <w:t xml:space="preserve"> requirements</w:t>
      </w:r>
      <w:r>
        <w:rPr/>
        <w:t xml:space="preserve"> for a new videotelephony teleservice</w:t>
      </w:r>
    </w:p>
    <w:p>
      <w:pPr>
        <w:pStyle w:val="Normal"/>
        <w:rPr/>
      </w:pPr>
      <w:r>
        <w:rPr>
          <w:lang w:eastAsia="ja-JP"/>
        </w:rPr>
        <w:t xml:space="preserve">Backwards compatibility between a new videotelephony teleservice (if specified) and videotelephony services using the BS30 </w:t>
      </w:r>
      <w:r>
        <w:rPr>
          <w:lang w:eastAsia="ja-JP"/>
        </w:rPr>
        <w:t>multimedia</w:t>
      </w:r>
      <w:r>
        <w:rPr>
          <w:lang w:eastAsia="ja-JP"/>
        </w:rPr>
        <w:t xml:space="preserve"> call bearer service shall be provided for all roaming and intra and inter-PLMN call connection scenarios from the perspectives of the UE, HPLMN, VPLMN and interconnection network capabilities. As a minimum, if a new videotelephony teleservice is specified by 3GPP backwards compatibility shall be provided for the following scenarios:</w:t>
      </w:r>
    </w:p>
    <w:p>
      <w:pPr>
        <w:pStyle w:val="B1"/>
        <w:rPr>
          <w:lang w:eastAsia="ja-JP"/>
        </w:rPr>
      </w:pPr>
      <w:r>
        <w:rPr>
          <w:lang w:eastAsia="ja-JP"/>
        </w:rPr>
        <w:t>-</w:t>
        <w:tab/>
        <w:t>General</w:t>
      </w:r>
    </w:p>
    <w:p>
      <w:pPr>
        <w:pStyle w:val="B2"/>
        <w:rPr/>
      </w:pPr>
      <w:r>
        <w:rPr>
          <w:lang w:eastAsia="ja-JP"/>
        </w:rPr>
        <w:t>-</w:t>
        <w:tab/>
        <w:t>Support of videotelephony services for a UE supporting videotelephony services using the BS30 multimedia call bearer service within PLMNs that support the new videotelephony teleservice</w:t>
      </w:r>
    </w:p>
    <w:p>
      <w:pPr>
        <w:pStyle w:val="B2"/>
        <w:rPr/>
      </w:pPr>
      <w:r>
        <w:rPr>
          <w:lang w:eastAsia="ja-JP"/>
        </w:rPr>
        <w:t>-</w:t>
        <w:tab/>
        <w:t>Support of videotelephony services for a UE supporting the new videotelephony teleservice within PLMNs that support only the BS30 multimedia call bearer service</w:t>
      </w:r>
    </w:p>
    <w:p>
      <w:pPr>
        <w:pStyle w:val="B1"/>
        <w:rPr>
          <w:lang w:eastAsia="ja-JP"/>
        </w:rPr>
      </w:pPr>
      <w:r>
        <w:rPr>
          <w:lang w:eastAsia="ja-JP"/>
        </w:rPr>
        <w:t>-</w:t>
        <w:tab/>
        <w:t>Roaming</w:t>
      </w:r>
    </w:p>
    <w:p>
      <w:pPr>
        <w:pStyle w:val="B2"/>
        <w:rPr/>
      </w:pPr>
      <w:r>
        <w:rPr>
          <w:lang w:eastAsia="ja-JP"/>
        </w:rPr>
        <w:t>-</w:t>
        <w:tab/>
        <w:t xml:space="preserve">Support of videotelephony services for a UE supporting the new videotelephony teleservice </w:t>
      </w:r>
      <w:r>
        <w:rPr>
          <w:lang w:eastAsia="ja-JP"/>
        </w:rPr>
        <w:t>roaming</w:t>
      </w:r>
      <w:r>
        <w:rPr>
          <w:lang w:eastAsia="ja-JP"/>
        </w:rPr>
        <w:t xml:space="preserve"> in a VPLMN that does not support the new videotelephony teleservice but supports the BS30 multimedia call bearer service</w:t>
      </w:r>
    </w:p>
    <w:p>
      <w:pPr>
        <w:pStyle w:val="B2"/>
        <w:rPr/>
      </w:pPr>
      <w:r>
        <w:rPr>
          <w:lang w:eastAsia="ja-JP"/>
        </w:rPr>
        <w:t>-</w:t>
        <w:tab/>
        <w:t xml:space="preserve">Support of videotelephony services for a UE supporting videotelephony services using the BS30 multimedia call bearer service </w:t>
      </w:r>
      <w:r>
        <w:rPr>
          <w:lang w:eastAsia="ja-JP"/>
        </w:rPr>
        <w:t>roaming</w:t>
      </w:r>
      <w:r>
        <w:rPr>
          <w:lang w:eastAsia="ja-JP"/>
        </w:rPr>
        <w:t xml:space="preserve"> in a VPLMN that supports the new videotelephony teleservice</w:t>
      </w:r>
    </w:p>
    <w:p>
      <w:pPr>
        <w:pStyle w:val="B1"/>
        <w:rPr/>
      </w:pPr>
      <w:r>
        <w:rPr>
          <w:lang w:eastAsia="ja-JP"/>
        </w:rPr>
        <w:t>-</w:t>
        <w:tab/>
        <w:t>Intra-PLMN connection</w:t>
      </w:r>
    </w:p>
    <w:p>
      <w:pPr>
        <w:pStyle w:val="B2"/>
        <w:rPr/>
      </w:pPr>
      <w:r>
        <w:rPr>
          <w:lang w:eastAsia="ja-JP"/>
        </w:rPr>
        <w:t>-</w:t>
        <w:tab/>
        <w:t xml:space="preserve">Intra-HPLMN connection between a UE supporting the new videotelephony teleservice and a UE supporting videotelephony services using the BS30 </w:t>
      </w:r>
      <w:r>
        <w:rPr>
          <w:lang w:eastAsia="ja-JP"/>
        </w:rPr>
        <w:t>multimedia</w:t>
      </w:r>
      <w:r>
        <w:rPr>
          <w:lang w:eastAsia="ja-JP"/>
        </w:rPr>
        <w:t xml:space="preserve"> call bearer service</w:t>
      </w:r>
    </w:p>
    <w:p>
      <w:pPr>
        <w:pStyle w:val="NO"/>
        <w:rPr/>
      </w:pPr>
      <w:r>
        <w:rPr>
          <w:lang w:eastAsia="ja-JP"/>
        </w:rPr>
        <w:t>Note</w:t>
      </w:r>
      <w:r>
        <w:rPr>
          <w:lang w:eastAsia="ja-JP"/>
        </w:rPr>
        <w:t xml:space="preserve"> 1</w:t>
      </w:r>
      <w:r>
        <w:rPr>
          <w:lang w:eastAsia="ja-JP"/>
        </w:rPr>
        <w:t>:</w:t>
        <w:tab/>
        <w:t>In the following scenarios the HPLMN and VPLMN is the same network.</w:t>
      </w:r>
    </w:p>
    <w:p>
      <w:pPr>
        <w:pStyle w:val="B2"/>
        <w:rPr/>
      </w:pPr>
      <w:r>
        <w:rPr>
          <w:lang w:eastAsia="ja-JP"/>
        </w:rPr>
        <w:t>-</w:t>
        <w:tab/>
        <w:t xml:space="preserve">Intra-PLMN connection between a UE supporting the new videotelephony teleservice roaming </w:t>
      </w:r>
      <w:r>
        <w:rPr>
          <w:lang w:eastAsia="ja-JP"/>
        </w:rPr>
        <w:t>within</w:t>
      </w:r>
      <w:r>
        <w:rPr>
          <w:lang w:eastAsia="ja-JP"/>
        </w:rPr>
        <w:t xml:space="preserve"> a VPLMN that supports the new videotelephony service and a UE supporting videotelephony services using the BS30 </w:t>
      </w:r>
      <w:r>
        <w:rPr>
          <w:lang w:eastAsia="ja-JP"/>
        </w:rPr>
        <w:t>multimedia</w:t>
      </w:r>
      <w:r>
        <w:rPr>
          <w:lang w:eastAsia="ja-JP"/>
        </w:rPr>
        <w:t xml:space="preserve"> call bearer service within its HPLMN</w:t>
      </w:r>
    </w:p>
    <w:p>
      <w:pPr>
        <w:pStyle w:val="B2"/>
        <w:rPr/>
      </w:pPr>
      <w:r>
        <w:rPr>
          <w:lang w:eastAsia="ja-JP"/>
        </w:rPr>
        <w:t>-</w:t>
        <w:tab/>
        <w:t xml:space="preserve">Intra-PLMN connection between a UE supporting the new videotelephony teleservice roaming </w:t>
      </w:r>
      <w:r>
        <w:rPr>
          <w:lang w:eastAsia="ja-JP"/>
        </w:rPr>
        <w:t>within</w:t>
      </w:r>
      <w:r>
        <w:rPr>
          <w:lang w:eastAsia="ja-JP"/>
        </w:rPr>
        <w:t xml:space="preserve"> a VPLMN that does not support the new videotelephony service and a UE supporting videotelephony services using the BS30 </w:t>
      </w:r>
      <w:r>
        <w:rPr>
          <w:lang w:eastAsia="ja-JP"/>
        </w:rPr>
        <w:t>multimedia</w:t>
      </w:r>
      <w:r>
        <w:rPr>
          <w:lang w:eastAsia="ja-JP"/>
        </w:rPr>
        <w:t xml:space="preserve"> call bearer service within its HPLMN</w:t>
      </w:r>
    </w:p>
    <w:p>
      <w:pPr>
        <w:pStyle w:val="B1"/>
        <w:rPr>
          <w:lang w:eastAsia="ja-JP"/>
        </w:rPr>
      </w:pPr>
      <w:r>
        <w:rPr>
          <w:lang w:eastAsia="ja-JP"/>
        </w:rPr>
        <w:t>-</w:t>
        <w:tab/>
        <w:t>Inter-PLMN connection</w:t>
      </w:r>
    </w:p>
    <w:p>
      <w:pPr>
        <w:pStyle w:val="NO"/>
        <w:rPr/>
      </w:pPr>
      <w:r>
        <w:rPr>
          <w:lang w:eastAsia="ja-JP"/>
        </w:rPr>
        <w:t>Note</w:t>
      </w:r>
      <w:r>
        <w:rPr>
          <w:lang w:eastAsia="ja-JP"/>
        </w:rPr>
        <w:t xml:space="preserve"> 2</w:t>
      </w:r>
      <w:r>
        <w:rPr>
          <w:lang w:eastAsia="ja-JP"/>
        </w:rPr>
        <w:t>:</w:t>
        <w:tab/>
        <w:t>In the following scenarios the HPLMNs are different networks and may be in different countries.</w:t>
      </w:r>
    </w:p>
    <w:p>
      <w:pPr>
        <w:pStyle w:val="B2"/>
        <w:rPr/>
      </w:pPr>
      <w:r>
        <w:rPr>
          <w:lang w:eastAsia="ja-JP"/>
        </w:rPr>
        <w:t>-</w:t>
        <w:tab/>
        <w:t xml:space="preserve">Inter-HPLMN connection between a UE supporting the new videotelephony teleservice </w:t>
      </w:r>
      <w:r>
        <w:rPr>
          <w:lang w:eastAsia="ja-JP"/>
        </w:rPr>
        <w:t>within</w:t>
      </w:r>
      <w:r>
        <w:rPr>
          <w:lang w:eastAsia="ja-JP"/>
        </w:rPr>
        <w:t xml:space="preserve"> its HPLMN and a UE supporting videotelephony services using the BS30 </w:t>
      </w:r>
      <w:r>
        <w:rPr>
          <w:lang w:eastAsia="ja-JP"/>
        </w:rPr>
        <w:t>multimedia</w:t>
      </w:r>
      <w:r>
        <w:rPr>
          <w:lang w:eastAsia="ja-JP"/>
        </w:rPr>
        <w:t xml:space="preserve"> call bearer within its HPLMN that does not </w:t>
      </w:r>
      <w:r>
        <w:rPr>
          <w:lang w:eastAsia="ja-JP"/>
        </w:rPr>
        <w:t>support</w:t>
      </w:r>
      <w:r>
        <w:rPr>
          <w:lang w:eastAsia="ja-JP"/>
        </w:rPr>
        <w:t xml:space="preserve"> the new videotelephony teleservice</w:t>
      </w:r>
    </w:p>
    <w:p>
      <w:pPr>
        <w:pStyle w:val="B2"/>
        <w:rPr/>
      </w:pPr>
      <w:r>
        <w:rPr>
          <w:lang w:eastAsia="ja-JP"/>
        </w:rPr>
        <w:t>-</w:t>
        <w:tab/>
        <w:t xml:space="preserve">Inter-HPLMN connection between a UE supporting the new videotelephony teleservice </w:t>
      </w:r>
      <w:r>
        <w:rPr>
          <w:lang w:eastAsia="ja-JP"/>
        </w:rPr>
        <w:t>within</w:t>
      </w:r>
      <w:r>
        <w:rPr>
          <w:lang w:eastAsia="ja-JP"/>
        </w:rPr>
        <w:t xml:space="preserve"> its HPLMN and a UE supporting videotelephony services using the BS30 </w:t>
      </w:r>
      <w:r>
        <w:rPr>
          <w:lang w:eastAsia="ja-JP"/>
        </w:rPr>
        <w:t>multimedia</w:t>
      </w:r>
      <w:r>
        <w:rPr>
          <w:lang w:eastAsia="ja-JP"/>
        </w:rPr>
        <w:t xml:space="preserve"> call bearer within its HPLMN that </w:t>
      </w:r>
      <w:r>
        <w:rPr>
          <w:lang w:eastAsia="ja-JP"/>
        </w:rPr>
        <w:t>support</w:t>
      </w:r>
      <w:r>
        <w:rPr>
          <w:lang w:eastAsia="ja-JP"/>
        </w:rPr>
        <w:t>s the new videotelephony teleservice</w:t>
      </w:r>
    </w:p>
    <w:p>
      <w:pPr>
        <w:pStyle w:val="NO"/>
        <w:rPr/>
      </w:pPr>
      <w:r>
        <w:rPr>
          <w:lang w:eastAsia="ja-JP"/>
        </w:rPr>
        <w:t>Note</w:t>
      </w:r>
      <w:r>
        <w:rPr>
          <w:lang w:eastAsia="ja-JP"/>
        </w:rPr>
        <w:t xml:space="preserve"> 3</w:t>
      </w:r>
      <w:r>
        <w:rPr>
          <w:lang w:eastAsia="ja-JP"/>
        </w:rPr>
        <w:t>:</w:t>
        <w:tab/>
        <w:t>In the following scenarios the HPLMN and VPLMN are different networks and may be in different countries.</w:t>
      </w:r>
    </w:p>
    <w:p>
      <w:pPr>
        <w:pStyle w:val="B2"/>
        <w:rPr/>
      </w:pPr>
      <w:r>
        <w:rPr>
          <w:lang w:eastAsia="ja-JP"/>
        </w:rPr>
        <w:t>-</w:t>
        <w:tab/>
        <w:t xml:space="preserve">Inter-PLMN connection between a UE supporting the new videotelephony teleservice </w:t>
      </w:r>
      <w:r>
        <w:rPr>
          <w:lang w:eastAsia="ja-JP"/>
        </w:rPr>
        <w:t>within</w:t>
      </w:r>
      <w:r>
        <w:rPr>
          <w:lang w:eastAsia="ja-JP"/>
        </w:rPr>
        <w:t xml:space="preserve"> its HPLMN and a UE supporting videotelephony services using the BS30 </w:t>
      </w:r>
      <w:r>
        <w:rPr>
          <w:lang w:eastAsia="ja-JP"/>
        </w:rPr>
        <w:t>multimedia</w:t>
      </w:r>
      <w:r>
        <w:rPr>
          <w:lang w:eastAsia="ja-JP"/>
        </w:rPr>
        <w:t xml:space="preserve"> call bearer roaming in a VPLMN that does not </w:t>
      </w:r>
      <w:r>
        <w:rPr>
          <w:lang w:eastAsia="ja-JP"/>
        </w:rPr>
        <w:t>support</w:t>
      </w:r>
      <w:r>
        <w:rPr>
          <w:lang w:eastAsia="ja-JP"/>
        </w:rPr>
        <w:t xml:space="preserve"> the new videotelephony teleservice</w:t>
      </w:r>
    </w:p>
    <w:p>
      <w:pPr>
        <w:pStyle w:val="B2"/>
        <w:rPr/>
      </w:pPr>
      <w:r>
        <w:rPr>
          <w:lang w:eastAsia="ja-JP"/>
        </w:rPr>
        <w:t>-</w:t>
        <w:tab/>
        <w:t xml:space="preserve">Inter-PLMN connection between a UE supporting the new videotelephony teleservice </w:t>
      </w:r>
      <w:r>
        <w:rPr>
          <w:lang w:eastAsia="ja-JP"/>
        </w:rPr>
        <w:t>within</w:t>
      </w:r>
      <w:r>
        <w:rPr>
          <w:lang w:eastAsia="ja-JP"/>
        </w:rPr>
        <w:t xml:space="preserve"> its HPLMN and a UE supporting videotelephony services using the BS30 </w:t>
      </w:r>
      <w:r>
        <w:rPr>
          <w:lang w:eastAsia="ja-JP"/>
        </w:rPr>
        <w:t>multimedia</w:t>
      </w:r>
      <w:r>
        <w:rPr>
          <w:lang w:eastAsia="ja-JP"/>
        </w:rPr>
        <w:t xml:space="preserve"> call bearer roaming in a VPLMN that </w:t>
      </w:r>
      <w:r>
        <w:rPr>
          <w:lang w:eastAsia="ja-JP"/>
        </w:rPr>
        <w:t>support</w:t>
      </w:r>
      <w:r>
        <w:rPr>
          <w:lang w:eastAsia="ja-JP"/>
        </w:rPr>
        <w:t>s the new videotelephony teleservice</w:t>
      </w:r>
    </w:p>
    <w:p>
      <w:pPr>
        <w:pStyle w:val="NO"/>
        <w:rPr/>
      </w:pPr>
      <w:r>
        <w:rPr>
          <w:lang w:eastAsia="ja-JP"/>
        </w:rPr>
        <w:t>Note</w:t>
      </w:r>
      <w:r>
        <w:rPr>
          <w:lang w:eastAsia="ja-JP"/>
        </w:rPr>
        <w:t xml:space="preserve"> 3</w:t>
      </w:r>
      <w:r>
        <w:rPr>
          <w:lang w:eastAsia="ja-JP"/>
        </w:rPr>
        <w:t>:</w:t>
        <w:tab/>
        <w:t>In the following scenarios the VPLMNs are different networks and may be in different countries.</w:t>
      </w:r>
    </w:p>
    <w:p>
      <w:pPr>
        <w:pStyle w:val="B2"/>
        <w:rPr/>
      </w:pPr>
      <w:r>
        <w:rPr>
          <w:lang w:eastAsia="ja-JP"/>
        </w:rPr>
        <w:t>-</w:t>
        <w:tab/>
        <w:t xml:space="preserve">Inter-PLMN connection between a UE supporting the new videotelephony teleservice roaming in a VPLMN that supports the new videotelephony teleservice and a UE supporting videotelephony services using the BS30 </w:t>
      </w:r>
      <w:r>
        <w:rPr>
          <w:lang w:eastAsia="ja-JP"/>
        </w:rPr>
        <w:t>multimedia</w:t>
      </w:r>
      <w:r>
        <w:rPr>
          <w:lang w:eastAsia="ja-JP"/>
        </w:rPr>
        <w:t xml:space="preserve"> call bearer roaming within a VPLMN that does not </w:t>
      </w:r>
      <w:r>
        <w:rPr>
          <w:lang w:eastAsia="ja-JP"/>
        </w:rPr>
        <w:t>support</w:t>
      </w:r>
      <w:r>
        <w:rPr>
          <w:lang w:eastAsia="ja-JP"/>
        </w:rPr>
        <w:t xml:space="preserve"> the new videotelephony teleservice</w:t>
      </w:r>
    </w:p>
    <w:p>
      <w:pPr>
        <w:pStyle w:val="B2"/>
        <w:rPr/>
      </w:pPr>
      <w:r>
        <w:rPr>
          <w:lang w:eastAsia="ja-JP"/>
        </w:rPr>
        <w:t>-</w:t>
        <w:tab/>
        <w:t xml:space="preserve">Inter-PLMN connection between a UE supporting the new videotelephony teleservice roaming in a VPLMN that does not support the new videotelephony teleservice and a UE supporting videotelephony services using the BS30 </w:t>
      </w:r>
      <w:r>
        <w:rPr>
          <w:lang w:eastAsia="ja-JP"/>
        </w:rPr>
        <w:t>multimedia</w:t>
      </w:r>
      <w:r>
        <w:rPr>
          <w:lang w:eastAsia="ja-JP"/>
        </w:rPr>
        <w:t xml:space="preserve"> call bearer roaming within a VPLMN that also does not </w:t>
      </w:r>
      <w:r>
        <w:rPr>
          <w:lang w:eastAsia="ja-JP"/>
        </w:rPr>
        <w:t>support</w:t>
      </w:r>
      <w:r>
        <w:rPr>
          <w:lang w:eastAsia="ja-JP"/>
        </w:rPr>
        <w:t xml:space="preserve"> the new videotelephony teleservice</w:t>
      </w:r>
    </w:p>
    <w:p>
      <w:pPr>
        <w:pStyle w:val="B2"/>
        <w:rPr/>
      </w:pPr>
      <w:r>
        <w:rPr>
          <w:lang w:eastAsia="ja-JP"/>
        </w:rPr>
        <w:t>-</w:t>
        <w:tab/>
        <w:t xml:space="preserve">Inter-PLMN connection between a UE supporting the new videotelephony teleservice roaming in a VPLMN that supports the new videotelephony teleservice and a UE supporting videotelephony services using the BS30 </w:t>
      </w:r>
      <w:r>
        <w:rPr>
          <w:lang w:eastAsia="ja-JP"/>
        </w:rPr>
        <w:t>multimedia</w:t>
      </w:r>
      <w:r>
        <w:rPr>
          <w:lang w:eastAsia="ja-JP"/>
        </w:rPr>
        <w:t xml:space="preserve"> call bearer service roaming within a VPLMN that also </w:t>
      </w:r>
      <w:r>
        <w:rPr>
          <w:lang w:eastAsia="ja-JP"/>
        </w:rPr>
        <w:t>support</w:t>
      </w:r>
      <w:r>
        <w:rPr>
          <w:lang w:eastAsia="ja-JP"/>
        </w:rPr>
        <w:t>s the new videotelephony teleservice</w:t>
      </w:r>
    </w:p>
    <w:p>
      <w:pPr>
        <w:pStyle w:val="B2"/>
        <w:rPr/>
      </w:pPr>
      <w:r>
        <w:rPr>
          <w:lang w:eastAsia="ja-JP"/>
        </w:rPr>
        <w:t>-</w:t>
        <w:tab/>
        <w:t xml:space="preserve">Inter-PLMN connection between a UE supporting the new videotelephony teleservice roaming in a VPLMN that does not support the new videotelephony teleservice and a UE supporting videotelephony services using the BS30 </w:t>
      </w:r>
      <w:r>
        <w:rPr>
          <w:lang w:eastAsia="ja-JP"/>
        </w:rPr>
        <w:t>multimedia</w:t>
      </w:r>
      <w:r>
        <w:rPr>
          <w:lang w:eastAsia="ja-JP"/>
        </w:rPr>
        <w:t xml:space="preserve"> call bearer service roaming within a VPLMN that </w:t>
      </w:r>
      <w:r>
        <w:rPr>
          <w:lang w:eastAsia="ja-JP"/>
        </w:rPr>
        <w:t>support</w:t>
      </w:r>
      <w:r>
        <w:rPr>
          <w:lang w:eastAsia="ja-JP"/>
        </w:rPr>
        <w:t>s the new videotelephony teleservice</w:t>
      </w:r>
    </w:p>
    <w:p>
      <w:pPr>
        <w:pStyle w:val="Heading2"/>
        <w:rPr/>
      </w:pPr>
      <w:bookmarkStart w:id="27" w:name="__RefHeading___Toc217730776"/>
      <w:bookmarkEnd w:id="27"/>
      <w:r>
        <w:rPr/>
        <w:t>6.1</w:t>
        <w:tab/>
        <w:t>General description of functionalities that are supported in a videotelephony call to a pre Rel-7 videotelephony</w:t>
      </w:r>
    </w:p>
    <w:p>
      <w:pPr>
        <w:pStyle w:val="Normal"/>
        <w:rPr/>
      </w:pPr>
      <w:r>
        <w:rPr/>
      </w:r>
    </w:p>
    <w:p>
      <w:pPr>
        <w:pStyle w:val="Heading2"/>
        <w:rPr/>
      </w:pPr>
      <w:bookmarkStart w:id="28" w:name="__RefHeading___Toc217730777"/>
      <w:bookmarkEnd w:id="28"/>
      <w:r>
        <w:rPr/>
        <w:t>6.2</w:t>
        <w:tab/>
        <w:t>Interoperability with fixed videotelephony service</w:t>
      </w:r>
    </w:p>
    <w:p>
      <w:pPr>
        <w:pStyle w:val="Normal"/>
        <w:rPr/>
      </w:pPr>
      <w:r>
        <w:rPr>
          <w:lang w:val="en-US" w:eastAsia="en-US"/>
        </w:rPr>
        <w:t xml:space="preserve">Similar to the </w:t>
      </w:r>
      <w:r>
        <w:rPr>
          <w:lang w:eastAsia="ja-JP"/>
        </w:rPr>
        <w:t xml:space="preserve">BS30 </w:t>
      </w:r>
      <w:r>
        <w:rPr>
          <w:lang w:eastAsia="ja-JP"/>
        </w:rPr>
        <w:t>multimedia</w:t>
      </w:r>
      <w:r>
        <w:rPr>
          <w:lang w:eastAsia="ja-JP"/>
        </w:rPr>
        <w:t xml:space="preserve"> call bearer service the new videotelephony teleservice (if </w:t>
      </w:r>
      <w:r>
        <w:rPr>
          <w:lang w:eastAsia="ja-JP"/>
        </w:rPr>
        <w:t>specified</w:t>
      </w:r>
      <w:r>
        <w:rPr>
          <w:lang w:eastAsia="ja-JP"/>
        </w:rPr>
        <w:t>) should support interconnection with CS videotelephony services provided by PSTN and ISDN fixed networks.</w:t>
      </w:r>
    </w:p>
    <w:p>
      <w:pPr>
        <w:pStyle w:val="Heading1"/>
        <w:ind w:left="1134" w:hanging="1134"/>
        <w:rPr/>
      </w:pPr>
      <w:bookmarkStart w:id="29" w:name="__RefHeading___Toc217730778"/>
      <w:bookmarkEnd w:id="29"/>
      <w:r>
        <w:rPr>
          <w:lang w:val="en-US" w:eastAsia="ja-JP"/>
        </w:rPr>
        <w:t>7</w:t>
      </w:r>
      <w:r>
        <w:rPr>
          <w:lang w:val="en-US" w:eastAsia="ja-JP"/>
        </w:rPr>
        <w:tab/>
      </w:r>
      <w:r>
        <w:rPr>
          <w:lang w:val="en-US" w:eastAsia="ja-JP"/>
        </w:rPr>
        <w:t>International calls and roaming</w:t>
      </w:r>
    </w:p>
    <w:p>
      <w:pPr>
        <w:pStyle w:val="Normal"/>
        <w:widowControl w:val="false"/>
        <w:autoSpaceDE w:val="false"/>
        <w:spacing w:before="0" w:after="0"/>
        <w:rPr>
          <w:lang w:eastAsia="ja-JP"/>
        </w:rPr>
      </w:pPr>
      <w:r>
        <w:rPr>
          <w:lang w:eastAsia="ja-JP"/>
        </w:rPr>
        <w:t>As Video Telephony depends on the 64kbps UDI bearer, for national as well as international and</w:t>
      </w:r>
      <w:r>
        <w:rPr>
          <w:lang w:eastAsia="ja-JP"/>
        </w:rPr>
        <w:t xml:space="preserve"> </w:t>
      </w:r>
      <w:r>
        <w:rPr>
          <w:lang w:eastAsia="ja-JP"/>
        </w:rPr>
        <w:t>roaming calls, such a bearer must be provided by all carriers used for this specific connection.</w:t>
      </w:r>
      <w:r>
        <w:rPr>
          <w:lang w:eastAsia="ja-JP"/>
        </w:rPr>
        <w:t xml:space="preserve"> </w:t>
      </w:r>
      <w:r>
        <w:rPr>
          <w:lang w:eastAsia="ja-JP"/>
        </w:rPr>
        <w:t>Presently many long distance carriers do not guarantee this functionality.</w:t>
      </w:r>
      <w:r>
        <w:rPr>
          <w:lang w:eastAsia="ja-JP"/>
        </w:rPr>
        <w:t xml:space="preserve"> </w:t>
      </w:r>
      <w:r>
        <w:rPr>
          <w:lang w:eastAsia="ja-JP"/>
        </w:rPr>
        <w:t>If the 64kbit/s UDI bearer is not provided end to end, this may lead to SS7 signalling issues.</w:t>
      </w:r>
    </w:p>
    <w:p>
      <w:pPr>
        <w:pStyle w:val="NO"/>
        <w:rPr>
          <w:lang w:val="en-US" w:eastAsia="ja-JP"/>
        </w:rPr>
      </w:pPr>
      <w:r>
        <w:rPr>
          <w:lang w:val="en-US" w:eastAsia="ja-JP"/>
        </w:rPr>
        <w:t>Note:</w:t>
        <w:tab/>
        <w:t>This issue is FFS.</w:t>
      </w:r>
    </w:p>
    <w:p>
      <w:pPr>
        <w:pStyle w:val="Heading1"/>
        <w:ind w:left="1134" w:hanging="1134"/>
        <w:rPr/>
      </w:pPr>
      <w:bookmarkStart w:id="30" w:name="__RefHeading___Toc217730779"/>
      <w:bookmarkEnd w:id="30"/>
      <w:r>
        <w:rPr>
          <w:lang w:val="en-US"/>
        </w:rPr>
        <w:t>8</w:t>
        <w:tab/>
        <w:t>Conclusions</w:t>
      </w:r>
    </w:p>
    <w:p>
      <w:pPr>
        <w:pStyle w:val="Normal"/>
        <w:rPr/>
      </w:pPr>
      <w:r>
        <w:rPr/>
        <w:t>This study has identified the enhancements needed for videotelephony services including:</w:t>
      </w:r>
    </w:p>
    <w:p>
      <w:pPr>
        <w:pStyle w:val="B1"/>
        <w:rPr/>
      </w:pPr>
      <w:r>
        <w:rPr/>
        <w:t>-</w:t>
        <w:tab/>
        <w:t>Call setup time improvements</w:t>
      </w:r>
    </w:p>
    <w:p>
      <w:pPr>
        <w:pStyle w:val="B1"/>
        <w:rPr/>
      </w:pPr>
      <w:r>
        <w:rPr/>
        <w:t>-</w:t>
        <w:tab/>
        <w:t>Additional support of supplementary services</w:t>
      </w:r>
    </w:p>
    <w:p>
      <w:pPr>
        <w:pStyle w:val="B1"/>
        <w:rPr/>
      </w:pPr>
      <w:r>
        <w:rPr/>
        <w:t>-</w:t>
        <w:tab/>
        <w:t>Charging improvements</w:t>
      </w:r>
    </w:p>
    <w:p>
      <w:pPr>
        <w:pStyle w:val="B1"/>
        <w:rPr/>
      </w:pPr>
      <w:r>
        <w:rPr/>
        <w:t>-</w:t>
        <w:tab/>
        <w:t xml:space="preserve">Improved in call modification </w:t>
      </w:r>
    </w:p>
    <w:p>
      <w:pPr>
        <w:pStyle w:val="B1"/>
        <w:rPr/>
      </w:pPr>
      <w:r>
        <w:rPr/>
        <w:t>-</w:t>
        <w:tab/>
        <w:t>More efficient emergency videotelephony call support</w:t>
      </w:r>
    </w:p>
    <w:p>
      <w:pPr>
        <w:pStyle w:val="B1"/>
        <w:rPr/>
      </w:pPr>
      <w:r>
        <w:rPr/>
        <w:t>-</w:t>
        <w:tab/>
        <w:t>User notification</w:t>
      </w:r>
    </w:p>
    <w:p>
      <w:pPr>
        <w:pStyle w:val="Normal"/>
        <w:rPr/>
      </w:pPr>
      <w:r>
        <w:rPr/>
        <w:t>These enhancements can be provided by either:</w:t>
      </w:r>
    </w:p>
    <w:p>
      <w:pPr>
        <w:pStyle w:val="B1"/>
        <w:rPr/>
      </w:pPr>
      <w:r>
        <w:rPr/>
        <w:t>1. standardising a new videotelephony teleservice.</w:t>
      </w:r>
    </w:p>
    <w:p>
      <w:pPr>
        <w:pStyle w:val="B1"/>
        <w:rPr/>
      </w:pPr>
      <w:r>
        <w:rPr/>
        <w:t>2. improving the existing videotelephony service that is based on BS30</w:t>
      </w:r>
    </w:p>
    <w:p>
      <w:pPr>
        <w:pStyle w:val="Normal"/>
        <w:rPr/>
      </w:pPr>
      <w:r>
        <w:rPr/>
        <w:t>For both alternatives backwards compatibility with existing videotelephony services using the BS30 Multimedia Call Bearer Service is essential.</w:t>
      </w:r>
    </w:p>
    <w:p>
      <w:pPr>
        <w:pStyle w:val="Normal"/>
        <w:rPr/>
      </w:pPr>
      <w:r>
        <w:rPr/>
        <w:t>Some of the possible advantages for defining a videotelephony teleservice are:</w:t>
      </w:r>
    </w:p>
    <w:p>
      <w:pPr>
        <w:pStyle w:val="B1"/>
        <w:rPr/>
      </w:pPr>
      <w:r>
        <w:rPr/>
        <w:t>-</w:t>
        <w:tab/>
        <w:t>ability to negotiate the codecs used in the VT call using already standardised mechanisms available today for teleservices</w:t>
      </w:r>
    </w:p>
    <w:p>
      <w:pPr>
        <w:pStyle w:val="B1"/>
        <w:rPr/>
      </w:pPr>
      <w:r>
        <w:rPr/>
        <w:t>-</w:t>
        <w:tab/>
        <w:t>ability to differentiate the charging between videotelephony and data transfers using BS30</w:t>
      </w:r>
    </w:p>
    <w:p>
      <w:pPr>
        <w:pStyle w:val="B1"/>
        <w:rPr/>
      </w:pPr>
      <w:r>
        <w:rPr/>
        <w:t>-</w:t>
        <w:tab/>
        <w:t>simplification of handling of call modification for network operators compared to videotelephony services provided using the BS30 Multimedia Call Bearer Service</w:t>
      </w:r>
    </w:p>
    <w:p>
      <w:pPr>
        <w:pStyle w:val="B1"/>
        <w:rPr/>
      </w:pPr>
      <w:r>
        <w:rPr/>
        <w:t>-</w:t>
        <w:tab/>
        <w:t>simplification of downgrading the service to speech in case of changing from 3G to 2G and vice versa compared to videotelephony services provided using the BS30 Multimedia Call Bearer Service</w:t>
      </w:r>
    </w:p>
    <w:p>
      <w:pPr>
        <w:pStyle w:val="B1"/>
        <w:rPr/>
      </w:pPr>
      <w:r>
        <w:rPr/>
        <w:t>-</w:t>
        <w:tab/>
        <w:t>the same handling of supplementary services as other teleservices</w:t>
      </w:r>
    </w:p>
    <w:p>
      <w:pPr>
        <w:pStyle w:val="B1"/>
        <w:rPr/>
      </w:pPr>
      <w:r>
        <w:rPr/>
        <w:t>-</w:t>
        <w:tab/>
        <w:t>unique subscription for videotelephony services including unique definition within roaming agreements which may improve interoperator charging</w:t>
      </w:r>
    </w:p>
    <w:p>
      <w:pPr>
        <w:pStyle w:val="B1"/>
        <w:rPr/>
      </w:pPr>
      <w:r>
        <w:rPr/>
        <w:t>-</w:t>
        <w:tab/>
        <w:t>possible definition of a unique emergency videotelephony teleservice (if required)</w:t>
      </w:r>
    </w:p>
    <w:p>
      <w:pPr>
        <w:pStyle w:val="Normal"/>
        <w:rPr/>
      </w:pPr>
      <w:r>
        <w:rPr/>
        <w:t xml:space="preserve">These need to be balanced against possible disadvantages of defining two alternative solutions for providing videotelephony services. </w:t>
      </w:r>
      <w:r>
        <w:br w:type="page"/>
      </w:r>
    </w:p>
    <w:p>
      <w:pPr>
        <w:pStyle w:val="Heading9"/>
        <w:rPr/>
      </w:pPr>
      <w:bookmarkStart w:id="31" w:name="__RefHeading___Toc217730780"/>
      <w:r>
        <w:rPr/>
        <w:t xml:space="preserve">Annex A: </w:t>
        <w:br/>
        <w:t>Existing requirements for videotelephony</w:t>
      </w:r>
      <w:bookmarkEnd w:id="31"/>
      <w:r>
        <w:rPr/>
        <w:t xml:space="preserve"> </w:t>
        <w:br/>
      </w:r>
      <w:r>
        <w:br w:type="page"/>
      </w:r>
    </w:p>
    <w:p>
      <w:pPr>
        <w:pStyle w:val="Heading9"/>
        <w:rPr/>
      </w:pPr>
      <w:bookmarkStart w:id="32" w:name="__RefHeading___Toc217730781"/>
      <w:bookmarkStart w:id="33" w:name="historyclause"/>
      <w:bookmarkEnd w:id="32"/>
      <w:bookmarkEnd w:id="33"/>
      <w:r>
        <w:rPr/>
        <w:t>Annex B:</w:t>
        <w:br/>
        <w:t>Change history</w:t>
      </w:r>
    </w:p>
    <w:p>
      <w:pPr>
        <w:pStyle w:val="TH"/>
        <w:rPr/>
      </w:pPr>
      <w:r>
        <w:rPr/>
      </w:r>
      <w:bookmarkStart w:id="34" w:name="historyclause"/>
      <w:bookmarkStart w:id="35" w:name="historyclause"/>
      <w:bookmarkEnd w:id="35"/>
    </w:p>
    <w:tbl>
      <w:tblPr>
        <w:tblW w:w="9635" w:type="dxa"/>
        <w:jc w:val="left"/>
        <w:tblInd w:w="-7" w:type="dxa"/>
        <w:tblLayout w:type="fixed"/>
        <w:tblCellMar>
          <w:top w:w="0" w:type="dxa"/>
          <w:left w:w="40" w:type="dxa"/>
          <w:bottom w:w="0" w:type="dxa"/>
          <w:right w:w="40" w:type="dxa"/>
        </w:tblCellMar>
      </w:tblPr>
      <w:tblGrid>
        <w:gridCol w:w="800"/>
        <w:gridCol w:w="901"/>
        <w:gridCol w:w="992"/>
        <w:gridCol w:w="709"/>
        <w:gridCol w:w="425"/>
        <w:gridCol w:w="428"/>
        <w:gridCol w:w="596"/>
        <w:gridCol w:w="391"/>
        <w:gridCol w:w="2409"/>
        <w:gridCol w:w="567"/>
        <w:gridCol w:w="567"/>
        <w:gridCol w:w="850"/>
      </w:tblGrid>
      <w:tr>
        <w:trPr>
          <w:cantSplit w:val="true"/>
        </w:trPr>
        <w:tc>
          <w:tcPr>
            <w:tcW w:w="9635" w:type="dxa"/>
            <w:gridSpan w:val="12"/>
            <w:tcBorders>
              <w:top w:val="single" w:sz="6" w:space="0" w:color="000000"/>
              <w:left w:val="single" w:sz="6" w:space="0" w:color="000000"/>
              <w:bottom w:val="single" w:sz="6" w:space="0" w:color="000000"/>
              <w:right w:val="single" w:sz="6" w:space="0" w:color="000000"/>
            </w:tcBorders>
            <w:shd w:fill="FFFFFF" w:val="clear"/>
          </w:tcPr>
          <w:p>
            <w:pPr>
              <w:pStyle w:val="TH"/>
              <w:keepLines w:val="false"/>
              <w:spacing w:before="0" w:after="0"/>
              <w:rPr>
                <w:rFonts w:ascii="Times New Roman" w:hAnsi="Times New Roman" w:cs="Times New Roman"/>
                <w:color w:val="000000"/>
                <w:sz w:val="16"/>
                <w:lang w:val="en-AU"/>
              </w:rPr>
            </w:pPr>
            <w:r>
              <w:rPr>
                <w:rFonts w:cs="Times New Roman" w:ascii="Times New Roman" w:hAnsi="Times New Roman"/>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SA#</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SA Doc.</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SA1 Doc</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Spec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59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Rel</w:t>
            </w:r>
          </w:p>
        </w:tc>
        <w:tc>
          <w:tcPr>
            <w:tcW w:w="39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24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WI</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2005-04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22.903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Initial draft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2005-05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22.903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Output of SWG May2005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2005-07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22.903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Output of SWG July 2005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2005-10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22.903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Output of SWG October 2005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2005-10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22.903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Output of SA1 October 2005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SP-30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SP-050757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S1-051242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22.903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Rel-7</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Approved for Rel-7 at SA #30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7.0.0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MITE</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Rel-8</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Updated from Rel-7 to Rel-8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8.0.0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US"/>
              </w:rPr>
            </w:pPr>
            <w:r>
              <w:rPr>
                <w:rFonts w:cs="Arial" w:ascii="Arial" w:hAnsi="Arial"/>
                <w:color w:val="000000"/>
                <w:sz w:val="16"/>
                <w:lang w:val="en-US"/>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US"/>
              </w:rPr>
              <w:t>Updated to Rel-9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9.0.0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US"/>
              </w:rPr>
            </w:pPr>
            <w:r>
              <w:rPr>
                <w:rFonts w:cs="Arial" w:ascii="Arial" w:hAnsi="Arial"/>
                <w:color w:val="000000"/>
                <w:sz w:val="16"/>
                <w:lang w:val="en-US"/>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2011-03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Update to Rel-10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10.0.0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US"/>
              </w:rPr>
            </w:pPr>
            <w:r>
              <w:rPr>
                <w:rFonts w:cs="Arial" w:ascii="Arial" w:hAnsi="Arial"/>
                <w:color w:val="000000"/>
                <w:sz w:val="16"/>
                <w:lang w:val="en-US"/>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2012-09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Updated to Rel-11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11.0.0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US"/>
              </w:rPr>
            </w:pPr>
            <w:r>
              <w:rPr>
                <w:rFonts w:cs="Arial" w:ascii="Arial" w:hAnsi="Arial"/>
                <w:color w:val="000000"/>
                <w:sz w:val="16"/>
                <w:lang w:val="en-US"/>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2014-10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Updated to Rel-12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12.0.0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US"/>
              </w:rPr>
            </w:pPr>
            <w:r>
              <w:rPr>
                <w:rFonts w:cs="Arial" w:ascii="Arial" w:hAnsi="Arial"/>
                <w:color w:val="000000"/>
                <w:sz w:val="16"/>
                <w:lang w:val="en-US"/>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2015-12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Updated to Rel-13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13.0.0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US"/>
              </w:rPr>
            </w:pPr>
            <w:r>
              <w:rPr>
                <w:rFonts w:cs="Arial" w:ascii="Arial" w:hAnsi="Arial"/>
                <w:color w:val="000000"/>
                <w:sz w:val="16"/>
                <w:lang w:val="en-US"/>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2017-03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Updated to Rel-14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13.0.0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14.0.0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US"/>
              </w:rPr>
            </w:pPr>
            <w:r>
              <w:rPr>
                <w:rFonts w:cs="Arial" w:ascii="Arial" w:hAnsi="Arial"/>
                <w:color w:val="000000"/>
                <w:sz w:val="16"/>
                <w:lang w:val="en-US"/>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2018-06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Updated to Rel-15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14.0.0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15.0.0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US"/>
              </w:rPr>
            </w:pPr>
            <w:r>
              <w:rPr>
                <w:rFonts w:cs="Arial" w:ascii="Arial" w:hAnsi="Arial"/>
                <w:color w:val="000000"/>
                <w:sz w:val="16"/>
                <w:lang w:val="en-US"/>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SA#88e</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Updated to Rel-16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15.0.0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16.0.0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US"/>
              </w:rPr>
            </w:pPr>
            <w:r>
              <w:rPr>
                <w:rFonts w:cs="Arial" w:ascii="Arial" w:hAnsi="Arial"/>
                <w:color w:val="000000"/>
                <w:sz w:val="16"/>
                <w:lang w:val="en-US"/>
              </w:rPr>
            </w:r>
          </w:p>
        </w:tc>
      </w:tr>
    </w:tbl>
    <w:p>
      <w:pPr>
        <w:pStyle w:val="Normal"/>
        <w:widowControl/>
        <w:bidi w:val="0"/>
        <w:spacing w:before="0" w:after="180"/>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6">
              <wp:simplePos x="0" y="0"/>
              <wp:positionH relativeFrom="margin">
                <wp:align>right</wp:align>
              </wp:positionH>
              <wp:positionV relativeFrom="paragraph">
                <wp:posOffset>635</wp:posOffset>
              </wp:positionV>
              <wp:extent cx="182499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22.903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22.903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0">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15</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15</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4">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numFmt w:val="bullet"/>
      <w:lvlText w:val=""/>
      <w:lvlJc w:val="left"/>
      <w:pPr>
        <w:tabs>
          <w:tab w:val="num" w:pos="283"/>
        </w:tabs>
        <w:ind w:left="567" w:hanging="283"/>
      </w:pPr>
      <w:rPr>
        <w:rFonts w:ascii="Symbol" w:hAnsi="Symbol" w:cs="Symbol" w:hint="default"/>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8"/>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MS Mincho;ＭＳ 明朝"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MS Mincho;ＭＳ 明朝"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3z0">
    <w:name w:val="WW8Num3z0"/>
    <w:qFormat/>
    <w:rPr>
      <w:rFonts w:ascii="Times New Roman" w:hAnsi="Times New Roman" w:eastAsia="Times New Roman"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style>
  <w:style w:type="character" w:styleId="WW8Num7z0">
    <w:name w:val="WW8Num7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MS Mincho;ＭＳ 明朝"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MS Mincho;ＭＳ 明朝" w:cs="Arial"/>
      <w:b/>
      <w:color w:val="auto"/>
      <w:sz w:val="18"/>
      <w:szCs w:val="20"/>
      <w:lang w:val="en-GB" w:eastAsia="en-US" w:bidi="ar-SA"/>
    </w:rPr>
  </w:style>
  <w:style w:type="paragraph" w:styleId="ZD">
    <w:name w:val="ZD"/>
    <w:qFormat/>
    <w:pPr>
      <w:widowControl w:val="false"/>
      <w:bidi w:val="0"/>
    </w:pPr>
    <w:rPr>
      <w:rFonts w:ascii="Arial" w:hAnsi="Arial" w:eastAsia="MS Mincho;ＭＳ 明朝"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MS Mincho;ＭＳ 明朝"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MS Mincho;ＭＳ 明朝"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MS Mincho;ＭＳ 明朝"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MS Mincho;ＭＳ 明朝"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MS Mincho;ＭＳ 明朝"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MS Mincho;ＭＳ 明朝"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MS Mincho;ＭＳ 明朝"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MS Mincho;ＭＳ 明朝"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7"/>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2012-09-21T13:33:00Z</dcterms:created>
  <dc:creator>MCC Support</dc:creator>
  <dc:description/>
  <cp:keywords>LTE-Advanced LTE UMTS video telephony teleservice</cp:keywords>
  <dc:language>en-US</dc:language>
  <cp:lastModifiedBy>Alain Sultan</cp:lastModifiedBy>
  <dcterms:modified xsi:type="dcterms:W3CDTF">2020-07-16T09:43:00Z</dcterms:modified>
  <cp:revision>10</cp:revision>
  <dc:subject>Study on Videotelephony teleservice;  (Release 10)</dc:subject>
  <dc:title>3GPP TR 22.903</dc:title>
</cp:coreProperties>
</file>