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media/image29.png" ContentType="image/png"/>
  <Override PartName="/word/media/image2.wmf" ContentType="image/x-wmf"/>
  <Override PartName="/word/media/image32.wmf" ContentType="image/x-wmf"/>
  <Override PartName="/word/media/image26.wmf" ContentType="image/x-wmf"/>
  <Override PartName="/word/media/image30.emf" ContentType="image/x-emf"/>
  <Override PartName="/word/media/image25.emf" ContentType="image/x-emf"/>
  <Override PartName="/word/media/image14.emf" ContentType="image/x-emf"/>
  <Override PartName="/word/media/image11.wmf" ContentType="image/x-wmf"/>
  <Override PartName="/word/media/image6.wmf" ContentType="image/x-wmf"/>
  <Override PartName="/word/media/image34.emf" ContentType="image/x-emf"/>
  <Override PartName="/word/media/image15.emf" ContentType="image/x-emf"/>
  <Override PartName="/word/media/image12.wmf" ContentType="image/x-wmf"/>
  <Override PartName="/word/media/image9.wmf" ContentType="image/x-wmf"/>
  <Override PartName="/word/media/image10.wmf" ContentType="image/x-wmf"/>
  <Override PartName="/word/media/image13.emf" ContentType="image/x-emf"/>
  <Override PartName="/word/media/image33.wmf" ContentType="image/x-wmf"/>
  <Override PartName="/word/media/image8.wmf" ContentType="image/x-wmf"/>
  <Override PartName="/word/media/image7.wmf" ContentType="image/x-wmf"/>
  <Override PartName="/word/media/image35.emf" ContentType="image/x-emf"/>
  <Override PartName="/word/media/image4.wmf" ContentType="image/x-wmf"/>
  <Override PartName="/word/media/image27.wmf" ContentType="image/x-wmf"/>
  <Override PartName="/word/media/image31.emf" ContentType="image/x-emf"/>
  <Override PartName="/word/media/image5.wmf" ContentType="image/x-wmf"/>
  <Override PartName="/word/media/image28.wmf" ContentType="image/x-wmf"/>
  <Override PartName="/word/media/image3.emf" ContentType="image/x-emf"/>
  <Override PartName="/word/media/image23.wmf" ContentType="image/x-wmf"/>
  <Override PartName="/word/media/image1.wmf" ContentType="image/x-wmf"/>
  <Override PartName="/word/media/image16.emf" ContentType="image/x-emf"/>
  <Override PartName="/word/media/image22.emf" ContentType="image/x-emf"/>
  <Override PartName="/word/media/image18.wmf" ContentType="image/x-wmf"/>
  <Override PartName="/word/media/image20.wmf" ContentType="image/x-wmf"/>
  <Override PartName="/word/media/image19.wmf" ContentType="image/x-wmf"/>
  <Override PartName="/word/media/image24.emf" ContentType="image/x-emf"/>
  <Override PartName="/word/media/image17.wmf" ContentType="image/x-wmf"/>
  <Override PartName="/word/media/image21.emf" ContentType="image/x-emf"/>
  <Override PartName="/word/styles.xml" ContentType="application/vnd.openxmlformats-officedocument.wordprocessingml.styles+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23.081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23.081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Line identification supplementary services;</w:t>
                              <w:br/>
                              <w:t>Stage 2</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Line identification supplementary services;</w:t>
                        <w:br/>
                        <w:t>Stage 2</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396265176"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919853187"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CLIP, CLIR, COLP, COLR, supplementary servce, stage 2</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CLIP, CLIR, COLP, COLR, supplementary servce,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4.8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bookmarkStart w:id="6" w:name="copyrightaddon"/>
                            <w:bookmarkEnd w:id="6"/>
                            <w:r>
                              <w:rPr>
                                <w:sz w:val="18"/>
                              </w:rPr>
                              <w:t>© 2020, 3GPP Organizational Partners (ARIB, ATIS, CCSA, ETSI, TSDSI, TTA, TTC).</w:t>
                            </w:r>
                          </w:p>
                          <w:p>
                            <w:pPr>
                              <w:pStyle w:val="FP"/>
                              <w:jc w:val="center"/>
                              <w:rPr>
                                <w:sz w:val="18"/>
                              </w:rPr>
                            </w:pPr>
                            <w:bookmarkStart w:id="7" w:name="copyrightaddon"/>
                            <w:bookmarkEnd w:id="7"/>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75.6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bookmarkStart w:id="8" w:name="copyrightaddon"/>
                      <w:bookmarkEnd w:id="8"/>
                      <w:r>
                        <w:rPr>
                          <w:sz w:val="18"/>
                        </w:rPr>
                        <w:t>© 2020, 3GPP Organizational Partners (ARIB, ATIS, CCSA, ETSI, TSDSI, TTA, TTC).</w:t>
                      </w:r>
                    </w:p>
                    <w:p>
                      <w:pPr>
                        <w:pStyle w:val="FP"/>
                        <w:jc w:val="center"/>
                        <w:rPr>
                          <w:sz w:val="18"/>
                        </w:rPr>
                      </w:pPr>
                      <w:bookmarkStart w:id="9" w:name="copyrightaddon"/>
                      <w:bookmarkEnd w:id="9"/>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10" w:name="page2"/>
      <w:bookmarkEnd w:id="10"/>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1840">
            <w:r>
              <w:rPr>
                <w:rStyle w:val="IndexLink"/>
                <w:sz w:val="22"/>
                <w:lang w:val="en-US" w:eastAsia="en-US"/>
              </w:rPr>
              <w:t>5</w:t>
            </w:r>
          </w:hyperlink>
        </w:p>
        <w:p>
          <w:pPr>
            <w:pStyle w:val="Contents1"/>
            <w:rPr>
              <w:rFonts w:ascii="Calibri" w:hAnsi="Calibri" w:cs="Calibri"/>
              <w:szCs w:val="22"/>
              <w:lang w:val="en-US" w:eastAsia="en-US"/>
            </w:rPr>
          </w:pPr>
          <w:r>
            <w:rPr/>
            <w:t>0</w:t>
          </w:r>
          <w:r>
            <w:rPr>
              <w:rFonts w:cs="Calibri" w:ascii="Calibri" w:hAnsi="Calibri"/>
              <w:szCs w:val="22"/>
              <w:lang w:eastAsia="en-GB"/>
            </w:rPr>
            <w:tab/>
          </w:r>
          <w:r>
            <w:rPr>
              <w:lang w:val="en-US" w:eastAsia="en-US"/>
            </w:rPr>
            <w:t>Scope</w:t>
            <w:tab/>
          </w:r>
          <w:hyperlink w:anchor="__RefHeading___Toc517461841">
            <w:r>
              <w:rPr>
                <w:rStyle w:val="IndexLink"/>
                <w:lang w:val="en-US" w:eastAsia="en-US"/>
              </w:rPr>
              <w:t>6</w:t>
            </w:r>
          </w:hyperlink>
        </w:p>
        <w:p>
          <w:pPr>
            <w:pStyle w:val="Contents2"/>
            <w:rPr>
              <w:rFonts w:ascii="Calibri" w:hAnsi="Calibri" w:cs="Calibri"/>
              <w:sz w:val="22"/>
              <w:szCs w:val="22"/>
              <w:lang w:val="en-US" w:eastAsia="en-US"/>
            </w:rPr>
          </w:pPr>
          <w:r>
            <w:rPr/>
            <w:t>0.1</w:t>
          </w:r>
          <w:r>
            <w:rPr>
              <w:rFonts w:cs="Calibri" w:ascii="Calibri" w:hAnsi="Calibri"/>
              <w:sz w:val="22"/>
              <w:szCs w:val="22"/>
              <w:lang w:eastAsia="en-GB"/>
            </w:rPr>
            <w:tab/>
          </w:r>
          <w:r>
            <w:rPr>
              <w:lang w:val="en-US" w:eastAsia="en-US"/>
            </w:rPr>
            <w:t>References</w:t>
            <w:tab/>
          </w:r>
          <w:hyperlink w:anchor="__RefHeading___Toc517461842">
            <w:r>
              <w:rPr>
                <w:rStyle w:val="IndexLink"/>
                <w:lang w:val="en-US" w:eastAsia="en-US"/>
              </w:rPr>
              <w:t>6</w:t>
            </w:r>
          </w:hyperlink>
        </w:p>
        <w:p>
          <w:pPr>
            <w:pStyle w:val="Contents2"/>
            <w:rPr>
              <w:rFonts w:ascii="Calibri" w:hAnsi="Calibri" w:cs="Calibri"/>
              <w:sz w:val="22"/>
              <w:szCs w:val="22"/>
              <w:lang w:val="en-US" w:eastAsia="en-US"/>
            </w:rPr>
          </w:pPr>
          <w:r>
            <w:rPr/>
            <w:t>0.2</w:t>
          </w:r>
          <w:r>
            <w:rPr>
              <w:rFonts w:cs="Calibri" w:ascii="Calibri" w:hAnsi="Calibri"/>
              <w:sz w:val="22"/>
              <w:szCs w:val="22"/>
              <w:lang w:eastAsia="en-GB"/>
            </w:rPr>
            <w:tab/>
          </w:r>
          <w:r>
            <w:rPr>
              <w:lang w:val="en-US" w:eastAsia="en-US"/>
            </w:rPr>
            <w:t>Definitions and abbreviations</w:t>
            <w:tab/>
          </w:r>
          <w:hyperlink w:anchor="__RefHeading___Toc517461843">
            <w:r>
              <w:rPr>
                <w:rStyle w:val="IndexLink"/>
                <w:lang w:val="en-US" w:eastAsia="en-US"/>
              </w:rPr>
              <w:t>6</w:t>
            </w:r>
          </w:hyperlink>
        </w:p>
        <w:p>
          <w:pPr>
            <w:pStyle w:val="Contents3"/>
            <w:rPr>
              <w:rFonts w:ascii="Calibri" w:hAnsi="Calibri" w:cs="Calibri"/>
              <w:sz w:val="22"/>
              <w:szCs w:val="22"/>
              <w:lang w:val="en-US" w:eastAsia="en-US"/>
            </w:rPr>
          </w:pPr>
          <w:r>
            <w:rPr/>
            <w:t>0.2.1</w:t>
          </w:r>
          <w:r>
            <w:rPr>
              <w:rFonts w:cs="Calibri" w:ascii="Calibri" w:hAnsi="Calibri"/>
              <w:sz w:val="22"/>
              <w:szCs w:val="22"/>
              <w:lang w:eastAsia="en-GB"/>
            </w:rPr>
            <w:tab/>
          </w:r>
          <w:r>
            <w:rPr>
              <w:lang w:val="en-US" w:eastAsia="en-US"/>
            </w:rPr>
            <w:t>Definitions</w:t>
            <w:tab/>
          </w:r>
          <w:hyperlink w:anchor="__RefHeading___Toc517461844">
            <w:r>
              <w:rPr>
                <w:rStyle w:val="IndexLink"/>
                <w:lang w:val="en-US" w:eastAsia="en-US"/>
              </w:rPr>
              <w:t>6</w:t>
            </w:r>
          </w:hyperlink>
        </w:p>
        <w:p>
          <w:pPr>
            <w:pStyle w:val="Contents4"/>
            <w:rPr>
              <w:rFonts w:ascii="Calibri" w:hAnsi="Calibri" w:cs="Calibri"/>
              <w:sz w:val="22"/>
              <w:szCs w:val="22"/>
              <w:lang w:val="en-US" w:eastAsia="en-US"/>
            </w:rPr>
          </w:pPr>
          <w:r>
            <w:rPr/>
            <w:t>0.2.1.1</w:t>
          </w:r>
          <w:r>
            <w:rPr>
              <w:rFonts w:cs="Calibri" w:ascii="Calibri" w:hAnsi="Calibri"/>
              <w:sz w:val="22"/>
              <w:szCs w:val="22"/>
              <w:lang w:eastAsia="en-GB"/>
            </w:rPr>
            <w:tab/>
          </w:r>
          <w:r>
            <w:rPr>
              <w:lang w:val="en-US" w:eastAsia="en-US"/>
            </w:rPr>
            <w:t>Definition of line identity</w:t>
            <w:tab/>
          </w:r>
          <w:hyperlink w:anchor="__RefHeading___Toc517461845">
            <w:r>
              <w:rPr>
                <w:rStyle w:val="IndexLink"/>
                <w:lang w:val="en-US" w:eastAsia="en-US"/>
              </w:rPr>
              <w:t>6</w:t>
            </w:r>
          </w:hyperlink>
        </w:p>
        <w:p>
          <w:pPr>
            <w:pStyle w:val="Contents4"/>
            <w:rPr>
              <w:rFonts w:ascii="Calibri" w:hAnsi="Calibri" w:cs="Calibri"/>
              <w:sz w:val="22"/>
              <w:szCs w:val="22"/>
              <w:lang w:val="en-US" w:eastAsia="en-US"/>
            </w:rPr>
          </w:pPr>
          <w:r>
            <w:rPr/>
            <w:t>0.2.1.2</w:t>
          </w:r>
          <w:r>
            <w:rPr>
              <w:rFonts w:cs="Calibri" w:ascii="Calibri" w:hAnsi="Calibri"/>
              <w:sz w:val="22"/>
              <w:szCs w:val="22"/>
              <w:lang w:eastAsia="en-GB"/>
            </w:rPr>
            <w:tab/>
          </w:r>
          <w:r>
            <w:rPr>
              <w:lang w:val="en-US" w:eastAsia="en-US"/>
            </w:rPr>
            <w:t>Definition of presentation and screening indicators</w:t>
            <w:tab/>
          </w:r>
          <w:hyperlink w:anchor="__RefHeading___Toc517461846">
            <w:r>
              <w:rPr>
                <w:rStyle w:val="IndexLink"/>
                <w:lang w:val="en-US" w:eastAsia="en-US"/>
              </w:rPr>
              <w:t>7</w:t>
            </w:r>
          </w:hyperlink>
        </w:p>
        <w:p>
          <w:pPr>
            <w:pStyle w:val="Contents3"/>
            <w:rPr>
              <w:rFonts w:ascii="Calibri" w:hAnsi="Calibri" w:cs="Calibri"/>
              <w:sz w:val="22"/>
              <w:szCs w:val="22"/>
              <w:lang w:val="en-US" w:eastAsia="en-US"/>
            </w:rPr>
          </w:pPr>
          <w:r>
            <w:rPr/>
            <w:t>0.2.2</w:t>
          </w:r>
          <w:r>
            <w:rPr>
              <w:rFonts w:cs="Calibri" w:ascii="Calibri" w:hAnsi="Calibri"/>
              <w:sz w:val="22"/>
              <w:szCs w:val="22"/>
              <w:lang w:eastAsia="en-GB"/>
            </w:rPr>
            <w:tab/>
          </w:r>
          <w:r>
            <w:rPr>
              <w:lang w:val="en-US" w:eastAsia="en-US"/>
            </w:rPr>
            <w:t>Abbreviations</w:t>
            <w:tab/>
          </w:r>
          <w:hyperlink w:anchor="__RefHeading___Toc517461847">
            <w:r>
              <w:rPr>
                <w:rStyle w:val="IndexLink"/>
                <w:lang w:val="en-US" w:eastAsia="en-US"/>
              </w:rPr>
              <w:t>7</w:t>
            </w:r>
          </w:hyperlink>
        </w:p>
        <w:p>
          <w:pPr>
            <w:pStyle w:val="Contents1"/>
            <w:rPr>
              <w:rFonts w:ascii="Calibri" w:hAnsi="Calibri" w:cs="Calibri"/>
              <w:szCs w:val="22"/>
              <w:lang w:val="en-US" w:eastAsia="en-US"/>
            </w:rPr>
          </w:pPr>
          <w:r>
            <w:rPr/>
            <w:t>1</w:t>
          </w:r>
          <w:r>
            <w:rPr>
              <w:rFonts w:cs="Calibri" w:ascii="Calibri" w:hAnsi="Calibri"/>
              <w:szCs w:val="22"/>
              <w:lang w:eastAsia="en-GB"/>
            </w:rPr>
            <w:tab/>
          </w:r>
          <w:r>
            <w:rPr>
              <w:lang w:val="en-US" w:eastAsia="en-US"/>
            </w:rPr>
            <w:t>Calling line identification presentation (CLIP)</w:t>
            <w:tab/>
          </w:r>
          <w:hyperlink w:anchor="__RefHeading___Toc517461848">
            <w:r>
              <w:rPr>
                <w:rStyle w:val="IndexLink"/>
                <w:lang w:val="en-US" w:eastAsia="en-US"/>
              </w:rPr>
              <w:t>7</w:t>
            </w:r>
          </w:hyperlink>
        </w:p>
        <w:p>
          <w:pPr>
            <w:pStyle w:val="Contents2"/>
            <w:rPr>
              <w:rFonts w:ascii="Calibri" w:hAnsi="Calibri" w:cs="Calibri"/>
              <w:sz w:val="22"/>
              <w:szCs w:val="22"/>
              <w:lang w:val="en-US" w:eastAsia="en-US"/>
            </w:rPr>
          </w:pPr>
          <w:r>
            <w:rPr/>
            <w:t>1.1</w:t>
          </w:r>
          <w:r>
            <w:rPr>
              <w:rFonts w:cs="Calibri" w:ascii="Calibri" w:hAnsi="Calibri"/>
              <w:sz w:val="22"/>
              <w:szCs w:val="22"/>
              <w:lang w:eastAsia="en-GB"/>
            </w:rPr>
            <w:tab/>
          </w:r>
          <w:r>
            <w:rPr>
              <w:lang w:val="en-US" w:eastAsia="en-US"/>
            </w:rPr>
            <w:t>Handling of calling line identification presentation</w:t>
            <w:tab/>
          </w:r>
          <w:hyperlink w:anchor="__RefHeading___Toc517461849">
            <w:r>
              <w:rPr>
                <w:rStyle w:val="IndexLink"/>
                <w:lang w:val="en-US" w:eastAsia="en-US"/>
              </w:rPr>
              <w:t>7</w:t>
            </w:r>
          </w:hyperlink>
        </w:p>
        <w:p>
          <w:pPr>
            <w:pStyle w:val="Contents3"/>
            <w:rPr>
              <w:rFonts w:ascii="Calibri" w:hAnsi="Calibri" w:cs="Calibri"/>
              <w:sz w:val="22"/>
              <w:szCs w:val="22"/>
              <w:lang w:val="en-US" w:eastAsia="en-US"/>
            </w:rPr>
          </w:pPr>
          <w:r>
            <w:rPr/>
            <w:t>1.1.1</w:t>
          </w:r>
          <w:r>
            <w:rPr>
              <w:rFonts w:cs="Calibri" w:ascii="Calibri" w:hAnsi="Calibri"/>
              <w:sz w:val="22"/>
              <w:szCs w:val="22"/>
              <w:lang w:eastAsia="en-GB"/>
            </w:rPr>
            <w:tab/>
          </w:r>
          <w:r>
            <w:rPr>
              <w:lang w:val="en-US" w:eastAsia="en-US"/>
            </w:rPr>
            <w:t>Interrogation</w:t>
            <w:tab/>
          </w:r>
          <w:hyperlink w:anchor="__RefHeading___Toc517461850">
            <w:r>
              <w:rPr>
                <w:rStyle w:val="IndexLink"/>
                <w:lang w:val="en-US" w:eastAsia="en-US"/>
              </w:rPr>
              <w:t>7</w:t>
            </w:r>
          </w:hyperlink>
        </w:p>
        <w:p>
          <w:pPr>
            <w:pStyle w:val="Contents2"/>
            <w:rPr>
              <w:rFonts w:ascii="Calibri" w:hAnsi="Calibri" w:cs="Calibri"/>
              <w:sz w:val="22"/>
              <w:szCs w:val="22"/>
              <w:lang w:val="en-US" w:eastAsia="en-US"/>
            </w:rPr>
          </w:pPr>
          <w:r>
            <w:rPr/>
            <w:t>1.2</w:t>
          </w:r>
          <w:r>
            <w:rPr>
              <w:rFonts w:cs="Calibri" w:ascii="Calibri" w:hAnsi="Calibri"/>
              <w:sz w:val="22"/>
              <w:szCs w:val="22"/>
              <w:lang w:eastAsia="en-GB"/>
            </w:rPr>
            <w:tab/>
          </w:r>
          <w:r>
            <w:rPr>
              <w:lang w:val="en-US" w:eastAsia="en-US"/>
            </w:rPr>
            <w:t>Functions and information flows</w:t>
            <w:tab/>
          </w:r>
          <w:hyperlink w:anchor="__RefHeading___Toc517461851">
            <w:r>
              <w:rPr>
                <w:rStyle w:val="IndexLink"/>
                <w:lang w:val="en-US" w:eastAsia="en-US"/>
              </w:rPr>
              <w:t>8</w:t>
            </w:r>
          </w:hyperlink>
        </w:p>
        <w:p>
          <w:pPr>
            <w:pStyle w:val="Contents3"/>
            <w:rPr>
              <w:rFonts w:ascii="Calibri" w:hAnsi="Calibri" w:cs="Calibri"/>
              <w:sz w:val="22"/>
              <w:szCs w:val="22"/>
              <w:lang w:val="en-US" w:eastAsia="en-US"/>
            </w:rPr>
          </w:pPr>
          <w:r>
            <w:rPr/>
            <w:t>1.2.1</w:t>
          </w:r>
          <w:r>
            <w:rPr>
              <w:rFonts w:cs="Calibri" w:ascii="Calibri" w:hAnsi="Calibri"/>
              <w:sz w:val="22"/>
              <w:szCs w:val="22"/>
              <w:lang w:eastAsia="en-GB"/>
            </w:rPr>
            <w:tab/>
          </w:r>
          <w:r>
            <w:rPr>
              <w:lang w:val="en-US" w:eastAsia="en-US"/>
            </w:rPr>
            <w:t>Optional capability to carry calling line identification</w:t>
            <w:tab/>
          </w:r>
          <w:hyperlink w:anchor="__RefHeading___Toc517461852">
            <w:r>
              <w:rPr>
                <w:rStyle w:val="IndexLink"/>
                <w:lang w:val="en-US" w:eastAsia="en-US"/>
              </w:rPr>
              <w:t>17</w:t>
            </w:r>
          </w:hyperlink>
        </w:p>
        <w:p>
          <w:pPr>
            <w:pStyle w:val="Contents3"/>
            <w:rPr>
              <w:rFonts w:ascii="Calibri" w:hAnsi="Calibri" w:cs="Calibri"/>
              <w:sz w:val="22"/>
              <w:szCs w:val="22"/>
              <w:lang w:val="en-US" w:eastAsia="en-US"/>
            </w:rPr>
          </w:pPr>
          <w:r>
            <w:rPr/>
            <w:t>1.2.2</w:t>
          </w:r>
          <w:r>
            <w:rPr>
              <w:rFonts w:cs="Calibri" w:ascii="Calibri" w:hAnsi="Calibri"/>
              <w:sz w:val="22"/>
              <w:szCs w:val="22"/>
              <w:lang w:eastAsia="en-GB"/>
            </w:rPr>
            <w:tab/>
          </w:r>
          <w:r>
            <w:rPr>
              <w:lang w:val="en-US" w:eastAsia="en-US"/>
            </w:rPr>
            <w:t>Information elements used in the messages</w:t>
            <w:tab/>
          </w:r>
          <w:hyperlink w:anchor="__RefHeading___Toc517461853">
            <w:r>
              <w:rPr>
                <w:rStyle w:val="IndexLink"/>
                <w:lang w:val="en-US" w:eastAsia="en-US"/>
              </w:rPr>
              <w:t>17</w:t>
            </w:r>
          </w:hyperlink>
        </w:p>
        <w:p>
          <w:pPr>
            <w:pStyle w:val="Contents3"/>
            <w:rPr>
              <w:rFonts w:ascii="Calibri" w:hAnsi="Calibri" w:cs="Calibri"/>
              <w:sz w:val="22"/>
              <w:szCs w:val="22"/>
              <w:lang w:val="en-US" w:eastAsia="en-US"/>
            </w:rPr>
          </w:pPr>
          <w:r>
            <w:rPr/>
            <w:t>1.2.3</w:t>
          </w:r>
          <w:r>
            <w:rPr>
              <w:rFonts w:cs="Calibri" w:ascii="Calibri" w:hAnsi="Calibri"/>
              <w:sz w:val="22"/>
              <w:szCs w:val="22"/>
              <w:lang w:eastAsia="en-GB"/>
            </w:rPr>
            <w:tab/>
          </w:r>
          <w:r>
            <w:rPr>
              <w:lang w:val="en-US" w:eastAsia="en-US"/>
            </w:rPr>
            <w:t>Parameters in Send Routeing Info and Provide Roaming Number for CLI</w:t>
            <w:tab/>
          </w:r>
          <w:hyperlink w:anchor="__RefHeading___Toc517461854">
            <w:r>
              <w:rPr>
                <w:rStyle w:val="IndexLink"/>
                <w:lang w:val="en-US" w:eastAsia="en-US"/>
              </w:rPr>
              <w:t>18</w:t>
            </w:r>
          </w:hyperlink>
        </w:p>
        <w:p>
          <w:pPr>
            <w:pStyle w:val="Contents3"/>
            <w:rPr>
              <w:rFonts w:ascii="Calibri" w:hAnsi="Calibri" w:cs="Calibri"/>
              <w:sz w:val="22"/>
              <w:szCs w:val="22"/>
              <w:lang w:val="en-US" w:eastAsia="en-US"/>
            </w:rPr>
          </w:pPr>
          <w:r>
            <w:rPr/>
            <w:t>1.2.4</w:t>
          </w:r>
          <w:r>
            <w:rPr>
              <w:rFonts w:cs="Calibri" w:ascii="Calibri" w:hAnsi="Calibri"/>
              <w:sz w:val="22"/>
              <w:szCs w:val="22"/>
              <w:lang w:eastAsia="en-GB"/>
            </w:rPr>
            <w:tab/>
          </w:r>
          <w:r>
            <w:rPr>
              <w:lang w:val="en-US" w:eastAsia="en-US"/>
            </w:rPr>
            <w:t>Messages between MSC and VLR in destination network</w:t>
            <w:tab/>
          </w:r>
          <w:hyperlink w:anchor="__RefHeading___Toc517461855">
            <w:r>
              <w:rPr>
                <w:rStyle w:val="IndexLink"/>
                <w:lang w:val="en-US" w:eastAsia="en-US"/>
              </w:rPr>
              <w:t>19</w:t>
            </w:r>
          </w:hyperlink>
        </w:p>
        <w:p>
          <w:pPr>
            <w:pStyle w:val="Contents2"/>
            <w:rPr>
              <w:rFonts w:ascii="Calibri" w:hAnsi="Calibri" w:cs="Calibri"/>
              <w:sz w:val="22"/>
              <w:szCs w:val="22"/>
              <w:lang w:val="en-US" w:eastAsia="en-US"/>
            </w:rPr>
          </w:pPr>
          <w:r>
            <w:rPr/>
            <w:t>1.3</w:t>
          </w:r>
          <w:r>
            <w:rPr>
              <w:rFonts w:cs="Calibri" w:ascii="Calibri" w:hAnsi="Calibri"/>
              <w:sz w:val="22"/>
              <w:szCs w:val="22"/>
              <w:lang w:eastAsia="en-GB"/>
            </w:rPr>
            <w:tab/>
          </w:r>
          <w:r>
            <w:rPr>
              <w:lang w:val="en-US" w:eastAsia="en-US"/>
            </w:rPr>
            <w:t>Information stored in the HLR</w:t>
            <w:tab/>
          </w:r>
          <w:hyperlink w:anchor="__RefHeading___Toc517461856">
            <w:r>
              <w:rPr>
                <w:rStyle w:val="IndexLink"/>
                <w:lang w:val="en-US" w:eastAsia="en-US"/>
              </w:rPr>
              <w:t>19</w:t>
            </w:r>
          </w:hyperlink>
        </w:p>
        <w:p>
          <w:pPr>
            <w:pStyle w:val="Contents2"/>
            <w:rPr>
              <w:rFonts w:ascii="Calibri" w:hAnsi="Calibri" w:cs="Calibri"/>
              <w:sz w:val="22"/>
              <w:szCs w:val="22"/>
              <w:lang w:val="en-US" w:eastAsia="en-US"/>
            </w:rPr>
          </w:pPr>
          <w:r>
            <w:rPr/>
            <w:t>1.4</w:t>
          </w:r>
          <w:r>
            <w:rPr>
              <w:rFonts w:cs="Calibri" w:ascii="Calibri" w:hAnsi="Calibri"/>
              <w:sz w:val="22"/>
              <w:szCs w:val="22"/>
              <w:lang w:eastAsia="en-GB"/>
            </w:rPr>
            <w:tab/>
          </w:r>
          <w:r>
            <w:rPr>
              <w:lang w:val="en-US" w:eastAsia="en-US"/>
            </w:rPr>
            <w:t>State transition model</w:t>
            <w:tab/>
          </w:r>
          <w:hyperlink w:anchor="__RefHeading___Toc517461857">
            <w:r>
              <w:rPr>
                <w:rStyle w:val="IndexLink"/>
                <w:lang w:val="en-US" w:eastAsia="en-US"/>
              </w:rPr>
              <w:t>19</w:t>
            </w:r>
          </w:hyperlink>
        </w:p>
        <w:p>
          <w:pPr>
            <w:pStyle w:val="Contents2"/>
            <w:rPr>
              <w:rFonts w:ascii="Calibri" w:hAnsi="Calibri" w:cs="Calibri"/>
              <w:sz w:val="22"/>
              <w:szCs w:val="22"/>
              <w:lang w:val="en-US" w:eastAsia="en-US"/>
            </w:rPr>
          </w:pPr>
          <w:r>
            <w:rPr/>
            <w:t>1.5</w:t>
          </w:r>
          <w:r>
            <w:rPr>
              <w:rFonts w:cs="Calibri" w:ascii="Calibri" w:hAnsi="Calibri"/>
              <w:sz w:val="22"/>
              <w:szCs w:val="22"/>
              <w:lang w:eastAsia="en-GB"/>
            </w:rPr>
            <w:tab/>
          </w:r>
          <w:r>
            <w:rPr>
              <w:lang w:val="en-US" w:eastAsia="en-US"/>
            </w:rPr>
            <w:t>Transfer of information from HLR to VLR</w:t>
            <w:tab/>
          </w:r>
          <w:hyperlink w:anchor="__RefHeading___Toc517461858">
            <w:r>
              <w:rPr>
                <w:rStyle w:val="IndexLink"/>
                <w:lang w:val="en-US" w:eastAsia="en-US"/>
              </w:rPr>
              <w:t>20</w:t>
            </w:r>
          </w:hyperlink>
        </w:p>
        <w:p>
          <w:pPr>
            <w:pStyle w:val="Contents2"/>
            <w:rPr>
              <w:rFonts w:ascii="Calibri" w:hAnsi="Calibri" w:cs="Calibri"/>
              <w:sz w:val="22"/>
              <w:szCs w:val="22"/>
              <w:lang w:val="en-US" w:eastAsia="en-US"/>
            </w:rPr>
          </w:pPr>
          <w:r>
            <w:rPr/>
            <w:t>1.6</w:t>
          </w:r>
          <w:r>
            <w:rPr>
              <w:rFonts w:cs="Calibri" w:ascii="Calibri" w:hAnsi="Calibri"/>
              <w:sz w:val="22"/>
              <w:szCs w:val="22"/>
              <w:lang w:eastAsia="en-GB"/>
            </w:rPr>
            <w:tab/>
          </w:r>
          <w:r>
            <w:rPr>
              <w:lang w:val="en-US" w:eastAsia="en-US"/>
            </w:rPr>
            <w:t>Information stored in the VLR</w:t>
            <w:tab/>
          </w:r>
          <w:hyperlink w:anchor="__RefHeading___Toc517461859">
            <w:r>
              <w:rPr>
                <w:rStyle w:val="IndexLink"/>
                <w:lang w:val="en-US" w:eastAsia="en-US"/>
              </w:rPr>
              <w:t>20</w:t>
            </w:r>
          </w:hyperlink>
        </w:p>
        <w:p>
          <w:pPr>
            <w:pStyle w:val="Contents2"/>
            <w:rPr>
              <w:rFonts w:ascii="Calibri" w:hAnsi="Calibri" w:cs="Calibri"/>
              <w:sz w:val="22"/>
              <w:szCs w:val="22"/>
              <w:lang w:val="en-US" w:eastAsia="en-US"/>
            </w:rPr>
          </w:pPr>
          <w:r>
            <w:rPr/>
            <w:t>1.7</w:t>
          </w:r>
          <w:r>
            <w:rPr>
              <w:rFonts w:cs="Calibri" w:ascii="Calibri" w:hAnsi="Calibri"/>
              <w:sz w:val="22"/>
              <w:szCs w:val="22"/>
              <w:lang w:eastAsia="en-GB"/>
            </w:rPr>
            <w:tab/>
          </w:r>
          <w:r>
            <w:rPr>
              <w:lang w:val="en-US" w:eastAsia="en-US"/>
            </w:rPr>
            <w:t>Handover</w:t>
            <w:tab/>
          </w:r>
          <w:hyperlink w:anchor="__RefHeading___Toc517461860">
            <w:r>
              <w:rPr>
                <w:rStyle w:val="IndexLink"/>
                <w:lang w:val="en-US" w:eastAsia="en-US"/>
              </w:rPr>
              <w:t>20</w:t>
            </w:r>
          </w:hyperlink>
        </w:p>
        <w:p>
          <w:pPr>
            <w:pStyle w:val="Contents2"/>
            <w:rPr>
              <w:rFonts w:ascii="Calibri" w:hAnsi="Calibri" w:cs="Calibri"/>
              <w:sz w:val="22"/>
              <w:szCs w:val="22"/>
              <w:lang w:val="en-US" w:eastAsia="en-US"/>
            </w:rPr>
          </w:pPr>
          <w:r>
            <w:rPr/>
            <w:t>1.8</w:t>
          </w:r>
          <w:r>
            <w:rPr>
              <w:rFonts w:cs="Calibri" w:ascii="Calibri" w:hAnsi="Calibri"/>
              <w:sz w:val="22"/>
              <w:szCs w:val="22"/>
              <w:lang w:eastAsia="en-GB"/>
            </w:rPr>
            <w:tab/>
          </w:r>
          <w:r>
            <w:rPr>
              <w:lang w:val="en-US" w:eastAsia="en-US"/>
            </w:rPr>
            <w:t>Interactions with other supplementary services</w:t>
            <w:tab/>
          </w:r>
          <w:hyperlink w:anchor="__RefHeading___Toc517461861">
            <w:r>
              <w:rPr>
                <w:rStyle w:val="IndexLink"/>
                <w:lang w:val="en-US" w:eastAsia="en-US"/>
              </w:rPr>
              <w:t>20</w:t>
            </w:r>
          </w:hyperlink>
        </w:p>
        <w:p>
          <w:pPr>
            <w:pStyle w:val="Contents1"/>
            <w:rPr>
              <w:rFonts w:ascii="Calibri" w:hAnsi="Calibri" w:cs="Calibri"/>
              <w:szCs w:val="22"/>
              <w:lang w:val="en-US" w:eastAsia="en-US"/>
            </w:rPr>
          </w:pPr>
          <w:r>
            <w:rPr/>
            <w:t>2</w:t>
          </w:r>
          <w:r>
            <w:rPr>
              <w:rFonts w:cs="Calibri" w:ascii="Calibri" w:hAnsi="Calibri"/>
              <w:szCs w:val="22"/>
              <w:lang w:eastAsia="en-GB"/>
            </w:rPr>
            <w:tab/>
          </w:r>
          <w:r>
            <w:rPr>
              <w:lang w:val="en-US" w:eastAsia="en-US"/>
            </w:rPr>
            <w:t>Calling line identification restriction (CLIR)</w:t>
            <w:tab/>
          </w:r>
          <w:hyperlink w:anchor="__RefHeading___Toc517461862">
            <w:r>
              <w:rPr>
                <w:rStyle w:val="IndexLink"/>
                <w:lang w:val="en-US" w:eastAsia="en-US"/>
              </w:rPr>
              <w:t>20</w:t>
            </w:r>
          </w:hyperlink>
        </w:p>
        <w:p>
          <w:pPr>
            <w:pStyle w:val="Contents2"/>
            <w:rPr>
              <w:rFonts w:ascii="Calibri" w:hAnsi="Calibri" w:cs="Calibri"/>
              <w:sz w:val="22"/>
              <w:szCs w:val="22"/>
              <w:lang w:val="en-US" w:eastAsia="en-US"/>
            </w:rPr>
          </w:pPr>
          <w:r>
            <w:rPr/>
            <w:t>2.1</w:t>
          </w:r>
          <w:r>
            <w:rPr>
              <w:rFonts w:cs="Calibri" w:ascii="Calibri" w:hAnsi="Calibri"/>
              <w:sz w:val="22"/>
              <w:szCs w:val="22"/>
              <w:lang w:eastAsia="en-GB"/>
            </w:rPr>
            <w:tab/>
          </w:r>
          <w:r>
            <w:rPr>
              <w:lang w:val="en-US" w:eastAsia="en-US"/>
            </w:rPr>
            <w:t>Handling of calling line identification restriction</w:t>
            <w:tab/>
          </w:r>
          <w:hyperlink w:anchor="__RefHeading___Toc517461863">
            <w:r>
              <w:rPr>
                <w:rStyle w:val="IndexLink"/>
                <w:lang w:val="en-US" w:eastAsia="en-US"/>
              </w:rPr>
              <w:t>20</w:t>
            </w:r>
          </w:hyperlink>
        </w:p>
        <w:p>
          <w:pPr>
            <w:pStyle w:val="Contents3"/>
            <w:rPr>
              <w:rFonts w:ascii="Calibri" w:hAnsi="Calibri" w:cs="Calibri"/>
              <w:sz w:val="22"/>
              <w:szCs w:val="22"/>
              <w:lang w:val="en-US" w:eastAsia="en-US"/>
            </w:rPr>
          </w:pPr>
          <w:r>
            <w:rPr/>
            <w:t>2.1.1</w:t>
          </w:r>
          <w:r>
            <w:rPr>
              <w:rFonts w:cs="Calibri" w:ascii="Calibri" w:hAnsi="Calibri"/>
              <w:sz w:val="22"/>
              <w:szCs w:val="22"/>
              <w:lang w:eastAsia="en-GB"/>
            </w:rPr>
            <w:tab/>
          </w:r>
          <w:r>
            <w:rPr>
              <w:lang w:val="en-US" w:eastAsia="en-US"/>
            </w:rPr>
            <w:t>General</w:t>
            <w:tab/>
          </w:r>
          <w:hyperlink w:anchor="__RefHeading___Toc517461864">
            <w:r>
              <w:rPr>
                <w:rStyle w:val="IndexLink"/>
                <w:lang w:val="en-US" w:eastAsia="en-US"/>
              </w:rPr>
              <w:t>20</w:t>
            </w:r>
          </w:hyperlink>
        </w:p>
        <w:p>
          <w:pPr>
            <w:pStyle w:val="Contents3"/>
            <w:rPr>
              <w:rFonts w:ascii="Calibri" w:hAnsi="Calibri" w:cs="Calibri"/>
              <w:sz w:val="22"/>
              <w:szCs w:val="22"/>
              <w:lang w:val="en-US" w:eastAsia="en-US"/>
            </w:rPr>
          </w:pPr>
          <w:r>
            <w:rPr/>
            <w:t>2.1.2</w:t>
          </w:r>
          <w:r>
            <w:rPr>
              <w:rFonts w:cs="Calibri" w:ascii="Calibri" w:hAnsi="Calibri"/>
              <w:sz w:val="22"/>
              <w:szCs w:val="22"/>
              <w:lang w:eastAsia="en-GB"/>
            </w:rPr>
            <w:tab/>
          </w:r>
          <w:r>
            <w:rPr>
              <w:lang w:val="en-US" w:eastAsia="en-US"/>
            </w:rPr>
            <w:t>Permanent mode</w:t>
            <w:tab/>
          </w:r>
          <w:hyperlink w:anchor="__RefHeading___Toc517461865">
            <w:r>
              <w:rPr>
                <w:rStyle w:val="IndexLink"/>
                <w:lang w:val="en-US" w:eastAsia="en-US"/>
              </w:rPr>
              <w:t>21</w:t>
            </w:r>
          </w:hyperlink>
        </w:p>
        <w:p>
          <w:pPr>
            <w:pStyle w:val="Contents3"/>
            <w:rPr>
              <w:rFonts w:ascii="Calibri" w:hAnsi="Calibri" w:cs="Calibri"/>
              <w:sz w:val="22"/>
              <w:szCs w:val="22"/>
              <w:lang w:val="en-US" w:eastAsia="en-US"/>
            </w:rPr>
          </w:pPr>
          <w:r>
            <w:rPr/>
            <w:t>2.1.3</w:t>
          </w:r>
          <w:r>
            <w:rPr>
              <w:rFonts w:cs="Calibri" w:ascii="Calibri" w:hAnsi="Calibri"/>
              <w:sz w:val="22"/>
              <w:szCs w:val="22"/>
              <w:lang w:eastAsia="en-GB"/>
            </w:rPr>
            <w:tab/>
          </w:r>
          <w:r>
            <w:rPr>
              <w:lang w:val="en-US" w:eastAsia="en-US"/>
            </w:rPr>
            <w:t>Controlling presentation of the CLI when CLIR is provisioned in temporary mode</w:t>
            <w:tab/>
          </w:r>
          <w:hyperlink w:anchor="__RefHeading___Toc517461866">
            <w:r>
              <w:rPr>
                <w:rStyle w:val="IndexLink"/>
                <w:lang w:val="en-US" w:eastAsia="en-US"/>
              </w:rPr>
              <w:t>21</w:t>
            </w:r>
          </w:hyperlink>
        </w:p>
        <w:p>
          <w:pPr>
            <w:pStyle w:val="Contents3"/>
            <w:rPr>
              <w:rFonts w:ascii="Calibri" w:hAnsi="Calibri" w:cs="Calibri"/>
              <w:sz w:val="22"/>
              <w:szCs w:val="22"/>
              <w:lang w:val="en-US" w:eastAsia="en-US"/>
            </w:rPr>
          </w:pPr>
          <w:r>
            <w:rPr/>
            <w:t>2.1.4</w:t>
          </w:r>
          <w:r>
            <w:rPr>
              <w:rFonts w:cs="Calibri" w:ascii="Calibri" w:hAnsi="Calibri"/>
              <w:sz w:val="22"/>
              <w:szCs w:val="22"/>
              <w:lang w:eastAsia="en-GB"/>
            </w:rPr>
            <w:tab/>
          </w:r>
          <w:r>
            <w:rPr>
              <w:lang w:val="en-US" w:eastAsia="en-US"/>
            </w:rPr>
            <w:t>Interrogation</w:t>
            <w:tab/>
          </w:r>
          <w:hyperlink w:anchor="__RefHeading___Toc517461867">
            <w:r>
              <w:rPr>
                <w:rStyle w:val="IndexLink"/>
                <w:lang w:val="en-US" w:eastAsia="en-US"/>
              </w:rPr>
              <w:t>21</w:t>
            </w:r>
          </w:hyperlink>
        </w:p>
        <w:p>
          <w:pPr>
            <w:pStyle w:val="Contents2"/>
            <w:rPr>
              <w:rFonts w:ascii="Calibri" w:hAnsi="Calibri" w:cs="Calibri"/>
              <w:sz w:val="22"/>
              <w:szCs w:val="22"/>
              <w:lang w:val="en-US" w:eastAsia="en-US"/>
            </w:rPr>
          </w:pPr>
          <w:r>
            <w:rPr/>
            <w:t>2.2</w:t>
          </w:r>
          <w:r>
            <w:rPr>
              <w:rFonts w:cs="Calibri" w:ascii="Calibri" w:hAnsi="Calibri"/>
              <w:sz w:val="22"/>
              <w:szCs w:val="22"/>
              <w:lang w:eastAsia="en-GB"/>
            </w:rPr>
            <w:tab/>
          </w:r>
          <w:r>
            <w:rPr>
              <w:lang w:val="en-US" w:eastAsia="en-US"/>
            </w:rPr>
            <w:t>Functions and information flows</w:t>
            <w:tab/>
          </w:r>
          <w:hyperlink w:anchor="__RefHeading___Toc517461868">
            <w:r>
              <w:rPr>
                <w:rStyle w:val="IndexLink"/>
                <w:lang w:val="en-US" w:eastAsia="en-US"/>
              </w:rPr>
              <w:t>22</w:t>
            </w:r>
          </w:hyperlink>
        </w:p>
        <w:p>
          <w:pPr>
            <w:pStyle w:val="Contents2"/>
            <w:rPr>
              <w:rFonts w:ascii="Calibri" w:hAnsi="Calibri" w:cs="Calibri"/>
              <w:sz w:val="22"/>
              <w:szCs w:val="22"/>
              <w:lang w:val="en-US" w:eastAsia="en-US"/>
            </w:rPr>
          </w:pPr>
          <w:r>
            <w:rPr/>
            <w:t>2.3</w:t>
          </w:r>
          <w:r>
            <w:rPr>
              <w:rFonts w:cs="Calibri" w:ascii="Calibri" w:hAnsi="Calibri"/>
              <w:sz w:val="22"/>
              <w:szCs w:val="22"/>
              <w:lang w:eastAsia="en-GB"/>
            </w:rPr>
            <w:tab/>
          </w:r>
          <w:r>
            <w:rPr>
              <w:lang w:val="en-US" w:eastAsia="en-US"/>
            </w:rPr>
            <w:t>Information stored in the HLR</w:t>
            <w:tab/>
          </w:r>
          <w:hyperlink w:anchor="__RefHeading___Toc517461869">
            <w:r>
              <w:rPr>
                <w:rStyle w:val="IndexLink"/>
                <w:lang w:val="en-US" w:eastAsia="en-US"/>
              </w:rPr>
              <w:t>28</w:t>
            </w:r>
          </w:hyperlink>
        </w:p>
        <w:p>
          <w:pPr>
            <w:pStyle w:val="Contents2"/>
            <w:rPr>
              <w:rFonts w:ascii="Calibri" w:hAnsi="Calibri" w:cs="Calibri"/>
              <w:sz w:val="22"/>
              <w:szCs w:val="22"/>
              <w:lang w:val="en-US" w:eastAsia="en-US"/>
            </w:rPr>
          </w:pPr>
          <w:r>
            <w:rPr/>
            <w:t>2.4</w:t>
          </w:r>
          <w:r>
            <w:rPr>
              <w:rFonts w:cs="Calibri" w:ascii="Calibri" w:hAnsi="Calibri"/>
              <w:sz w:val="22"/>
              <w:szCs w:val="22"/>
              <w:lang w:eastAsia="en-GB"/>
            </w:rPr>
            <w:tab/>
          </w:r>
          <w:r>
            <w:rPr>
              <w:lang w:val="en-US" w:eastAsia="en-US"/>
            </w:rPr>
            <w:t>State transition model</w:t>
            <w:tab/>
          </w:r>
          <w:hyperlink w:anchor="__RefHeading___Toc517461870">
            <w:r>
              <w:rPr>
                <w:rStyle w:val="IndexLink"/>
                <w:lang w:val="en-US" w:eastAsia="en-US"/>
              </w:rPr>
              <w:t>28</w:t>
            </w:r>
          </w:hyperlink>
        </w:p>
        <w:p>
          <w:pPr>
            <w:pStyle w:val="Contents2"/>
            <w:rPr>
              <w:rFonts w:ascii="Calibri" w:hAnsi="Calibri" w:cs="Calibri"/>
              <w:sz w:val="22"/>
              <w:szCs w:val="22"/>
              <w:lang w:val="en-US" w:eastAsia="en-US"/>
            </w:rPr>
          </w:pPr>
          <w:r>
            <w:rPr/>
            <w:t>2.5</w:t>
          </w:r>
          <w:r>
            <w:rPr>
              <w:rFonts w:cs="Calibri" w:ascii="Calibri" w:hAnsi="Calibri"/>
              <w:sz w:val="22"/>
              <w:szCs w:val="22"/>
              <w:lang w:eastAsia="en-GB"/>
            </w:rPr>
            <w:tab/>
          </w:r>
          <w:r>
            <w:rPr>
              <w:lang w:val="en-US" w:eastAsia="en-US"/>
            </w:rPr>
            <w:t>Transfer of information from HLR to VLR</w:t>
            <w:tab/>
          </w:r>
          <w:hyperlink w:anchor="__RefHeading___Toc517461871">
            <w:r>
              <w:rPr>
                <w:rStyle w:val="IndexLink"/>
                <w:lang w:val="en-US" w:eastAsia="en-US"/>
              </w:rPr>
              <w:t>28</w:t>
            </w:r>
          </w:hyperlink>
        </w:p>
        <w:p>
          <w:pPr>
            <w:pStyle w:val="Contents2"/>
            <w:rPr>
              <w:rFonts w:ascii="Calibri" w:hAnsi="Calibri" w:cs="Calibri"/>
              <w:sz w:val="22"/>
              <w:szCs w:val="22"/>
              <w:lang w:val="en-US" w:eastAsia="en-US"/>
            </w:rPr>
          </w:pPr>
          <w:r>
            <w:rPr/>
            <w:t>2.6</w:t>
          </w:r>
          <w:r>
            <w:rPr>
              <w:rFonts w:cs="Calibri" w:ascii="Calibri" w:hAnsi="Calibri"/>
              <w:sz w:val="22"/>
              <w:szCs w:val="22"/>
              <w:lang w:eastAsia="en-GB"/>
            </w:rPr>
            <w:tab/>
          </w:r>
          <w:r>
            <w:rPr>
              <w:lang w:val="en-US" w:eastAsia="en-US"/>
            </w:rPr>
            <w:t>Information stored in the VLR</w:t>
            <w:tab/>
          </w:r>
          <w:hyperlink w:anchor="__RefHeading___Toc517461872">
            <w:r>
              <w:rPr>
                <w:rStyle w:val="IndexLink"/>
                <w:lang w:val="en-US" w:eastAsia="en-US"/>
              </w:rPr>
              <w:t>28</w:t>
            </w:r>
          </w:hyperlink>
        </w:p>
        <w:p>
          <w:pPr>
            <w:pStyle w:val="Contents2"/>
            <w:rPr>
              <w:rFonts w:ascii="Calibri" w:hAnsi="Calibri" w:cs="Calibri"/>
              <w:sz w:val="22"/>
              <w:szCs w:val="22"/>
              <w:lang w:val="en-US" w:eastAsia="en-US"/>
            </w:rPr>
          </w:pPr>
          <w:r>
            <w:rPr/>
            <w:t>2.7</w:t>
          </w:r>
          <w:r>
            <w:rPr>
              <w:rFonts w:cs="Calibri" w:ascii="Calibri" w:hAnsi="Calibri"/>
              <w:sz w:val="22"/>
              <w:szCs w:val="22"/>
              <w:lang w:eastAsia="en-GB"/>
            </w:rPr>
            <w:tab/>
          </w:r>
          <w:r>
            <w:rPr>
              <w:lang w:val="en-US" w:eastAsia="en-US"/>
            </w:rPr>
            <w:t>Handover</w:t>
            <w:tab/>
          </w:r>
          <w:hyperlink w:anchor="__RefHeading___Toc517461873">
            <w:r>
              <w:rPr>
                <w:rStyle w:val="IndexLink"/>
                <w:lang w:val="en-US" w:eastAsia="en-US"/>
              </w:rPr>
              <w:t>29</w:t>
            </w:r>
          </w:hyperlink>
        </w:p>
        <w:p>
          <w:pPr>
            <w:pStyle w:val="Contents2"/>
            <w:rPr>
              <w:rFonts w:ascii="Calibri" w:hAnsi="Calibri" w:cs="Calibri"/>
              <w:sz w:val="22"/>
              <w:szCs w:val="22"/>
              <w:lang w:val="en-US" w:eastAsia="en-US"/>
            </w:rPr>
          </w:pPr>
          <w:r>
            <w:rPr/>
            <w:t>2.8</w:t>
          </w:r>
          <w:r>
            <w:rPr>
              <w:rFonts w:cs="Calibri" w:ascii="Calibri" w:hAnsi="Calibri"/>
              <w:sz w:val="22"/>
              <w:szCs w:val="22"/>
              <w:lang w:eastAsia="en-GB"/>
            </w:rPr>
            <w:tab/>
          </w:r>
          <w:r>
            <w:rPr>
              <w:lang w:val="en-US" w:eastAsia="en-US"/>
            </w:rPr>
            <w:t>Interworking</w:t>
            <w:tab/>
          </w:r>
          <w:hyperlink w:anchor="__RefHeading___Toc517461874">
            <w:r>
              <w:rPr>
                <w:rStyle w:val="IndexLink"/>
                <w:lang w:val="en-US" w:eastAsia="en-US"/>
              </w:rPr>
              <w:t>29</w:t>
            </w:r>
          </w:hyperlink>
        </w:p>
        <w:p>
          <w:pPr>
            <w:pStyle w:val="Contents1"/>
            <w:rPr>
              <w:rFonts w:ascii="Calibri" w:hAnsi="Calibri" w:cs="Calibri"/>
              <w:szCs w:val="22"/>
              <w:lang w:val="en-US" w:eastAsia="en-US"/>
            </w:rPr>
          </w:pPr>
          <w:r>
            <w:rPr/>
            <w:t>3</w:t>
          </w:r>
          <w:r>
            <w:rPr>
              <w:rFonts w:cs="Calibri" w:ascii="Calibri" w:hAnsi="Calibri"/>
              <w:szCs w:val="22"/>
              <w:lang w:eastAsia="en-GB"/>
            </w:rPr>
            <w:tab/>
          </w:r>
          <w:r>
            <w:rPr>
              <w:lang w:val="en-US" w:eastAsia="en-US"/>
            </w:rPr>
            <w:t>Connected line identification presentation (COLP)</w:t>
            <w:tab/>
          </w:r>
          <w:hyperlink w:anchor="__RefHeading___Toc517461875">
            <w:r>
              <w:rPr>
                <w:rStyle w:val="IndexLink"/>
                <w:lang w:val="en-US" w:eastAsia="en-US"/>
              </w:rPr>
              <w:t>29</w:t>
            </w:r>
          </w:hyperlink>
        </w:p>
        <w:p>
          <w:pPr>
            <w:pStyle w:val="Contents2"/>
            <w:rPr>
              <w:rFonts w:ascii="Calibri" w:hAnsi="Calibri" w:cs="Calibri"/>
              <w:sz w:val="22"/>
              <w:szCs w:val="22"/>
              <w:lang w:val="en-US" w:eastAsia="en-US"/>
            </w:rPr>
          </w:pPr>
          <w:r>
            <w:rPr/>
            <w:t>3.1</w:t>
          </w:r>
          <w:r>
            <w:rPr>
              <w:rFonts w:cs="Calibri" w:ascii="Calibri" w:hAnsi="Calibri"/>
              <w:sz w:val="22"/>
              <w:szCs w:val="22"/>
              <w:lang w:eastAsia="en-GB"/>
            </w:rPr>
            <w:tab/>
          </w:r>
          <w:r>
            <w:rPr>
              <w:lang w:val="en-US" w:eastAsia="en-US"/>
            </w:rPr>
            <w:t>Handling of connected line identification presentation</w:t>
            <w:tab/>
          </w:r>
          <w:hyperlink w:anchor="__RefHeading___Toc517461876">
            <w:r>
              <w:rPr>
                <w:rStyle w:val="IndexLink"/>
                <w:lang w:val="en-US" w:eastAsia="en-US"/>
              </w:rPr>
              <w:t>29</w:t>
            </w:r>
          </w:hyperlink>
        </w:p>
        <w:p>
          <w:pPr>
            <w:pStyle w:val="Contents3"/>
            <w:rPr>
              <w:rFonts w:ascii="Calibri" w:hAnsi="Calibri" w:cs="Calibri"/>
              <w:sz w:val="22"/>
              <w:szCs w:val="22"/>
              <w:lang w:val="en-US" w:eastAsia="en-US"/>
            </w:rPr>
          </w:pPr>
          <w:r>
            <w:rPr/>
            <w:t>3.1.1</w:t>
          </w:r>
          <w:r>
            <w:rPr>
              <w:rFonts w:cs="Calibri" w:ascii="Calibri" w:hAnsi="Calibri"/>
              <w:sz w:val="22"/>
              <w:szCs w:val="22"/>
              <w:lang w:eastAsia="en-GB"/>
            </w:rPr>
            <w:tab/>
          </w:r>
          <w:r>
            <w:rPr>
              <w:lang w:val="en-US" w:eastAsia="en-US"/>
            </w:rPr>
            <w:t>Interrogation</w:t>
            <w:tab/>
          </w:r>
          <w:hyperlink w:anchor="__RefHeading___Toc517461877">
            <w:r>
              <w:rPr>
                <w:rStyle w:val="IndexLink"/>
                <w:lang w:val="en-US" w:eastAsia="en-US"/>
              </w:rPr>
              <w:t>29</w:t>
            </w:r>
          </w:hyperlink>
        </w:p>
        <w:p>
          <w:pPr>
            <w:pStyle w:val="Contents3"/>
            <w:rPr>
              <w:rFonts w:ascii="Calibri" w:hAnsi="Calibri" w:cs="Calibri"/>
              <w:sz w:val="22"/>
              <w:szCs w:val="22"/>
              <w:lang w:val="en-US" w:eastAsia="en-US"/>
            </w:rPr>
          </w:pPr>
          <w:r>
            <w:rPr/>
            <w:t>3.1.2</w:t>
          </w:r>
          <w:r>
            <w:rPr>
              <w:rFonts w:cs="Calibri" w:ascii="Calibri" w:hAnsi="Calibri"/>
              <w:sz w:val="22"/>
              <w:szCs w:val="22"/>
              <w:lang w:eastAsia="en-GB"/>
            </w:rPr>
            <w:tab/>
          </w:r>
          <w:r>
            <w:rPr>
              <w:lang w:val="en-US" w:eastAsia="en-US"/>
            </w:rPr>
            <w:t>Interactions with call forwarding supplementary services</w:t>
            <w:tab/>
          </w:r>
          <w:hyperlink w:anchor="__RefHeading___Toc517461878">
            <w:r>
              <w:rPr>
                <w:rStyle w:val="IndexLink"/>
                <w:lang w:val="en-US" w:eastAsia="en-US"/>
              </w:rPr>
              <w:t>30</w:t>
            </w:r>
          </w:hyperlink>
        </w:p>
        <w:p>
          <w:pPr>
            <w:pStyle w:val="Contents2"/>
            <w:rPr>
              <w:rFonts w:ascii="Calibri" w:hAnsi="Calibri" w:cs="Calibri"/>
              <w:sz w:val="22"/>
              <w:szCs w:val="22"/>
              <w:lang w:val="en-US" w:eastAsia="en-US"/>
            </w:rPr>
          </w:pPr>
          <w:r>
            <w:rPr/>
            <w:t>3.2</w:t>
          </w:r>
          <w:r>
            <w:rPr>
              <w:rFonts w:cs="Calibri" w:ascii="Calibri" w:hAnsi="Calibri"/>
              <w:sz w:val="22"/>
              <w:szCs w:val="22"/>
              <w:lang w:eastAsia="en-GB"/>
            </w:rPr>
            <w:tab/>
          </w:r>
          <w:r>
            <w:rPr>
              <w:lang w:val="en-US" w:eastAsia="en-US"/>
            </w:rPr>
            <w:t>Functions and information flows</w:t>
            <w:tab/>
          </w:r>
          <w:hyperlink w:anchor="__RefHeading___Toc517461879">
            <w:r>
              <w:rPr>
                <w:rStyle w:val="IndexLink"/>
                <w:lang w:val="en-US" w:eastAsia="en-US"/>
              </w:rPr>
              <w:t>30</w:t>
            </w:r>
          </w:hyperlink>
        </w:p>
        <w:p>
          <w:pPr>
            <w:pStyle w:val="Contents2"/>
            <w:rPr>
              <w:rFonts w:ascii="Calibri" w:hAnsi="Calibri" w:cs="Calibri"/>
              <w:sz w:val="22"/>
              <w:szCs w:val="22"/>
              <w:lang w:val="en-US" w:eastAsia="en-US"/>
            </w:rPr>
          </w:pPr>
          <w:r>
            <w:rPr/>
            <w:t>3.3</w:t>
          </w:r>
          <w:r>
            <w:rPr>
              <w:rFonts w:cs="Calibri" w:ascii="Calibri" w:hAnsi="Calibri"/>
              <w:sz w:val="22"/>
              <w:szCs w:val="22"/>
              <w:lang w:eastAsia="en-GB"/>
            </w:rPr>
            <w:tab/>
          </w:r>
          <w:r>
            <w:rPr>
              <w:lang w:val="en-US" w:eastAsia="en-US"/>
            </w:rPr>
            <w:t>Information stored in the HLR</w:t>
            <w:tab/>
          </w:r>
          <w:hyperlink w:anchor="__RefHeading___Toc517461880">
            <w:r>
              <w:rPr>
                <w:rStyle w:val="IndexLink"/>
                <w:lang w:val="en-US" w:eastAsia="en-US"/>
              </w:rPr>
              <w:t>35</w:t>
            </w:r>
          </w:hyperlink>
        </w:p>
        <w:p>
          <w:pPr>
            <w:pStyle w:val="Contents2"/>
            <w:rPr>
              <w:rFonts w:ascii="Calibri" w:hAnsi="Calibri" w:cs="Calibri"/>
              <w:sz w:val="22"/>
              <w:szCs w:val="22"/>
              <w:lang w:val="en-US" w:eastAsia="en-US"/>
            </w:rPr>
          </w:pPr>
          <w:r>
            <w:rPr/>
            <w:t>3.4</w:t>
          </w:r>
          <w:r>
            <w:rPr>
              <w:rFonts w:cs="Calibri" w:ascii="Calibri" w:hAnsi="Calibri"/>
              <w:sz w:val="22"/>
              <w:szCs w:val="22"/>
              <w:lang w:eastAsia="en-GB"/>
            </w:rPr>
            <w:tab/>
          </w:r>
          <w:r>
            <w:rPr>
              <w:lang w:val="en-US" w:eastAsia="en-US"/>
            </w:rPr>
            <w:t>State transition model</w:t>
            <w:tab/>
          </w:r>
          <w:hyperlink w:anchor="__RefHeading___Toc517461881">
            <w:r>
              <w:rPr>
                <w:rStyle w:val="IndexLink"/>
                <w:lang w:val="en-US" w:eastAsia="en-US"/>
              </w:rPr>
              <w:t>35</w:t>
            </w:r>
          </w:hyperlink>
        </w:p>
        <w:p>
          <w:pPr>
            <w:pStyle w:val="Contents2"/>
            <w:rPr>
              <w:rFonts w:ascii="Calibri" w:hAnsi="Calibri" w:cs="Calibri"/>
              <w:sz w:val="22"/>
              <w:szCs w:val="22"/>
              <w:lang w:val="en-US" w:eastAsia="en-US"/>
            </w:rPr>
          </w:pPr>
          <w:r>
            <w:rPr/>
            <w:t>3.5</w:t>
          </w:r>
          <w:r>
            <w:rPr>
              <w:rFonts w:cs="Calibri" w:ascii="Calibri" w:hAnsi="Calibri"/>
              <w:sz w:val="22"/>
              <w:szCs w:val="22"/>
              <w:lang w:eastAsia="en-GB"/>
            </w:rPr>
            <w:tab/>
          </w:r>
          <w:r>
            <w:rPr>
              <w:lang w:val="en-US" w:eastAsia="en-US"/>
            </w:rPr>
            <w:t>Transfer of information from HLR to VLR</w:t>
            <w:tab/>
          </w:r>
          <w:hyperlink w:anchor="__RefHeading___Toc517461882">
            <w:r>
              <w:rPr>
                <w:rStyle w:val="IndexLink"/>
                <w:lang w:val="en-US" w:eastAsia="en-US"/>
              </w:rPr>
              <w:t>35</w:t>
            </w:r>
          </w:hyperlink>
        </w:p>
        <w:p>
          <w:pPr>
            <w:pStyle w:val="Contents2"/>
            <w:rPr>
              <w:rFonts w:ascii="Calibri" w:hAnsi="Calibri" w:cs="Calibri"/>
              <w:sz w:val="22"/>
              <w:szCs w:val="22"/>
              <w:lang w:val="en-US" w:eastAsia="en-US"/>
            </w:rPr>
          </w:pPr>
          <w:r>
            <w:rPr/>
            <w:t>3.6</w:t>
          </w:r>
          <w:r>
            <w:rPr>
              <w:rFonts w:cs="Calibri" w:ascii="Calibri" w:hAnsi="Calibri"/>
              <w:sz w:val="22"/>
              <w:szCs w:val="22"/>
              <w:lang w:eastAsia="en-GB"/>
            </w:rPr>
            <w:tab/>
          </w:r>
          <w:r>
            <w:rPr>
              <w:lang w:val="en-US" w:eastAsia="en-US"/>
            </w:rPr>
            <w:t>Information stored in the VLR</w:t>
            <w:tab/>
          </w:r>
          <w:hyperlink w:anchor="__RefHeading___Toc517461883">
            <w:r>
              <w:rPr>
                <w:rStyle w:val="IndexLink"/>
                <w:lang w:val="en-US" w:eastAsia="en-US"/>
              </w:rPr>
              <w:t>36</w:t>
            </w:r>
          </w:hyperlink>
        </w:p>
        <w:p>
          <w:pPr>
            <w:pStyle w:val="Contents2"/>
            <w:rPr>
              <w:rFonts w:ascii="Calibri" w:hAnsi="Calibri" w:cs="Calibri"/>
              <w:sz w:val="22"/>
              <w:szCs w:val="22"/>
              <w:lang w:val="en-US" w:eastAsia="en-US"/>
            </w:rPr>
          </w:pPr>
          <w:r>
            <w:rPr/>
            <w:t>3.7</w:t>
          </w:r>
          <w:r>
            <w:rPr>
              <w:rFonts w:cs="Calibri" w:ascii="Calibri" w:hAnsi="Calibri"/>
              <w:sz w:val="22"/>
              <w:szCs w:val="22"/>
              <w:lang w:eastAsia="en-GB"/>
            </w:rPr>
            <w:tab/>
          </w:r>
          <w:r>
            <w:rPr>
              <w:lang w:val="en-US" w:eastAsia="en-US"/>
            </w:rPr>
            <w:t>Handover</w:t>
            <w:tab/>
          </w:r>
          <w:hyperlink w:anchor="__RefHeading___Toc517461884">
            <w:r>
              <w:rPr>
                <w:rStyle w:val="IndexLink"/>
                <w:lang w:val="en-US" w:eastAsia="en-US"/>
              </w:rPr>
              <w:t>36</w:t>
            </w:r>
          </w:hyperlink>
        </w:p>
        <w:p>
          <w:pPr>
            <w:pStyle w:val="Contents1"/>
            <w:rPr>
              <w:rFonts w:ascii="Calibri" w:hAnsi="Calibri" w:cs="Calibri"/>
              <w:szCs w:val="22"/>
              <w:lang w:val="en-US" w:eastAsia="en-US"/>
            </w:rPr>
          </w:pPr>
          <w:r>
            <w:rPr/>
            <w:t>4</w:t>
          </w:r>
          <w:r>
            <w:rPr>
              <w:rFonts w:cs="Calibri" w:ascii="Calibri" w:hAnsi="Calibri"/>
              <w:szCs w:val="22"/>
              <w:lang w:eastAsia="en-GB"/>
            </w:rPr>
            <w:tab/>
          </w:r>
          <w:r>
            <w:rPr>
              <w:lang w:val="en-US" w:eastAsia="en-US"/>
            </w:rPr>
            <w:t>Connected line identification restriction (COLR)</w:t>
            <w:tab/>
          </w:r>
          <w:hyperlink w:anchor="__RefHeading___Toc517461885">
            <w:r>
              <w:rPr>
                <w:rStyle w:val="IndexLink"/>
                <w:lang w:val="en-US" w:eastAsia="en-US"/>
              </w:rPr>
              <w:t>36</w:t>
            </w:r>
          </w:hyperlink>
        </w:p>
        <w:p>
          <w:pPr>
            <w:pStyle w:val="Contents2"/>
            <w:rPr>
              <w:rFonts w:ascii="Calibri" w:hAnsi="Calibri" w:cs="Calibri"/>
              <w:sz w:val="22"/>
              <w:szCs w:val="22"/>
              <w:lang w:val="en-US" w:eastAsia="en-US"/>
            </w:rPr>
          </w:pPr>
          <w:r>
            <w:rPr/>
            <w:t>4.1</w:t>
          </w:r>
          <w:r>
            <w:rPr>
              <w:rFonts w:cs="Calibri" w:ascii="Calibri" w:hAnsi="Calibri"/>
              <w:sz w:val="22"/>
              <w:szCs w:val="22"/>
              <w:lang w:eastAsia="en-GB"/>
            </w:rPr>
            <w:tab/>
          </w:r>
          <w:r>
            <w:rPr>
              <w:lang w:val="en-US" w:eastAsia="en-US"/>
            </w:rPr>
            <w:t>Handling of connected line identification restriction</w:t>
            <w:tab/>
          </w:r>
          <w:hyperlink w:anchor="__RefHeading___Toc517461886">
            <w:r>
              <w:rPr>
                <w:rStyle w:val="IndexLink"/>
                <w:lang w:val="en-US" w:eastAsia="en-US"/>
              </w:rPr>
              <w:t>36</w:t>
            </w:r>
          </w:hyperlink>
        </w:p>
        <w:p>
          <w:pPr>
            <w:pStyle w:val="Contents3"/>
            <w:rPr>
              <w:rFonts w:ascii="Calibri" w:hAnsi="Calibri" w:cs="Calibri"/>
              <w:sz w:val="22"/>
              <w:szCs w:val="22"/>
              <w:lang w:val="en-US" w:eastAsia="en-US"/>
            </w:rPr>
          </w:pPr>
          <w:r>
            <w:rPr/>
            <w:t>4.1.1</w:t>
          </w:r>
          <w:r>
            <w:rPr>
              <w:rFonts w:cs="Calibri" w:ascii="Calibri" w:hAnsi="Calibri"/>
              <w:sz w:val="22"/>
              <w:szCs w:val="22"/>
              <w:lang w:eastAsia="en-GB"/>
            </w:rPr>
            <w:tab/>
          </w:r>
          <w:r>
            <w:rPr>
              <w:lang w:val="en-US" w:eastAsia="en-US"/>
            </w:rPr>
            <w:t>General</w:t>
            <w:tab/>
          </w:r>
          <w:hyperlink w:anchor="__RefHeading___Toc517461887">
            <w:r>
              <w:rPr>
                <w:rStyle w:val="IndexLink"/>
                <w:lang w:val="en-US" w:eastAsia="en-US"/>
              </w:rPr>
              <w:t>36</w:t>
            </w:r>
          </w:hyperlink>
        </w:p>
        <w:p>
          <w:pPr>
            <w:pStyle w:val="Contents3"/>
            <w:rPr>
              <w:rFonts w:ascii="Calibri" w:hAnsi="Calibri" w:cs="Calibri"/>
              <w:sz w:val="22"/>
              <w:szCs w:val="22"/>
              <w:lang w:val="en-US" w:eastAsia="en-US"/>
            </w:rPr>
          </w:pPr>
          <w:r>
            <w:rPr/>
            <w:t>4.1.2</w:t>
          </w:r>
          <w:r>
            <w:rPr>
              <w:rFonts w:cs="Calibri" w:ascii="Calibri" w:hAnsi="Calibri"/>
              <w:sz w:val="22"/>
              <w:szCs w:val="22"/>
              <w:lang w:eastAsia="en-GB"/>
            </w:rPr>
            <w:tab/>
          </w:r>
          <w:r>
            <w:rPr>
              <w:lang w:val="en-US" w:eastAsia="en-US"/>
            </w:rPr>
            <w:t>Interrogation</w:t>
            <w:tab/>
          </w:r>
          <w:hyperlink w:anchor="__RefHeading___Toc517461888">
            <w:r>
              <w:rPr>
                <w:rStyle w:val="IndexLink"/>
                <w:lang w:val="en-US" w:eastAsia="en-US"/>
              </w:rPr>
              <w:t>36</w:t>
            </w:r>
          </w:hyperlink>
        </w:p>
        <w:p>
          <w:pPr>
            <w:pStyle w:val="Contents2"/>
            <w:rPr>
              <w:rFonts w:ascii="Calibri" w:hAnsi="Calibri" w:cs="Calibri"/>
              <w:sz w:val="22"/>
              <w:szCs w:val="22"/>
              <w:lang w:val="en-US" w:eastAsia="en-US"/>
            </w:rPr>
          </w:pPr>
          <w:r>
            <w:rPr/>
            <w:t>4.2</w:t>
          </w:r>
          <w:r>
            <w:rPr>
              <w:rFonts w:cs="Calibri" w:ascii="Calibri" w:hAnsi="Calibri"/>
              <w:sz w:val="22"/>
              <w:szCs w:val="22"/>
              <w:lang w:eastAsia="en-GB"/>
            </w:rPr>
            <w:tab/>
          </w:r>
          <w:r>
            <w:rPr>
              <w:lang w:val="en-US" w:eastAsia="en-US"/>
            </w:rPr>
            <w:t>Functions and information flows</w:t>
            <w:tab/>
          </w:r>
          <w:hyperlink w:anchor="__RefHeading___Toc517461889">
            <w:r>
              <w:rPr>
                <w:rStyle w:val="IndexLink"/>
                <w:lang w:val="en-US" w:eastAsia="en-US"/>
              </w:rPr>
              <w:t>37</w:t>
            </w:r>
          </w:hyperlink>
        </w:p>
        <w:p>
          <w:pPr>
            <w:pStyle w:val="Contents2"/>
            <w:rPr>
              <w:rFonts w:ascii="Calibri" w:hAnsi="Calibri" w:cs="Calibri"/>
              <w:sz w:val="22"/>
              <w:szCs w:val="22"/>
              <w:lang w:val="en-US" w:eastAsia="en-US"/>
            </w:rPr>
          </w:pPr>
          <w:r>
            <w:rPr/>
            <w:t>4.3</w:t>
          </w:r>
          <w:r>
            <w:rPr>
              <w:rFonts w:cs="Calibri" w:ascii="Calibri" w:hAnsi="Calibri"/>
              <w:sz w:val="22"/>
              <w:szCs w:val="22"/>
              <w:lang w:eastAsia="en-GB"/>
            </w:rPr>
            <w:tab/>
          </w:r>
          <w:r>
            <w:rPr>
              <w:lang w:val="en-US" w:eastAsia="en-US"/>
            </w:rPr>
            <w:t>Information stored in the HLR</w:t>
            <w:tab/>
          </w:r>
          <w:hyperlink w:anchor="__RefHeading___Toc517461890">
            <w:r>
              <w:rPr>
                <w:rStyle w:val="IndexLink"/>
                <w:lang w:val="en-US" w:eastAsia="en-US"/>
              </w:rPr>
              <w:t>40</w:t>
            </w:r>
          </w:hyperlink>
        </w:p>
        <w:p>
          <w:pPr>
            <w:pStyle w:val="Contents2"/>
            <w:rPr>
              <w:rFonts w:ascii="Calibri" w:hAnsi="Calibri" w:cs="Calibri"/>
              <w:sz w:val="22"/>
              <w:szCs w:val="22"/>
              <w:lang w:val="en-US" w:eastAsia="en-US"/>
            </w:rPr>
          </w:pPr>
          <w:r>
            <w:rPr/>
            <w:t>4.4</w:t>
          </w:r>
          <w:r>
            <w:rPr>
              <w:rFonts w:cs="Calibri" w:ascii="Calibri" w:hAnsi="Calibri"/>
              <w:sz w:val="22"/>
              <w:szCs w:val="22"/>
              <w:lang w:eastAsia="en-GB"/>
            </w:rPr>
            <w:tab/>
          </w:r>
          <w:r>
            <w:rPr>
              <w:lang w:val="en-US" w:eastAsia="en-US"/>
            </w:rPr>
            <w:t>State transition model</w:t>
            <w:tab/>
          </w:r>
          <w:hyperlink w:anchor="__RefHeading___Toc517461891">
            <w:r>
              <w:rPr>
                <w:rStyle w:val="IndexLink"/>
                <w:lang w:val="en-US" w:eastAsia="en-US"/>
              </w:rPr>
              <w:t>40</w:t>
            </w:r>
          </w:hyperlink>
        </w:p>
        <w:p>
          <w:pPr>
            <w:pStyle w:val="Contents2"/>
            <w:rPr>
              <w:rFonts w:ascii="Calibri" w:hAnsi="Calibri" w:cs="Calibri"/>
              <w:sz w:val="22"/>
              <w:szCs w:val="22"/>
              <w:lang w:val="en-US" w:eastAsia="en-US"/>
            </w:rPr>
          </w:pPr>
          <w:r>
            <w:rPr/>
            <w:t>4.5</w:t>
          </w:r>
          <w:r>
            <w:rPr>
              <w:rFonts w:cs="Calibri" w:ascii="Calibri" w:hAnsi="Calibri"/>
              <w:sz w:val="22"/>
              <w:szCs w:val="22"/>
              <w:lang w:eastAsia="en-GB"/>
            </w:rPr>
            <w:tab/>
          </w:r>
          <w:r>
            <w:rPr>
              <w:lang w:val="en-US" w:eastAsia="en-US"/>
            </w:rPr>
            <w:t>Transfer of information from HLR to VLR</w:t>
            <w:tab/>
          </w:r>
          <w:hyperlink w:anchor="__RefHeading___Toc517461892">
            <w:r>
              <w:rPr>
                <w:rStyle w:val="IndexLink"/>
                <w:lang w:val="en-US" w:eastAsia="en-US"/>
              </w:rPr>
              <w:t>41</w:t>
            </w:r>
          </w:hyperlink>
        </w:p>
        <w:p>
          <w:pPr>
            <w:pStyle w:val="Contents2"/>
            <w:rPr>
              <w:rFonts w:ascii="Calibri" w:hAnsi="Calibri" w:cs="Calibri"/>
              <w:sz w:val="22"/>
              <w:szCs w:val="22"/>
              <w:lang w:val="en-US" w:eastAsia="en-US"/>
            </w:rPr>
          </w:pPr>
          <w:r>
            <w:rPr/>
            <w:t>4.6</w:t>
          </w:r>
          <w:r>
            <w:rPr>
              <w:rFonts w:cs="Calibri" w:ascii="Calibri" w:hAnsi="Calibri"/>
              <w:sz w:val="22"/>
              <w:szCs w:val="22"/>
              <w:lang w:eastAsia="en-GB"/>
            </w:rPr>
            <w:tab/>
          </w:r>
          <w:r>
            <w:rPr>
              <w:lang w:val="en-US" w:eastAsia="en-US"/>
            </w:rPr>
            <w:t>Information stored in the VLR</w:t>
            <w:tab/>
          </w:r>
          <w:hyperlink w:anchor="__RefHeading___Toc517461893">
            <w:r>
              <w:rPr>
                <w:rStyle w:val="IndexLink"/>
                <w:lang w:val="en-US" w:eastAsia="en-US"/>
              </w:rPr>
              <w:t>41</w:t>
            </w:r>
          </w:hyperlink>
        </w:p>
        <w:p>
          <w:pPr>
            <w:pStyle w:val="Contents2"/>
            <w:rPr>
              <w:rFonts w:ascii="Calibri" w:hAnsi="Calibri" w:cs="Calibri"/>
              <w:sz w:val="22"/>
              <w:szCs w:val="22"/>
              <w:lang w:val="en-US" w:eastAsia="en-US"/>
            </w:rPr>
          </w:pPr>
          <w:r>
            <w:rPr/>
            <w:t>4.7</w:t>
          </w:r>
          <w:r>
            <w:rPr>
              <w:rFonts w:cs="Calibri" w:ascii="Calibri" w:hAnsi="Calibri"/>
              <w:sz w:val="22"/>
              <w:szCs w:val="22"/>
              <w:lang w:eastAsia="en-GB"/>
            </w:rPr>
            <w:tab/>
          </w:r>
          <w:r>
            <w:rPr>
              <w:lang w:val="en-US" w:eastAsia="en-US"/>
            </w:rPr>
            <w:t>Handover</w:t>
            <w:tab/>
          </w:r>
          <w:hyperlink w:anchor="__RefHeading___Toc517461894">
            <w:r>
              <w:rPr>
                <w:rStyle w:val="IndexLink"/>
                <w:lang w:val="en-US" w:eastAsia="en-US"/>
              </w:rPr>
              <w:t>41</w:t>
            </w:r>
          </w:hyperlink>
        </w:p>
        <w:p>
          <w:pPr>
            <w:pStyle w:val="Contents2"/>
            <w:rPr>
              <w:rFonts w:ascii="Calibri" w:hAnsi="Calibri" w:cs="Calibri"/>
              <w:sz w:val="22"/>
              <w:szCs w:val="22"/>
              <w:lang w:val="en-US" w:eastAsia="en-US"/>
            </w:rPr>
          </w:pPr>
          <w:r>
            <w:rPr/>
            <w:t>4.8</w:t>
          </w:r>
          <w:r>
            <w:rPr>
              <w:rFonts w:cs="Calibri" w:ascii="Calibri" w:hAnsi="Calibri"/>
              <w:sz w:val="22"/>
              <w:szCs w:val="22"/>
              <w:lang w:eastAsia="en-GB"/>
            </w:rPr>
            <w:tab/>
          </w:r>
          <w:r>
            <w:rPr>
              <w:lang w:val="en-US" w:eastAsia="en-US"/>
            </w:rPr>
            <w:t>Interworking</w:t>
            <w:tab/>
          </w:r>
          <w:hyperlink w:anchor="__RefHeading___Toc517461895">
            <w:r>
              <w:rPr>
                <w:rStyle w:val="IndexLink"/>
                <w:lang w:val="en-US" w:eastAsia="en-US"/>
              </w:rPr>
              <w:t>41</w:t>
            </w:r>
          </w:hyperlink>
        </w:p>
        <w:p>
          <w:pPr>
            <w:pStyle w:val="Contents8"/>
            <w:rPr>
              <w:rFonts w:ascii="Calibri" w:hAnsi="Calibri" w:cs="Calibri"/>
              <w:b w:val="false"/>
              <w:b w:val="false"/>
              <w:szCs w:val="22"/>
              <w:lang w:val="en-US" w:eastAsia="en-US"/>
            </w:rPr>
          </w:pPr>
          <w:r>
            <w:rPr/>
            <w:t>Annex A (</w:t>
          </w:r>
          <w:r>
            <w:rPr>
              <w:lang w:eastAsia="ja-JP"/>
            </w:rPr>
            <w:t>informative</w:t>
          </w:r>
          <w:r>
            <w:rPr/>
            <w:t>):</w:t>
            <w:tab/>
            <w:t>Mapping of CLI</w:t>
            <w:tab/>
          </w:r>
          <w:hyperlink w:anchor="__RefHeading___Toc517461896">
            <w:r>
              <w:rPr>
                <w:rStyle w:val="IndexLink"/>
                <w:lang w:val="en-US" w:eastAsia="en-US"/>
              </w:rPr>
              <w:t>42</w:t>
            </w:r>
          </w:hyperlink>
        </w:p>
        <w:p>
          <w:pPr>
            <w:pStyle w:val="Contents8"/>
            <w:rPr>
              <w:rFonts w:ascii="Calibri" w:hAnsi="Calibri" w:cs="Calibri"/>
              <w:szCs w:val="22"/>
              <w:lang w:val="en-US" w:eastAsia="en-US"/>
            </w:rPr>
          </w:pPr>
          <w:r>
            <w:rPr>
              <w:b w:val="false"/>
            </w:rPr>
            <w:t>Annex B (informative):</w:t>
            <w:tab/>
            <w:t>Change history</w:t>
            <w:tab/>
          </w:r>
          <w:hyperlink w:anchor="__RefHeading___Toc517461897">
            <w:r>
              <w:rPr>
                <w:rStyle w:val="IndexLink"/>
                <w:b w:val="false"/>
                <w:lang w:val="en-US" w:eastAsia="en-US"/>
              </w:rPr>
              <w:t>44</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1" w:name="__RefHeading___Toc517461840"/>
      <w:bookmarkEnd w:id="11"/>
      <w:r>
        <w:rPr/>
        <w:t>Foreword</w:t>
      </w:r>
    </w:p>
    <w:p>
      <w:pPr>
        <w:pStyle w:val="Normal"/>
        <w:rPr/>
      </w:pPr>
      <w:r>
        <w:rPr/>
        <w:t>This Technical Specification has been produced by the 3GPP.</w:t>
      </w:r>
    </w:p>
    <w:p>
      <w:pPr>
        <w:pStyle w:val="Normal"/>
        <w:rPr/>
      </w:pPr>
      <w:r>
        <w:rPr/>
        <w:t>This TS defines the stage 2 of the line identification supplementary services for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12" w:name="__RefHeading___Toc517461841"/>
      <w:bookmarkEnd w:id="12"/>
      <w:r>
        <w:rPr/>
        <w:t>0</w:t>
        <w:tab/>
        <w:t>Scope</w:t>
      </w:r>
    </w:p>
    <w:p>
      <w:pPr>
        <w:pStyle w:val="Normal"/>
        <w:rPr/>
      </w:pPr>
      <w:r>
        <w:rPr/>
        <w:t>The present document gives the stage 2 description of the call identification supplementary services.</w:t>
      </w:r>
    </w:p>
    <w:p>
      <w:pPr>
        <w:pStyle w:val="Normal"/>
        <w:rPr/>
      </w:pPr>
      <w:r>
        <w:rPr/>
        <w:t>The group line identification supplementary services are divided into the following four supplementary services:</w:t>
      </w:r>
    </w:p>
    <w:p>
      <w:pPr>
        <w:pStyle w:val="B1"/>
        <w:keepNext w:val="true"/>
        <w:keepLines/>
        <w:tabs>
          <w:tab w:val="clear" w:pos="284"/>
          <w:tab w:val="left" w:pos="4536" w:leader="none"/>
          <w:tab w:val="left" w:pos="5670" w:leader="none"/>
        </w:tabs>
        <w:rPr/>
      </w:pPr>
      <w:r>
        <w:rPr/>
        <w:noBreakHyphen/>
      </w:r>
      <w:r>
        <w:rPr/>
        <w:tab/>
        <w:t>Calling line identification presentation</w:t>
        <w:tab/>
        <w:t>CLIP</w:t>
        <w:tab/>
        <w:t>(clause 1);</w:t>
      </w:r>
    </w:p>
    <w:p>
      <w:pPr>
        <w:pStyle w:val="B1"/>
        <w:keepNext w:val="true"/>
        <w:keepLines/>
        <w:tabs>
          <w:tab w:val="clear" w:pos="284"/>
          <w:tab w:val="left" w:pos="4536" w:leader="none"/>
          <w:tab w:val="left" w:pos="5670" w:leader="none"/>
        </w:tabs>
        <w:rPr/>
      </w:pPr>
      <w:r>
        <w:rPr/>
        <w:noBreakHyphen/>
      </w:r>
      <w:r>
        <w:rPr/>
        <w:tab/>
        <w:t>Calling line identification restriction</w:t>
        <w:tab/>
        <w:t>CLIR</w:t>
        <w:tab/>
        <w:t>(clause 2);</w:t>
      </w:r>
    </w:p>
    <w:p>
      <w:pPr>
        <w:pStyle w:val="B1"/>
        <w:keepNext w:val="true"/>
        <w:keepLines/>
        <w:tabs>
          <w:tab w:val="clear" w:pos="284"/>
          <w:tab w:val="left" w:pos="4536" w:leader="none"/>
          <w:tab w:val="left" w:pos="5670" w:leader="none"/>
        </w:tabs>
        <w:rPr/>
      </w:pPr>
      <w:r>
        <w:rPr/>
        <w:noBreakHyphen/>
      </w:r>
      <w:r>
        <w:rPr/>
        <w:tab/>
        <w:t>Connected line identification presentation</w:t>
        <w:tab/>
        <w:t>COLP</w:t>
        <w:tab/>
        <w:t>(clause 3);</w:t>
      </w:r>
    </w:p>
    <w:p>
      <w:pPr>
        <w:pStyle w:val="B1"/>
        <w:tabs>
          <w:tab w:val="clear" w:pos="284"/>
          <w:tab w:val="left" w:pos="4536" w:leader="none"/>
          <w:tab w:val="left" w:pos="5670" w:leader="none"/>
        </w:tabs>
        <w:rPr/>
      </w:pPr>
      <w:r>
        <w:rPr/>
        <w:noBreakHyphen/>
      </w:r>
      <w:r>
        <w:rPr/>
        <w:tab/>
        <w:t>Connected line identification restriction</w:t>
        <w:tab/>
        <w:t>COLR</w:t>
        <w:tab/>
        <w:t>(clause 4).</w:t>
      </w:r>
    </w:p>
    <w:p>
      <w:pPr>
        <w:pStyle w:val="Heading2"/>
        <w:rPr/>
      </w:pPr>
      <w:bookmarkStart w:id="13" w:name="__RefHeading___Toc517461842"/>
      <w:bookmarkEnd w:id="13"/>
      <w:r>
        <w:rPr/>
        <w:t>0.1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"3G Vocabulary".</w:t>
      </w:r>
    </w:p>
    <w:p>
      <w:pPr>
        <w:pStyle w:val="EX"/>
        <w:rPr/>
      </w:pPr>
      <w:r>
        <w:rPr/>
        <w:t>[2]</w:t>
        <w:tab/>
        <w:t>3GPP TS 23.011: "</w:t>
      </w:r>
      <w:r>
        <w:rPr>
          <w:color w:val="000000"/>
          <w:lang w:val="en-US"/>
        </w:rPr>
        <w:t>Technical Realization of Supplementary Services - General Aspects</w:t>
      </w:r>
      <w:r>
        <w:rPr/>
        <w:t>.</w:t>
      </w:r>
    </w:p>
    <w:p>
      <w:pPr>
        <w:pStyle w:val="EX"/>
        <w:rPr>
          <w:lang w:eastAsia="ja-JP"/>
        </w:rPr>
      </w:pPr>
      <w:r>
        <w:rPr/>
        <w:t>[3]</w:t>
        <w:tab/>
      </w:r>
      <w:r>
        <w:rPr>
          <w:lang w:eastAsia="ja-JP"/>
        </w:rPr>
        <w:t>3G</w:t>
      </w:r>
      <w:r>
        <w:rPr>
          <w:lang w:eastAsia="ja-JP"/>
        </w:rPr>
        <w:t>PP</w:t>
      </w:r>
      <w:r>
        <w:rPr>
          <w:lang w:eastAsia="ja-JP"/>
        </w:rPr>
        <w:t xml:space="preserve"> TS 23.018 : </w:t>
      </w:r>
      <w:r>
        <w:rPr>
          <w:lang w:eastAsia="ja-JP"/>
        </w:rPr>
        <w:t>"</w:t>
      </w:r>
      <w:r>
        <w:rPr>
          <w:lang w:eastAsia="ja-JP"/>
        </w:rPr>
        <w:t>Basic Call Handling; Technical realization</w:t>
      </w:r>
      <w:r>
        <w:rPr>
          <w:lang w:eastAsia="ja-JP"/>
        </w:rPr>
        <w:t>"</w:t>
      </w:r>
      <w:r>
        <w:rPr>
          <w:lang w:eastAsia="ja-JP"/>
        </w:rPr>
        <w:t>.</w:t>
      </w:r>
    </w:p>
    <w:p>
      <w:pPr>
        <w:pStyle w:val="EX"/>
        <w:rPr/>
      </w:pPr>
      <w:r>
        <w:rPr/>
        <w:t>[4]</w:t>
        <w:tab/>
        <w:t>3GPP TS 22.081: "Line Identification supplementary services - Stage 1".</w:t>
      </w:r>
    </w:p>
    <w:p>
      <w:pPr>
        <w:pStyle w:val="Heading2"/>
        <w:rPr/>
      </w:pPr>
      <w:bookmarkStart w:id="14" w:name="__RefHeading___Toc517461843"/>
      <w:bookmarkEnd w:id="14"/>
      <w:r>
        <w:rPr/>
        <w:t>0.2</w:t>
        <w:tab/>
        <w:t>Definitions and abbreviations</w:t>
      </w:r>
    </w:p>
    <w:p>
      <w:pPr>
        <w:pStyle w:val="Heading3"/>
        <w:rPr/>
      </w:pPr>
      <w:bookmarkStart w:id="15" w:name="__RefHeading___Toc517461844"/>
      <w:bookmarkEnd w:id="15"/>
      <w:r>
        <w:rPr/>
        <w:t>0.2.1</w:t>
        <w:tab/>
        <w:t>Definitions</w:t>
      </w:r>
    </w:p>
    <w:p>
      <w:pPr>
        <w:pStyle w:val="Heading4"/>
        <w:ind w:left="1418" w:hanging="1418"/>
        <w:rPr/>
      </w:pPr>
      <w:bookmarkStart w:id="16" w:name="__RefHeading___Toc517461845"/>
      <w:bookmarkEnd w:id="16"/>
      <w:r>
        <w:rPr/>
        <w:t>0.2.1.1</w:t>
        <w:tab/>
        <w:t>Definition of line identity</w:t>
      </w:r>
    </w:p>
    <w:p>
      <w:pPr>
        <w:pStyle w:val="Normal"/>
        <w:rPr/>
      </w:pPr>
      <w:r>
        <w:rPr/>
        <w:t>The line identity is made up of the following information units:</w:t>
      </w:r>
    </w:p>
    <w:p>
      <w:pPr>
        <w:pStyle w:val="B1"/>
        <w:rPr/>
      </w:pPr>
      <w:r>
        <w:rPr/>
        <w:noBreakHyphen/>
      </w:r>
      <w:r>
        <w:rPr/>
        <w:tab/>
        <w:t>The subscriber's international ISDN/MSISDN number;</w:t>
      </w:r>
    </w:p>
    <w:p>
      <w:pPr>
        <w:pStyle w:val="B1"/>
        <w:rPr/>
      </w:pPr>
      <w:r>
        <w:rPr/>
        <w:noBreakHyphen/>
      </w:r>
      <w:r>
        <w:rPr/>
        <w:tab/>
        <w:t>Optionally subaddress information.</w:t>
      </w:r>
    </w:p>
    <w:p>
      <w:pPr>
        <w:pStyle w:val="Normal"/>
        <w:rPr/>
      </w:pPr>
      <w:r>
        <w:rPr/>
        <w:t>For mobile originated calls, the ISDN/MSISDN shall always be provided within the network. The subaddress shall only be included if it is provided by the user (or user equipment).</w:t>
      </w:r>
    </w:p>
    <w:p>
      <w:pPr>
        <w:pStyle w:val="Normal"/>
        <w:rPr/>
      </w:pPr>
      <w:r>
        <w:rPr/>
        <w:t>The calling line identity is the line identity of the calling party. The connected line identity is the line identity of the connected party.</w:t>
      </w:r>
    </w:p>
    <w:p>
      <w:pPr>
        <w:pStyle w:val="Normal"/>
        <w:rPr/>
      </w:pPr>
      <w:r>
        <w:rPr/>
        <w:t>The additional calling line identity provides additional line information for the purpose of the calling line identification presentation service (CLIP). The additional connected line identity provides additional line information for the purpose of the connected line identification presentation service (COLP).</w:t>
      </w:r>
    </w:p>
    <w:p>
      <w:pPr>
        <w:pStyle w:val="Normal"/>
        <w:rPr/>
      </w:pPr>
      <w:r>
        <w:rPr/>
        <w:t>For mobile originating calls the user (or user equipment) has no possibility to provide an additional line identity. For mobile terminating calls the user (or user equipment) has no possibility to provide an additional connected line identity.</w:t>
      </w:r>
    </w:p>
    <w:p>
      <w:pPr>
        <w:pStyle w:val="Heading4"/>
        <w:ind w:left="1418" w:hanging="1418"/>
        <w:rPr/>
      </w:pPr>
      <w:bookmarkStart w:id="17" w:name="__RefHeading___Toc517461846"/>
      <w:bookmarkEnd w:id="17"/>
      <w:r>
        <w:rPr/>
        <w:t>0.2.1.2</w:t>
        <w:tab/>
        <w:t>Definition of presentation and screening indicators</w:t>
      </w:r>
    </w:p>
    <w:p>
      <w:pPr>
        <w:pStyle w:val="Normal"/>
        <w:rPr/>
      </w:pPr>
      <w:r>
        <w:rPr/>
        <w:t xml:space="preserve">In addition to, or instead of, the line identity or additional line identity, the network may send a presentation indicator (PI) together with a </w:t>
      </w:r>
      <w:r>
        <w:rPr>
          <w:lang w:eastAsia="ja-JP"/>
        </w:rPr>
        <w:t>Ca</w:t>
      </w:r>
      <w:r>
        <w:rPr>
          <w:lang w:eastAsia="ja-JP"/>
        </w:rPr>
        <w:t>u</w:t>
      </w:r>
      <w:r>
        <w:rPr>
          <w:lang w:eastAsia="ja-JP"/>
        </w:rPr>
        <w:t>se of no CLI</w:t>
      </w:r>
      <w:r>
        <w:rPr>
          <w:lang w:eastAsia="ja-JP"/>
        </w:rPr>
        <w:t xml:space="preserve"> (C</w:t>
      </w:r>
      <w:r>
        <w:rPr>
          <w:lang w:eastAsia="ja-JP"/>
        </w:rPr>
        <w:t>o</w:t>
      </w:r>
      <w:r>
        <w:rPr>
          <w:lang w:eastAsia="ja-JP"/>
        </w:rPr>
        <w:t>N</w:t>
      </w:r>
      <w:r>
        <w:rPr>
          <w:lang w:eastAsia="ja-JP"/>
        </w:rPr>
        <w:t>C</w:t>
      </w:r>
      <w:r>
        <w:rPr>
          <w:lang w:eastAsia="ja-JP"/>
        </w:rPr>
        <w:t xml:space="preserve">) </w:t>
      </w:r>
      <w:r>
        <w:rPr/>
        <w:t>and/or a screening indicator (SI) to the MS as follows:</w:t>
      </w:r>
    </w:p>
    <w:p>
      <w:pPr>
        <w:pStyle w:val="B1"/>
        <w:rPr/>
      </w:pPr>
      <w:r>
        <w:rPr/>
        <w:noBreakHyphen/>
      </w:r>
      <w:r>
        <w:rPr/>
        <w:tab/>
        <w:t>Presentation Indicator:</w:t>
      </w:r>
    </w:p>
    <w:p>
      <w:pPr>
        <w:pStyle w:val="B2"/>
        <w:rPr/>
      </w:pPr>
      <w:r>
        <w:rPr/>
        <w:t>a)</w:t>
        <w:tab/>
        <w:t>Presentation allowed;</w:t>
      </w:r>
    </w:p>
    <w:p>
      <w:pPr>
        <w:pStyle w:val="B2"/>
        <w:rPr/>
      </w:pPr>
      <w:r>
        <w:rPr/>
        <w:t>b)</w:t>
        <w:tab/>
        <w:t>Presentation restricted;</w:t>
      </w:r>
    </w:p>
    <w:p>
      <w:pPr>
        <w:pStyle w:val="B2"/>
        <w:rPr/>
      </w:pPr>
      <w:r>
        <w:rPr/>
        <w:t>c)</w:t>
        <w:tab/>
        <w:t>Number not available.</w:t>
      </w:r>
    </w:p>
    <w:p>
      <w:pPr>
        <w:pStyle w:val="B1"/>
        <w:rPr/>
      </w:pPr>
      <w:r>
        <w:rPr/>
        <w:noBreakHyphen/>
      </w:r>
      <w:r>
        <w:rPr/>
        <w:tab/>
        <w:t xml:space="preserve">If the Presentation Indicator indicates "presentation restricted" the </w:t>
      </w:r>
      <w:r>
        <w:rPr>
          <w:lang w:eastAsia="ja-JP"/>
        </w:rPr>
        <w:t>Cause of no CLI</w:t>
      </w:r>
      <w:r>
        <w:rPr>
          <w:lang w:eastAsia="ja-JP"/>
        </w:rPr>
        <w:t xml:space="preserve"> may give a diagnostic</w:t>
      </w:r>
      <w:r>
        <w:rPr/>
        <w:t>:</w:t>
      </w:r>
    </w:p>
    <w:p>
      <w:pPr>
        <w:pStyle w:val="B2"/>
        <w:rPr/>
      </w:pPr>
      <w:r>
        <w:rPr/>
        <w:t>a)</w:t>
        <w:tab/>
      </w:r>
      <w:r>
        <w:rPr>
          <w:lang w:eastAsia="ja-JP"/>
        </w:rPr>
        <w:t>Unavailable</w:t>
      </w:r>
      <w:r>
        <w:rPr/>
        <w:t>;</w:t>
      </w:r>
    </w:p>
    <w:p>
      <w:pPr>
        <w:pStyle w:val="B2"/>
        <w:rPr/>
      </w:pPr>
      <w:r>
        <w:rPr/>
        <w:t>b)</w:t>
        <w:tab/>
      </w:r>
      <w:r>
        <w:rPr>
          <w:lang w:eastAsia="ja-JP"/>
        </w:rPr>
        <w:t>Rejected by user</w:t>
      </w:r>
      <w:r>
        <w:rPr/>
        <w:t>;</w:t>
      </w:r>
    </w:p>
    <w:p>
      <w:pPr>
        <w:pStyle w:val="B2"/>
        <w:rPr/>
      </w:pPr>
      <w:r>
        <w:rPr>
          <w:lang w:eastAsia="ja-JP"/>
        </w:rPr>
        <w:t>c)</w:t>
        <w:tab/>
      </w:r>
      <w:r>
        <w:rPr>
          <w:lang w:eastAsia="ja-JP"/>
        </w:rPr>
        <w:t>Interaction with other services</w:t>
      </w:r>
      <w:r>
        <w:rPr/>
        <w:t>;</w:t>
      </w:r>
    </w:p>
    <w:p>
      <w:pPr>
        <w:pStyle w:val="B2"/>
        <w:rPr/>
      </w:pPr>
      <w:r>
        <w:rPr>
          <w:lang w:eastAsia="ja-JP"/>
        </w:rPr>
        <w:t>d)</w:t>
        <w:tab/>
      </w:r>
      <w:r>
        <w:rPr>
          <w:lang w:eastAsia="ja-JP"/>
        </w:rPr>
        <w:t>Coin line/ Pay phone</w:t>
      </w:r>
      <w:r>
        <w:rPr>
          <w:lang w:eastAsia="ja-JP"/>
        </w:rPr>
        <w:t>.</w:t>
      </w:r>
    </w:p>
    <w:p>
      <w:pPr>
        <w:pStyle w:val="B1"/>
        <w:rPr/>
      </w:pPr>
      <w:r>
        <w:rPr/>
        <w:noBreakHyphen/>
      </w:r>
      <w:r>
        <w:rPr/>
        <w:tab/>
        <w:t>Screening indicator:</w:t>
      </w:r>
    </w:p>
    <w:p>
      <w:pPr>
        <w:pStyle w:val="B2"/>
        <w:rPr/>
      </w:pPr>
      <w:r>
        <w:rPr/>
        <w:t>a)</w:t>
        <w:tab/>
        <w:t>User provided, verified and passed;</w:t>
      </w:r>
    </w:p>
    <w:p>
      <w:pPr>
        <w:pStyle w:val="B2"/>
        <w:rPr/>
      </w:pPr>
      <w:r>
        <w:rPr/>
        <w:t>b)</w:t>
        <w:tab/>
        <w:t>User provided, not screened;</w:t>
      </w:r>
    </w:p>
    <w:p>
      <w:pPr>
        <w:pStyle w:val="B2"/>
        <w:rPr/>
      </w:pPr>
      <w:r>
        <w:rPr/>
        <w:t>c)</w:t>
        <w:tab/>
        <w:t>network provided.</w:t>
      </w:r>
    </w:p>
    <w:p>
      <w:pPr>
        <w:pStyle w:val="Normal"/>
        <w:rPr/>
      </w:pPr>
      <w:r>
        <w:rPr/>
        <w:t>The screening indicator applies to the ISDN/MSISDN or the number given as additional line identity respectively.</w:t>
      </w:r>
    </w:p>
    <w:p>
      <w:pPr>
        <w:pStyle w:val="Heading3"/>
        <w:rPr/>
      </w:pPr>
      <w:bookmarkStart w:id="18" w:name="__RefHeading___Toc517461847"/>
      <w:bookmarkEnd w:id="18"/>
      <w:r>
        <w:rPr/>
        <w:t>0.2.2</w:t>
        <w:tab/>
        <w:t>Abbreviations</w:t>
      </w:r>
    </w:p>
    <w:p>
      <w:pPr>
        <w:pStyle w:val="Normal"/>
        <w:rPr/>
      </w:pPr>
      <w:r>
        <w:rPr/>
        <w:t xml:space="preserve">Abbreviations used in the present document are listed in </w:t>
      </w:r>
      <w:r>
        <w:rPr>
          <w:lang w:eastAsia="ja-JP"/>
        </w:rPr>
        <w:t>3G</w:t>
      </w:r>
      <w:r>
        <w:rPr>
          <w:lang w:eastAsia="ja-JP"/>
        </w:rPr>
        <w:t>PP</w:t>
      </w:r>
      <w:r>
        <w:rPr>
          <w:lang w:eastAsia="ja-JP"/>
        </w:rPr>
        <w:t xml:space="preserve"> TR 21.905</w:t>
      </w:r>
      <w:r>
        <w:rPr/>
        <w:t>.</w:t>
      </w:r>
    </w:p>
    <w:p>
      <w:pPr>
        <w:pStyle w:val="Heading1"/>
        <w:ind w:left="1134" w:hanging="1134"/>
        <w:rPr/>
      </w:pPr>
      <w:bookmarkStart w:id="19" w:name="__RefHeading___Toc517461848"/>
      <w:bookmarkEnd w:id="19"/>
      <w:r>
        <w:rPr/>
        <w:t>1</w:t>
        <w:tab/>
        <w:t>Calling line identification presentation (CLIP)</w:t>
      </w:r>
    </w:p>
    <w:p>
      <w:pPr>
        <w:pStyle w:val="Heading2"/>
        <w:rPr/>
      </w:pPr>
      <w:bookmarkStart w:id="20" w:name="__RefHeading___Toc517461849"/>
      <w:bookmarkEnd w:id="20"/>
      <w:r>
        <w:rPr/>
        <w:t>1.1</w:t>
        <w:tab/>
        <w:t>Handling of calling line identification presentation</w:t>
      </w:r>
    </w:p>
    <w:p>
      <w:pPr>
        <w:pStyle w:val="Heading3"/>
        <w:rPr/>
      </w:pPr>
      <w:bookmarkStart w:id="21" w:name="__RefHeading___Toc517461850"/>
      <w:bookmarkEnd w:id="21"/>
      <w:r>
        <w:rPr/>
        <w:t>1.1.1</w:t>
        <w:tab/>
        <w:t>Interrogation</w:t>
      </w:r>
    </w:p>
    <w:p>
      <w:pPr>
        <w:pStyle w:val="Normal"/>
        <w:rPr>
          <w:b/>
          <w:b/>
          <w:u w:val="single"/>
        </w:rPr>
      </w:pPr>
      <w:r>
        <w:rPr>
          <w:b/>
          <w:u w:val="single"/>
        </w:rPr>
        <w:t>Status check</w:t>
      </w:r>
    </w:p>
    <w:p>
      <w:pPr>
        <w:pStyle w:val="Normal"/>
        <w:rPr/>
      </w:pPr>
      <w:r>
        <w:rPr/>
        <w:t>The mobile subscriber can request the status of the supplementary service and be informed if the service is provided to him/her. This procedure is illustrated in figure 1.1.</w:t>
      </w:r>
    </w:p>
    <w:p>
      <w:pPr>
        <w:pStyle w:val="TH"/>
        <w:rPr/>
      </w:pPr>
      <w:r>
        <w:rPr/>
        <w:object w:dxaOrig="7620" w:dyaOrig="223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81pt;height:111.7pt" filled="f" o:ole="">
            <v:imagedata r:id="rId7" o:title=""/>
          </v:shape>
          <o:OLEObject Type="Embed" ProgID="" ShapeID="ole_rId6" DrawAspect="Content" ObjectID="_1893675882" r:id="rId6"/>
        </w:object>
      </w:r>
    </w:p>
    <w:p>
      <w:pPr>
        <w:pStyle w:val="TF"/>
        <w:rPr/>
      </w:pPr>
      <w:r>
        <w:rPr/>
        <w:t>Figure 1.1: Interrogation of calling line identification presentation</w:t>
      </w:r>
    </w:p>
    <w:p>
      <w:pPr>
        <w:pStyle w:val="Heading2"/>
        <w:rPr>
          <w:b/>
          <w:b/>
        </w:rPr>
      </w:pPr>
      <w:bookmarkStart w:id="22" w:name="__RefHeading___Toc517461851"/>
      <w:bookmarkEnd w:id="22"/>
      <w:r>
        <w:rPr/>
        <w:t>1.2</w:t>
        <w:tab/>
        <w:t>Functions and information flows</w:t>
      </w:r>
    </w:p>
    <w:p>
      <w:pPr>
        <w:pStyle w:val="Normal"/>
        <w:keepNext w:val="true"/>
        <w:keepLines/>
        <w:rPr/>
      </w:pPr>
      <w:r>
        <w:rPr/>
        <w:t>The following Mobile Additional Functions have been identified for the PLMN:</w:t>
      </w:r>
    </w:p>
    <w:p>
      <w:pPr>
        <w:pStyle w:val="B1"/>
        <w:keepNext w:val="true"/>
        <w:keepLines/>
        <w:rPr/>
      </w:pPr>
      <w:r>
        <w:rPr>
          <w:u w:val="single"/>
        </w:rPr>
        <w:t>MAF001</w:t>
      </w:r>
    </w:p>
    <w:p>
      <w:pPr>
        <w:pStyle w:val="B1"/>
        <w:keepNext w:val="true"/>
        <w:keepLines/>
        <w:rPr/>
      </w:pPr>
      <w:r>
        <w:rPr/>
        <w:tab/>
        <w:t>Determination of the calling line identification presentation subscription</w:t>
      </w:r>
    </w:p>
    <w:p>
      <w:pPr>
        <w:pStyle w:val="B1"/>
        <w:rPr/>
      </w:pPr>
      <w:r>
        <w:rPr/>
        <w:tab/>
        <w:t>The ability of a PLMN component to determine whether the sup</w:t>
        <w:softHyphen/>
        <w:t>plementary service is provisioned for the mobile subscriber. See figure 1.2.</w:t>
      </w:r>
    </w:p>
    <w:p>
      <w:pPr>
        <w:pStyle w:val="B2"/>
        <w:rPr/>
      </w:pPr>
      <w:r>
        <w:rPr/>
        <w:t>Location: VLR.</w:t>
      </w:r>
    </w:p>
    <w:p>
      <w:pPr>
        <w:pStyle w:val="B1"/>
        <w:keepNext w:val="true"/>
        <w:keepLines/>
        <w:rPr>
          <w:u w:val="single"/>
        </w:rPr>
      </w:pPr>
      <w:r>
        <w:rPr>
          <w:u w:val="single"/>
        </w:rPr>
        <w:t>MAF002</w:t>
      </w:r>
    </w:p>
    <w:p>
      <w:pPr>
        <w:pStyle w:val="B1"/>
        <w:keepNext w:val="true"/>
        <w:keepLines/>
        <w:rPr/>
      </w:pPr>
      <w:r>
        <w:rPr/>
        <w:tab/>
        <w:t>Determination of the calling party number for offering to the called party</w:t>
      </w:r>
    </w:p>
    <w:p>
      <w:pPr>
        <w:pStyle w:val="B1"/>
        <w:keepNext w:val="true"/>
        <w:keepLines/>
        <w:rPr/>
      </w:pPr>
      <w:r>
        <w:rPr/>
        <w:tab/>
        <w:t>The ability of a PLMN component to determine and to forward the calling line identity and related indications to the called party. See figure 1.3.</w:t>
      </w:r>
    </w:p>
    <w:p>
      <w:pPr>
        <w:pStyle w:val="B2"/>
        <w:rPr/>
      </w:pPr>
      <w:r>
        <w:rPr/>
        <w:t>Location: destination MSC.</w:t>
      </w:r>
    </w:p>
    <w:p>
      <w:pPr>
        <w:pStyle w:val="Normal"/>
        <w:rPr/>
      </w:pPr>
      <w:r>
        <w:rPr/>
        <w:t>The information flow is shown in figure 1.9.</w:t>
      </w:r>
    </w:p>
    <w:p>
      <w:pPr>
        <w:pStyle w:val="TH"/>
        <w:rPr/>
      </w:pPr>
      <w:r>
        <w:rPr/>
        <w:drawing>
          <wp:inline distT="0" distB="0" distL="0" distR="0">
            <wp:extent cx="6116955" cy="825690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rcRect l="-12" t="-12" r="-12" b="-12"/>
                    <a:stretch>
                      <a:fillRect/>
                    </a:stretch>
                  </pic:blipFill>
                  <pic:spPr bwMode="auto">
                    <a:xfrm>
                      <a:off x="0" y="0"/>
                      <a:ext cx="6116955" cy="8256905"/>
                    </a:xfrm>
                    <a:prstGeom prst="rect">
                      <a:avLst/>
                    </a:prstGeom>
                  </pic:spPr>
                </pic:pic>
              </a:graphicData>
            </a:graphic>
          </wp:inline>
        </w:drawing>
      </w:r>
    </w:p>
    <w:p>
      <w:pPr>
        <w:pStyle w:val="TF"/>
        <w:rPr/>
      </w:pPr>
      <w:r>
        <w:rPr/>
        <w:t>Figure 1.2: MAF001 Determination of calling line identification presentation subscription</w:t>
        <w:br/>
        <w:t>(VLR)</w:t>
      </w:r>
    </w:p>
    <w:p>
      <w:pPr>
        <w:pStyle w:val="TH"/>
        <w:rPr/>
      </w:pPr>
      <w:r>
        <w:rPr/>
        <w:drawing>
          <wp:inline distT="0" distB="0" distL="0" distR="0">
            <wp:extent cx="6118860" cy="74009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9"/>
                    <a:srcRect l="-5" t="-4" r="-5" b="-4"/>
                    <a:stretch>
                      <a:fillRect/>
                    </a:stretch>
                  </pic:blipFill>
                  <pic:spPr bwMode="auto">
                    <a:xfrm>
                      <a:off x="0" y="0"/>
                      <a:ext cx="6118860" cy="7400925"/>
                    </a:xfrm>
                    <a:prstGeom prst="rect">
                      <a:avLst/>
                    </a:prstGeom>
                  </pic:spPr>
                </pic:pic>
              </a:graphicData>
            </a:graphic>
          </wp:inline>
        </w:drawing>
      </w:r>
    </w:p>
    <w:p>
      <w:pPr>
        <w:pStyle w:val="TF"/>
        <w:rPr/>
      </w:pPr>
      <w:r>
        <w:rPr/>
        <w:t>Figure 1.3: MAF002 Determination of the information for offering to the called party</w:t>
        <w:br/>
        <w:t>(destination MSC)</w:t>
      </w:r>
    </w:p>
    <w:p>
      <w:pPr>
        <w:pStyle w:val="TH"/>
        <w:rPr>
          <w:lang w:val="en-US" w:eastAsia="en-US"/>
        </w:rPr>
      </w:pPr>
      <w:r>
        <w:rPr>
          <w:lang w:val="en-US" w:eastAsia="en-US"/>
        </w:rPr>
        <w:drawing>
          <wp:inline distT="0" distB="0" distL="0" distR="0">
            <wp:extent cx="6106160" cy="831659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0"/>
                    <a:srcRect l="-5" t="-4" r="-5" b="-4"/>
                    <a:stretch>
                      <a:fillRect/>
                    </a:stretch>
                  </pic:blipFill>
                  <pic:spPr bwMode="auto">
                    <a:xfrm>
                      <a:off x="0" y="0"/>
                      <a:ext cx="6106160" cy="8316595"/>
                    </a:xfrm>
                    <a:prstGeom prst="rect">
                      <a:avLst/>
                    </a:prstGeom>
                  </pic:spPr>
                </pic:pic>
              </a:graphicData>
            </a:graphic>
          </wp:inline>
        </w:drawing>
      </w:r>
    </w:p>
    <w:p>
      <w:pPr>
        <w:pStyle w:val="TF"/>
        <w:rPr/>
      </w:pPr>
      <w:r>
        <w:rPr/>
        <w:t xml:space="preserve">Figure 1.4: </w:t>
      </w:r>
      <w:r>
        <w:rPr>
          <w:lang w:eastAsia="ja-JP"/>
        </w:rPr>
        <w:t>Procedure Cause_of_no_CLI</w:t>
      </w:r>
    </w:p>
    <w:p>
      <w:pPr>
        <w:pStyle w:val="TH"/>
        <w:rPr/>
      </w:pPr>
      <w:r>
        <w:rPr/>
        <w:drawing>
          <wp:inline distT="0" distB="0" distL="0" distR="0">
            <wp:extent cx="6463030" cy="815530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1"/>
                    <a:srcRect l="-5" t="-4" r="-5" b="-4"/>
                    <a:stretch>
                      <a:fillRect/>
                    </a:stretch>
                  </pic:blipFill>
                  <pic:spPr bwMode="auto">
                    <a:xfrm>
                      <a:off x="0" y="0"/>
                      <a:ext cx="6463030" cy="8155305"/>
                    </a:xfrm>
                    <a:prstGeom prst="rect">
                      <a:avLst/>
                    </a:prstGeom>
                  </pic:spPr>
                </pic:pic>
              </a:graphicData>
            </a:graphic>
          </wp:inline>
        </w:drawing>
      </w:r>
    </w:p>
    <w:p>
      <w:pPr>
        <w:pStyle w:val="TF"/>
        <w:rPr/>
      </w:pPr>
      <w:r>
        <w:rPr/>
        <w:t>Figure 1.5: Addition of line identification information to Send Routeing Info message.</w:t>
      </w:r>
    </w:p>
    <w:p>
      <w:pPr>
        <w:pStyle w:val="TH"/>
        <w:rPr/>
      </w:pPr>
      <w:r>
        <w:rPr/>
        <w:drawing>
          <wp:inline distT="0" distB="0" distL="0" distR="0">
            <wp:extent cx="6463030" cy="815530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2"/>
                    <a:srcRect l="-5" t="-4" r="-5" b="-4"/>
                    <a:stretch>
                      <a:fillRect/>
                    </a:stretch>
                  </pic:blipFill>
                  <pic:spPr bwMode="auto">
                    <a:xfrm>
                      <a:off x="0" y="0"/>
                      <a:ext cx="6463030" cy="8155305"/>
                    </a:xfrm>
                    <a:prstGeom prst="rect">
                      <a:avLst/>
                    </a:prstGeom>
                  </pic:spPr>
                </pic:pic>
              </a:graphicData>
            </a:graphic>
          </wp:inline>
        </w:drawing>
      </w:r>
    </w:p>
    <w:p>
      <w:pPr>
        <w:pStyle w:val="TF"/>
        <w:rPr/>
      </w:pPr>
      <w:r>
        <w:rPr/>
        <w:t>Figure 1.6: Addition of line identification information to Provide Roaming Number message.</w:t>
      </w:r>
    </w:p>
    <w:p>
      <w:pPr>
        <w:pStyle w:val="TH"/>
        <w:rPr/>
      </w:pPr>
      <w:r>
        <w:rPr/>
        <w:drawing>
          <wp:inline distT="0" distB="0" distL="0" distR="0">
            <wp:extent cx="6463030" cy="815530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3"/>
                    <a:srcRect l="-5" t="-4" r="-5" b="-4"/>
                    <a:stretch>
                      <a:fillRect/>
                    </a:stretch>
                  </pic:blipFill>
                  <pic:spPr bwMode="auto">
                    <a:xfrm>
                      <a:off x="0" y="0"/>
                      <a:ext cx="6463030" cy="8155305"/>
                    </a:xfrm>
                    <a:prstGeom prst="rect">
                      <a:avLst/>
                    </a:prstGeom>
                  </pic:spPr>
                </pic:pic>
              </a:graphicData>
            </a:graphic>
          </wp:inline>
        </w:drawing>
      </w:r>
    </w:p>
    <w:p>
      <w:pPr>
        <w:pStyle w:val="TF"/>
        <w:rPr/>
      </w:pPr>
      <w:r>
        <w:rPr/>
        <w:t>Figure 1.7: Storing of Line Identification in destination VLR</w:t>
      </w:r>
    </w:p>
    <w:p>
      <w:pPr>
        <w:pStyle w:val="TH"/>
        <w:rPr/>
      </w:pPr>
      <w:r>
        <w:rPr/>
        <w:drawing>
          <wp:inline distT="0" distB="0" distL="0" distR="0">
            <wp:extent cx="6463030" cy="815530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4"/>
                    <a:srcRect l="-5" t="-4" r="-5" b="-4"/>
                    <a:stretch>
                      <a:fillRect/>
                    </a:stretch>
                  </pic:blipFill>
                  <pic:spPr bwMode="auto">
                    <a:xfrm>
                      <a:off x="0" y="0"/>
                      <a:ext cx="6463030" cy="8155305"/>
                    </a:xfrm>
                    <a:prstGeom prst="rect">
                      <a:avLst/>
                    </a:prstGeom>
                  </pic:spPr>
                </pic:pic>
              </a:graphicData>
            </a:graphic>
          </wp:inline>
        </w:drawing>
      </w:r>
    </w:p>
    <w:p>
      <w:pPr>
        <w:pStyle w:val="TF"/>
        <w:rPr/>
      </w:pPr>
      <w:r>
        <w:rPr/>
        <w:t>Figure 1.8: Addition of line identification information to Complete Call/Process Call Waiting message.</w:t>
      </w:r>
    </w:p>
    <w:p>
      <w:pPr>
        <w:pStyle w:val="TH"/>
        <w:rPr/>
      </w:pPr>
      <w:bookmarkStart w:id="23" w:name="_1021708915"/>
      <w:bookmarkStart w:id="24" w:name="_1021189996"/>
      <w:bookmarkStart w:id="25" w:name="_1020745428"/>
      <w:bookmarkStart w:id="26" w:name="_1020741105"/>
      <w:bookmarkStart w:id="27" w:name="_1020495035"/>
      <w:bookmarkStart w:id="28" w:name="_1020494945"/>
      <w:bookmarkStart w:id="29" w:name="_1019559896"/>
      <w:bookmarkStart w:id="30" w:name="_1019557473"/>
      <w:bookmarkStart w:id="31" w:name="_1019550109"/>
      <w:bookmarkStart w:id="32" w:name="_1019550058"/>
      <w:bookmarkStart w:id="33" w:name="_1019549721"/>
      <w:bookmarkStart w:id="34" w:name="_1019549659"/>
      <w:bookmarkStart w:id="35" w:name="_1019545044"/>
      <w:bookmarkEnd w:id="23"/>
      <w:bookmarkEnd w:id="24"/>
      <w:bookmarkEnd w:id="25"/>
      <w:bookmarkEnd w:id="26"/>
      <w:bookmarkEnd w:id="27"/>
      <w:bookmarkEnd w:id="28"/>
      <w:bookmarkEnd w:id="29"/>
      <w:bookmarkEnd w:id="30"/>
      <w:bookmarkEnd w:id="31"/>
      <w:bookmarkEnd w:id="32"/>
      <w:bookmarkEnd w:id="33"/>
      <w:bookmarkEnd w:id="34"/>
      <w:bookmarkEnd w:id="35"/>
      <w:r>
        <w:rPr/>
        <w:object w:dxaOrig="8295" w:dyaOrig="510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11.8pt;height:233.3pt" filled="f" o:ole="">
            <v:imagedata r:id="rId16" o:title=""/>
          </v:shape>
          <o:OLEObject Type="Embed" ProgID="" ShapeID="ole_rId15" DrawAspect="Content" ObjectID="_966256052" r:id="rId15"/>
        </w:object>
      </w:r>
    </w:p>
    <w:p>
      <w:pPr>
        <w:pStyle w:val="TF"/>
        <w:rPr/>
      </w:pPr>
      <w:r>
        <w:rPr/>
      </w:r>
    </w:p>
    <w:p>
      <w:pPr>
        <w:pStyle w:val="TH"/>
        <w:rPr>
          <w:sz w:val="18"/>
        </w:rPr>
      </w:pPr>
      <w:bookmarkStart w:id="36" w:name="_1021708962"/>
      <w:bookmarkStart w:id="37" w:name="_1021276066"/>
      <w:bookmarkStart w:id="38" w:name="_1021190136"/>
      <w:bookmarkStart w:id="39" w:name="_1021189461"/>
      <w:bookmarkStart w:id="40" w:name="_1021188753"/>
      <w:bookmarkStart w:id="41" w:name="_1019561613"/>
      <w:bookmarkStart w:id="42" w:name="_1019560851"/>
      <w:bookmarkStart w:id="43" w:name="_1019560100"/>
      <w:bookmarkStart w:id="44" w:name="_1019558052"/>
      <w:bookmarkStart w:id="45" w:name="_1019557922"/>
      <w:bookmarkStart w:id="46" w:name="_1019555958"/>
      <w:bookmarkStart w:id="47" w:name="_1019551251"/>
      <w:bookmarkStart w:id="48" w:name="_1019550125"/>
      <w:bookmarkStart w:id="49" w:name="_1019549999"/>
      <w:bookmarkEnd w:id="36"/>
      <w:bookmarkEnd w:id="37"/>
      <w:bookmarkEnd w:id="38"/>
      <w:bookmarkEnd w:id="39"/>
      <w:bookmarkEnd w:id="40"/>
      <w:bookmarkEnd w:id="41"/>
      <w:bookmarkEnd w:id="42"/>
      <w:bookmarkEnd w:id="43"/>
      <w:bookmarkEnd w:id="44"/>
      <w:bookmarkEnd w:id="45"/>
      <w:bookmarkEnd w:id="46"/>
      <w:bookmarkEnd w:id="47"/>
      <w:bookmarkEnd w:id="48"/>
      <w:bookmarkEnd w:id="49"/>
      <w:r>
        <w:rPr/>
        <w:object w:dxaOrig="9720" w:dyaOrig="874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48.05pt;height:398.75pt" filled="f" o:ole="">
            <v:imagedata r:id="rId18" o:title=""/>
          </v:shape>
          <o:OLEObject Type="Embed" ProgID="" ShapeID="ole_rId17" DrawAspect="Content" ObjectID="_68200259" r:id="rId17"/>
        </w:object>
      </w:r>
    </w:p>
    <w:p>
      <w:pPr>
        <w:pStyle w:val="TF"/>
        <w:rPr>
          <w:b w:val="false"/>
          <w:b w:val="false"/>
        </w:rPr>
      </w:pPr>
      <w:r>
        <w:rPr/>
        <w:t>Figure 1.9: Information flow for calling line identification presentation:</w:t>
        <w:br/>
        <w:t>mobile station or fixed terminal to mobile station</w:t>
      </w:r>
    </w:p>
    <w:p>
      <w:pPr>
        <w:pStyle w:val="NO"/>
        <w:keepNext w:val="true"/>
        <w:ind w:left="1700" w:hanging="1138"/>
        <w:rPr/>
      </w:pPr>
      <w:r>
        <w:rPr/>
        <w:t>NOTE:</w:t>
        <w:tab/>
        <w:br/>
        <w:t>**:</w:t>
        <w:tab/>
        <w:t>A subaddress may be received from the originating MS or the TE</w:t>
        <w:tab/>
        <w:br/>
        <w:t>info:</w:t>
        <w:tab/>
        <w:t>information</w:t>
        <w:tab/>
        <w:t>SI: screening indicator</w:t>
        <w:tab/>
        <w:t>aSI: additional screening indicator</w:t>
        <w:br/>
        <w:t>req:</w:t>
        <w:tab/>
        <w:t>request</w:t>
        <w:tab/>
        <w:t>PI: presentation indicator</w:t>
        <w:tab/>
        <w:t>C</w:t>
      </w:r>
      <w:r>
        <w:rPr>
          <w:lang w:eastAsia="ja-JP"/>
        </w:rPr>
        <w:t>o</w:t>
      </w:r>
      <w:r>
        <w:rPr/>
        <w:t>N</w:t>
      </w:r>
      <w:r>
        <w:rPr>
          <w:lang w:eastAsia="ja-JP"/>
        </w:rPr>
        <w:t>C</w:t>
      </w:r>
      <w:r>
        <w:rPr/>
        <w:t xml:space="preserve">: cause of no </w:t>
      </w:r>
      <w:r>
        <w:rPr>
          <w:lang w:eastAsia="ja-JP"/>
        </w:rPr>
        <w:t>CLI</w:t>
      </w:r>
      <w:r>
        <w:rPr/>
        <w:br/>
        <w:t>aPI: additional presentation indicator</w:t>
        <w:tab/>
        <w:br/>
        <w:t>ack:</w:t>
        <w:tab/>
        <w:t>acknowledge</w:t>
        <w:tab/>
        <w:t>LI: line identity</w:t>
        <w:tab/>
        <w:t>aLI: additional line identity</w:t>
      </w:r>
    </w:p>
    <w:p>
      <w:pPr>
        <w:pStyle w:val="NO"/>
        <w:keepNext w:val="true"/>
        <w:ind w:left="1700" w:hanging="1138"/>
        <w:rPr/>
      </w:pPr>
      <w:r>
        <w:rPr/>
        <w:t>NOTE:</w:t>
        <w:tab/>
        <w:t>For mapping rules of CLI parameters refer to Annex A.</w:t>
      </w:r>
    </w:p>
    <w:p>
      <w:pPr>
        <w:pStyle w:val="Heading3"/>
        <w:tabs>
          <w:tab w:val="clear" w:pos="284"/>
          <w:tab w:val="left" w:pos="1140" w:leader="none"/>
        </w:tabs>
        <w:ind w:left="1140" w:hanging="1140"/>
        <w:rPr/>
      </w:pPr>
      <w:bookmarkStart w:id="50" w:name="__RefHeading___Toc517461852"/>
      <w:bookmarkEnd w:id="50"/>
      <w:r>
        <w:rPr/>
        <w:t>1.2.1</w:t>
        <w:tab/>
        <w:t>Optional capability to carry calling line identification</w:t>
      </w:r>
    </w:p>
    <w:p>
      <w:pPr>
        <w:pStyle w:val="Normal"/>
        <w:rPr/>
      </w:pPr>
      <w:r>
        <w:rPr/>
        <w:t>When GMSC is performing Send Routing Info query it may pass calling line identification to the HLRb. The calling line identification shall be in international format. If the HLRb receives calling line identification within Send Routing Info it may pass unmodified calling line identification within Provide Roaming Number to the VLRb. HLR shall not pass calling line identification in the HPLMN nor in the case where sending of the CLI information is explicitly denied to the destination network..</w:t>
      </w:r>
    </w:p>
    <w:p>
      <w:pPr>
        <w:pStyle w:val="Normal"/>
        <w:rPr/>
      </w:pPr>
      <w:r>
        <w:rPr/>
        <w:t>If MSCb receives calling line identification only from signalling it shall use that parameter for presentation purposes i.e. normal handling as described in the previous subclause applies.</w:t>
      </w:r>
    </w:p>
    <w:p>
      <w:pPr>
        <w:pStyle w:val="Normal"/>
        <w:rPr>
          <w:lang w:eastAsia="ja-JP"/>
        </w:rPr>
      </w:pPr>
      <w:r>
        <w:rPr>
          <w:lang w:eastAsia="ja-JP"/>
        </w:rPr>
        <w:t>If MSCb receives Cause of no CLI from signalling it shall be sent to the VLRb by Send Info for Incoming Call query.</w:t>
      </w:r>
    </w:p>
    <w:p>
      <w:pPr>
        <w:pStyle w:val="Normal"/>
        <w:rPr/>
      </w:pPr>
      <w:r>
        <w:rPr/>
        <w:t xml:space="preserve">If MSCb receives calling line identification </w:t>
      </w:r>
      <w:r>
        <w:rPr>
          <w:lang w:eastAsia="ja-JP"/>
        </w:rPr>
        <w:t>and/or Cause of no CLI</w:t>
      </w:r>
      <w:r>
        <w:rPr>
          <w:lang w:eastAsia="ja-JP"/>
        </w:rPr>
        <w:t xml:space="preserve"> </w:t>
      </w:r>
      <w:r>
        <w:rPr/>
        <w:t>from VLRb and it supports the feature it shall use that parameter for presentation purposes. In this case calling line identification is stored in the VLRb and when the set-up message is processed the handling described in the previous subclause is done using the stored calling line identification.</w:t>
      </w:r>
    </w:p>
    <w:p>
      <w:pPr>
        <w:pStyle w:val="Heading3"/>
        <w:tabs>
          <w:tab w:val="clear" w:pos="284"/>
          <w:tab w:val="left" w:pos="1140" w:leader="none"/>
        </w:tabs>
        <w:ind w:left="1140" w:hanging="1140"/>
        <w:rPr/>
      </w:pPr>
      <w:bookmarkStart w:id="51" w:name="__RefHeading___Toc517461853"/>
      <w:bookmarkEnd w:id="51"/>
      <w:r>
        <w:rPr/>
        <w:t>1.2.2</w:t>
        <w:tab/>
        <w:t>Information elements used in the messages</w:t>
      </w:r>
    </w:p>
    <w:p>
      <w:pPr>
        <w:pStyle w:val="TH"/>
        <w:rPr/>
      </w:pPr>
      <w:r>
        <w:rPr/>
        <w:t>Table 1.2.2.1: Information elements used in messages</w:t>
      </w:r>
    </w:p>
    <w:tbl>
      <w:tblPr>
        <w:tblW w:w="9746" w:type="dxa"/>
        <w:jc w:val="left"/>
        <w:tblInd w:w="-122" w:type="dxa"/>
        <w:tblLayout w:type="fixed"/>
        <w:tblCellMar>
          <w:top w:w="0" w:type="dxa"/>
          <w:left w:w="107" w:type="dxa"/>
          <w:bottom w:w="0" w:type="dxa"/>
          <w:right w:w="107" w:type="dxa"/>
        </w:tblCellMar>
      </w:tblPr>
      <w:tblGrid>
        <w:gridCol w:w="1525"/>
        <w:gridCol w:w="2268"/>
        <w:gridCol w:w="1276"/>
        <w:gridCol w:w="4677"/>
      </w:tblGrid>
      <w:tr>
        <w:trPr/>
        <w:tc>
          <w:tcPr>
            <w:tcW w:w="1525" w:type="dxa"/>
            <w:tcBorders>
              <w:top w:val="single" w:sz="12" w:space="0" w:color="000000"/>
              <w:left w:val="single" w:sz="12" w:space="0" w:color="000000"/>
              <w:bottom w:val="single" w:sz="6" w:space="0" w:color="000000"/>
              <w:right w:val="single" w:sz="6" w:space="0" w:color="000000"/>
            </w:tcBorders>
          </w:tcPr>
          <w:p>
            <w:pPr>
              <w:pStyle w:val="TAH"/>
              <w:rPr/>
            </w:pPr>
            <w:r>
              <w:rPr/>
              <w:t>Information Element</w:t>
            </w:r>
          </w:p>
        </w:tc>
        <w:tc>
          <w:tcPr>
            <w:tcW w:w="2268" w:type="dxa"/>
            <w:tcBorders>
              <w:top w:val="single" w:sz="12" w:space="0" w:color="000000"/>
              <w:left w:val="single" w:sz="6" w:space="0" w:color="000000"/>
              <w:bottom w:val="single" w:sz="6" w:space="0" w:color="000000"/>
              <w:right w:val="single" w:sz="6" w:space="0" w:color="000000"/>
            </w:tcBorders>
          </w:tcPr>
          <w:p>
            <w:pPr>
              <w:pStyle w:val="TAH"/>
              <w:rPr/>
            </w:pPr>
            <w:r>
              <w:rPr/>
              <w:t>Logical Information element name</w:t>
            </w:r>
          </w:p>
        </w:tc>
        <w:tc>
          <w:tcPr>
            <w:tcW w:w="1276" w:type="dxa"/>
            <w:tcBorders>
              <w:top w:val="single" w:sz="12" w:space="0" w:color="000000"/>
              <w:left w:val="single" w:sz="6" w:space="0" w:color="000000"/>
              <w:bottom w:val="single" w:sz="6" w:space="0" w:color="000000"/>
              <w:right w:val="single" w:sz="6" w:space="0" w:color="000000"/>
            </w:tcBorders>
          </w:tcPr>
          <w:p>
            <w:pPr>
              <w:pStyle w:val="TAH"/>
              <w:rPr/>
            </w:pPr>
            <w:r>
              <w:rPr/>
              <w:t>Information element Required</w:t>
            </w:r>
          </w:p>
        </w:tc>
        <w:tc>
          <w:tcPr>
            <w:tcW w:w="4677" w:type="dxa"/>
            <w:tcBorders>
              <w:top w:val="single" w:sz="12" w:space="0" w:color="000000"/>
              <w:left w:val="single" w:sz="6" w:space="0" w:color="000000"/>
              <w:bottom w:val="single" w:sz="6" w:space="0" w:color="000000"/>
              <w:right w:val="single" w:sz="12" w:space="0" w:color="000000"/>
            </w:tcBorders>
          </w:tcPr>
          <w:p>
            <w:pPr>
              <w:pStyle w:val="TAH"/>
              <w:rPr/>
            </w:pPr>
            <w:r>
              <w:rPr/>
              <w:t>Information element description</w:t>
            </w:r>
          </w:p>
        </w:tc>
      </w:tr>
      <w:tr>
        <w:trPr/>
        <w:tc>
          <w:tcPr>
            <w:tcW w:w="1525" w:type="dxa"/>
            <w:tcBorders>
              <w:top w:val="single" w:sz="6" w:space="0" w:color="000000"/>
              <w:left w:val="single" w:sz="12" w:space="0" w:color="000000"/>
              <w:bottom w:val="single" w:sz="6" w:space="0" w:color="000000"/>
              <w:right w:val="single" w:sz="6" w:space="0" w:color="000000"/>
            </w:tcBorders>
          </w:tcPr>
          <w:p>
            <w:pPr>
              <w:pStyle w:val="TAL"/>
              <w:rPr/>
            </w:pPr>
            <w:r>
              <w:rPr/>
              <w:t>Calling Party Number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SI</w:t>
            </w:r>
          </w:p>
          <w:p>
            <w:pPr>
              <w:pStyle w:val="TAC"/>
              <w:rPr/>
            </w:pPr>
            <w:r>
              <w:rPr/>
              <w:t>PI</w:t>
            </w:r>
          </w:p>
          <w:p>
            <w:pPr>
              <w:pStyle w:val="TAC"/>
              <w:rPr/>
            </w:pPr>
            <w:r>
              <w:rPr/>
              <w:t>LI</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M</w:t>
            </w:r>
          </w:p>
          <w:p>
            <w:pPr>
              <w:pStyle w:val="TAC"/>
              <w:rPr/>
            </w:pPr>
            <w:r>
              <w:rPr/>
              <w:t>M</w:t>
            </w:r>
          </w:p>
          <w:p>
            <w:pPr>
              <w:pStyle w:val="TAC"/>
              <w:rPr/>
            </w:pPr>
            <w:r>
              <w:rPr/>
              <w:t>M</w:t>
            </w:r>
          </w:p>
        </w:tc>
        <w:tc>
          <w:tcPr>
            <w:tcW w:w="4677" w:type="dxa"/>
            <w:tcBorders>
              <w:top w:val="single" w:sz="6" w:space="0" w:color="000000"/>
              <w:left w:val="single" w:sz="6" w:space="0" w:color="000000"/>
              <w:bottom w:val="single" w:sz="6" w:space="0" w:color="000000"/>
              <w:right w:val="single" w:sz="12" w:space="0" w:color="000000"/>
            </w:tcBorders>
          </w:tcPr>
          <w:p>
            <w:pPr>
              <w:pStyle w:val="TAL"/>
              <w:rPr/>
            </w:pPr>
            <w:r>
              <w:rPr/>
              <w:t>Calling Party Number contains screening indicator (SI), presentation indicator (PI) and line identity (LI) as mandatory information.</w:t>
            </w:r>
          </w:p>
        </w:tc>
      </w:tr>
      <w:tr>
        <w:trPr/>
        <w:tc>
          <w:tcPr>
            <w:tcW w:w="1525" w:type="dxa"/>
            <w:tcBorders>
              <w:top w:val="single" w:sz="6" w:space="0" w:color="000000"/>
              <w:left w:val="single" w:sz="12" w:space="0" w:color="000000"/>
              <w:bottom w:val="single" w:sz="6" w:space="0" w:color="000000"/>
              <w:right w:val="single" w:sz="6" w:space="0" w:color="000000"/>
            </w:tcBorders>
          </w:tcPr>
          <w:p>
            <w:pPr>
              <w:pStyle w:val="TAL"/>
              <w:rPr/>
            </w:pPr>
            <w:r>
              <w:rPr/>
              <w:t>Generic Number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aSI</w:t>
            </w:r>
          </w:p>
          <w:p>
            <w:pPr>
              <w:pStyle w:val="TAC"/>
              <w:rPr/>
            </w:pPr>
            <w:r>
              <w:rPr/>
              <w:t>aPI</w:t>
            </w:r>
          </w:p>
          <w:p>
            <w:pPr>
              <w:pStyle w:val="TAC"/>
              <w:rPr>
                <w:lang w:val="fi-FI"/>
              </w:rPr>
            </w:pPr>
            <w:r>
              <w:rPr>
                <w:lang w:val="fi-FI"/>
              </w:rPr>
              <w:t>aLI</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i-FI"/>
              </w:rPr>
            </w:pPr>
            <w:r>
              <w:rPr>
                <w:lang w:val="fi-FI"/>
              </w:rPr>
              <w:t>M</w:t>
            </w:r>
          </w:p>
          <w:p>
            <w:pPr>
              <w:pStyle w:val="TAC"/>
              <w:rPr>
                <w:lang w:val="fi-FI"/>
              </w:rPr>
            </w:pPr>
            <w:r>
              <w:rPr>
                <w:lang w:val="fi-FI"/>
              </w:rPr>
              <w:t>M</w:t>
            </w:r>
          </w:p>
          <w:p>
            <w:pPr>
              <w:pStyle w:val="TAC"/>
              <w:rPr>
                <w:lang w:val="fi-FI"/>
              </w:rPr>
            </w:pPr>
            <w:r>
              <w:rPr>
                <w:lang w:val="fi-FI"/>
              </w:rPr>
              <w:t>M</w:t>
            </w:r>
          </w:p>
        </w:tc>
        <w:tc>
          <w:tcPr>
            <w:tcW w:w="4677" w:type="dxa"/>
            <w:tcBorders>
              <w:top w:val="single" w:sz="6" w:space="0" w:color="000000"/>
              <w:left w:val="single" w:sz="6" w:space="0" w:color="000000"/>
              <w:bottom w:val="single" w:sz="6" w:space="0" w:color="000000"/>
              <w:right w:val="single" w:sz="12" w:space="0" w:color="000000"/>
            </w:tcBorders>
          </w:tcPr>
          <w:p>
            <w:pPr>
              <w:pStyle w:val="TAL"/>
              <w:rPr/>
            </w:pPr>
            <w:r>
              <w:rPr/>
              <w:t>Generic Number contains additional screening indicator (aSI), additional presentation indicator (aPI) and additional line identity (aLI) as mandatory information.</w:t>
            </w:r>
          </w:p>
        </w:tc>
      </w:tr>
      <w:tr>
        <w:trPr/>
        <w:tc>
          <w:tcPr>
            <w:tcW w:w="1525" w:type="dxa"/>
            <w:tcBorders>
              <w:top w:val="single" w:sz="6" w:space="0" w:color="000000"/>
              <w:left w:val="single" w:sz="12" w:space="0" w:color="000000"/>
              <w:bottom w:val="single" w:sz="12" w:space="0" w:color="000000"/>
              <w:right w:val="single" w:sz="6" w:space="0" w:color="000000"/>
            </w:tcBorders>
          </w:tcPr>
          <w:p>
            <w:pPr>
              <w:pStyle w:val="TAL"/>
              <w:rPr>
                <w:lang w:eastAsia="ja-JP"/>
              </w:rPr>
            </w:pPr>
            <w:r>
              <w:rPr>
                <w:lang w:eastAsia="ja-JP"/>
              </w:rPr>
              <w:t>Cause of no CLI</w:t>
            </w:r>
          </w:p>
        </w:tc>
        <w:tc>
          <w:tcPr>
            <w:tcW w:w="2268" w:type="dxa"/>
            <w:tcBorders>
              <w:top w:val="single" w:sz="6" w:space="0" w:color="000000"/>
              <w:left w:val="single" w:sz="6" w:space="0" w:color="000000"/>
              <w:bottom w:val="single" w:sz="12" w:space="0" w:color="000000"/>
              <w:right w:val="single" w:sz="6" w:space="0" w:color="000000"/>
            </w:tcBorders>
          </w:tcPr>
          <w:p>
            <w:pPr>
              <w:pStyle w:val="TAC"/>
              <w:rPr>
                <w:lang w:eastAsia="ja-JP"/>
              </w:rPr>
            </w:pPr>
            <w:r>
              <w:rPr>
                <w:lang w:eastAsia="ja-JP"/>
              </w:rPr>
              <w:t>unavailable</w:t>
            </w:r>
          </w:p>
          <w:p>
            <w:pPr>
              <w:pStyle w:val="TAC"/>
              <w:rPr>
                <w:lang w:eastAsia="ja-JP"/>
              </w:rPr>
            </w:pPr>
            <w:r>
              <w:rPr>
                <w:lang w:eastAsia="ja-JP"/>
              </w:rPr>
              <w:t>reject by user</w:t>
            </w:r>
          </w:p>
          <w:p>
            <w:pPr>
              <w:pStyle w:val="TAC"/>
              <w:rPr/>
            </w:pPr>
            <w:r>
              <w:rPr>
                <w:lang w:eastAsia="ja-JP"/>
              </w:rPr>
              <w:t>interaction with other service</w:t>
            </w:r>
          </w:p>
          <w:p>
            <w:pPr>
              <w:pStyle w:val="TAC"/>
              <w:rPr>
                <w:lang w:eastAsia="ja-JP"/>
              </w:rPr>
            </w:pPr>
            <w:r>
              <w:rPr>
                <w:lang w:eastAsia="ja-JP"/>
              </w:rPr>
              <w:t>coin line/payphone</w:t>
            </w:r>
          </w:p>
        </w:tc>
        <w:tc>
          <w:tcPr>
            <w:tcW w:w="1276" w:type="dxa"/>
            <w:tcBorders>
              <w:top w:val="single" w:sz="6" w:space="0" w:color="000000"/>
              <w:left w:val="single" w:sz="6" w:space="0" w:color="000000"/>
              <w:bottom w:val="single" w:sz="12" w:space="0" w:color="000000"/>
              <w:right w:val="single" w:sz="6" w:space="0" w:color="000000"/>
            </w:tcBorders>
          </w:tcPr>
          <w:p>
            <w:pPr>
              <w:pStyle w:val="TAC"/>
              <w:rPr>
                <w:lang w:eastAsia="ja-JP"/>
              </w:rPr>
            </w:pPr>
            <w:r>
              <w:rPr>
                <w:lang w:eastAsia="ja-JP"/>
              </w:rPr>
              <w:t>M</w:t>
            </w:r>
          </w:p>
          <w:p>
            <w:pPr>
              <w:pStyle w:val="TAC"/>
              <w:rPr>
                <w:lang w:eastAsia="ja-JP"/>
              </w:rPr>
            </w:pPr>
            <w:r>
              <w:rPr>
                <w:lang w:eastAsia="ja-JP"/>
              </w:rPr>
              <w:t>M</w:t>
            </w:r>
          </w:p>
          <w:p>
            <w:pPr>
              <w:pStyle w:val="TAC"/>
              <w:rPr>
                <w:lang w:eastAsia="ja-JP"/>
              </w:rPr>
            </w:pPr>
            <w:r>
              <w:rPr>
                <w:lang w:eastAsia="ja-JP"/>
              </w:rPr>
              <w:t>M</w:t>
            </w:r>
          </w:p>
          <w:p>
            <w:pPr>
              <w:pStyle w:val="TAC"/>
              <w:rPr>
                <w:lang w:eastAsia="ja-JP"/>
              </w:rPr>
            </w:pPr>
            <w:r>
              <w:rPr>
                <w:lang w:eastAsia="ja-JP"/>
              </w:rPr>
              <w:t>M</w:t>
            </w:r>
          </w:p>
        </w:tc>
        <w:tc>
          <w:tcPr>
            <w:tcW w:w="4677" w:type="dxa"/>
            <w:tcBorders>
              <w:top w:val="single" w:sz="6" w:space="0" w:color="000000"/>
              <w:left w:val="single" w:sz="6" w:space="0" w:color="000000"/>
              <w:bottom w:val="single" w:sz="12" w:space="0" w:color="000000"/>
              <w:right w:val="single" w:sz="12" w:space="0" w:color="000000"/>
            </w:tcBorders>
          </w:tcPr>
          <w:p>
            <w:pPr>
              <w:pStyle w:val="TAL"/>
              <w:rPr>
                <w:lang w:eastAsia="ja-JP"/>
              </w:rPr>
            </w:pPr>
            <w:r>
              <w:rPr>
                <w:lang w:eastAsia="ja-JP"/>
              </w:rPr>
              <w:t>Cause of no CLI contains detailed Cause of no CLI (unavailable, reject by user, interaction with other service, coin line/payphone) as mandatory information.</w:t>
            </w:r>
          </w:p>
        </w:tc>
      </w:tr>
    </w:tbl>
    <w:p>
      <w:pPr>
        <w:pStyle w:val="Normal"/>
        <w:rPr/>
      </w:pPr>
      <w:r>
        <w:rPr/>
      </w:r>
    </w:p>
    <w:p>
      <w:pPr>
        <w:pStyle w:val="Heading3"/>
        <w:tabs>
          <w:tab w:val="clear" w:pos="284"/>
          <w:tab w:val="left" w:pos="1140" w:leader="none"/>
        </w:tabs>
        <w:ind w:left="1140" w:hanging="1140"/>
        <w:rPr/>
      </w:pPr>
      <w:bookmarkStart w:id="52" w:name="__RefHeading___Toc517461854"/>
      <w:bookmarkEnd w:id="52"/>
      <w:r>
        <w:rPr/>
        <w:t>1.2.3</w:t>
        <w:tab/>
        <w:t>Parameters in Send Routeing Info and Provide Roaming Number for CLI</w:t>
      </w:r>
    </w:p>
    <w:p>
      <w:pPr>
        <w:pStyle w:val="TH"/>
        <w:rPr/>
      </w:pPr>
      <w:r>
        <w:rPr/>
        <w:t>Table 1.2.3.1: Messages between GMSC and HLR</w:t>
      </w:r>
    </w:p>
    <w:tbl>
      <w:tblPr>
        <w:tblW w:w="9669" w:type="dxa"/>
        <w:jc w:val="left"/>
        <w:tblInd w:w="-122" w:type="dxa"/>
        <w:tblLayout w:type="fixed"/>
        <w:tblCellMar>
          <w:top w:w="0" w:type="dxa"/>
          <w:left w:w="107" w:type="dxa"/>
          <w:bottom w:w="0" w:type="dxa"/>
          <w:right w:w="107" w:type="dxa"/>
        </w:tblCellMar>
      </w:tblPr>
      <w:tblGrid>
        <w:gridCol w:w="1701"/>
        <w:gridCol w:w="1100"/>
        <w:gridCol w:w="1655"/>
        <w:gridCol w:w="1290"/>
        <w:gridCol w:w="3923"/>
      </w:tblGrid>
      <w:tr>
        <w:trPr/>
        <w:tc>
          <w:tcPr>
            <w:tcW w:w="1701" w:type="dxa"/>
            <w:tcBorders>
              <w:top w:val="single" w:sz="12" w:space="0" w:color="000000"/>
              <w:left w:val="single" w:sz="12" w:space="0" w:color="000000"/>
              <w:bottom w:val="single" w:sz="6" w:space="0" w:color="000000"/>
              <w:right w:val="single" w:sz="6" w:space="0" w:color="000000"/>
            </w:tcBorders>
          </w:tcPr>
          <w:p>
            <w:pPr>
              <w:pStyle w:val="TAH"/>
              <w:rPr/>
            </w:pPr>
            <w:r>
              <w:rPr/>
              <w:t>Message</w:t>
            </w:r>
          </w:p>
        </w:tc>
        <w:tc>
          <w:tcPr>
            <w:tcW w:w="1100" w:type="dxa"/>
            <w:tcBorders>
              <w:top w:val="single" w:sz="12" w:space="0" w:color="000000"/>
              <w:left w:val="single" w:sz="6" w:space="0" w:color="000000"/>
              <w:bottom w:val="single" w:sz="6" w:space="0" w:color="000000"/>
              <w:right w:val="single" w:sz="6" w:space="0" w:color="000000"/>
            </w:tcBorders>
          </w:tcPr>
          <w:p>
            <w:pPr>
              <w:pStyle w:val="TAH"/>
              <w:rPr/>
            </w:pPr>
            <w:r>
              <w:rPr/>
              <w:t>Message sender</w:t>
            </w:r>
          </w:p>
        </w:tc>
        <w:tc>
          <w:tcPr>
            <w:tcW w:w="1655" w:type="dxa"/>
            <w:tcBorders>
              <w:top w:val="single" w:sz="12" w:space="0" w:color="000000"/>
              <w:left w:val="single" w:sz="6" w:space="0" w:color="000000"/>
              <w:bottom w:val="single" w:sz="6" w:space="0" w:color="000000"/>
              <w:right w:val="single" w:sz="6" w:space="0" w:color="000000"/>
            </w:tcBorders>
          </w:tcPr>
          <w:p>
            <w:pPr>
              <w:pStyle w:val="TAH"/>
              <w:rPr/>
            </w:pPr>
            <w:r>
              <w:rPr/>
              <w:t>Information element name</w:t>
            </w:r>
          </w:p>
        </w:tc>
        <w:tc>
          <w:tcPr>
            <w:tcW w:w="1290" w:type="dxa"/>
            <w:tcBorders>
              <w:top w:val="single" w:sz="12" w:space="0" w:color="000000"/>
              <w:left w:val="single" w:sz="6" w:space="0" w:color="000000"/>
              <w:bottom w:val="single" w:sz="6" w:space="0" w:color="000000"/>
              <w:right w:val="single" w:sz="6" w:space="0" w:color="000000"/>
            </w:tcBorders>
          </w:tcPr>
          <w:p>
            <w:pPr>
              <w:pStyle w:val="TAH"/>
              <w:rPr/>
            </w:pPr>
            <w:r>
              <w:rPr/>
              <w:t>Information element Required</w:t>
            </w:r>
          </w:p>
        </w:tc>
        <w:tc>
          <w:tcPr>
            <w:tcW w:w="3923" w:type="dxa"/>
            <w:tcBorders>
              <w:top w:val="single" w:sz="12" w:space="0" w:color="000000"/>
              <w:left w:val="single" w:sz="6" w:space="0" w:color="000000"/>
              <w:bottom w:val="single" w:sz="6" w:space="0" w:color="000000"/>
              <w:right w:val="single" w:sz="12" w:space="0" w:color="000000"/>
            </w:tcBorders>
          </w:tcPr>
          <w:p>
            <w:pPr>
              <w:pStyle w:val="TAH"/>
              <w:rPr/>
            </w:pPr>
            <w:r>
              <w:rPr/>
              <w:t>Information element description</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TAC"/>
              <w:rPr/>
            </w:pPr>
            <w:r>
              <w:rPr/>
              <w:t>Send Routeing Info</w:t>
            </w:r>
          </w:p>
        </w:tc>
        <w:tc>
          <w:tcPr>
            <w:tcW w:w="1100" w:type="dxa"/>
            <w:tcBorders>
              <w:top w:val="single" w:sz="6" w:space="0" w:color="000000"/>
              <w:left w:val="single" w:sz="6" w:space="0" w:color="000000"/>
              <w:bottom w:val="single" w:sz="12" w:space="0" w:color="000000"/>
              <w:right w:val="single" w:sz="6" w:space="0" w:color="000000"/>
            </w:tcBorders>
          </w:tcPr>
          <w:p>
            <w:pPr>
              <w:pStyle w:val="TAC"/>
              <w:rPr/>
            </w:pPr>
            <w:r>
              <w:rPr/>
              <w:t>GMSC</w:t>
            </w:r>
          </w:p>
        </w:tc>
        <w:tc>
          <w:tcPr>
            <w:tcW w:w="1655" w:type="dxa"/>
            <w:tcBorders>
              <w:top w:val="single" w:sz="6" w:space="0" w:color="000000"/>
              <w:left w:val="single" w:sz="6" w:space="0" w:color="000000"/>
              <w:bottom w:val="single" w:sz="12" w:space="0" w:color="000000"/>
              <w:right w:val="single" w:sz="6" w:space="0" w:color="000000"/>
            </w:tcBorders>
          </w:tcPr>
          <w:p>
            <w:pPr>
              <w:pStyle w:val="TAC"/>
              <w:rPr/>
            </w:pPr>
            <w:r>
              <w:rPr/>
              <w:t>-</w:t>
            </w:r>
          </w:p>
          <w:p>
            <w:pPr>
              <w:pStyle w:val="TAC"/>
              <w:rPr/>
            </w:pPr>
            <w:r>
              <w:rPr/>
            </w:r>
          </w:p>
          <w:p>
            <w:pPr>
              <w:pStyle w:val="TAC"/>
              <w:rPr/>
            </w:pPr>
            <w:r>
              <w:rPr/>
            </w:r>
          </w:p>
          <w:p>
            <w:pPr>
              <w:pStyle w:val="TAC"/>
              <w:rPr/>
            </w:pPr>
            <w:r>
              <w:rPr/>
              <w:t>Calling Party Number</w:t>
            </w:r>
          </w:p>
          <w:p>
            <w:pPr>
              <w:pStyle w:val="TAC"/>
              <w:rPr/>
            </w:pPr>
            <w:r>
              <w:rPr/>
            </w:r>
          </w:p>
          <w:p>
            <w:pPr>
              <w:pStyle w:val="TAC"/>
              <w:rPr/>
            </w:pPr>
            <w:r>
              <w:rPr/>
            </w:r>
          </w:p>
          <w:p>
            <w:pPr>
              <w:pStyle w:val="TAC"/>
              <w:rPr/>
            </w:pPr>
            <w:r>
              <w:rPr/>
              <w:t>Generic Number</w:t>
            </w:r>
          </w:p>
        </w:tc>
        <w:tc>
          <w:tcPr>
            <w:tcW w:w="1290" w:type="dxa"/>
            <w:tcBorders>
              <w:top w:val="single" w:sz="6" w:space="0" w:color="000000"/>
              <w:left w:val="single" w:sz="6" w:space="0" w:color="000000"/>
              <w:bottom w:val="single" w:sz="12" w:space="0" w:color="000000"/>
              <w:right w:val="single" w:sz="6" w:space="0" w:color="000000"/>
            </w:tcBorders>
          </w:tcPr>
          <w:p>
            <w:pPr>
              <w:pStyle w:val="TAC"/>
              <w:rPr/>
            </w:pPr>
            <w:r>
              <w:rPr/>
              <w:t>-</w:t>
            </w:r>
          </w:p>
          <w:p>
            <w:pPr>
              <w:pStyle w:val="TAC"/>
              <w:rPr/>
            </w:pPr>
            <w:r>
              <w:rPr/>
            </w:r>
          </w:p>
          <w:p>
            <w:pPr>
              <w:pStyle w:val="TAC"/>
              <w:rPr/>
            </w:pPr>
            <w:r>
              <w:rPr/>
            </w:r>
          </w:p>
          <w:p>
            <w:pPr>
              <w:pStyle w:val="TAC"/>
              <w:rPr/>
            </w:pPr>
            <w:r>
              <w:rPr/>
              <w:t>C</w:t>
            </w:r>
          </w:p>
          <w:p>
            <w:pPr>
              <w:pStyle w:val="TAC"/>
              <w:rPr/>
            </w:pPr>
            <w:r>
              <w:rPr/>
            </w:r>
          </w:p>
          <w:p>
            <w:pPr>
              <w:pStyle w:val="TAC"/>
              <w:rPr/>
            </w:pPr>
            <w:r>
              <w:rPr/>
            </w:r>
          </w:p>
          <w:p>
            <w:pPr>
              <w:pStyle w:val="TAC"/>
              <w:rPr/>
            </w:pPr>
            <w:r>
              <w:rPr/>
            </w:r>
          </w:p>
          <w:p>
            <w:pPr>
              <w:pStyle w:val="TAC"/>
              <w:rPr/>
            </w:pPr>
            <w:r>
              <w:rPr/>
              <w:t>C</w:t>
            </w:r>
          </w:p>
        </w:tc>
        <w:tc>
          <w:tcPr>
            <w:tcW w:w="3923" w:type="dxa"/>
            <w:tcBorders>
              <w:top w:val="single" w:sz="6" w:space="0" w:color="000000"/>
              <w:left w:val="single" w:sz="6" w:space="0" w:color="000000"/>
              <w:bottom w:val="single" w:sz="12" w:space="0" w:color="000000"/>
              <w:right w:val="single" w:sz="12" w:space="0" w:color="000000"/>
            </w:tcBorders>
          </w:tcPr>
          <w:p>
            <w:pPr>
              <w:pStyle w:val="TAL"/>
              <w:rPr/>
            </w:pPr>
            <w:r>
              <w:rPr/>
              <w:t xml:space="preserve">Refer to </w:t>
            </w:r>
            <w:r>
              <w:rPr>
                <w:lang w:eastAsia="ja-JP"/>
              </w:rPr>
              <w:t>3GPP TS</w:t>
            </w:r>
            <w:r>
              <w:rPr/>
              <w:t xml:space="preserve"> 23.018.</w:t>
            </w:r>
          </w:p>
          <w:p>
            <w:pPr>
              <w:pStyle w:val="TAL"/>
              <w:rPr/>
            </w:pPr>
            <w:r>
              <w:rPr/>
            </w:r>
          </w:p>
          <w:p>
            <w:pPr>
              <w:pStyle w:val="TAL"/>
              <w:rPr/>
            </w:pPr>
            <w:r>
              <w:rPr/>
              <w:t xml:space="preserve">In addition: </w:t>
            </w:r>
          </w:p>
          <w:p>
            <w:pPr>
              <w:pStyle w:val="TAL"/>
              <w:rPr/>
            </w:pPr>
            <w:r>
              <w:rPr/>
              <w:t>The information element is present if GMSC received calling party number from originating network; otherwise it shall be absent.</w:t>
            </w:r>
          </w:p>
          <w:p>
            <w:pPr>
              <w:pStyle w:val="TAL"/>
              <w:rPr/>
            </w:pPr>
            <w:r>
              <w:rPr/>
            </w:r>
          </w:p>
          <w:p>
            <w:pPr>
              <w:pStyle w:val="TAL"/>
              <w:rPr/>
            </w:pPr>
            <w:r>
              <w:rPr/>
              <w:t>The information element is present if GMSC received additional calling party number from originating network or from gsmSCF because of a CAMEL service; otherwise it shall be absent.</w:t>
            </w:r>
          </w:p>
        </w:tc>
      </w:tr>
    </w:tbl>
    <w:p>
      <w:pPr>
        <w:pStyle w:val="Normal"/>
        <w:rPr/>
      </w:pPr>
      <w:r>
        <w:rPr/>
      </w:r>
    </w:p>
    <w:p>
      <w:pPr>
        <w:pStyle w:val="TH"/>
        <w:rPr/>
      </w:pPr>
      <w:r>
        <w:rPr/>
        <w:t>Table 1.2.3.2: Messages between HLR and VLR</w:t>
      </w:r>
    </w:p>
    <w:tbl>
      <w:tblPr>
        <w:tblW w:w="9670" w:type="dxa"/>
        <w:jc w:val="left"/>
        <w:tblInd w:w="-122" w:type="dxa"/>
        <w:tblLayout w:type="fixed"/>
        <w:tblCellMar>
          <w:top w:w="0" w:type="dxa"/>
          <w:left w:w="107" w:type="dxa"/>
          <w:bottom w:w="0" w:type="dxa"/>
          <w:right w:w="107" w:type="dxa"/>
        </w:tblCellMar>
      </w:tblPr>
      <w:tblGrid>
        <w:gridCol w:w="1701"/>
        <w:gridCol w:w="1100"/>
        <w:gridCol w:w="1655"/>
        <w:gridCol w:w="1321"/>
        <w:gridCol w:w="3893"/>
      </w:tblGrid>
      <w:tr>
        <w:trPr/>
        <w:tc>
          <w:tcPr>
            <w:tcW w:w="1701" w:type="dxa"/>
            <w:tcBorders>
              <w:top w:val="single" w:sz="12" w:space="0" w:color="000000"/>
              <w:left w:val="single" w:sz="12" w:space="0" w:color="000000"/>
              <w:bottom w:val="single" w:sz="6" w:space="0" w:color="000000"/>
              <w:right w:val="single" w:sz="6" w:space="0" w:color="000000"/>
            </w:tcBorders>
          </w:tcPr>
          <w:p>
            <w:pPr>
              <w:pStyle w:val="TAH"/>
              <w:rPr/>
            </w:pPr>
            <w:r>
              <w:rPr/>
              <w:t>Message</w:t>
            </w:r>
          </w:p>
        </w:tc>
        <w:tc>
          <w:tcPr>
            <w:tcW w:w="1100" w:type="dxa"/>
            <w:tcBorders>
              <w:top w:val="single" w:sz="12" w:space="0" w:color="000000"/>
              <w:left w:val="single" w:sz="6" w:space="0" w:color="000000"/>
              <w:bottom w:val="single" w:sz="6" w:space="0" w:color="000000"/>
              <w:right w:val="single" w:sz="6" w:space="0" w:color="000000"/>
            </w:tcBorders>
          </w:tcPr>
          <w:p>
            <w:pPr>
              <w:pStyle w:val="TAH"/>
              <w:rPr/>
            </w:pPr>
            <w:r>
              <w:rPr/>
              <w:t>Message sender</w:t>
            </w:r>
          </w:p>
        </w:tc>
        <w:tc>
          <w:tcPr>
            <w:tcW w:w="1655" w:type="dxa"/>
            <w:tcBorders>
              <w:top w:val="single" w:sz="12" w:space="0" w:color="000000"/>
              <w:left w:val="single" w:sz="6" w:space="0" w:color="000000"/>
              <w:bottom w:val="single" w:sz="6" w:space="0" w:color="000000"/>
              <w:right w:val="single" w:sz="6" w:space="0" w:color="000000"/>
            </w:tcBorders>
          </w:tcPr>
          <w:p>
            <w:pPr>
              <w:pStyle w:val="TAH"/>
              <w:rPr/>
            </w:pPr>
            <w:r>
              <w:rPr/>
              <w:t>Information element name</w:t>
            </w:r>
          </w:p>
        </w:tc>
        <w:tc>
          <w:tcPr>
            <w:tcW w:w="1321" w:type="dxa"/>
            <w:tcBorders>
              <w:top w:val="single" w:sz="12" w:space="0" w:color="000000"/>
              <w:left w:val="single" w:sz="6" w:space="0" w:color="000000"/>
              <w:bottom w:val="single" w:sz="6" w:space="0" w:color="000000"/>
              <w:right w:val="single" w:sz="6" w:space="0" w:color="000000"/>
            </w:tcBorders>
          </w:tcPr>
          <w:p>
            <w:pPr>
              <w:pStyle w:val="TAH"/>
              <w:rPr/>
            </w:pPr>
            <w:r>
              <w:rPr/>
              <w:t>Information element Required</w:t>
            </w:r>
          </w:p>
        </w:tc>
        <w:tc>
          <w:tcPr>
            <w:tcW w:w="3893" w:type="dxa"/>
            <w:tcBorders>
              <w:top w:val="single" w:sz="12" w:space="0" w:color="000000"/>
              <w:left w:val="single" w:sz="6" w:space="0" w:color="000000"/>
              <w:bottom w:val="single" w:sz="6" w:space="0" w:color="000000"/>
              <w:right w:val="single" w:sz="12" w:space="0" w:color="000000"/>
            </w:tcBorders>
          </w:tcPr>
          <w:p>
            <w:pPr>
              <w:pStyle w:val="TAH"/>
              <w:rPr/>
            </w:pPr>
            <w:r>
              <w:rPr/>
              <w:t>Information element description</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TAC"/>
              <w:rPr/>
            </w:pPr>
            <w:r>
              <w:rPr/>
              <w:t>Provide Roaming Number</w:t>
            </w:r>
          </w:p>
        </w:tc>
        <w:tc>
          <w:tcPr>
            <w:tcW w:w="1100" w:type="dxa"/>
            <w:tcBorders>
              <w:top w:val="single" w:sz="6" w:space="0" w:color="000000"/>
              <w:left w:val="single" w:sz="6" w:space="0" w:color="000000"/>
              <w:bottom w:val="single" w:sz="12" w:space="0" w:color="000000"/>
              <w:right w:val="single" w:sz="6" w:space="0" w:color="000000"/>
            </w:tcBorders>
          </w:tcPr>
          <w:p>
            <w:pPr>
              <w:pStyle w:val="TAC"/>
              <w:rPr/>
            </w:pPr>
            <w:r>
              <w:rPr/>
              <w:t>HLR</w:t>
            </w:r>
          </w:p>
        </w:tc>
        <w:tc>
          <w:tcPr>
            <w:tcW w:w="1655" w:type="dxa"/>
            <w:tcBorders>
              <w:top w:val="single" w:sz="6" w:space="0" w:color="000000"/>
              <w:left w:val="single" w:sz="6" w:space="0" w:color="000000"/>
              <w:bottom w:val="single" w:sz="12" w:space="0" w:color="000000"/>
              <w:right w:val="single" w:sz="6" w:space="0" w:color="000000"/>
            </w:tcBorders>
          </w:tcPr>
          <w:p>
            <w:pPr>
              <w:pStyle w:val="TAC"/>
              <w:rPr/>
            </w:pPr>
            <w:r>
              <w:rPr/>
              <w:t>-</w:t>
            </w:r>
          </w:p>
          <w:p>
            <w:pPr>
              <w:pStyle w:val="TAC"/>
              <w:rPr/>
            </w:pPr>
            <w:r>
              <w:rPr/>
            </w:r>
          </w:p>
          <w:p>
            <w:pPr>
              <w:pStyle w:val="TAC"/>
              <w:rPr/>
            </w:pPr>
            <w:r>
              <w:rPr/>
            </w:r>
          </w:p>
          <w:p>
            <w:pPr>
              <w:pStyle w:val="TAC"/>
              <w:rPr/>
            </w:pPr>
            <w:r>
              <w:rPr/>
              <w:t>Calling Party Number</w:t>
            </w:r>
          </w:p>
          <w:p>
            <w:pPr>
              <w:pStyle w:val="TAC"/>
              <w:rPr/>
            </w:pPr>
            <w:r>
              <w:rPr/>
            </w:r>
          </w:p>
          <w:p>
            <w:pPr>
              <w:pStyle w:val="TAC"/>
              <w:rPr/>
            </w:pPr>
            <w:r>
              <w:rPr/>
            </w:r>
          </w:p>
          <w:p>
            <w:pPr>
              <w:pStyle w:val="TAC"/>
              <w:rPr/>
            </w:pPr>
            <w:r>
              <w:rPr/>
            </w:r>
          </w:p>
          <w:p>
            <w:pPr>
              <w:pStyle w:val="TAC"/>
              <w:rPr/>
            </w:pPr>
            <w:r>
              <w:rPr/>
              <w:t>Generic Number</w:t>
            </w:r>
          </w:p>
        </w:tc>
        <w:tc>
          <w:tcPr>
            <w:tcW w:w="1321" w:type="dxa"/>
            <w:tcBorders>
              <w:top w:val="single" w:sz="6" w:space="0" w:color="000000"/>
              <w:left w:val="single" w:sz="6" w:space="0" w:color="000000"/>
              <w:bottom w:val="single" w:sz="12" w:space="0" w:color="000000"/>
              <w:right w:val="single" w:sz="6" w:space="0" w:color="000000"/>
            </w:tcBorders>
          </w:tcPr>
          <w:p>
            <w:pPr>
              <w:pStyle w:val="TAC"/>
              <w:rPr/>
            </w:pPr>
            <w:r>
              <w:rPr/>
              <w:t>-</w:t>
            </w:r>
          </w:p>
          <w:p>
            <w:pPr>
              <w:pStyle w:val="TAC"/>
              <w:rPr/>
            </w:pPr>
            <w:r>
              <w:rPr/>
            </w:r>
          </w:p>
          <w:p>
            <w:pPr>
              <w:pStyle w:val="TAC"/>
              <w:rPr/>
            </w:pPr>
            <w:r>
              <w:rPr/>
            </w:r>
          </w:p>
          <w:p>
            <w:pPr>
              <w:pStyle w:val="TAC"/>
              <w:rPr/>
            </w:pPr>
            <w:r>
              <w:rPr/>
              <w:t>C</w:t>
            </w:r>
          </w:p>
          <w:p>
            <w:pPr>
              <w:pStyle w:val="TAC"/>
              <w:rPr/>
            </w:pPr>
            <w:r>
              <w:rPr/>
            </w:r>
          </w:p>
          <w:p>
            <w:pPr>
              <w:pStyle w:val="TAC"/>
              <w:rPr/>
            </w:pPr>
            <w:r>
              <w:rPr/>
            </w:r>
          </w:p>
          <w:p>
            <w:pPr>
              <w:pStyle w:val="TAC"/>
              <w:rPr/>
            </w:pPr>
            <w:r>
              <w:rPr/>
            </w:r>
          </w:p>
          <w:p>
            <w:pPr>
              <w:pStyle w:val="TAC"/>
              <w:rPr/>
            </w:pPr>
            <w:r>
              <w:rPr/>
            </w:r>
          </w:p>
          <w:p>
            <w:pPr>
              <w:pStyle w:val="TAC"/>
              <w:rPr/>
            </w:pPr>
            <w:r>
              <w:rPr/>
              <w:t>C</w:t>
            </w:r>
          </w:p>
        </w:tc>
        <w:tc>
          <w:tcPr>
            <w:tcW w:w="3893" w:type="dxa"/>
            <w:tcBorders>
              <w:top w:val="single" w:sz="6" w:space="0" w:color="000000"/>
              <w:left w:val="single" w:sz="6" w:space="0" w:color="000000"/>
              <w:bottom w:val="single" w:sz="12" w:space="0" w:color="000000"/>
              <w:right w:val="single" w:sz="12" w:space="0" w:color="000000"/>
            </w:tcBorders>
          </w:tcPr>
          <w:p>
            <w:pPr>
              <w:pStyle w:val="TAL"/>
              <w:rPr/>
            </w:pPr>
            <w:r>
              <w:rPr/>
              <w:t xml:space="preserve">Refer to </w:t>
            </w:r>
            <w:r>
              <w:rPr>
                <w:lang w:eastAsia="ja-JP"/>
              </w:rPr>
              <w:t>3GPP TS</w:t>
            </w:r>
            <w:r>
              <w:rPr/>
              <w:t xml:space="preserve"> 23.018.</w:t>
            </w:r>
          </w:p>
          <w:p>
            <w:pPr>
              <w:pStyle w:val="TAL"/>
              <w:rPr/>
            </w:pPr>
            <w:r>
              <w:rPr/>
            </w:r>
          </w:p>
          <w:p>
            <w:pPr>
              <w:pStyle w:val="TAL"/>
              <w:rPr/>
            </w:pPr>
            <w:r>
              <w:rPr/>
              <w:t xml:space="preserve">In addition: </w:t>
            </w:r>
          </w:p>
          <w:p>
            <w:pPr>
              <w:pStyle w:val="TAL"/>
              <w:rPr/>
            </w:pPr>
            <w:r>
              <w:rPr/>
              <w:t>The information element is present if HLR received calling party number from GMSC and MS B is outside of home country; otherwise it shall be absent.</w:t>
            </w:r>
          </w:p>
          <w:p>
            <w:pPr>
              <w:pStyle w:val="TAL"/>
              <w:rPr/>
            </w:pPr>
            <w:r>
              <w:rPr/>
            </w:r>
          </w:p>
          <w:p>
            <w:pPr>
              <w:pStyle w:val="TAL"/>
              <w:rPr/>
            </w:pPr>
            <w:r>
              <w:rPr/>
              <w:t>The information element is present if HLR received additional calling party number from GMSC and MS B is outside of home country; otherwise it shall be absent.</w:t>
            </w:r>
          </w:p>
        </w:tc>
      </w:tr>
    </w:tbl>
    <w:p>
      <w:pPr>
        <w:pStyle w:val="Normal"/>
        <w:rPr/>
      </w:pPr>
      <w:r>
        <w:rPr/>
      </w:r>
    </w:p>
    <w:p>
      <w:pPr>
        <w:pStyle w:val="Heading3"/>
        <w:rPr/>
      </w:pPr>
      <w:bookmarkStart w:id="53" w:name="__RefHeading___Toc517461855"/>
      <w:bookmarkEnd w:id="53"/>
      <w:r>
        <w:rPr/>
        <w:t>1.2.4</w:t>
        <w:tab/>
        <w:t>Messages between MSC and VLR in destination network</w:t>
      </w:r>
    </w:p>
    <w:p>
      <w:pPr>
        <w:pStyle w:val="TH"/>
        <w:rPr/>
      </w:pPr>
      <w:r>
        <w:rPr/>
        <w:t>Table 1.2.4.1: Messages between MSC and VLR</w:t>
      </w:r>
    </w:p>
    <w:tbl>
      <w:tblPr>
        <w:tblW w:w="9670" w:type="dxa"/>
        <w:jc w:val="left"/>
        <w:tblInd w:w="-122" w:type="dxa"/>
        <w:tblLayout w:type="fixed"/>
        <w:tblCellMar>
          <w:top w:w="0" w:type="dxa"/>
          <w:left w:w="107" w:type="dxa"/>
          <w:bottom w:w="0" w:type="dxa"/>
          <w:right w:w="107" w:type="dxa"/>
        </w:tblCellMar>
      </w:tblPr>
      <w:tblGrid>
        <w:gridCol w:w="1701"/>
        <w:gridCol w:w="1100"/>
        <w:gridCol w:w="1655"/>
        <w:gridCol w:w="1321"/>
        <w:gridCol w:w="3893"/>
      </w:tblGrid>
      <w:tr>
        <w:trPr/>
        <w:tc>
          <w:tcPr>
            <w:tcW w:w="1701" w:type="dxa"/>
            <w:tcBorders>
              <w:top w:val="single" w:sz="12" w:space="0" w:color="000000"/>
              <w:left w:val="single" w:sz="12" w:space="0" w:color="000000"/>
              <w:bottom w:val="single" w:sz="6" w:space="0" w:color="000000"/>
              <w:right w:val="single" w:sz="6" w:space="0" w:color="000000"/>
            </w:tcBorders>
          </w:tcPr>
          <w:p>
            <w:pPr>
              <w:pStyle w:val="TAH"/>
              <w:rPr/>
            </w:pPr>
            <w:r>
              <w:rPr/>
              <w:t>Message</w:t>
            </w:r>
          </w:p>
        </w:tc>
        <w:tc>
          <w:tcPr>
            <w:tcW w:w="1100" w:type="dxa"/>
            <w:tcBorders>
              <w:top w:val="single" w:sz="12" w:space="0" w:color="000000"/>
              <w:left w:val="single" w:sz="6" w:space="0" w:color="000000"/>
              <w:bottom w:val="single" w:sz="6" w:space="0" w:color="000000"/>
              <w:right w:val="single" w:sz="6" w:space="0" w:color="000000"/>
            </w:tcBorders>
          </w:tcPr>
          <w:p>
            <w:pPr>
              <w:pStyle w:val="TAH"/>
              <w:rPr/>
            </w:pPr>
            <w:r>
              <w:rPr/>
              <w:t>Message sender</w:t>
            </w:r>
          </w:p>
        </w:tc>
        <w:tc>
          <w:tcPr>
            <w:tcW w:w="1655" w:type="dxa"/>
            <w:tcBorders>
              <w:top w:val="single" w:sz="12" w:space="0" w:color="000000"/>
              <w:left w:val="single" w:sz="6" w:space="0" w:color="000000"/>
              <w:bottom w:val="single" w:sz="6" w:space="0" w:color="000000"/>
              <w:right w:val="single" w:sz="6" w:space="0" w:color="000000"/>
            </w:tcBorders>
          </w:tcPr>
          <w:p>
            <w:pPr>
              <w:pStyle w:val="TAH"/>
              <w:rPr/>
            </w:pPr>
            <w:r>
              <w:rPr/>
              <w:t>Information element name</w:t>
            </w:r>
          </w:p>
        </w:tc>
        <w:tc>
          <w:tcPr>
            <w:tcW w:w="1321" w:type="dxa"/>
            <w:tcBorders>
              <w:top w:val="single" w:sz="12" w:space="0" w:color="000000"/>
              <w:left w:val="single" w:sz="6" w:space="0" w:color="000000"/>
              <w:bottom w:val="single" w:sz="6" w:space="0" w:color="000000"/>
              <w:right w:val="single" w:sz="6" w:space="0" w:color="000000"/>
            </w:tcBorders>
          </w:tcPr>
          <w:p>
            <w:pPr>
              <w:pStyle w:val="TAH"/>
              <w:rPr/>
            </w:pPr>
            <w:r>
              <w:rPr/>
              <w:t>Information element Required</w:t>
            </w:r>
          </w:p>
        </w:tc>
        <w:tc>
          <w:tcPr>
            <w:tcW w:w="3893" w:type="dxa"/>
            <w:tcBorders>
              <w:top w:val="single" w:sz="12" w:space="0" w:color="000000"/>
              <w:left w:val="single" w:sz="6" w:space="0" w:color="000000"/>
              <w:bottom w:val="single" w:sz="6" w:space="0" w:color="000000"/>
              <w:right w:val="single" w:sz="12" w:space="0" w:color="000000"/>
            </w:tcBorders>
          </w:tcPr>
          <w:p>
            <w:pPr>
              <w:pStyle w:val="TAH"/>
              <w:rPr/>
            </w:pPr>
            <w:r>
              <w:rPr/>
              <w:t>Information element description</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TAC"/>
              <w:rPr/>
            </w:pPr>
            <w:r>
              <w:rPr/>
              <w:t>Complete Call</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VLR</w:t>
            </w:r>
          </w:p>
        </w:tc>
        <w:tc>
          <w:tcPr>
            <w:tcW w:w="1655" w:type="dxa"/>
            <w:tcBorders>
              <w:top w:val="single" w:sz="6" w:space="0" w:color="000000"/>
              <w:left w:val="single" w:sz="6" w:space="0" w:color="000000"/>
              <w:bottom w:val="single" w:sz="6" w:space="0" w:color="000000"/>
              <w:right w:val="single" w:sz="6" w:space="0" w:color="000000"/>
            </w:tcBorders>
          </w:tcPr>
          <w:p>
            <w:pPr>
              <w:pStyle w:val="TAC"/>
              <w:rPr/>
            </w:pPr>
            <w:r>
              <w:rPr/>
              <w:t>-</w:t>
            </w:r>
          </w:p>
          <w:p>
            <w:pPr>
              <w:pStyle w:val="TAC"/>
              <w:rPr/>
            </w:pPr>
            <w:r>
              <w:rPr/>
            </w:r>
          </w:p>
          <w:p>
            <w:pPr>
              <w:pStyle w:val="TAC"/>
              <w:rPr/>
            </w:pPr>
            <w:r>
              <w:rPr/>
            </w:r>
          </w:p>
          <w:p>
            <w:pPr>
              <w:pStyle w:val="TAC"/>
              <w:rPr/>
            </w:pPr>
            <w:r>
              <w:rPr/>
              <w:t>Calling Party Number</w:t>
            </w:r>
          </w:p>
          <w:p>
            <w:pPr>
              <w:pStyle w:val="TAC"/>
              <w:rPr/>
            </w:pPr>
            <w:r>
              <w:rPr/>
            </w:r>
          </w:p>
          <w:p>
            <w:pPr>
              <w:pStyle w:val="TAC"/>
              <w:rPr/>
            </w:pPr>
            <w:r>
              <w:rPr/>
              <w:t>Generic Number</w:t>
            </w:r>
          </w:p>
          <w:p>
            <w:pPr>
              <w:pStyle w:val="TAC"/>
              <w:rPr/>
            </w:pPr>
            <w:r>
              <w:rPr/>
            </w:r>
          </w:p>
          <w:p>
            <w:pPr>
              <w:pStyle w:val="TAC"/>
              <w:rPr/>
            </w:pPr>
            <w:r>
              <w:rPr/>
            </w:r>
          </w:p>
          <w:p>
            <w:pPr>
              <w:pStyle w:val="TAC"/>
              <w:rPr/>
            </w:pPr>
            <w:r>
              <w:rPr/>
              <w:t>Cause of no CLI</w:t>
            </w:r>
          </w:p>
        </w:tc>
        <w:tc>
          <w:tcPr>
            <w:tcW w:w="1321" w:type="dxa"/>
            <w:tcBorders>
              <w:top w:val="single" w:sz="6" w:space="0" w:color="000000"/>
              <w:left w:val="single" w:sz="6" w:space="0" w:color="000000"/>
              <w:bottom w:val="single" w:sz="6" w:space="0" w:color="000000"/>
              <w:right w:val="single" w:sz="6" w:space="0" w:color="000000"/>
            </w:tcBorders>
          </w:tcPr>
          <w:p>
            <w:pPr>
              <w:pStyle w:val="TAC"/>
              <w:rPr/>
            </w:pPr>
            <w:r>
              <w:rPr/>
              <w:t>-</w:t>
            </w:r>
          </w:p>
          <w:p>
            <w:pPr>
              <w:pStyle w:val="TAC"/>
              <w:rPr/>
            </w:pPr>
            <w:r>
              <w:rPr/>
            </w:r>
          </w:p>
          <w:p>
            <w:pPr>
              <w:pStyle w:val="TAC"/>
              <w:rPr/>
            </w:pPr>
            <w:r>
              <w:rPr/>
            </w:r>
          </w:p>
          <w:p>
            <w:pPr>
              <w:pStyle w:val="TAC"/>
              <w:rPr/>
            </w:pPr>
            <w:r>
              <w:rPr/>
              <w:t>C</w:t>
            </w:r>
          </w:p>
          <w:p>
            <w:pPr>
              <w:pStyle w:val="TAC"/>
              <w:rPr/>
            </w:pPr>
            <w:r>
              <w:rPr/>
            </w:r>
          </w:p>
          <w:p>
            <w:pPr>
              <w:pStyle w:val="TAC"/>
              <w:rPr/>
            </w:pPr>
            <w:r>
              <w:rPr/>
            </w:r>
          </w:p>
          <w:p>
            <w:pPr>
              <w:pStyle w:val="TAC"/>
              <w:rPr/>
            </w:pPr>
            <w:r>
              <w:rPr/>
              <w:t>C</w:t>
            </w:r>
          </w:p>
          <w:p>
            <w:pPr>
              <w:pStyle w:val="TAC"/>
              <w:rPr/>
            </w:pPr>
            <w:r>
              <w:rPr/>
            </w:r>
          </w:p>
          <w:p>
            <w:pPr>
              <w:pStyle w:val="TAC"/>
              <w:rPr/>
            </w:pPr>
            <w:r>
              <w:rPr/>
            </w:r>
          </w:p>
          <w:p>
            <w:pPr>
              <w:pStyle w:val="TAC"/>
              <w:rPr/>
            </w:pPr>
            <w:r>
              <w:rPr/>
              <w:t>C</w:t>
            </w:r>
          </w:p>
        </w:tc>
        <w:tc>
          <w:tcPr>
            <w:tcW w:w="3893" w:type="dxa"/>
            <w:tcBorders>
              <w:top w:val="single" w:sz="6" w:space="0" w:color="000000"/>
              <w:left w:val="single" w:sz="6" w:space="0" w:color="000000"/>
              <w:bottom w:val="single" w:sz="6" w:space="0" w:color="000000"/>
              <w:right w:val="single" w:sz="12" w:space="0" w:color="000000"/>
            </w:tcBorders>
          </w:tcPr>
          <w:p>
            <w:pPr>
              <w:pStyle w:val="TAL"/>
              <w:rPr/>
            </w:pPr>
            <w:r>
              <w:rPr/>
              <w:t>Refer to 3GPP TS 23.018.</w:t>
            </w:r>
          </w:p>
          <w:p>
            <w:pPr>
              <w:pStyle w:val="TAL"/>
              <w:rPr/>
            </w:pPr>
            <w:r>
              <w:rPr/>
            </w:r>
          </w:p>
          <w:p>
            <w:pPr>
              <w:pStyle w:val="TAL"/>
              <w:rPr/>
            </w:pPr>
            <w:r>
              <w:rPr/>
              <w:t xml:space="preserve">In addition: </w:t>
            </w:r>
          </w:p>
          <w:p>
            <w:pPr>
              <w:pStyle w:val="TAL"/>
              <w:rPr/>
            </w:pPr>
            <w:r>
              <w:rPr/>
              <w:t>The information element is present if it is stored in VLR; otherwise it shall be absent.</w:t>
            </w:r>
          </w:p>
          <w:p>
            <w:pPr>
              <w:pStyle w:val="TAL"/>
              <w:rPr/>
            </w:pPr>
            <w:r>
              <w:rPr/>
            </w:r>
          </w:p>
          <w:p>
            <w:pPr>
              <w:pStyle w:val="TAL"/>
              <w:rPr/>
            </w:pPr>
            <w:r>
              <w:rPr/>
              <w:t>The information element is present if it is stored in VLR; otherwise it shall be absent.</w:t>
            </w:r>
          </w:p>
          <w:p>
            <w:pPr>
              <w:pStyle w:val="TAL"/>
              <w:rPr/>
            </w:pPr>
            <w:r>
              <w:rPr/>
            </w:r>
          </w:p>
          <w:p>
            <w:pPr>
              <w:pStyle w:val="TAL"/>
              <w:rPr>
                <w:lang w:eastAsia="ja-JP"/>
              </w:rPr>
            </w:pPr>
            <w:r>
              <w:rPr>
                <w:lang w:eastAsia="ja-JP"/>
              </w:rPr>
              <w:t>The information element is present if it is stored in VLR; otherwise it shall be absent.</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TAC"/>
              <w:rPr/>
            </w:pPr>
            <w:r>
              <w:rPr/>
              <w:t>Process Call Waiting</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VLR</w:t>
            </w:r>
          </w:p>
        </w:tc>
        <w:tc>
          <w:tcPr>
            <w:tcW w:w="1655" w:type="dxa"/>
            <w:tcBorders>
              <w:top w:val="single" w:sz="6" w:space="0" w:color="000000"/>
              <w:left w:val="single" w:sz="6" w:space="0" w:color="000000"/>
              <w:bottom w:val="single" w:sz="6" w:space="0" w:color="000000"/>
              <w:right w:val="single" w:sz="6" w:space="0" w:color="000000"/>
            </w:tcBorders>
          </w:tcPr>
          <w:p>
            <w:pPr>
              <w:pStyle w:val="TAC"/>
              <w:rPr/>
            </w:pPr>
            <w:r>
              <w:rPr/>
              <w:t>-</w:t>
            </w:r>
          </w:p>
          <w:p>
            <w:pPr>
              <w:pStyle w:val="TAC"/>
              <w:rPr/>
            </w:pPr>
            <w:r>
              <w:rPr/>
            </w:r>
          </w:p>
          <w:p>
            <w:pPr>
              <w:pStyle w:val="TAC"/>
              <w:rPr/>
            </w:pPr>
            <w:r>
              <w:rPr/>
            </w:r>
          </w:p>
          <w:p>
            <w:pPr>
              <w:pStyle w:val="TAC"/>
              <w:rPr/>
            </w:pPr>
            <w:r>
              <w:rPr/>
              <w:t>Calling Party Number</w:t>
            </w:r>
          </w:p>
          <w:p>
            <w:pPr>
              <w:pStyle w:val="TAC"/>
              <w:rPr/>
            </w:pPr>
            <w:r>
              <w:rPr/>
            </w:r>
          </w:p>
          <w:p>
            <w:pPr>
              <w:pStyle w:val="TAC"/>
              <w:rPr/>
            </w:pPr>
            <w:r>
              <w:rPr/>
              <w:t>Generic Number</w:t>
            </w:r>
          </w:p>
          <w:p>
            <w:pPr>
              <w:pStyle w:val="TAC"/>
              <w:rPr/>
            </w:pPr>
            <w:r>
              <w:rPr/>
            </w:r>
          </w:p>
          <w:p>
            <w:pPr>
              <w:pStyle w:val="TAC"/>
              <w:rPr/>
            </w:pPr>
            <w:r>
              <w:rPr/>
            </w:r>
          </w:p>
          <w:p>
            <w:pPr>
              <w:pStyle w:val="TAC"/>
              <w:rPr/>
            </w:pPr>
            <w:r>
              <w:rPr/>
              <w:t>Cause of no CLI</w:t>
            </w:r>
          </w:p>
        </w:tc>
        <w:tc>
          <w:tcPr>
            <w:tcW w:w="1321" w:type="dxa"/>
            <w:tcBorders>
              <w:top w:val="single" w:sz="6" w:space="0" w:color="000000"/>
              <w:left w:val="single" w:sz="6" w:space="0" w:color="000000"/>
              <w:bottom w:val="single" w:sz="6" w:space="0" w:color="000000"/>
              <w:right w:val="single" w:sz="6" w:space="0" w:color="000000"/>
            </w:tcBorders>
          </w:tcPr>
          <w:p>
            <w:pPr>
              <w:pStyle w:val="TAC"/>
              <w:rPr/>
            </w:pPr>
            <w:r>
              <w:rPr/>
              <w:t>-</w:t>
            </w:r>
          </w:p>
          <w:p>
            <w:pPr>
              <w:pStyle w:val="TAC"/>
              <w:rPr/>
            </w:pPr>
            <w:r>
              <w:rPr/>
            </w:r>
          </w:p>
          <w:p>
            <w:pPr>
              <w:pStyle w:val="TAC"/>
              <w:rPr/>
            </w:pPr>
            <w:r>
              <w:rPr/>
            </w:r>
          </w:p>
          <w:p>
            <w:pPr>
              <w:pStyle w:val="TAC"/>
              <w:rPr/>
            </w:pPr>
            <w:r>
              <w:rPr/>
              <w:t>C</w:t>
            </w:r>
          </w:p>
          <w:p>
            <w:pPr>
              <w:pStyle w:val="TAC"/>
              <w:rPr/>
            </w:pPr>
            <w:r>
              <w:rPr/>
            </w:r>
          </w:p>
          <w:p>
            <w:pPr>
              <w:pStyle w:val="TAC"/>
              <w:rPr/>
            </w:pPr>
            <w:r>
              <w:rPr/>
            </w:r>
          </w:p>
          <w:p>
            <w:pPr>
              <w:pStyle w:val="TAC"/>
              <w:rPr/>
            </w:pPr>
            <w:r>
              <w:rPr/>
              <w:t>C</w:t>
            </w:r>
          </w:p>
          <w:p>
            <w:pPr>
              <w:pStyle w:val="TAC"/>
              <w:rPr/>
            </w:pPr>
            <w:r>
              <w:rPr/>
            </w:r>
          </w:p>
          <w:p>
            <w:pPr>
              <w:pStyle w:val="TAC"/>
              <w:rPr/>
            </w:pPr>
            <w:r>
              <w:rPr/>
            </w:r>
          </w:p>
          <w:p>
            <w:pPr>
              <w:pStyle w:val="TAC"/>
              <w:rPr/>
            </w:pPr>
            <w:r>
              <w:rPr/>
              <w:t>C</w:t>
            </w:r>
          </w:p>
        </w:tc>
        <w:tc>
          <w:tcPr>
            <w:tcW w:w="3893" w:type="dxa"/>
            <w:tcBorders>
              <w:top w:val="single" w:sz="6" w:space="0" w:color="000000"/>
              <w:left w:val="single" w:sz="6" w:space="0" w:color="000000"/>
              <w:bottom w:val="single" w:sz="6" w:space="0" w:color="000000"/>
              <w:right w:val="single" w:sz="12" w:space="0" w:color="000000"/>
            </w:tcBorders>
          </w:tcPr>
          <w:p>
            <w:pPr>
              <w:pStyle w:val="TAL"/>
              <w:rPr/>
            </w:pPr>
            <w:r>
              <w:rPr/>
              <w:t>Refer to 3GPP TS 23.018.</w:t>
            </w:r>
          </w:p>
          <w:p>
            <w:pPr>
              <w:pStyle w:val="TAL"/>
              <w:rPr/>
            </w:pPr>
            <w:r>
              <w:rPr/>
            </w:r>
          </w:p>
          <w:p>
            <w:pPr>
              <w:pStyle w:val="TAL"/>
              <w:rPr/>
            </w:pPr>
            <w:r>
              <w:rPr/>
              <w:t xml:space="preserve">In addition: </w:t>
            </w:r>
          </w:p>
          <w:p>
            <w:pPr>
              <w:pStyle w:val="TAL"/>
              <w:rPr/>
            </w:pPr>
            <w:r>
              <w:rPr/>
              <w:t>The information element is present if it is stored in VLR; otherwise it shall be absent.</w:t>
            </w:r>
          </w:p>
          <w:p>
            <w:pPr>
              <w:pStyle w:val="TAL"/>
              <w:rPr/>
            </w:pPr>
            <w:r>
              <w:rPr/>
            </w:r>
          </w:p>
          <w:p>
            <w:pPr>
              <w:pStyle w:val="TAL"/>
              <w:rPr/>
            </w:pPr>
            <w:r>
              <w:rPr/>
              <w:t>The information element is present if it is stored in VLR; otherwise it shall be absent.</w:t>
            </w:r>
          </w:p>
          <w:p>
            <w:pPr>
              <w:pStyle w:val="TAL"/>
              <w:rPr/>
            </w:pPr>
            <w:r>
              <w:rPr/>
            </w:r>
          </w:p>
          <w:p>
            <w:pPr>
              <w:pStyle w:val="TAL"/>
              <w:rPr/>
            </w:pPr>
            <w:r>
              <w:rPr/>
              <w:t>The information element is present if it is stored in VLR; otherwise it shall be absent.</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TAC"/>
              <w:rPr>
                <w:lang w:eastAsia="ja-JP"/>
              </w:rPr>
            </w:pPr>
            <w:r>
              <w:rPr>
                <w:lang w:eastAsia="ja-JP"/>
              </w:rPr>
              <w:t>Send Info for Incoming Call</w:t>
            </w:r>
          </w:p>
        </w:tc>
        <w:tc>
          <w:tcPr>
            <w:tcW w:w="1100" w:type="dxa"/>
            <w:tcBorders>
              <w:top w:val="single" w:sz="6" w:space="0" w:color="000000"/>
              <w:left w:val="single" w:sz="6" w:space="0" w:color="000000"/>
              <w:bottom w:val="single" w:sz="12" w:space="0" w:color="000000"/>
              <w:right w:val="single" w:sz="6" w:space="0" w:color="000000"/>
            </w:tcBorders>
          </w:tcPr>
          <w:p>
            <w:pPr>
              <w:pStyle w:val="TAC"/>
              <w:rPr>
                <w:lang w:eastAsia="ja-JP"/>
              </w:rPr>
            </w:pPr>
            <w:r>
              <w:rPr>
                <w:lang w:eastAsia="ja-JP"/>
              </w:rPr>
              <w:t>MSC</w:t>
            </w:r>
          </w:p>
        </w:tc>
        <w:tc>
          <w:tcPr>
            <w:tcW w:w="1655" w:type="dxa"/>
            <w:tcBorders>
              <w:top w:val="single" w:sz="6" w:space="0" w:color="000000"/>
              <w:left w:val="single" w:sz="6" w:space="0" w:color="000000"/>
              <w:bottom w:val="single" w:sz="12" w:space="0" w:color="000000"/>
              <w:right w:val="single" w:sz="6" w:space="0" w:color="000000"/>
            </w:tcBorders>
          </w:tcPr>
          <w:p>
            <w:pPr>
              <w:pStyle w:val="TAC"/>
              <w:rPr>
                <w:lang w:eastAsia="ja-JP"/>
              </w:rPr>
            </w:pPr>
            <w:r>
              <w:rPr>
                <w:lang w:eastAsia="ja-JP"/>
              </w:rPr>
              <w:t>-</w:t>
            </w:r>
          </w:p>
          <w:p>
            <w:pPr>
              <w:pStyle w:val="TAC"/>
              <w:rPr>
                <w:lang w:eastAsia="ja-JP"/>
              </w:rPr>
            </w:pPr>
            <w:r>
              <w:rPr>
                <w:lang w:eastAsia="ja-JP"/>
              </w:rPr>
            </w:r>
          </w:p>
          <w:p>
            <w:pPr>
              <w:pStyle w:val="TAC"/>
              <w:rPr>
                <w:lang w:eastAsia="ja-JP"/>
              </w:rPr>
            </w:pPr>
            <w:r>
              <w:rPr>
                <w:lang w:eastAsia="ja-JP"/>
              </w:rPr>
              <w:t>Cause of no CLI</w:t>
            </w:r>
          </w:p>
        </w:tc>
        <w:tc>
          <w:tcPr>
            <w:tcW w:w="1321" w:type="dxa"/>
            <w:tcBorders>
              <w:top w:val="single" w:sz="6" w:space="0" w:color="000000"/>
              <w:left w:val="single" w:sz="6" w:space="0" w:color="000000"/>
              <w:bottom w:val="single" w:sz="12" w:space="0" w:color="000000"/>
              <w:right w:val="single" w:sz="6" w:space="0" w:color="000000"/>
            </w:tcBorders>
          </w:tcPr>
          <w:p>
            <w:pPr>
              <w:pStyle w:val="TAC"/>
              <w:rPr>
                <w:lang w:eastAsia="ja-JP"/>
              </w:rPr>
            </w:pPr>
            <w:r>
              <w:rPr>
                <w:lang w:eastAsia="ja-JP"/>
              </w:rPr>
              <w:t>-</w:t>
            </w:r>
          </w:p>
          <w:p>
            <w:pPr>
              <w:pStyle w:val="TAC"/>
              <w:rPr>
                <w:lang w:eastAsia="ja-JP"/>
              </w:rPr>
            </w:pPr>
            <w:r>
              <w:rPr>
                <w:lang w:eastAsia="ja-JP"/>
              </w:rPr>
            </w:r>
          </w:p>
          <w:p>
            <w:pPr>
              <w:pStyle w:val="TAC"/>
              <w:rPr>
                <w:lang w:eastAsia="ja-JP"/>
              </w:rPr>
            </w:pPr>
            <w:r>
              <w:rPr>
                <w:lang w:eastAsia="ja-JP"/>
              </w:rPr>
              <w:t>C</w:t>
            </w:r>
          </w:p>
        </w:tc>
        <w:tc>
          <w:tcPr>
            <w:tcW w:w="3893" w:type="dxa"/>
            <w:tcBorders>
              <w:top w:val="single" w:sz="6" w:space="0" w:color="000000"/>
              <w:left w:val="single" w:sz="6" w:space="0" w:color="000000"/>
              <w:bottom w:val="single" w:sz="12" w:space="0" w:color="000000"/>
              <w:right w:val="single" w:sz="12" w:space="0" w:color="000000"/>
            </w:tcBorders>
          </w:tcPr>
          <w:p>
            <w:pPr>
              <w:pStyle w:val="TAL"/>
              <w:rPr>
                <w:lang w:eastAsia="ja-JP"/>
              </w:rPr>
            </w:pPr>
            <w:r>
              <w:rPr>
                <w:lang w:eastAsia="ja-JP"/>
              </w:rPr>
              <w:t>Refer to 3GPP TS 23.018.</w:t>
            </w:r>
          </w:p>
          <w:p>
            <w:pPr>
              <w:pStyle w:val="TAL"/>
              <w:rPr>
                <w:lang w:eastAsia="ja-JP"/>
              </w:rPr>
            </w:pPr>
            <w:r>
              <w:rPr>
                <w:lang w:eastAsia="ja-JP"/>
              </w:rPr>
            </w:r>
          </w:p>
          <w:p>
            <w:pPr>
              <w:pStyle w:val="TAL"/>
              <w:rPr>
                <w:lang w:eastAsia="ja-JP"/>
              </w:rPr>
            </w:pPr>
            <w:r>
              <w:rPr>
                <w:lang w:eastAsia="ja-JP"/>
              </w:rPr>
              <w:t>In addition:</w:t>
            </w:r>
          </w:p>
          <w:p>
            <w:pPr>
              <w:pStyle w:val="TAL"/>
              <w:rPr/>
            </w:pPr>
            <w:r>
              <w:rPr>
                <w:lang w:eastAsia="ja-JP"/>
              </w:rPr>
              <w:t>The information element is present if MSC received Cause of no CLI; otherwise it shall be absent.</w:t>
            </w:r>
          </w:p>
        </w:tc>
      </w:tr>
    </w:tbl>
    <w:p>
      <w:pPr>
        <w:pStyle w:val="Normal"/>
        <w:rPr/>
      </w:pPr>
      <w:r>
        <w:rPr/>
      </w:r>
    </w:p>
    <w:p>
      <w:pPr>
        <w:pStyle w:val="Heading2"/>
        <w:rPr/>
      </w:pPr>
      <w:bookmarkStart w:id="54" w:name="__RefHeading___Toc517461856"/>
      <w:bookmarkEnd w:id="54"/>
      <w:r>
        <w:rPr/>
        <w:t>1.3</w:t>
        <w:tab/>
        <w:t>Information stored in the HLR</w:t>
      </w:r>
    </w:p>
    <w:p>
      <w:pPr>
        <w:pStyle w:val="Normal"/>
        <w:rPr/>
      </w:pPr>
      <w:r>
        <w:rPr/>
        <w:t xml:space="preserve">CLIP may have the following logical states (refer to </w:t>
      </w:r>
      <w:r>
        <w:rPr>
          <w:lang w:eastAsia="ja-JP"/>
        </w:rPr>
        <w:t>3GPP TS 23.011</w:t>
      </w:r>
      <w:r>
        <w:rPr/>
        <w:t xml:space="preserve"> for an explanation of the notation):</w:t>
      </w:r>
    </w:p>
    <w:p>
      <w:pPr>
        <w:pStyle w:val="Normal"/>
        <w:tabs>
          <w:tab w:val="clear" w:pos="284"/>
          <w:tab w:val="left" w:pos="2268" w:leader="none"/>
          <w:tab w:val="left" w:pos="4536" w:leader="none"/>
          <w:tab w:val="left" w:pos="6804" w:leader="none"/>
        </w:tabs>
        <w:rPr/>
      </w:pPr>
      <w:r>
        <w:rPr>
          <w:b/>
        </w:rPr>
        <w:t xml:space="preserve">   </w:t>
      </w:r>
      <w:r>
        <w:rPr>
          <w:b/>
        </w:rPr>
        <w:t>Provisioning State</w:t>
        <w:tab/>
        <w:t>Registration State</w:t>
        <w:tab/>
        <w:t>Activation State</w:t>
        <w:tab/>
        <w:t>HLR Induction State</w:t>
      </w:r>
    </w:p>
    <w:p>
      <w:pPr>
        <w:pStyle w:val="Normal"/>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rPr/>
      </w:pPr>
      <w:r>
        <w:rPr/>
        <w:t>The HLR shall store the logical state of CLIP (which shall be one of the valid states listed above) on a per subscriber basis.</w:t>
      </w:r>
    </w:p>
    <w:p>
      <w:pPr>
        <w:pStyle w:val="Normal"/>
        <w:rPr/>
      </w:pPr>
      <w:r>
        <w:rPr/>
        <w:t>The HLR shall also store the subscription option "override category" on a per subscriber basis.</w:t>
      </w:r>
    </w:p>
    <w:p>
      <w:pPr>
        <w:pStyle w:val="B2"/>
        <w:keepNext w:val="true"/>
        <w:keepLines/>
        <w:rPr/>
      </w:pPr>
      <w:r>
        <w:rPr/>
        <w:t>This parameter takes one of the following values:</w:t>
      </w:r>
    </w:p>
    <w:p>
      <w:pPr>
        <w:pStyle w:val="B1"/>
        <w:rPr/>
      </w:pPr>
      <w:r>
        <w:rPr/>
        <w:t>1.</w:t>
        <w:tab/>
        <w:t>yes;</w:t>
      </w:r>
    </w:p>
    <w:p>
      <w:pPr>
        <w:pStyle w:val="B1"/>
        <w:rPr/>
      </w:pPr>
      <w:r>
        <w:rPr/>
        <w:t>2.</w:t>
        <w:tab/>
        <w:t>no.</w:t>
      </w:r>
    </w:p>
    <w:p>
      <w:pPr>
        <w:pStyle w:val="Heading2"/>
        <w:rPr/>
      </w:pPr>
      <w:bookmarkStart w:id="55" w:name="__RefHeading___Toc517461857"/>
      <w:bookmarkEnd w:id="55"/>
      <w:r>
        <w:rPr/>
        <w:t>1.4</w:t>
        <w:tab/>
        <w:t>State transition model</w:t>
      </w:r>
    </w:p>
    <w:p>
      <w:pPr>
        <w:pStyle w:val="Normal"/>
        <w:rPr/>
      </w:pPr>
      <w:r>
        <w:rPr/>
        <w:t>The following figure shows the successful cases of transition between the applicable logical states of CLIP.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TH"/>
        <w:rPr/>
      </w:pPr>
      <w:r>
        <w:rPr/>
        <w:object w:dxaOrig="6883" w:dyaOrig="2536">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44.15pt;height:126.8pt" filled="f" o:ole="">
            <v:imagedata r:id="rId20" o:title=""/>
          </v:shape>
          <o:OLEObject Type="Embed" ProgID="" ShapeID="ole_rId19" DrawAspect="Content" ObjectID="_1995736214" r:id="rId19"/>
        </w:object>
      </w:r>
    </w:p>
    <w:p>
      <w:pPr>
        <w:pStyle w:val="TF"/>
        <w:rPr/>
      </w:pPr>
      <w:r>
        <w:rPr/>
        <w:t>Figure 1.9: State transition model for CLIP</w:t>
      </w:r>
    </w:p>
    <w:p>
      <w:pPr>
        <w:pStyle w:val="Heading2"/>
        <w:rPr/>
      </w:pPr>
      <w:bookmarkStart w:id="56" w:name="__RefHeading___Toc517461858"/>
      <w:bookmarkEnd w:id="56"/>
      <w:r>
        <w:rPr/>
        <w:t>1.5</w:t>
        <w:tab/>
        <w:t>Transfer of information from HLR to VLR</w:t>
      </w:r>
    </w:p>
    <w:p>
      <w:pPr>
        <w:pStyle w:val="Normal"/>
        <w:rPr/>
      </w:pPr>
      <w:r>
        <w:rPr/>
        <w:t>If the provisioning state for CLIP is "Provisioned" then, when the subscriber registers on a VLR, the HLR shall send that VLR information about the logical state of CLIP. The HLR shall send the override category if the VLR is in the HPLMN country. The HLR may send the override category if the VLR is outside the HPLMN country.</w:t>
      </w:r>
    </w:p>
    <w:p>
      <w:pPr>
        <w:pStyle w:val="Normal"/>
        <w:rPr/>
      </w:pPr>
      <w:r>
        <w:rPr/>
        <w:t>If the logical state of CLIP or the override category is changed while a subscriber is registered on a VLR then the HLR shall inform the VLR of the new logical state of CLIP. If the override category is changed and the provisioning state of CLIP is "Provisioned" then the HLR shall inform the VLR about the new override category when the VLR is in the HPLMN country. The HLR may inform the VLR about the new override category when the VLR is outside the HPLMN country.</w:t>
      </w:r>
    </w:p>
    <w:p>
      <w:pPr>
        <w:pStyle w:val="Heading2"/>
        <w:rPr/>
      </w:pPr>
      <w:bookmarkStart w:id="57" w:name="__RefHeading___Toc517461859"/>
      <w:bookmarkEnd w:id="57"/>
      <w:r>
        <w:rPr/>
        <w:t>1.6</w:t>
        <w:tab/>
        <w:t>Information stored in the VLR</w:t>
      </w:r>
    </w:p>
    <w:p>
      <w:pPr>
        <w:pStyle w:val="Normal"/>
        <w:rPr/>
      </w:pPr>
      <w:r>
        <w:rPr/>
        <w:t>For CLIP, the VLR shall store the service state information and override category received from the HLR.</w:t>
      </w:r>
    </w:p>
    <w:p>
      <w:pPr>
        <w:pStyle w:val="Normal"/>
        <w:rPr/>
      </w:pPr>
      <w:r>
        <w:rPr/>
        <w:t>If not received from the HLR (case of roaming outside the HPLMN country), the override category shall be set to the default value "no".</w:t>
      </w:r>
    </w:p>
    <w:p>
      <w:pPr>
        <w:pStyle w:val="Heading2"/>
        <w:rPr/>
      </w:pPr>
      <w:bookmarkStart w:id="58" w:name="__RefHeading___Toc517461860"/>
      <w:bookmarkEnd w:id="58"/>
      <w:r>
        <w:rPr/>
        <w:t>1.7</w:t>
        <w:tab/>
        <w:t>Handover</w:t>
      </w:r>
    </w:p>
    <w:p>
      <w:pPr>
        <w:pStyle w:val="Normal"/>
        <w:rPr/>
      </w:pPr>
      <w:r>
        <w:rPr/>
        <w:t>Handover will have no impact on the control procedures and the operation of the service.</w:t>
      </w:r>
    </w:p>
    <w:p>
      <w:pPr>
        <w:pStyle w:val="Heading2"/>
        <w:rPr/>
      </w:pPr>
      <w:bookmarkStart w:id="59" w:name="__RefHeading___Toc517461861"/>
      <w:bookmarkEnd w:id="59"/>
      <w:r>
        <w:rPr/>
        <w:t>1.8</w:t>
        <w:tab/>
        <w:t>Interactions with other supplementary services</w:t>
      </w:r>
    </w:p>
    <w:p>
      <w:pPr>
        <w:pStyle w:val="Normal"/>
        <w:rPr/>
      </w:pPr>
      <w:r>
        <w:rPr/>
        <w:t>See 3GPP TS 22.081 [4] subclause 1.6.</w:t>
      </w:r>
    </w:p>
    <w:p>
      <w:pPr>
        <w:pStyle w:val="Heading1"/>
        <w:ind w:left="1134" w:hanging="1134"/>
        <w:rPr/>
      </w:pPr>
      <w:bookmarkStart w:id="60" w:name="__RefHeading___Toc517461862"/>
      <w:bookmarkEnd w:id="60"/>
      <w:r>
        <w:rPr/>
        <w:t>2</w:t>
        <w:tab/>
        <w:t>Calling line identification restriction (CLIR)</w:t>
      </w:r>
    </w:p>
    <w:p>
      <w:pPr>
        <w:pStyle w:val="Heading2"/>
        <w:rPr/>
      </w:pPr>
      <w:bookmarkStart w:id="61" w:name="__RefHeading___Toc517461863"/>
      <w:bookmarkEnd w:id="61"/>
      <w:r>
        <w:rPr/>
        <w:t>2.1</w:t>
        <w:tab/>
        <w:t>Handling of calling line identification restriction</w:t>
      </w:r>
    </w:p>
    <w:p>
      <w:pPr>
        <w:pStyle w:val="Heading3"/>
        <w:rPr/>
      </w:pPr>
      <w:bookmarkStart w:id="62" w:name="__RefHeading___Toc517461864"/>
      <w:bookmarkEnd w:id="62"/>
      <w:r>
        <w:rPr/>
        <w:t>2.1.1</w:t>
        <w:tab/>
        <w:t>General</w:t>
      </w:r>
    </w:p>
    <w:p>
      <w:pPr>
        <w:pStyle w:val="Normal"/>
        <w:rPr/>
      </w:pPr>
      <w:r>
        <w:rPr/>
        <w:t>If the originating party has calling line identification restriction provisioned and it is impossible to indicate to the terminating network (due to interworking) that the number should not be presented to the terminating party, the calling line identity shall not be delivered to the terminating network.</w:t>
      </w:r>
    </w:p>
    <w:p>
      <w:pPr>
        <w:pStyle w:val="Heading3"/>
        <w:rPr/>
      </w:pPr>
      <w:bookmarkStart w:id="63" w:name="__RefHeading___Toc517461865"/>
      <w:bookmarkEnd w:id="63"/>
      <w:r>
        <w:rPr/>
        <w:t>2.1.2</w:t>
        <w:tab/>
        <w:t>Permanent mode</w:t>
      </w:r>
    </w:p>
    <w:p>
      <w:pPr>
        <w:pStyle w:val="Normal"/>
        <w:rPr/>
      </w:pPr>
      <w:r>
        <w:rPr/>
        <w:t>If the subscriber has calling line identification restriction provisioned in permanent mode, the originating party's CLI shall not be presented to the terminating party (i.e. the terminating MS or TE), unless the terminating party has calling line identification presentation provisioned with the subscription option "override category" set (see clause 1).</w:t>
      </w:r>
    </w:p>
    <w:p>
      <w:pPr>
        <w:pStyle w:val="Heading3"/>
        <w:rPr/>
      </w:pPr>
      <w:bookmarkStart w:id="64" w:name="__RefHeading___Toc517461866"/>
      <w:bookmarkEnd w:id="64"/>
      <w:r>
        <w:rPr/>
        <w:t>2.1.3</w:t>
        <w:tab/>
        <w:t>Controlling presentation of the CLI when CLIR is provisioned in temporary mode</w:t>
      </w:r>
    </w:p>
    <w:p>
      <w:pPr>
        <w:pStyle w:val="Normal"/>
        <w:rPr/>
      </w:pPr>
      <w:r>
        <w:rPr/>
        <w:t>A subscriber can have calling line identification restriction provisioned in temporary mode with one of two default values: presentation restricted or presentation allowed.</w:t>
      </w:r>
    </w:p>
    <w:p>
      <w:pPr>
        <w:pStyle w:val="Normal"/>
        <w:rPr/>
      </w:pPr>
      <w:r>
        <w:rPr/>
        <w:t>If the default value is set to presentation restricted, the default handling is not to present the originating party's CLI to the terminating party (i.e. the terminating MS or TE).</w:t>
      </w:r>
    </w:p>
    <w:p>
      <w:pPr>
        <w:pStyle w:val="Normal"/>
        <w:rPr/>
      </w:pPr>
      <w:r>
        <w:rPr/>
        <w:t>However, it is possible for the originating subscriber to present his CLI to the terminating party. The originating subscriber must indicate during call set</w:t>
        <w:noBreakHyphen/>
        <w:t>up that the CLI must be presented to the terminating party. This procedure is illustrated in figure 2.1.</w:t>
      </w:r>
    </w:p>
    <w:p>
      <w:pPr>
        <w:pStyle w:val="TH"/>
        <w:rPr/>
      </w:pPr>
      <w:r>
        <w:rPr/>
        <w:object w:dxaOrig="2880" w:dyaOrig="1428">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44pt;height:71.4pt" filled="f" o:ole="">
            <v:imagedata r:id="rId22" o:title=""/>
          </v:shape>
          <o:OLEObject Type="Embed" ProgID="" ShapeID="ole_rId21" DrawAspect="Content" ObjectID="_2130670578" r:id="rId21"/>
        </w:object>
      </w:r>
    </w:p>
    <w:p>
      <w:pPr>
        <w:pStyle w:val="TF"/>
        <w:rPr/>
      </w:pPr>
      <w:r>
        <w:rPr/>
        <w:t>Figure 2.1: MS indicating presentation of CLI when CLIR is provisioned in temporary mode with default value "presentation restricted"</w:t>
      </w:r>
    </w:p>
    <w:p>
      <w:pPr>
        <w:pStyle w:val="Normal"/>
        <w:rPr/>
      </w:pPr>
      <w:r>
        <w:rPr/>
        <w:t>If the default value is set to presentation allowed, the default handling is to present the originating party's CLI to the terminating party (i.e. the terminating MS or TE).</w:t>
      </w:r>
    </w:p>
    <w:p>
      <w:pPr>
        <w:pStyle w:val="Normal"/>
        <w:rPr/>
      </w:pPr>
      <w:r>
        <w:rPr/>
        <w:t>However, it is possible for the originating subscriber to restrict presentation of his CLI to the terminating party. The originating subscriber must indicate during call set</w:t>
        <w:noBreakHyphen/>
        <w:t>up that CLI presentation must be restricted. This procedure is illustrated in figure 2.2.</w:t>
      </w:r>
    </w:p>
    <w:p>
      <w:pPr>
        <w:pStyle w:val="TH"/>
        <w:rPr/>
      </w:pPr>
      <w:r>
        <w:rPr/>
        <w:object w:dxaOrig="2880" w:dyaOrig="1428">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44pt;height:71.4pt" filled="f" o:ole="">
            <v:imagedata r:id="rId24" o:title=""/>
          </v:shape>
          <o:OLEObject Type="Embed" ProgID="" ShapeID="ole_rId23" DrawAspect="Content" ObjectID="_2120168422" r:id="rId23"/>
        </w:object>
      </w:r>
    </w:p>
    <w:p>
      <w:pPr>
        <w:pStyle w:val="TF"/>
        <w:rPr/>
      </w:pPr>
      <w:r>
        <w:rPr/>
        <w:t>Figure 2.2</w:t>
      </w:r>
      <w:r>
        <w:rPr>
          <w:rFonts w:cs="Courier;Courier New" w:ascii="Courier;Courier New" w:hAnsi="Courier;Courier New"/>
          <w:sz w:val="24"/>
        </w:rPr>
        <w:t>:</w:t>
      </w:r>
      <w:r>
        <w:rPr/>
        <w:t xml:space="preserve"> MS invoking CLIR, when CLIR is provisioned in temporary mode with default value "presentation allowed"</w:t>
      </w:r>
    </w:p>
    <w:p>
      <w:pPr>
        <w:pStyle w:val="Heading3"/>
        <w:rPr/>
      </w:pPr>
      <w:bookmarkStart w:id="65" w:name="__RefHeading___Toc517461867"/>
      <w:bookmarkEnd w:id="65"/>
      <w:r>
        <w:rPr/>
        <w:t>2.1.4</w:t>
        <w:tab/>
        <w:t>Interrogation</w:t>
      </w:r>
    </w:p>
    <w:p>
      <w:pPr>
        <w:pStyle w:val="Normal"/>
        <w:rPr>
          <w:b/>
          <w:b/>
          <w:u w:val="single"/>
        </w:rPr>
      </w:pPr>
      <w:r>
        <w:rPr>
          <w:b/>
          <w:u w:val="single"/>
        </w:rPr>
        <w:t>Data request</w:t>
      </w:r>
    </w:p>
    <w:p>
      <w:pPr>
        <w:pStyle w:val="Normal"/>
        <w:rPr/>
      </w:pPr>
      <w:r>
        <w:rPr/>
        <w:t>The mobile subscriber can request the data of the supplementary service.</w:t>
      </w:r>
    </w:p>
    <w:p>
      <w:pPr>
        <w:pStyle w:val="Normal"/>
        <w:rPr/>
      </w:pPr>
      <w:r>
        <w:rPr/>
        <w:t>In response the following information shall be given:</w:t>
      </w:r>
    </w:p>
    <w:p>
      <w:pPr>
        <w:pStyle w:val="B1"/>
        <w:rPr/>
      </w:pPr>
      <w:r>
        <w:rPr/>
        <w:noBreakHyphen/>
      </w:r>
      <w:r>
        <w:rPr/>
        <w:tab/>
        <w:t>whether the service is provided or not;</w:t>
      </w:r>
    </w:p>
    <w:p>
      <w:pPr>
        <w:pStyle w:val="B1"/>
        <w:rPr/>
      </w:pPr>
      <w:r>
        <w:rPr/>
        <w:noBreakHyphen/>
      </w:r>
      <w:r>
        <w:rPr/>
        <w:tab/>
        <w:t>if provided which mode is subscribed;</w:t>
      </w:r>
    </w:p>
    <w:p>
      <w:pPr>
        <w:pStyle w:val="B1"/>
        <w:rPr/>
      </w:pPr>
      <w:r>
        <w:rPr/>
        <w:noBreakHyphen/>
      </w:r>
      <w:r>
        <w:rPr/>
        <w:tab/>
        <w:t>if subscribed to the temporary mode: which default value.</w:t>
      </w:r>
    </w:p>
    <w:p>
      <w:pPr>
        <w:pStyle w:val="Normal"/>
        <w:rPr/>
      </w:pPr>
      <w:r>
        <w:rPr/>
        <w:t>This procedure is illustrated in figure 2.3.</w:t>
      </w:r>
    </w:p>
    <w:p>
      <w:pPr>
        <w:pStyle w:val="TH"/>
        <w:rPr/>
      </w:pPr>
      <w:r>
        <w:rPr/>
        <w:object w:dxaOrig="7620" w:dyaOrig="2234">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81pt;height:111.7pt" filled="f" o:ole="">
            <v:imagedata r:id="rId26" o:title=""/>
          </v:shape>
          <o:OLEObject Type="Embed" ProgID="" ShapeID="ole_rId25" DrawAspect="Content" ObjectID="_820935431" r:id="rId25"/>
        </w:object>
      </w:r>
    </w:p>
    <w:p>
      <w:pPr>
        <w:pStyle w:val="TF"/>
        <w:rPr/>
      </w:pPr>
      <w:r>
        <w:rPr/>
        <w:t>Figure 2.3: Interrogation of calling line identification restriction</w:t>
      </w:r>
    </w:p>
    <w:p>
      <w:pPr>
        <w:pStyle w:val="Heading2"/>
        <w:rPr/>
      </w:pPr>
      <w:bookmarkStart w:id="66" w:name="__RefHeading___Toc517461868"/>
      <w:bookmarkEnd w:id="66"/>
      <w:r>
        <w:rPr/>
        <w:t>2.2</w:t>
        <w:tab/>
        <w:t>Functions and information flows</w:t>
      </w:r>
    </w:p>
    <w:p>
      <w:pPr>
        <w:pStyle w:val="Normal"/>
        <w:rPr/>
      </w:pPr>
      <w:r>
        <w:rPr/>
        <w:t>The following Mobile Additional Functions have been identified for the PLMN:</w:t>
      </w:r>
    </w:p>
    <w:p>
      <w:pPr>
        <w:pStyle w:val="B1"/>
        <w:rPr>
          <w:u w:val="single"/>
        </w:rPr>
      </w:pPr>
      <w:r>
        <w:rPr>
          <w:u w:val="single"/>
        </w:rPr>
        <w:t>MAF003</w:t>
      </w:r>
    </w:p>
    <w:p>
      <w:pPr>
        <w:pStyle w:val="B1"/>
        <w:rPr/>
      </w:pPr>
      <w:r>
        <w:rPr/>
        <w:tab/>
        <w:t>Determination of the calling line identification restriction subscription</w:t>
      </w:r>
    </w:p>
    <w:p>
      <w:pPr>
        <w:pStyle w:val="B1"/>
        <w:rPr/>
      </w:pPr>
      <w:r>
        <w:rPr/>
        <w:tab/>
        <w:t>The ability of a PLMN component to determine whether the supplementary service is provisioned for the mobile subscriber. See figure 2.4.</w:t>
      </w:r>
    </w:p>
    <w:p>
      <w:pPr>
        <w:pStyle w:val="B2"/>
        <w:rPr/>
      </w:pPr>
      <w:r>
        <w:rPr/>
        <w:t>Location: VLR.</w:t>
      </w:r>
    </w:p>
    <w:p>
      <w:pPr>
        <w:pStyle w:val="B1"/>
        <w:rPr>
          <w:u w:val="single"/>
        </w:rPr>
      </w:pPr>
      <w:r>
        <w:rPr>
          <w:u w:val="single"/>
        </w:rPr>
        <w:t>MAF004</w:t>
      </w:r>
    </w:p>
    <w:p>
      <w:pPr>
        <w:pStyle w:val="B1"/>
        <w:rPr/>
      </w:pPr>
      <w:r>
        <w:rPr/>
        <w:tab/>
        <w:t>Determination of the calling party number for offering to the called party</w:t>
      </w:r>
    </w:p>
    <w:p>
      <w:pPr>
        <w:pStyle w:val="B1"/>
        <w:rPr/>
      </w:pPr>
      <w:r>
        <w:rPr/>
        <w:tab/>
        <w:t>The ability of a PLMN component to determine and to forward the calling line identity and related indications to the called party. See figure 2.5.</w:t>
      </w:r>
    </w:p>
    <w:p>
      <w:pPr>
        <w:pStyle w:val="B2"/>
        <w:rPr/>
      </w:pPr>
      <w:r>
        <w:rPr/>
        <w:t>Location: originating MSC.</w:t>
      </w:r>
    </w:p>
    <w:p>
      <w:pPr>
        <w:pStyle w:val="Normal"/>
        <w:rPr/>
      </w:pPr>
      <w:r>
        <w:rPr/>
        <w:t>The information flows are shown in figures 2.6 to 2.9.</w:t>
      </w:r>
    </w:p>
    <w:p>
      <w:pPr>
        <w:pStyle w:val="TH"/>
        <w:rPr/>
      </w:pPr>
      <w:r>
        <w:rPr/>
        <w:drawing>
          <wp:inline distT="0" distB="0" distL="0" distR="0">
            <wp:extent cx="6116955" cy="8256905"/>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27"/>
                    <a:srcRect l="-12" t="-12" r="-12" b="-12"/>
                    <a:stretch>
                      <a:fillRect/>
                    </a:stretch>
                  </pic:blipFill>
                  <pic:spPr bwMode="auto">
                    <a:xfrm>
                      <a:off x="0" y="0"/>
                      <a:ext cx="6116955" cy="8256905"/>
                    </a:xfrm>
                    <a:prstGeom prst="rect">
                      <a:avLst/>
                    </a:prstGeom>
                  </pic:spPr>
                </pic:pic>
              </a:graphicData>
            </a:graphic>
          </wp:inline>
        </w:drawing>
      </w:r>
    </w:p>
    <w:p>
      <w:pPr>
        <w:pStyle w:val="TF"/>
        <w:rPr/>
      </w:pPr>
      <w:r>
        <w:rPr/>
        <w:t>Figure 2.4: MAF003 Determination of calling line identification restriction subscription</w:t>
        <w:br/>
        <w:t>(VLR)</w:t>
      </w:r>
    </w:p>
    <w:p>
      <w:pPr>
        <w:pStyle w:val="TH"/>
        <w:rPr>
          <w:b w:val="false"/>
          <w:b w:val="false"/>
        </w:rPr>
      </w:pPr>
      <w:r>
        <w:rPr>
          <w:b w:val="false"/>
        </w:rPr>
        <w:drawing>
          <wp:inline distT="0" distB="0" distL="0" distR="0">
            <wp:extent cx="6118860" cy="7400925"/>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28"/>
                    <a:srcRect l="-5" t="-4" r="-5" b="-4"/>
                    <a:stretch>
                      <a:fillRect/>
                    </a:stretch>
                  </pic:blipFill>
                  <pic:spPr bwMode="auto">
                    <a:xfrm>
                      <a:off x="0" y="0"/>
                      <a:ext cx="6118860" cy="7400925"/>
                    </a:xfrm>
                    <a:prstGeom prst="rect">
                      <a:avLst/>
                    </a:prstGeom>
                  </pic:spPr>
                </pic:pic>
              </a:graphicData>
            </a:graphic>
          </wp:inline>
        </w:drawing>
      </w:r>
    </w:p>
    <w:p>
      <w:pPr>
        <w:pStyle w:val="TF"/>
        <w:rPr/>
      </w:pPr>
      <w:r>
        <w:rPr/>
        <w:t>Figure 2.5: MAF004 Determination of the presentation indicator</w:t>
        <w:br/>
        <w:t>(originating MSC)</w:t>
      </w:r>
    </w:p>
    <w:p>
      <w:pPr>
        <w:pStyle w:val="TH"/>
        <w:rPr>
          <w:lang w:val="en-US" w:eastAsia="en-US"/>
        </w:rPr>
      </w:pPr>
      <w:r>
        <w:rPr>
          <w:lang w:val="en-US" w:eastAsia="en-US"/>
        </w:rPr>
        <w:drawing>
          <wp:inline distT="0" distB="0" distL="0" distR="0">
            <wp:extent cx="6106160" cy="8316595"/>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29"/>
                    <a:srcRect l="-5" t="-4" r="-5" b="-4"/>
                    <a:stretch>
                      <a:fillRect/>
                    </a:stretch>
                  </pic:blipFill>
                  <pic:spPr bwMode="auto">
                    <a:xfrm>
                      <a:off x="0" y="0"/>
                      <a:ext cx="6106160" cy="8316595"/>
                    </a:xfrm>
                    <a:prstGeom prst="rect">
                      <a:avLst/>
                    </a:prstGeom>
                  </pic:spPr>
                </pic:pic>
              </a:graphicData>
            </a:graphic>
          </wp:inline>
        </w:drawing>
      </w:r>
    </w:p>
    <w:p>
      <w:pPr>
        <w:pStyle w:val="TF"/>
        <w:rPr>
          <w:b w:val="false"/>
          <w:b w:val="false"/>
        </w:rPr>
      </w:pPr>
      <w:r>
        <w:rPr>
          <w:lang w:eastAsia="ja-JP"/>
        </w:rPr>
        <w:t>Figure 2.6: Procedure Cause_of_no_CLI_CLIR</w:t>
      </w:r>
    </w:p>
    <w:p>
      <w:pPr>
        <w:pStyle w:val="TH"/>
        <w:rPr/>
      </w:pPr>
      <w:bookmarkStart w:id="67" w:name="_1023267408"/>
      <w:bookmarkStart w:id="68" w:name="_1021806295"/>
      <w:bookmarkStart w:id="69" w:name="_1021806236"/>
      <w:bookmarkStart w:id="70" w:name="_1021806205"/>
      <w:bookmarkStart w:id="71" w:name="_1021276547"/>
      <w:bookmarkStart w:id="72" w:name="_1021276410"/>
      <w:bookmarkStart w:id="73" w:name="_1019561062"/>
      <w:bookmarkStart w:id="74" w:name="_1019561042"/>
      <w:bookmarkStart w:id="75" w:name="_1019560906"/>
      <w:bookmarkStart w:id="76" w:name="_1019559747"/>
      <w:bookmarkStart w:id="77" w:name="_1019555750"/>
      <w:bookmarkStart w:id="78" w:name="_1019555633"/>
      <w:bookmarkEnd w:id="67"/>
      <w:bookmarkEnd w:id="68"/>
      <w:bookmarkEnd w:id="69"/>
      <w:bookmarkEnd w:id="70"/>
      <w:bookmarkEnd w:id="71"/>
      <w:bookmarkEnd w:id="72"/>
      <w:bookmarkEnd w:id="73"/>
      <w:bookmarkEnd w:id="74"/>
      <w:bookmarkEnd w:id="75"/>
      <w:bookmarkEnd w:id="76"/>
      <w:bookmarkEnd w:id="77"/>
      <w:bookmarkEnd w:id="78"/>
      <w:r>
        <w:rPr/>
        <w:object w:dxaOrig="8400" w:dyaOrig="5188">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23.75pt;height:244.6pt" filled="f" o:ole="">
            <v:imagedata r:id="rId31" o:title=""/>
          </v:shape>
          <o:OLEObject Type="Embed" ProgID="" ShapeID="ole_rId30" DrawAspect="Content" ObjectID="_2002273091" r:id="rId30"/>
        </w:object>
      </w:r>
    </w:p>
    <w:p>
      <w:pPr>
        <w:pStyle w:val="TF"/>
        <w:rPr/>
      </w:pPr>
      <w:r>
        <w:rPr/>
        <w:t>Figure 2.7: Information flow for calling line identification restriction in permanent or temporary mode with the default value "presentation restricted"</w:t>
      </w:r>
    </w:p>
    <w:p>
      <w:pPr>
        <w:pStyle w:val="NO"/>
        <w:rPr/>
      </w:pPr>
      <w:r>
        <w:rPr/>
        <w:t>NOTE:</w:t>
        <w:tab/>
        <w:t>**:</w:t>
        <w:tab/>
        <w:t>A subaddress may be received from the MS</w:t>
        <w:tab/>
        <w:br/>
        <w:t>SI:</w:t>
        <w:tab/>
        <w:t>screening indicator</w:t>
        <w:tab/>
        <w:br/>
        <w:t>PI:</w:t>
        <w:tab/>
        <w:t>presentation indicator</w:t>
        <w:tab/>
        <w:br/>
        <w:t>LI:</w:t>
        <w:tab/>
        <w:t>line identity</w:t>
      </w:r>
    </w:p>
    <w:p>
      <w:pPr>
        <w:pStyle w:val="TH"/>
        <w:rPr/>
      </w:pPr>
      <w:r>
        <w:rPr/>
        <w:object w:dxaOrig="7941" w:dyaOrig="353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97.05pt;height:176.5pt" filled="f" o:ole="">
            <v:imagedata r:id="rId33" o:title=""/>
          </v:shape>
          <o:OLEObject Type="Embed" ProgID="" ShapeID="ole_rId32" DrawAspect="Content" ObjectID="_408202343" r:id="rId32"/>
        </w:object>
      </w:r>
    </w:p>
    <w:p>
      <w:pPr>
        <w:pStyle w:val="TF"/>
        <w:rPr/>
      </w:pPr>
      <w:r>
        <w:rPr/>
        <w:t>Figure 2.8: Information flow for allowing presentation of the CLI when CLIR is provisioned in temporary mode with default value "presentation restricted"</w:t>
      </w:r>
    </w:p>
    <w:p>
      <w:pPr>
        <w:pStyle w:val="NO"/>
        <w:rPr/>
      </w:pPr>
      <w:r>
        <w:rPr/>
        <w:t>NOTE:</w:t>
        <w:tab/>
        <w:t>**:</w:t>
        <w:tab/>
        <w:t>A subaddress may be received from the MS</w:t>
        <w:tab/>
        <w:br/>
        <w:t>SI:</w:t>
        <w:tab/>
        <w:t>screening indicator</w:t>
        <w:tab/>
        <w:br/>
        <w:t>PI:</w:t>
        <w:tab/>
        <w:t>presentation indicator</w:t>
        <w:tab/>
        <w:br/>
        <w:t>LI:</w:t>
        <w:tab/>
        <w:t>line identity</w:t>
        <w:tab/>
        <w:br/>
        <w:t>CLI:</w:t>
        <w:tab/>
        <w:t>calling line identity</w:t>
      </w:r>
    </w:p>
    <w:p>
      <w:pPr>
        <w:pStyle w:val="TH"/>
        <w:rPr/>
      </w:pPr>
      <w:r>
        <w:rPr/>
        <w:object w:dxaOrig="7941" w:dyaOrig="353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97.05pt;height:176.5pt" filled="f" o:ole="">
            <v:imagedata r:id="rId35" o:title=""/>
          </v:shape>
          <o:OLEObject Type="Embed" ProgID="" ShapeID="ole_rId34" DrawAspect="Content" ObjectID="_1931045714" r:id="rId34"/>
        </w:object>
      </w:r>
    </w:p>
    <w:p>
      <w:pPr>
        <w:pStyle w:val="TF"/>
        <w:rPr/>
      </w:pPr>
      <w:r>
        <w:rPr/>
      </w:r>
    </w:p>
    <w:p>
      <w:pPr>
        <w:pStyle w:val="NO"/>
        <w:rPr/>
      </w:pPr>
      <w:r>
        <w:rPr/>
        <w:t>NOTE:</w:t>
        <w:tab/>
        <w:t>**:</w:t>
        <w:tab/>
        <w:t>A subaddress may be received from the MS</w:t>
        <w:tab/>
        <w:br/>
        <w:t>SI:</w:t>
        <w:tab/>
        <w:t>screening indicator</w:t>
        <w:tab/>
        <w:br/>
        <w:t>PI:</w:t>
        <w:tab/>
        <w:t>presentation indicator</w:t>
        <w:tab/>
        <w:br/>
        <w:t>LI:</w:t>
        <w:tab/>
        <w:t>line identity</w:t>
        <w:tab/>
      </w:r>
    </w:p>
    <w:p>
      <w:pPr>
        <w:pStyle w:val="TH"/>
        <w:rPr/>
      </w:pPr>
      <w:bookmarkStart w:id="79" w:name="_1021806252"/>
      <w:bookmarkStart w:id="80" w:name="_1021276568"/>
      <w:bookmarkStart w:id="81" w:name="_1019561191"/>
      <w:bookmarkStart w:id="82" w:name="_1019559596"/>
      <w:bookmarkStart w:id="83" w:name="_1019556323"/>
      <w:bookmarkEnd w:id="79"/>
      <w:bookmarkEnd w:id="80"/>
      <w:bookmarkEnd w:id="81"/>
      <w:bookmarkEnd w:id="82"/>
      <w:bookmarkEnd w:id="83"/>
      <w:r>
        <w:rPr/>
        <w:object w:dxaOrig="8640" w:dyaOrig="513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37.15pt;height:242.3pt" filled="f" o:ole="">
            <v:imagedata r:id="rId37" o:title=""/>
          </v:shape>
          <o:OLEObject Type="Embed" ProgID="" ShapeID="ole_rId36" DrawAspect="Content" ObjectID="_2122523117" r:id="rId36"/>
        </w:object>
      </w:r>
    </w:p>
    <w:p>
      <w:pPr>
        <w:pStyle w:val="TF"/>
        <w:rPr/>
      </w:pPr>
      <w:r>
        <w:rPr/>
        <w:t>Figure 2.9</w:t>
      </w:r>
      <w:r>
        <w:rPr>
          <w:rFonts w:cs="Courier;Courier New" w:ascii="Courier;Courier New" w:hAnsi="Courier;Courier New"/>
          <w:sz w:val="24"/>
        </w:rPr>
        <w:t xml:space="preserve">: </w:t>
      </w:r>
      <w:r>
        <w:rPr/>
        <w:t>Information flow for calling line identification restriction in temporary mode with default value "presentation allowed"</w:t>
      </w:r>
    </w:p>
    <w:p>
      <w:pPr>
        <w:pStyle w:val="NO"/>
        <w:rPr/>
      </w:pPr>
      <w:r>
        <w:rPr/>
        <w:t>NOTE:</w:t>
        <w:tab/>
        <w:t>**:</w:t>
        <w:tab/>
        <w:t>A subaddress may be received from the MS</w:t>
        <w:tab/>
        <w:br/>
        <w:t>SI:</w:t>
        <w:tab/>
        <w:t>screening indicator</w:t>
        <w:tab/>
        <w:br/>
        <w:t>PI:</w:t>
        <w:tab/>
        <w:t>presentation indicator</w:t>
        <w:tab/>
        <w:br/>
        <w:t>LI:</w:t>
        <w:tab/>
        <w:t>line identity</w:t>
        <w:tab/>
        <w:br/>
        <w:t>CLI:</w:t>
        <w:tab/>
        <w:t>calling line identity</w:t>
      </w:r>
    </w:p>
    <w:p>
      <w:pPr>
        <w:pStyle w:val="Heading2"/>
        <w:rPr/>
      </w:pPr>
      <w:bookmarkStart w:id="84" w:name="__RefHeading___Toc517461869"/>
      <w:bookmarkEnd w:id="84"/>
      <w:r>
        <w:rPr/>
        <w:t>2.3</w:t>
        <w:tab/>
        <w:t>Information stored in the HLR</w:t>
      </w:r>
    </w:p>
    <w:p>
      <w:pPr>
        <w:pStyle w:val="Normal"/>
        <w:keepNext w:val="true"/>
        <w:keepLines/>
        <w:rPr/>
      </w:pPr>
      <w:r>
        <w:rPr/>
        <w:t xml:space="preserve">CLIR may have the following logical states (refer to </w:t>
      </w:r>
      <w:r>
        <w:rPr>
          <w:lang w:eastAsia="ja-JP"/>
        </w:rPr>
        <w:t>3GPP TS 23.011</w:t>
      </w:r>
      <w:r>
        <w:rPr/>
        <w:t xml:space="preserve">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 xml:space="preserve">   </w:t>
      </w: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keepNext w:val="true"/>
        <w:keepLines/>
        <w:rPr/>
      </w:pPr>
      <w:r>
        <w:rPr/>
        <w:t>The HLR shall store the logical state of CLIR (which shall be one of the valid states listed above) on a per subscriber basis.</w:t>
      </w:r>
    </w:p>
    <w:p>
      <w:pPr>
        <w:pStyle w:val="Normal"/>
        <w:keepNext w:val="true"/>
        <w:keepLines/>
        <w:rPr/>
      </w:pPr>
      <w:r>
        <w:rPr/>
        <w:t>The HLR shall also store the subscription option "presentation mode" on a per subscriber basis.</w:t>
      </w:r>
    </w:p>
    <w:p>
      <w:pPr>
        <w:pStyle w:val="B2"/>
        <w:keepNext w:val="true"/>
        <w:keepLines/>
        <w:rPr/>
      </w:pPr>
      <w:r>
        <w:rPr/>
        <w:t>This parameter takes one of the following values:</w:t>
      </w:r>
    </w:p>
    <w:p>
      <w:pPr>
        <w:pStyle w:val="B2"/>
        <w:keepNext w:val="true"/>
        <w:keepLines/>
        <w:rPr/>
      </w:pPr>
      <w:r>
        <w:rPr/>
        <w:noBreakHyphen/>
      </w:r>
      <w:r>
        <w:rPr/>
        <w:tab/>
        <w:t>permanent;</w:t>
      </w:r>
    </w:p>
    <w:p>
      <w:pPr>
        <w:pStyle w:val="B2"/>
        <w:keepNext w:val="true"/>
        <w:keepLines/>
        <w:rPr/>
      </w:pPr>
      <w:r>
        <w:rPr/>
        <w:noBreakHyphen/>
      </w:r>
      <w:r>
        <w:rPr/>
        <w:tab/>
        <w:t>temporary (presentation restricted);</w:t>
      </w:r>
    </w:p>
    <w:p>
      <w:pPr>
        <w:pStyle w:val="B2"/>
        <w:rPr/>
      </w:pPr>
      <w:r>
        <w:rPr/>
        <w:noBreakHyphen/>
      </w:r>
      <w:r>
        <w:rPr/>
        <w:tab/>
        <w:t>temporary (presentation allowed).</w:t>
      </w:r>
    </w:p>
    <w:p>
      <w:pPr>
        <w:pStyle w:val="Heading2"/>
        <w:rPr/>
      </w:pPr>
      <w:bookmarkStart w:id="85" w:name="__RefHeading___Toc517461870"/>
      <w:bookmarkEnd w:id="85"/>
      <w:r>
        <w:rPr/>
        <w:t>2.4</w:t>
        <w:tab/>
        <w:t>State transition model</w:t>
      </w:r>
    </w:p>
    <w:p>
      <w:pPr>
        <w:pStyle w:val="Normal"/>
        <w:rPr/>
      </w:pPr>
      <w:r>
        <w:rPr/>
        <w:t>The following figure shows the successful cases of transition between the applicable logical states of CLIR.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TH"/>
        <w:rPr/>
      </w:pPr>
      <w:r>
        <w:rPr/>
        <w:object w:dxaOrig="6883" w:dyaOrig="2536">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44.15pt;height:126.8pt" filled="f" o:ole="">
            <v:imagedata r:id="rId39" o:title=""/>
          </v:shape>
          <o:OLEObject Type="Embed" ProgID="" ShapeID="ole_rId38" DrawAspect="Content" ObjectID="_618616827" r:id="rId38"/>
        </w:object>
      </w:r>
    </w:p>
    <w:p>
      <w:pPr>
        <w:pStyle w:val="TF"/>
        <w:rPr/>
      </w:pPr>
      <w:r>
        <w:rPr/>
        <w:t>Figure 2.10: State transition model for CLIR</w:t>
      </w:r>
    </w:p>
    <w:p>
      <w:pPr>
        <w:pStyle w:val="Heading2"/>
        <w:rPr/>
      </w:pPr>
      <w:bookmarkStart w:id="86" w:name="__RefHeading___Toc517461871"/>
      <w:bookmarkEnd w:id="86"/>
      <w:r>
        <w:rPr/>
        <w:t>2.5</w:t>
        <w:tab/>
        <w:t>Transfer of information from HLR to VLR</w:t>
      </w:r>
    </w:p>
    <w:p>
      <w:pPr>
        <w:pStyle w:val="Normal"/>
        <w:rPr/>
      </w:pPr>
      <w:r>
        <w:rPr/>
        <w:t>When the subscriber registers on a VLR, the HLR shall send that VLR information about the logical state of CLIR and the presentation mode.</w:t>
      </w:r>
    </w:p>
    <w:p>
      <w:pPr>
        <w:pStyle w:val="Normal"/>
        <w:rPr>
          <w:b/>
          <w:b/>
        </w:rPr>
      </w:pPr>
      <w:r>
        <w:rPr/>
        <w:t>If the logical state of CLIR or the presentation mode is changed while a subscriber is registered on a VLR then the HLR shall inform the VLR of the new logical state of CLIR and (if the provisioning state is "Provisioned") the new presentation mode.</w:t>
      </w:r>
    </w:p>
    <w:p>
      <w:pPr>
        <w:pStyle w:val="Heading2"/>
        <w:rPr/>
      </w:pPr>
      <w:bookmarkStart w:id="87" w:name="__RefHeading___Toc517461872"/>
      <w:bookmarkEnd w:id="87"/>
      <w:r>
        <w:rPr/>
        <w:t>2.6</w:t>
        <w:tab/>
        <w:t>Information stored in the VLR</w:t>
      </w:r>
    </w:p>
    <w:p>
      <w:pPr>
        <w:pStyle w:val="Normal"/>
        <w:rPr/>
      </w:pPr>
      <w:r>
        <w:rPr/>
        <w:t>For CLIR, the VLR shall store the service state information and presentation mode received from the HLR.</w:t>
      </w:r>
    </w:p>
    <w:p>
      <w:pPr>
        <w:pStyle w:val="Heading2"/>
        <w:rPr/>
      </w:pPr>
      <w:bookmarkStart w:id="88" w:name="__RefHeading___Toc517461873"/>
      <w:bookmarkEnd w:id="88"/>
      <w:r>
        <w:rPr/>
        <w:t>2.7</w:t>
        <w:tab/>
        <w:t>Handover</w:t>
      </w:r>
    </w:p>
    <w:p>
      <w:pPr>
        <w:pStyle w:val="Normal"/>
        <w:rPr/>
      </w:pPr>
      <w:r>
        <w:rPr/>
        <w:t>Handover will have no impact on the control procedures and the operation of the service.</w:t>
      </w:r>
    </w:p>
    <w:p>
      <w:pPr>
        <w:pStyle w:val="Heading2"/>
        <w:rPr/>
      </w:pPr>
      <w:bookmarkStart w:id="89" w:name="__RefHeading___Toc517461874"/>
      <w:bookmarkEnd w:id="89"/>
      <w:r>
        <w:rPr/>
        <w:t>2.8</w:t>
        <w:tab/>
        <w:t>Interworking</w:t>
      </w:r>
    </w:p>
    <w:p>
      <w:pPr>
        <w:pStyle w:val="Normal"/>
        <w:keepNext w:val="true"/>
        <w:keepLines/>
        <w:rPr/>
      </w:pPr>
      <w:r>
        <w:rPr/>
        <w:t>The VPLMN needs to distinguish three cases in order to meet data privacy requirements in an environment where support of CLIP and CLIR is optional:</w:t>
      </w:r>
    </w:p>
    <w:p>
      <w:pPr>
        <w:pStyle w:val="B1"/>
        <w:keepNext w:val="true"/>
        <w:keepLines/>
        <w:rPr/>
      </w:pPr>
      <w:r>
        <w:rPr/>
        <w:t>a)</w:t>
        <w:tab/>
        <w:t>the HPLMN supports CLIR, and CLIR is provisioned for the subscriber;</w:t>
      </w:r>
    </w:p>
    <w:p>
      <w:pPr>
        <w:pStyle w:val="B1"/>
        <w:keepNext w:val="true"/>
        <w:keepLines/>
        <w:rPr/>
      </w:pPr>
      <w:r>
        <w:rPr/>
        <w:t>b)</w:t>
        <w:tab/>
        <w:t>the HPLMN supports CLIR, but CLIR is not provisioned for the subscriber;</w:t>
      </w:r>
    </w:p>
    <w:p>
      <w:pPr>
        <w:pStyle w:val="B1"/>
        <w:rPr/>
      </w:pPr>
      <w:r>
        <w:rPr/>
        <w:t>c)</w:t>
        <w:tab/>
        <w:t>the HPLMN does not support CLIR.</w:t>
      </w:r>
    </w:p>
    <w:p>
      <w:pPr>
        <w:pStyle w:val="Normal"/>
        <w:rPr/>
      </w:pPr>
      <w:r>
        <w:rPr/>
        <w:t>In case a) the VPLMN must apply the CLIR subscription as indicated by the data sent by the HPLMN.</w:t>
      </w:r>
    </w:p>
    <w:p>
      <w:pPr>
        <w:pStyle w:val="Normal"/>
        <w:rPr/>
      </w:pPr>
      <w:r>
        <w:rPr/>
        <w:t>In case b) the VPLMN must not apply CLIR.</w:t>
      </w:r>
    </w:p>
    <w:p>
      <w:pPr>
        <w:pStyle w:val="Normal"/>
        <w:rPr/>
      </w:pPr>
      <w:r>
        <w:rPr/>
        <w:t>In case c) the VPLMN must apply an implicit CLIR subscription.</w:t>
      </w:r>
    </w:p>
    <w:p>
      <w:pPr>
        <w:pStyle w:val="Normal"/>
        <w:rPr/>
      </w:pPr>
      <w:r>
        <w:rPr/>
        <w:t>To allow the VPLMN to make this distinction, the HLR and VLR behave as follows:</w:t>
      </w:r>
    </w:p>
    <w:p>
      <w:pPr>
        <w:pStyle w:val="B1"/>
        <w:rPr/>
      </w:pPr>
      <w:r>
        <w:rPr/>
        <w:noBreakHyphen/>
      </w:r>
      <w:r>
        <w:rPr/>
        <w:tab/>
        <w:t>If the HLR supports CLIR, but CLIR is not provisioned for the subscriber, the HLR shall inform the VLR that CLIR is not provisioned.</w:t>
      </w:r>
    </w:p>
    <w:p>
      <w:pPr>
        <w:pStyle w:val="B1"/>
        <w:rPr/>
      </w:pPr>
      <w:r>
        <w:rPr/>
        <w:noBreakHyphen/>
      </w:r>
      <w:r>
        <w:rPr/>
        <w:tab/>
        <w:t>If the VLR supports CLIR, but the HLR does not support CLIR, the VLR shall behave in the same way as if CLIR (temporary (presentation restricted)) was provisioned for the subscriber, i.e. the calling line identity shall not be displayed to the called subscriber unless the called subscriber has CLIR override capability. When interrogating the service status the subscriber shall be informed that CLIR (temporary (presentation restricted)) is provided to him and is active.</w:t>
      </w:r>
    </w:p>
    <w:p>
      <w:pPr>
        <w:pStyle w:val="Heading1"/>
        <w:ind w:left="1134" w:hanging="1134"/>
        <w:rPr/>
      </w:pPr>
      <w:bookmarkStart w:id="90" w:name="__RefHeading___Toc517461875"/>
      <w:bookmarkEnd w:id="90"/>
      <w:r>
        <w:rPr/>
        <w:t>3</w:t>
        <w:tab/>
        <w:t>Connected line identification presentation (COLP)</w:t>
      </w:r>
    </w:p>
    <w:p>
      <w:pPr>
        <w:pStyle w:val="Heading2"/>
        <w:rPr/>
      </w:pPr>
      <w:bookmarkStart w:id="91" w:name="__RefHeading___Toc517461876"/>
      <w:bookmarkEnd w:id="91"/>
      <w:r>
        <w:rPr/>
        <w:t>3.1</w:t>
        <w:tab/>
        <w:t>Handling of connected line identification presentation</w:t>
      </w:r>
    </w:p>
    <w:p>
      <w:pPr>
        <w:pStyle w:val="Heading3"/>
        <w:rPr/>
      </w:pPr>
      <w:bookmarkStart w:id="92" w:name="__RefHeading___Toc517461877"/>
      <w:bookmarkEnd w:id="92"/>
      <w:r>
        <w:rPr/>
        <w:t>3.1.1</w:t>
        <w:tab/>
        <w:t>Interrogation</w:t>
      </w:r>
    </w:p>
    <w:p>
      <w:pPr>
        <w:pStyle w:val="Normal"/>
        <w:rPr>
          <w:b/>
          <w:b/>
          <w:u w:val="single"/>
        </w:rPr>
      </w:pPr>
      <w:r>
        <w:rPr>
          <w:b/>
          <w:u w:val="single"/>
        </w:rPr>
        <w:t>Status check</w:t>
      </w:r>
    </w:p>
    <w:p>
      <w:pPr>
        <w:pStyle w:val="Normal"/>
        <w:rPr/>
      </w:pPr>
      <w:r>
        <w:rPr/>
        <w:t>The mobile subscriber can request the status of the supplementary service and be informed if the service is provided to him/her. This procedure is illustrated in figure 3.1.</w:t>
      </w:r>
    </w:p>
    <w:p>
      <w:pPr>
        <w:pStyle w:val="TH"/>
        <w:rPr/>
      </w:pPr>
      <w:r>
        <w:rPr/>
        <w:object w:dxaOrig="7941" w:dyaOrig="256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97.05pt;height:128.25pt" filled="f" o:ole="">
            <v:imagedata r:id="rId41" o:title=""/>
          </v:shape>
          <o:OLEObject Type="Embed" ProgID="" ShapeID="ole_rId40" DrawAspect="Content" ObjectID="_1501782226" r:id="rId40"/>
        </w:object>
      </w:r>
    </w:p>
    <w:p>
      <w:pPr>
        <w:pStyle w:val="TF"/>
        <w:rPr/>
      </w:pPr>
      <w:r>
        <w:rPr/>
        <w:t>Figure 3.1: Interrogation of connected line identification presentation</w:t>
      </w:r>
    </w:p>
    <w:p>
      <w:pPr>
        <w:pStyle w:val="Heading3"/>
        <w:rPr/>
      </w:pPr>
      <w:bookmarkStart w:id="93" w:name="__RefHeading___Toc517461878"/>
      <w:bookmarkEnd w:id="93"/>
      <w:r>
        <w:rPr/>
        <w:t>3.1.2</w:t>
        <w:tab/>
        <w:t>Interactions with call forwarding supplementary services</w:t>
      </w:r>
    </w:p>
    <w:p>
      <w:pPr>
        <w:pStyle w:val="Normal"/>
        <w:rPr/>
      </w:pPr>
      <w:r>
        <w:rPr/>
        <w:t>If the forwarding user selects the option that the calling user is not notified of the call forwarding, then the calling user shall receive no forwarding notification, and the calling user shall not receive the connected user's identity when the call is answered, unless the calling user has override capability.</w:t>
      </w:r>
    </w:p>
    <w:p>
      <w:pPr>
        <w:pStyle w:val="Heading2"/>
        <w:rPr/>
      </w:pPr>
      <w:bookmarkStart w:id="94" w:name="__RefHeading___Toc517461879"/>
      <w:bookmarkEnd w:id="94"/>
      <w:r>
        <w:rPr/>
        <w:t>3.2</w:t>
        <w:tab/>
        <w:t>Functions and information flows</w:t>
      </w:r>
    </w:p>
    <w:p>
      <w:pPr>
        <w:pStyle w:val="Normal"/>
        <w:rPr/>
      </w:pPr>
      <w:r>
        <w:rPr/>
        <w:t>The following Mobile Additional Functions have been identified for the PLMN:</w:t>
      </w:r>
    </w:p>
    <w:p>
      <w:pPr>
        <w:pStyle w:val="B1"/>
        <w:rPr>
          <w:u w:val="single"/>
        </w:rPr>
      </w:pPr>
      <w:r>
        <w:rPr>
          <w:u w:val="single"/>
        </w:rPr>
        <w:t>MAF005</w:t>
      </w:r>
    </w:p>
    <w:p>
      <w:pPr>
        <w:pStyle w:val="B1"/>
        <w:rPr/>
      </w:pPr>
      <w:r>
        <w:rPr/>
        <w:tab/>
        <w:t>Determination of the connected line identification presentation subscription</w:t>
      </w:r>
    </w:p>
    <w:p>
      <w:pPr>
        <w:pStyle w:val="B1"/>
        <w:rPr/>
      </w:pPr>
      <w:r>
        <w:rPr/>
        <w:tab/>
        <w:t>The ability of a PLMN component to determine whether the supplementary service is provisioned for the mobile subscriber. See figure 3.2.</w:t>
      </w:r>
    </w:p>
    <w:p>
      <w:pPr>
        <w:pStyle w:val="B2"/>
        <w:rPr/>
      </w:pPr>
      <w:r>
        <w:rPr/>
        <w:t>Location: VLR.</w:t>
      </w:r>
    </w:p>
    <w:p>
      <w:pPr>
        <w:pStyle w:val="B1"/>
        <w:rPr>
          <w:u w:val="single"/>
        </w:rPr>
      </w:pPr>
      <w:r>
        <w:rPr>
          <w:u w:val="single"/>
        </w:rPr>
        <w:t>MAF006</w:t>
      </w:r>
    </w:p>
    <w:p>
      <w:pPr>
        <w:pStyle w:val="B1"/>
        <w:rPr/>
      </w:pPr>
      <w:r>
        <w:rPr/>
        <w:tab/>
        <w:t>Determination of the connected party number for offering to the calling party</w:t>
      </w:r>
    </w:p>
    <w:p>
      <w:pPr>
        <w:pStyle w:val="B1"/>
        <w:rPr/>
      </w:pPr>
      <w:r>
        <w:rPr/>
        <w:tab/>
        <w:t>The ability of a PLMN component to determine and to forward the connected line identity and related indications to the calling party. See figure 3.3.</w:t>
      </w:r>
    </w:p>
    <w:p>
      <w:pPr>
        <w:pStyle w:val="B2"/>
        <w:rPr/>
      </w:pPr>
      <w:r>
        <w:rPr/>
        <w:t>Location: originating MSC.</w:t>
      </w:r>
    </w:p>
    <w:p>
      <w:pPr>
        <w:pStyle w:val="B1"/>
        <w:rPr>
          <w:u w:val="single"/>
        </w:rPr>
      </w:pPr>
      <w:r>
        <w:rPr>
          <w:u w:val="single"/>
        </w:rPr>
        <w:t>MAF039</w:t>
      </w:r>
    </w:p>
    <w:p>
      <w:pPr>
        <w:pStyle w:val="B1"/>
        <w:rPr/>
      </w:pPr>
      <w:r>
        <w:rPr/>
        <w:tab/>
        <w:t>Interaction of connected line identification presentation with the call forwarding supplementary services</w:t>
      </w:r>
    </w:p>
    <w:p>
      <w:pPr>
        <w:pStyle w:val="B1"/>
        <w:rPr/>
      </w:pPr>
      <w:r>
        <w:rPr/>
        <w:tab/>
        <w:t>The ability of a PLMN component to determine the presentation indicator of the connected party number after invocation of a call forwarding service. See figure 3.4.</w:t>
      </w:r>
    </w:p>
    <w:p>
      <w:pPr>
        <w:pStyle w:val="B2"/>
        <w:rPr/>
      </w:pPr>
      <w:r>
        <w:rPr/>
        <w:t>Location: forwarding MSC.</w:t>
      </w:r>
    </w:p>
    <w:p>
      <w:pPr>
        <w:pStyle w:val="Normal"/>
        <w:rPr/>
      </w:pPr>
      <w:r>
        <w:rPr/>
        <w:t>The information flow is shown in figure 3.5.</w:t>
      </w:r>
    </w:p>
    <w:p>
      <w:pPr>
        <w:pStyle w:val="TH"/>
        <w:rPr/>
      </w:pPr>
      <w:r>
        <w:rPr/>
        <w:drawing>
          <wp:inline distT="0" distB="0" distL="0" distR="0">
            <wp:extent cx="6116955" cy="8256905"/>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42"/>
                    <a:srcRect l="-154" t="-114" r="-154" b="-114"/>
                    <a:stretch>
                      <a:fillRect/>
                    </a:stretch>
                  </pic:blipFill>
                  <pic:spPr bwMode="auto">
                    <a:xfrm>
                      <a:off x="0" y="0"/>
                      <a:ext cx="6116955" cy="8256905"/>
                    </a:xfrm>
                    <a:prstGeom prst="rect">
                      <a:avLst/>
                    </a:prstGeom>
                  </pic:spPr>
                </pic:pic>
              </a:graphicData>
            </a:graphic>
          </wp:inline>
        </w:drawing>
      </w:r>
    </w:p>
    <w:p>
      <w:pPr>
        <w:pStyle w:val="TF"/>
        <w:rPr/>
      </w:pPr>
      <w:r>
        <w:rPr/>
        <w:t>Figure 3.2: MAF005  Determination of connected line identification presentation subscription</w:t>
        <w:br/>
        <w:t>(VLR)</w:t>
      </w:r>
    </w:p>
    <w:p>
      <w:pPr>
        <w:pStyle w:val="TH"/>
        <w:rPr/>
      </w:pPr>
      <w:r>
        <w:rPr/>
        <w:drawing>
          <wp:inline distT="0" distB="0" distL="0" distR="0">
            <wp:extent cx="6116955" cy="8256905"/>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43"/>
                    <a:srcRect l="-154" t="-114" r="-154" b="-114"/>
                    <a:stretch>
                      <a:fillRect/>
                    </a:stretch>
                  </pic:blipFill>
                  <pic:spPr bwMode="auto">
                    <a:xfrm>
                      <a:off x="0" y="0"/>
                      <a:ext cx="6116955" cy="8256905"/>
                    </a:xfrm>
                    <a:prstGeom prst="rect">
                      <a:avLst/>
                    </a:prstGeom>
                  </pic:spPr>
                </pic:pic>
              </a:graphicData>
            </a:graphic>
          </wp:inline>
        </w:drawing>
      </w:r>
    </w:p>
    <w:p>
      <w:pPr>
        <w:pStyle w:val="TF"/>
        <w:rPr/>
      </w:pPr>
      <w:r>
        <w:rPr/>
        <w:t>Figure 3.3: MAF006  Determination of the information for offering to the connected party</w:t>
        <w:br/>
        <w:t>(originating MSC)</w:t>
      </w:r>
      <w:r>
        <w:rPr>
          <w:vanish/>
        </w:rPr>
        <w:t xml:space="preserve"> (CR A005r1)</w:t>
      </w:r>
    </w:p>
    <w:p>
      <w:pPr>
        <w:pStyle w:val="TH"/>
        <w:rPr/>
      </w:pPr>
      <w:r>
        <w:rPr/>
        <w:drawing>
          <wp:inline distT="0" distB="0" distL="0" distR="0">
            <wp:extent cx="6116955" cy="825690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44"/>
                    <a:srcRect l="-154" t="-114" r="-154" b="-114"/>
                    <a:stretch>
                      <a:fillRect/>
                    </a:stretch>
                  </pic:blipFill>
                  <pic:spPr bwMode="auto">
                    <a:xfrm>
                      <a:off x="0" y="0"/>
                      <a:ext cx="6116955" cy="8256905"/>
                    </a:xfrm>
                    <a:prstGeom prst="rect">
                      <a:avLst/>
                    </a:prstGeom>
                  </pic:spPr>
                </pic:pic>
              </a:graphicData>
            </a:graphic>
          </wp:inline>
        </w:drawing>
      </w:r>
    </w:p>
    <w:p>
      <w:pPr>
        <w:pStyle w:val="TF"/>
        <w:rPr/>
      </w:pPr>
      <w:r>
        <w:rPr/>
        <w:t>Figure 3.4: MAF039  Interaction between COLP and call forwarding services</w:t>
        <w:br/>
        <w:t>(forwarding MSC)</w:t>
      </w:r>
    </w:p>
    <w:p>
      <w:pPr>
        <w:pStyle w:val="TH"/>
        <w:rPr/>
      </w:pPr>
      <w:r>
        <w:rPr/>
        <w:drawing>
          <wp:inline distT="0" distB="0" distL="0" distR="0">
            <wp:extent cx="4730115" cy="6901180"/>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45"/>
                    <a:srcRect l="-7" t="-5" r="-7" b="-5"/>
                    <a:stretch>
                      <a:fillRect/>
                    </a:stretch>
                  </pic:blipFill>
                  <pic:spPr bwMode="auto">
                    <a:xfrm>
                      <a:off x="0" y="0"/>
                      <a:ext cx="4730115" cy="6901180"/>
                    </a:xfrm>
                    <a:prstGeom prst="rect">
                      <a:avLst/>
                    </a:prstGeom>
                  </pic:spPr>
                </pic:pic>
              </a:graphicData>
            </a:graphic>
          </wp:inline>
        </w:drawing>
      </w:r>
    </w:p>
    <w:p>
      <w:pPr>
        <w:pStyle w:val="TF"/>
        <w:rPr/>
      </w:pPr>
      <w:r>
        <w:rPr/>
        <w:t>Figure 3.5: Information flow for connected line identification presentation:</w:t>
        <w:br/>
        <w:t xml:space="preserve">mobile station to mobile station or fixed terminal </w:t>
      </w:r>
    </w:p>
    <w:p>
      <w:pPr>
        <w:pStyle w:val="NO"/>
        <w:rPr/>
      </w:pPr>
      <w:r>
        <w:rPr/>
        <w:t>NOTE:</w:t>
        <w:tab/>
        <w:t>OR1:</w:t>
        <w:tab/>
        <w:t>COLP provisioned</w:t>
        <w:tab/>
        <w:tab/>
        <w:t>Y: yes</w:t>
        <w:tab/>
        <w:t>N: no</w:t>
        <w:tab/>
        <w:br/>
        <w:t>OR2:</w:t>
        <w:tab/>
        <w:t>Presentation Indicator Value</w:t>
        <w:tab/>
        <w:t>a: allowed</w:t>
        <w:tab/>
        <w:t>b: restricted</w:t>
        <w:tab/>
        <w:t>c: not available</w:t>
        <w:tab/>
        <w:br/>
        <w:t>OR3:</w:t>
        <w:tab/>
        <w:t>Override category</w:t>
        <w:tab/>
        <w:br/>
        <w:t>OR4:</w:t>
        <w:tab/>
        <w:t>additional line identity available</w:t>
        <w:tab/>
        <w:t>Y: yes</w:t>
        <w:tab/>
        <w:t>N: no</w:t>
        <w:tab/>
        <w:br/>
        <w:t>OR5:</w:t>
        <w:tab/>
        <w:t>COL in case of override category</w:t>
        <w:tab/>
        <w:t>a: LI</w:t>
        <w:tab/>
        <w:t>b: aLI</w:t>
        <w:tab/>
        <w:br/>
        <w:t>**:</w:t>
        <w:tab/>
        <w:t>A connected subaddress may be received from the MS</w:t>
        <w:tab/>
        <w:br/>
        <w:t>info:</w:t>
        <w:tab/>
        <w:t>information</w:t>
        <w:tab/>
        <w:t>SI: screening indicator</w:t>
        <w:tab/>
        <w:t>aSI: additional screening indicator</w:t>
        <w:br/>
        <w:t>req:</w:t>
        <w:tab/>
        <w:t>request</w:t>
        <w:tab/>
        <w:t>PI: presentation indicator</w:t>
        <w:tab/>
        <w:br/>
        <w:t>ack:</w:t>
        <w:tab/>
        <w:t>acknowledge</w:t>
        <w:tab/>
        <w:t>LI: line identity</w:t>
        <w:tab/>
        <w:t>aLI: additional line identity</w:t>
      </w:r>
    </w:p>
    <w:p>
      <w:pPr>
        <w:pStyle w:val="Heading2"/>
        <w:rPr/>
      </w:pPr>
      <w:bookmarkStart w:id="95" w:name="__RefHeading___Toc517461880"/>
      <w:bookmarkEnd w:id="95"/>
      <w:r>
        <w:rPr/>
        <w:t>3.3</w:t>
        <w:tab/>
        <w:t>Information stored in the HLR</w:t>
      </w:r>
    </w:p>
    <w:p>
      <w:pPr>
        <w:pStyle w:val="Normal"/>
        <w:keepNext w:val="true"/>
        <w:keepLines/>
        <w:rPr/>
      </w:pPr>
      <w:r>
        <w:rPr/>
        <w:t xml:space="preserve">COLP may have the following logical states (refer to </w:t>
      </w:r>
      <w:r>
        <w:rPr>
          <w:lang w:eastAsia="ja-JP"/>
        </w:rPr>
        <w:t>3GPP TS 23.011</w:t>
      </w:r>
      <w:r>
        <w:rPr/>
        <w:t xml:space="preserve">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 xml:space="preserve">   </w:t>
      </w: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rPr/>
      </w:pPr>
      <w:r>
        <w:rPr/>
        <w:t>The HLR shall store the logical state of COLP (which shall be one of the valid states listed above) on a per subscriber basis.</w:t>
      </w:r>
    </w:p>
    <w:p>
      <w:pPr>
        <w:pStyle w:val="Normal"/>
        <w:rPr/>
      </w:pPr>
      <w:r>
        <w:rPr/>
        <w:t>The HLR shall also store the subscription option "override category" on a per subscriber basis.</w:t>
      </w:r>
    </w:p>
    <w:p>
      <w:pPr>
        <w:pStyle w:val="Normal"/>
        <w:keepNext w:val="true"/>
        <w:keepLines/>
        <w:rPr/>
      </w:pPr>
      <w:r>
        <w:rPr/>
        <w:t>This parameter takes one of the following values:</w:t>
      </w:r>
    </w:p>
    <w:p>
      <w:pPr>
        <w:pStyle w:val="B1"/>
        <w:keepNext w:val="true"/>
        <w:keepLines/>
        <w:rPr/>
      </w:pPr>
      <w:r>
        <w:rPr/>
        <w:noBreakHyphen/>
      </w:r>
      <w:r>
        <w:rPr/>
        <w:tab/>
        <w:t>yes;</w:t>
      </w:r>
    </w:p>
    <w:p>
      <w:pPr>
        <w:pStyle w:val="B1"/>
        <w:rPr/>
      </w:pPr>
      <w:r>
        <w:rPr/>
        <w:noBreakHyphen/>
      </w:r>
      <w:r>
        <w:rPr/>
        <w:tab/>
        <w:t>no.</w:t>
      </w:r>
    </w:p>
    <w:p>
      <w:pPr>
        <w:pStyle w:val="Heading2"/>
        <w:rPr/>
      </w:pPr>
      <w:bookmarkStart w:id="96" w:name="__RefHeading___Toc517461881"/>
      <w:bookmarkEnd w:id="96"/>
      <w:r>
        <w:rPr/>
        <w:t>3.4</w:t>
        <w:tab/>
        <w:t>State transition model</w:t>
      </w:r>
    </w:p>
    <w:p>
      <w:pPr>
        <w:pStyle w:val="Normal"/>
        <w:rPr/>
      </w:pPr>
      <w:r>
        <w:rPr/>
        <w:t>The following figure shows the successful cases of transition between the applicable logical states of COLP.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TH"/>
        <w:rPr/>
      </w:pPr>
      <w:r>
        <w:rPr/>
        <w:object w:dxaOrig="6883" w:dyaOrig="2536">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344.15pt;height:126.8pt" filled="f" o:ole="">
            <v:imagedata r:id="rId47" o:title=""/>
          </v:shape>
          <o:OLEObject Type="Embed" ProgID="" ShapeID="ole_rId46" DrawAspect="Content" ObjectID="_691768964" r:id="rId46"/>
        </w:object>
      </w:r>
    </w:p>
    <w:p>
      <w:pPr>
        <w:pStyle w:val="TF"/>
        <w:rPr/>
      </w:pPr>
      <w:r>
        <w:rPr/>
        <w:t>Figure 3.6: State transition model for COLP</w:t>
      </w:r>
    </w:p>
    <w:p>
      <w:pPr>
        <w:pStyle w:val="Heading2"/>
        <w:rPr/>
      </w:pPr>
      <w:bookmarkStart w:id="97" w:name="__RefHeading___Toc517461882"/>
      <w:bookmarkEnd w:id="97"/>
      <w:r>
        <w:rPr/>
        <w:t>3.5</w:t>
      </w:r>
      <w:r>
        <w:rPr>
          <w:b/>
        </w:rPr>
        <w:tab/>
      </w:r>
      <w:r>
        <w:rPr/>
        <w:t>Transfer of information from HLR to VLR</w:t>
      </w:r>
    </w:p>
    <w:p>
      <w:pPr>
        <w:pStyle w:val="Normal"/>
        <w:rPr/>
      </w:pPr>
      <w:r>
        <w:rPr/>
        <w:t>If the provisioning state for COLP is "Provisioned" then, when the subscriber registers on a VLR, the HLR shall send that VLR information about the logical state of COLP. The HLR shall send the override category if the VLR is in the HPLMN country. The HLR may send the override category if the VLR is outside the HPLMN country.</w:t>
      </w:r>
    </w:p>
    <w:p>
      <w:pPr>
        <w:pStyle w:val="Normal"/>
        <w:rPr/>
      </w:pPr>
      <w:r>
        <w:rPr/>
        <w:t>If the logical state of COLP or the override category is changed while a subscriber is registered on a VLR then the HLR shall inform the VLR of the new logical state of COLP. If the override category is changed and the provisioning state of COLP is "Provisioned" then the HLR shall inform the VLR about the new override category when the VLR is in the HPLMN country. The HLR may inform the VLR about the new override category when the VLR is outside of the HPLMN country.</w:t>
      </w:r>
    </w:p>
    <w:p>
      <w:pPr>
        <w:pStyle w:val="Heading2"/>
        <w:rPr/>
      </w:pPr>
      <w:bookmarkStart w:id="98" w:name="__RefHeading___Toc517461883"/>
      <w:bookmarkEnd w:id="98"/>
      <w:r>
        <w:rPr/>
        <w:t>3.6</w:t>
        <w:tab/>
        <w:t>Information stored in the VLR</w:t>
      </w:r>
    </w:p>
    <w:p>
      <w:pPr>
        <w:pStyle w:val="Normal"/>
        <w:keepNext w:val="true"/>
        <w:keepLines/>
        <w:rPr/>
      </w:pPr>
      <w:r>
        <w:rPr/>
        <w:t>For COLP, the VLR shall store the service state information and override category received from the HLR.</w:t>
      </w:r>
    </w:p>
    <w:p>
      <w:pPr>
        <w:pStyle w:val="Normal"/>
        <w:rPr/>
      </w:pPr>
      <w:r>
        <w:rPr/>
        <w:t xml:space="preserve">If not received from the HLR (case of roaming outside the HPLMN country), the override category shall be set to the default value "no". </w:t>
      </w:r>
    </w:p>
    <w:p>
      <w:pPr>
        <w:pStyle w:val="Heading2"/>
        <w:rPr/>
      </w:pPr>
      <w:bookmarkStart w:id="99" w:name="__RefHeading___Toc517461884"/>
      <w:bookmarkEnd w:id="99"/>
      <w:r>
        <w:rPr/>
        <w:t>3.7</w:t>
        <w:tab/>
        <w:t>Handover</w:t>
      </w:r>
    </w:p>
    <w:p>
      <w:pPr>
        <w:pStyle w:val="Normal"/>
        <w:rPr/>
      </w:pPr>
      <w:r>
        <w:rPr/>
        <w:t>Handover will have no impact on the control procedures and the operation of the service.</w:t>
      </w:r>
    </w:p>
    <w:p>
      <w:pPr>
        <w:pStyle w:val="Heading1"/>
        <w:ind w:left="1134" w:hanging="1134"/>
        <w:rPr/>
      </w:pPr>
      <w:bookmarkStart w:id="100" w:name="__RefHeading___Toc517461885"/>
      <w:bookmarkEnd w:id="100"/>
      <w:r>
        <w:rPr/>
        <w:t>4</w:t>
        <w:tab/>
        <w:t>Connected line identification restriction (COLR)</w:t>
      </w:r>
    </w:p>
    <w:p>
      <w:pPr>
        <w:pStyle w:val="Heading2"/>
        <w:rPr/>
      </w:pPr>
      <w:bookmarkStart w:id="101" w:name="__RefHeading___Toc517461886"/>
      <w:bookmarkEnd w:id="101"/>
      <w:r>
        <w:rPr/>
        <w:t>4.1</w:t>
        <w:tab/>
        <w:t>Handling of connected line identification restriction</w:t>
      </w:r>
    </w:p>
    <w:p>
      <w:pPr>
        <w:pStyle w:val="Heading3"/>
        <w:rPr/>
      </w:pPr>
      <w:bookmarkStart w:id="102" w:name="__RefHeading___Toc517461887"/>
      <w:bookmarkEnd w:id="102"/>
      <w:r>
        <w:rPr/>
        <w:t>4.1.1</w:t>
        <w:tab/>
        <w:t>General</w:t>
      </w:r>
    </w:p>
    <w:p>
      <w:pPr>
        <w:pStyle w:val="Normal"/>
        <w:rPr/>
      </w:pPr>
      <w:r>
        <w:rPr/>
        <w:t>If the terminating party has connected line identification restriction provisioned and it is impossible to indicate to the originating network (due to interworking) that the number should not be presented to the originating party, the connected line identity shall not be delivered to the originating network.</w:t>
      </w:r>
    </w:p>
    <w:p>
      <w:pPr>
        <w:pStyle w:val="Heading3"/>
        <w:rPr/>
      </w:pPr>
      <w:bookmarkStart w:id="103" w:name="__RefHeading___Toc517461888"/>
      <w:bookmarkEnd w:id="103"/>
      <w:r>
        <w:rPr/>
        <w:t>4.1.2</w:t>
        <w:tab/>
        <w:t>Interrogation</w:t>
      </w:r>
    </w:p>
    <w:p>
      <w:pPr>
        <w:pStyle w:val="Normal"/>
        <w:rPr>
          <w:b/>
          <w:b/>
          <w:u w:val="single"/>
        </w:rPr>
      </w:pPr>
      <w:r>
        <w:rPr>
          <w:b/>
          <w:u w:val="single"/>
        </w:rPr>
        <w:t>Status check</w:t>
      </w:r>
    </w:p>
    <w:p>
      <w:pPr>
        <w:pStyle w:val="Normal"/>
        <w:rPr/>
      </w:pPr>
      <w:r>
        <w:rPr/>
        <w:t>The mobile subscriber can request the status of the supplementary service and be informed if the service is provided to him/her. This procedure is illustrated in figure 4.1.</w:t>
      </w:r>
    </w:p>
    <w:p>
      <w:pPr>
        <w:pStyle w:val="TH"/>
        <w:rPr/>
      </w:pPr>
      <w:r>
        <w:rPr/>
        <w:object w:dxaOrig="7941" w:dyaOrig="256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397.05pt;height:128.25pt" filled="f" o:ole="">
            <v:imagedata r:id="rId49" o:title=""/>
          </v:shape>
          <o:OLEObject Type="Embed" ProgID="" ShapeID="ole_rId48" DrawAspect="Content" ObjectID="_234668899" r:id="rId48"/>
        </w:object>
      </w:r>
    </w:p>
    <w:p>
      <w:pPr>
        <w:pStyle w:val="TF"/>
        <w:rPr/>
      </w:pPr>
      <w:r>
        <w:rPr/>
        <w:t>Figure 4.1: Interrogation of connected line identification restriction</w:t>
      </w:r>
    </w:p>
    <w:p>
      <w:pPr>
        <w:pStyle w:val="Heading2"/>
        <w:rPr/>
      </w:pPr>
      <w:bookmarkStart w:id="104" w:name="__RefHeading___Toc517461889"/>
      <w:bookmarkEnd w:id="104"/>
      <w:r>
        <w:rPr/>
        <w:t>4.2</w:t>
        <w:tab/>
        <w:t>Functions and information flows</w:t>
      </w:r>
    </w:p>
    <w:p>
      <w:pPr>
        <w:pStyle w:val="Normal"/>
        <w:keepNext w:val="true"/>
        <w:keepLines/>
        <w:rPr/>
      </w:pPr>
      <w:r>
        <w:rPr/>
        <w:t>The following Mobile Additional Functions have been identified for the PLMN:</w:t>
      </w:r>
    </w:p>
    <w:p>
      <w:pPr>
        <w:pStyle w:val="B1"/>
        <w:keepNext w:val="true"/>
        <w:keepLines/>
        <w:rPr/>
      </w:pPr>
      <w:r>
        <w:rPr>
          <w:u w:val="single"/>
        </w:rPr>
        <w:t>MAF040</w:t>
      </w:r>
    </w:p>
    <w:p>
      <w:pPr>
        <w:pStyle w:val="B1"/>
        <w:keepNext w:val="true"/>
        <w:keepLines/>
        <w:rPr/>
      </w:pPr>
      <w:r>
        <w:rPr/>
        <w:tab/>
        <w:t>Determination of the connected line identification restriction subscription</w:t>
      </w:r>
    </w:p>
    <w:p>
      <w:pPr>
        <w:pStyle w:val="B1"/>
        <w:keepNext w:val="true"/>
        <w:keepLines/>
        <w:rPr/>
      </w:pPr>
      <w:r>
        <w:rPr/>
        <w:tab/>
        <w:t>The ability of a PLMN component to determine whether the sup</w:t>
        <w:softHyphen/>
        <w:t>plementary service is provisioned for the mobile subscriber. See figure 4.2.</w:t>
      </w:r>
    </w:p>
    <w:p>
      <w:pPr>
        <w:pStyle w:val="B2"/>
        <w:keepNext w:val="true"/>
        <w:keepLines/>
        <w:rPr/>
      </w:pPr>
      <w:r>
        <w:rPr/>
        <w:t>Location: VLR.</w:t>
      </w:r>
    </w:p>
    <w:p>
      <w:pPr>
        <w:pStyle w:val="B1"/>
        <w:keepNext w:val="true"/>
        <w:keepLines/>
        <w:rPr>
          <w:u w:val="single"/>
        </w:rPr>
      </w:pPr>
      <w:r>
        <w:rPr>
          <w:u w:val="single"/>
        </w:rPr>
        <w:t>MAF041</w:t>
      </w:r>
    </w:p>
    <w:p>
      <w:pPr>
        <w:pStyle w:val="B1"/>
        <w:keepNext w:val="true"/>
        <w:keepLines/>
        <w:rPr/>
      </w:pPr>
      <w:r>
        <w:rPr/>
        <w:tab/>
        <w:t>Determination of the connected party number for offering to the calling party</w:t>
      </w:r>
    </w:p>
    <w:p>
      <w:pPr>
        <w:pStyle w:val="B1"/>
        <w:keepNext w:val="true"/>
        <w:keepLines/>
        <w:rPr/>
      </w:pPr>
      <w:r>
        <w:rPr/>
        <w:tab/>
        <w:t>The ability of a PLMN component to determine and to forward the connected line identity and related indications to the calling party. See figure 4.3.</w:t>
      </w:r>
    </w:p>
    <w:p>
      <w:pPr>
        <w:pStyle w:val="B2"/>
        <w:keepNext w:val="true"/>
        <w:keepLines/>
        <w:rPr/>
      </w:pPr>
      <w:r>
        <w:rPr/>
        <w:t>Location: terminating MSC.</w:t>
      </w:r>
    </w:p>
    <w:p>
      <w:pPr>
        <w:pStyle w:val="Normal"/>
        <w:rPr/>
      </w:pPr>
      <w:r>
        <w:rPr/>
        <w:t>The information flow is shown in figures 4.4.</w:t>
      </w:r>
    </w:p>
    <w:p>
      <w:pPr>
        <w:pStyle w:val="TH"/>
        <w:rPr/>
      </w:pPr>
      <w:r>
        <w:rPr/>
        <w:drawing>
          <wp:inline distT="0" distB="0" distL="0" distR="0">
            <wp:extent cx="6116955" cy="8256905"/>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50"/>
                    <a:srcRect l="-154" t="-114" r="-154" b="-114"/>
                    <a:stretch>
                      <a:fillRect/>
                    </a:stretch>
                  </pic:blipFill>
                  <pic:spPr bwMode="auto">
                    <a:xfrm>
                      <a:off x="0" y="0"/>
                      <a:ext cx="6116955" cy="8256905"/>
                    </a:xfrm>
                    <a:prstGeom prst="rect">
                      <a:avLst/>
                    </a:prstGeom>
                  </pic:spPr>
                </pic:pic>
              </a:graphicData>
            </a:graphic>
          </wp:inline>
        </w:drawing>
      </w:r>
    </w:p>
    <w:p>
      <w:pPr>
        <w:pStyle w:val="TF"/>
        <w:rPr/>
      </w:pPr>
      <w:r>
        <w:rPr/>
        <w:t>Figure 4.2: MAF040  Determination of connected line identification restriction subscription</w:t>
        <w:br/>
        <w:t>(VLR)</w:t>
      </w:r>
    </w:p>
    <w:p>
      <w:pPr>
        <w:pStyle w:val="TH"/>
        <w:rPr/>
      </w:pPr>
      <w:r>
        <w:rPr/>
        <w:drawing>
          <wp:inline distT="0" distB="0" distL="0" distR="0">
            <wp:extent cx="6116955" cy="8256905"/>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51"/>
                    <a:srcRect l="-154" t="-114" r="-154" b="-114"/>
                    <a:stretch>
                      <a:fillRect/>
                    </a:stretch>
                  </pic:blipFill>
                  <pic:spPr bwMode="auto">
                    <a:xfrm>
                      <a:off x="0" y="0"/>
                      <a:ext cx="6116955" cy="8256905"/>
                    </a:xfrm>
                    <a:prstGeom prst="rect">
                      <a:avLst/>
                    </a:prstGeom>
                  </pic:spPr>
                </pic:pic>
              </a:graphicData>
            </a:graphic>
          </wp:inline>
        </w:drawing>
      </w:r>
    </w:p>
    <w:p>
      <w:pPr>
        <w:pStyle w:val="TF"/>
        <w:rPr/>
      </w:pPr>
      <w:r>
        <w:rPr/>
        <w:t>Figure 4.3: MAF041  Determination of the presentation indicator</w:t>
      </w:r>
    </w:p>
    <w:p>
      <w:pPr>
        <w:pStyle w:val="TH"/>
        <w:rPr/>
      </w:pPr>
      <w:r>
        <w:rPr/>
        <w:object w:dxaOrig="7941" w:dyaOrig="6081">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97.05pt;height:304.05pt" filled="f" o:ole="">
            <v:imagedata r:id="rId53" o:title=""/>
          </v:shape>
          <o:OLEObject Type="Embed" ProgID="" ShapeID="ole_rId52" DrawAspect="Content" ObjectID="_1745402651" r:id="rId52"/>
        </w:object>
      </w:r>
    </w:p>
    <w:p>
      <w:pPr>
        <w:pStyle w:val="TF"/>
        <w:rPr/>
      </w:pPr>
      <w:r>
        <w:rPr/>
        <w:t>Figure 4.4: Information flow for connected line identification restriction:</w:t>
        <w:br/>
        <w:t>mobile station or fixed terminal to mobile station</w:t>
      </w:r>
    </w:p>
    <w:p>
      <w:pPr>
        <w:pStyle w:val="NO"/>
        <w:rPr/>
      </w:pPr>
      <w:r>
        <w:rPr/>
        <w:t>NOTE:</w:t>
        <w:tab/>
        <w:t>OR1:</w:t>
        <w:tab/>
        <w:t>COLR provisioned</w:t>
        <w:tab/>
        <w:tab/>
        <w:t>Y: yes</w:t>
        <w:tab/>
        <w:t>N: no</w:t>
        <w:tab/>
        <w:br/>
        <w:t>OR2:</w:t>
        <w:tab/>
        <w:t>Presentation Indicator Value</w:t>
        <w:tab/>
        <w:t>a: allowed</w:t>
        <w:tab/>
        <w:br/>
        <w:tab/>
        <w:tab/>
        <w:tab/>
        <w:t>b: restricted</w:t>
        <w:tab/>
        <w:br/>
        <w:t>OR3:</w:t>
        <w:tab/>
        <w:t>Override category</w:t>
        <w:tab/>
        <w:br/>
        <w:t>**:</w:t>
        <w:tab/>
        <w:t>A subaddress may be received from the MS</w:t>
        <w:tab/>
        <w:br/>
        <w:t>info:</w:t>
        <w:tab/>
        <w:t>information</w:t>
        <w:tab/>
        <w:t>SI: screening indicator</w:t>
        <w:tab/>
        <w:br/>
        <w:t>req:</w:t>
        <w:tab/>
        <w:t>request</w:t>
        <w:tab/>
        <w:t>PI: presentation indicator</w:t>
        <w:tab/>
        <w:br/>
        <w:t>ack:</w:t>
        <w:tab/>
        <w:t>acknowledge</w:t>
        <w:tab/>
        <w:t>LI: line identity</w:t>
        <w:tab/>
      </w:r>
    </w:p>
    <w:p>
      <w:pPr>
        <w:pStyle w:val="Heading2"/>
        <w:rPr/>
      </w:pPr>
      <w:bookmarkStart w:id="105" w:name="__RefHeading___Toc517461890"/>
      <w:bookmarkEnd w:id="105"/>
      <w:r>
        <w:rPr/>
        <w:t>4.3</w:t>
        <w:tab/>
        <w:t>Information stored in the HLR</w:t>
      </w:r>
    </w:p>
    <w:p>
      <w:pPr>
        <w:pStyle w:val="Normal"/>
        <w:keepNext w:val="true"/>
        <w:keepLines/>
        <w:rPr>
          <w:b/>
          <w:b/>
        </w:rPr>
      </w:pPr>
      <w:r>
        <w:rPr/>
        <w:t xml:space="preserve">COLR may have the following logical states (refer to </w:t>
      </w:r>
      <w:r>
        <w:rPr>
          <w:lang w:eastAsia="ja-JP"/>
        </w:rPr>
        <w:t>3GPP TS 23.011</w:t>
      </w:r>
      <w:r>
        <w:rPr/>
        <w:t xml:space="preserve">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 xml:space="preserve">   </w:t>
      </w: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rPr/>
      </w:pPr>
      <w:r>
        <w:rPr/>
        <w:t>The HLR shall store the logical state of COLR (which shall be one of the valid states listed above) on a per subscriber basis.</w:t>
      </w:r>
    </w:p>
    <w:p>
      <w:pPr>
        <w:pStyle w:val="Heading2"/>
        <w:rPr/>
      </w:pPr>
      <w:bookmarkStart w:id="106" w:name="__RefHeading___Toc517461891"/>
      <w:bookmarkEnd w:id="106"/>
      <w:r>
        <w:rPr/>
        <w:t>4.4</w:t>
        <w:tab/>
        <w:t>State transition model</w:t>
      </w:r>
    </w:p>
    <w:p>
      <w:pPr>
        <w:pStyle w:val="Normal"/>
        <w:rPr/>
      </w:pPr>
      <w:r>
        <w:rPr/>
        <w:t>The following figure shows the successful cases of transition between the applicable logical states of COLR.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TH"/>
        <w:rPr/>
      </w:pPr>
      <w:r>
        <w:rPr/>
        <w:object w:dxaOrig="6883" w:dyaOrig="2536">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44.15pt;height:126.8pt" filled="f" o:ole="">
            <v:imagedata r:id="rId55" o:title=""/>
          </v:shape>
          <o:OLEObject Type="Embed" ProgID="" ShapeID="ole_rId54" DrawAspect="Content" ObjectID="_1553304740" r:id="rId54"/>
        </w:object>
      </w:r>
    </w:p>
    <w:p>
      <w:pPr>
        <w:pStyle w:val="TF"/>
        <w:rPr/>
      </w:pPr>
      <w:r>
        <w:rPr/>
        <w:t>Figure 4.5: State transition model for COLR</w:t>
      </w:r>
    </w:p>
    <w:p>
      <w:pPr>
        <w:pStyle w:val="Heading2"/>
        <w:rPr/>
      </w:pPr>
      <w:bookmarkStart w:id="107" w:name="__RefHeading___Toc517461892"/>
      <w:bookmarkEnd w:id="107"/>
      <w:r>
        <w:rPr/>
        <w:t>4.5</w:t>
        <w:tab/>
        <w:t>Transfer of information from HLR to VLR</w:t>
      </w:r>
    </w:p>
    <w:p>
      <w:pPr>
        <w:pStyle w:val="Normal"/>
        <w:rPr/>
      </w:pPr>
      <w:r>
        <w:rPr/>
        <w:t>When the subscriber registers on a VLR, the HLR shall send that VLR information about the logical state of COLR.</w:t>
      </w:r>
    </w:p>
    <w:p>
      <w:pPr>
        <w:pStyle w:val="Normal"/>
        <w:rPr>
          <w:b/>
          <w:b/>
        </w:rPr>
      </w:pPr>
      <w:r>
        <w:rPr/>
        <w:t>If the logical state of COLR is changed while a subscriber is registered on a VLR then the HLR shall inform the VLR of the new logical state of COLR.</w:t>
      </w:r>
    </w:p>
    <w:p>
      <w:pPr>
        <w:pStyle w:val="Heading2"/>
        <w:rPr/>
      </w:pPr>
      <w:bookmarkStart w:id="108" w:name="__RefHeading___Toc517461893"/>
      <w:bookmarkEnd w:id="108"/>
      <w:r>
        <w:rPr/>
        <w:t>4.6</w:t>
        <w:tab/>
        <w:t>Information stored in the VLR</w:t>
      </w:r>
    </w:p>
    <w:p>
      <w:pPr>
        <w:pStyle w:val="Normal"/>
        <w:rPr/>
      </w:pPr>
      <w:r>
        <w:rPr/>
        <w:t>For COLR, the VLR shall store the service state information received from the HLR.</w:t>
      </w:r>
    </w:p>
    <w:p>
      <w:pPr>
        <w:pStyle w:val="Heading2"/>
        <w:rPr/>
      </w:pPr>
      <w:bookmarkStart w:id="109" w:name="__RefHeading___Toc517461894"/>
      <w:bookmarkEnd w:id="109"/>
      <w:r>
        <w:rPr/>
        <w:t>4.7</w:t>
        <w:tab/>
        <w:t>Handover</w:t>
      </w:r>
    </w:p>
    <w:p>
      <w:pPr>
        <w:pStyle w:val="Normal"/>
        <w:rPr/>
      </w:pPr>
      <w:r>
        <w:rPr/>
        <w:t>Handover will have no impact on the control procedures and the operation of the service.</w:t>
      </w:r>
    </w:p>
    <w:p>
      <w:pPr>
        <w:pStyle w:val="Heading2"/>
        <w:rPr/>
      </w:pPr>
      <w:bookmarkStart w:id="110" w:name="__RefHeading___Toc517461895"/>
      <w:bookmarkEnd w:id="110"/>
      <w:r>
        <w:rPr/>
        <w:t>4.8</w:t>
        <w:tab/>
        <w:t>Interworking</w:t>
      </w:r>
    </w:p>
    <w:p>
      <w:pPr>
        <w:pStyle w:val="Normal"/>
        <w:rPr/>
      </w:pPr>
      <w:r>
        <w:rPr/>
        <w:t>The VPLMN needs to distinguish three cases in order to meet data privacy requirements in an environment where support of COLP and COLR is optional:</w:t>
      </w:r>
    </w:p>
    <w:p>
      <w:pPr>
        <w:pStyle w:val="B1"/>
        <w:rPr/>
      </w:pPr>
      <w:r>
        <w:rPr/>
        <w:t>a)</w:t>
        <w:tab/>
        <w:t>the HPLMN supports COLR, and COLR is provisioned for the subscriber;</w:t>
      </w:r>
    </w:p>
    <w:p>
      <w:pPr>
        <w:pStyle w:val="B1"/>
        <w:rPr/>
      </w:pPr>
      <w:r>
        <w:rPr/>
        <w:t>b)</w:t>
        <w:tab/>
        <w:t>the HPLMN supports COLR, but COLR is not provisioned for the subscriber;</w:t>
      </w:r>
    </w:p>
    <w:p>
      <w:pPr>
        <w:pStyle w:val="B1"/>
        <w:rPr/>
      </w:pPr>
      <w:r>
        <w:rPr/>
        <w:t>c)</w:t>
        <w:tab/>
        <w:t>the HPLMN does not support COLR.</w:t>
      </w:r>
    </w:p>
    <w:p>
      <w:pPr>
        <w:pStyle w:val="Normal"/>
        <w:rPr/>
      </w:pPr>
      <w:r>
        <w:rPr/>
        <w:t>In case a) the VPLMN must apply the COLR subscription as indicated by the data sent by the HPLMN.</w:t>
      </w:r>
    </w:p>
    <w:p>
      <w:pPr>
        <w:pStyle w:val="Normal"/>
        <w:rPr/>
      </w:pPr>
      <w:r>
        <w:rPr/>
        <w:t>In case b) the VPLMN must not apply COLR.</w:t>
      </w:r>
    </w:p>
    <w:p>
      <w:pPr>
        <w:pStyle w:val="Normal"/>
        <w:rPr/>
      </w:pPr>
      <w:r>
        <w:rPr/>
        <w:t>In case c) the VPLMN must apply an implicit COLR subscription.</w:t>
      </w:r>
    </w:p>
    <w:p>
      <w:pPr>
        <w:pStyle w:val="Normal"/>
        <w:rPr/>
      </w:pPr>
      <w:r>
        <w:rPr/>
        <w:t>To allow the VPLMN to make this distinction, the HLR and VLR behave as follows:</w:t>
      </w:r>
    </w:p>
    <w:p>
      <w:pPr>
        <w:pStyle w:val="B1"/>
        <w:rPr/>
      </w:pPr>
      <w:r>
        <w:rPr/>
        <w:noBreakHyphen/>
      </w:r>
      <w:r>
        <w:rPr/>
        <w:tab/>
        <w:t>If the HLR supports COLR, but COLR is not provisioned for the subscriber, the HLR shall inform the VLR that COLR is not provisioned.</w:t>
      </w:r>
    </w:p>
    <w:p>
      <w:pPr>
        <w:sectPr>
          <w:headerReference w:type="default" r:id="rId56"/>
          <w:footerReference w:type="default" r:id="rId57"/>
          <w:type w:val="nextPage"/>
          <w:pgSz w:w="11906" w:h="16838"/>
          <w:pgMar w:left="1134" w:right="1134" w:gutter="0" w:header="680" w:top="1418" w:footer="340" w:bottom="1134"/>
          <w:pgNumType w:fmt="decimal"/>
          <w:formProt w:val="false"/>
          <w:textDirection w:val="lrTb"/>
          <w:docGrid w:type="default" w:linePitch="360" w:charSpace="0"/>
        </w:sectPr>
        <w:pStyle w:val="B1"/>
        <w:rPr/>
      </w:pPr>
      <w:r>
        <w:rPr/>
        <w:noBreakHyphen/>
      </w:r>
      <w:r>
        <w:rPr/>
        <w:tab/>
        <w:t>If the VLR supports COLR, but the HLR does not support COLR, the VLR shall behave in the same way as if COLR was provisioned for the subscriber, i.e. the connected line identity shall not be displayed to the calling subscriber unless the calling subscriber has COLR override capability. When interrogating the service status the subscriber shall be informed that COLR is provided to him and is active.</w:t>
      </w:r>
    </w:p>
    <w:p>
      <w:pPr>
        <w:pStyle w:val="Heading8"/>
        <w:ind w:left="0" w:hanging="0"/>
        <w:rPr/>
      </w:pPr>
      <w:bookmarkStart w:id="111" w:name="__RefHeading___Toc517461896"/>
      <w:bookmarkEnd w:id="111"/>
      <w:r>
        <w:rPr/>
        <w:t>Annex A (</w:t>
      </w:r>
      <w:r>
        <w:rPr>
          <w:lang w:eastAsia="ja-JP"/>
        </w:rPr>
        <w:t>informative</w:t>
      </w:r>
      <w:r>
        <w:rPr/>
        <w:t>):</w:t>
        <w:br/>
        <w:t>Mapping of CLI</w:t>
      </w:r>
    </w:p>
    <w:p>
      <w:pPr>
        <w:pStyle w:val="TH"/>
        <w:rPr/>
      </w:pPr>
      <w:r>
        <w:rPr/>
        <w:t>This annex defines the mapping rules of CLI parameters received via the NW-NW interface to CLI parameters to be sent to the MS.</w:t>
      </w:r>
    </w:p>
    <w:tbl>
      <w:tblPr>
        <w:tblW w:w="14742" w:type="dxa"/>
        <w:jc w:val="left"/>
        <w:tblInd w:w="552" w:type="dxa"/>
        <w:tblLayout w:type="fixed"/>
        <w:tblCellMar>
          <w:top w:w="0" w:type="dxa"/>
          <w:left w:w="70" w:type="dxa"/>
          <w:bottom w:w="0" w:type="dxa"/>
          <w:right w:w="70" w:type="dxa"/>
        </w:tblCellMar>
      </w:tblPr>
      <w:tblGrid>
        <w:gridCol w:w="1843"/>
        <w:gridCol w:w="1559"/>
        <w:gridCol w:w="1276"/>
        <w:gridCol w:w="1276"/>
        <w:gridCol w:w="992"/>
        <w:gridCol w:w="1701"/>
        <w:gridCol w:w="1559"/>
        <w:gridCol w:w="1843"/>
        <w:gridCol w:w="2693"/>
      </w:tblGrid>
      <w:tr>
        <w:trPr>
          <w:tblHeader w:val="true"/>
          <w:cantSplit w:val="true"/>
        </w:trPr>
        <w:tc>
          <w:tcPr>
            <w:tcW w:w="1843" w:type="dxa"/>
            <w:vMerge w:val="restart"/>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0"/>
              <w:rPr>
                <w:rFonts w:ascii="Arial" w:hAnsi="Arial" w:cs="Arial"/>
              </w:rPr>
            </w:pPr>
            <w:r>
              <w:rPr>
                <w:rFonts w:cs="Arial" w:ascii="Arial" w:hAnsi="Arial"/>
              </w:rPr>
            </w:r>
          </w:p>
        </w:tc>
        <w:tc>
          <w:tcPr>
            <w:tcW w:w="6804" w:type="dxa"/>
            <w:gridSpan w:val="5"/>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b/>
                <w:b/>
                <w:sz w:val="22"/>
              </w:rPr>
            </w:pPr>
            <w:r>
              <w:rPr>
                <w:rFonts w:cs="Arial" w:ascii="Arial" w:hAnsi="Arial"/>
                <w:b/>
                <w:sz w:val="22"/>
              </w:rPr>
              <w:t>Information received over the NW-NW interface</w:t>
            </w:r>
          </w:p>
        </w:tc>
        <w:tc>
          <w:tcPr>
            <w:tcW w:w="6095" w:type="dxa"/>
            <w:gridSpan w:val="3"/>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b/>
                <w:b/>
                <w:sz w:val="22"/>
              </w:rPr>
            </w:pPr>
            <w:r>
              <w:rPr>
                <w:rFonts w:cs="Arial" w:ascii="Arial" w:hAnsi="Arial"/>
                <w:b/>
                <w:sz w:val="22"/>
              </w:rPr>
              <w:t>Information sent to the MS</w:t>
            </w:r>
          </w:p>
        </w:tc>
      </w:tr>
      <w:tr>
        <w:trPr>
          <w:tblHeader w:val="true"/>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0"/>
              <w:rPr>
                <w:rFonts w:ascii="Arial" w:hAnsi="Arial" w:cs="Arial"/>
                <w:b/>
                <w:b/>
                <w:sz w:val="22"/>
              </w:rPr>
            </w:pPr>
            <w:r>
              <w:rPr>
                <w:rFonts w:cs="Arial" w:ascii="Arial" w:hAnsi="Arial"/>
                <w:b/>
                <w:sz w:val="22"/>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presentation indicator</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line identity</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pPr>
            <w:r>
              <w:rPr>
                <w:rFonts w:cs="Arial" w:ascii="Arial" w:hAnsi="Arial"/>
                <w:sz w:val="18"/>
              </w:rPr>
              <w:t>additional presentation indicator</w:t>
            </w:r>
          </w:p>
        </w:tc>
        <w:tc>
          <w:tcPr>
            <w:tcW w:w="992"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additional line identity</w:t>
            </w:r>
          </w:p>
        </w:tc>
        <w:tc>
          <w:tcPr>
            <w:tcW w:w="1701"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pPr>
            <w:r>
              <w:rPr>
                <w:rFonts w:cs="Arial" w:ascii="Arial" w:hAnsi="Arial"/>
                <w:sz w:val="18"/>
              </w:rPr>
              <w:t xml:space="preserve">Cause of No </w:t>
            </w:r>
            <w:r>
              <w:rPr>
                <w:rFonts w:cs="Arial" w:ascii="Arial" w:hAnsi="Arial"/>
                <w:sz w:val="18"/>
                <w:lang w:eastAsia="ja-JP"/>
              </w:rPr>
              <w:t>CLI</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presentation indicator</w:t>
            </w:r>
          </w:p>
        </w:tc>
        <w:tc>
          <w:tcPr>
            <w:tcW w:w="184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pPr>
            <w:r>
              <w:rPr>
                <w:rFonts w:cs="Arial" w:ascii="Arial" w:hAnsi="Arial"/>
                <w:sz w:val="18"/>
              </w:rPr>
              <w:t xml:space="preserve">Cause of No </w:t>
            </w:r>
            <w:r>
              <w:rPr>
                <w:rFonts w:cs="Arial" w:ascii="Arial" w:hAnsi="Arial"/>
                <w:sz w:val="18"/>
                <w:lang w:eastAsia="ja-JP"/>
              </w:rPr>
              <w:t>CLI</w:t>
            </w:r>
          </w:p>
        </w:tc>
      </w:tr>
      <w:tr>
        <w:trPr>
          <w:trHeight w:val="1243" w:hRule="atLeast"/>
          <w:cantSplit w:val="true"/>
        </w:trPr>
        <w:tc>
          <w:tcPr>
            <w:tcW w:w="1843" w:type="dxa"/>
            <w:tcBorders>
              <w:top w:val="single" w:sz="12" w:space="0" w:color="000000"/>
              <w:left w:val="single" w:sz="12" w:space="0" w:color="000000"/>
              <w:bottom w:val="single" w:sz="12" w:space="0" w:color="000000"/>
              <w:right w:val="single" w:sz="12" w:space="0" w:color="000000"/>
            </w:tcBorders>
            <w:textDirection w:val="btLr"/>
          </w:tcPr>
          <w:p>
            <w:pPr>
              <w:pStyle w:val="Normal"/>
              <w:spacing w:before="0" w:after="0"/>
              <w:ind w:left="113" w:right="113" w:hanging="0"/>
              <w:jc w:val="center"/>
              <w:rPr>
                <w:rFonts w:ascii="Arial" w:hAnsi="Arial" w:cs="Arial"/>
                <w:b/>
                <w:b/>
              </w:rPr>
            </w:pPr>
            <w:r>
              <w:rPr>
                <w:rFonts w:cs="Arial" w:ascii="Arial" w:hAnsi="Arial"/>
                <w:b/>
              </w:rPr>
              <w:t>CLIP not pro-vision-ed</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1843" w:type="dxa"/>
            <w:tcBorders>
              <w:top w:val="single" w:sz="12" w:space="0" w:color="000000"/>
              <w:left w:val="single" w:sz="12" w:space="0" w:color="000000"/>
              <w:bottom w:val="single" w:sz="12" w:space="0" w:color="000000"/>
              <w:right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2693" w:type="dxa"/>
            <w:tcBorders>
              <w:top w:val="single" w:sz="12" w:space="0" w:color="000000"/>
              <w:left w:val="single" w:sz="12" w:space="0" w:color="000000"/>
              <w:bottom w:val="single" w:sz="12" w:space="0" w:color="000000"/>
              <w:right w:val="single" w:sz="12" w:space="0" w:color="000000"/>
            </w:tcBorders>
          </w:tcPr>
          <w:p>
            <w:pPr>
              <w:pStyle w:val="Normal"/>
              <w:spacing w:before="48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restart"/>
            <w:tcBorders>
              <w:top w:val="single" w:sz="12" w:space="0" w:color="000000"/>
              <w:left w:val="single" w:sz="12" w:space="0" w:color="000000"/>
              <w:bottom w:val="single" w:sz="12" w:space="0" w:color="000000"/>
              <w:right w:val="single" w:sz="12" w:space="0" w:color="000000"/>
            </w:tcBorders>
            <w:textDirection w:val="btLr"/>
          </w:tcPr>
          <w:p>
            <w:pPr>
              <w:pStyle w:val="Normal"/>
              <w:spacing w:before="0" w:after="0"/>
              <w:ind w:left="113" w:right="113" w:hanging="0"/>
              <w:jc w:val="center"/>
              <w:rPr>
                <w:rFonts w:ascii="Arial" w:hAnsi="Arial" w:cs="Arial"/>
                <w:b/>
                <w:b/>
              </w:rPr>
            </w:pPr>
            <w:r>
              <w:rPr>
                <w:rFonts w:cs="Arial" w:ascii="Arial" w:hAnsi="Arial"/>
                <w:b/>
              </w:rPr>
              <w:t>CLIP provisioned without override category</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not available</w:t>
            </w:r>
          </w:p>
        </w:tc>
        <w:tc>
          <w:tcPr>
            <w:tcW w:w="184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69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snapToGrid w:val="false"/>
              <w:spacing w:before="0" w:after="0"/>
              <w:ind w:left="113" w:right="113" w:hanging="0"/>
              <w:jc w:val="center"/>
              <w:rPr>
                <w:rFonts w:ascii="Arial" w:hAnsi="Arial" w:cs="Arial"/>
                <w:b/>
                <w:b/>
                <w:sz w:val="18"/>
              </w:rPr>
            </w:pPr>
            <w:r>
              <w:rPr>
                <w:rFonts w:cs="Arial" w:ascii="Arial" w:hAnsi="Arial"/>
                <w:b/>
                <w:sz w:val="18"/>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not available</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pPr>
            <w:r>
              <w:rPr>
                <w:rFonts w:cs="Arial" w:ascii="Arial" w:hAnsi="Arial"/>
                <w:sz w:val="18"/>
              </w:rPr>
              <w:t>not available</w:t>
            </w:r>
          </w:p>
        </w:tc>
        <w:tc>
          <w:tcPr>
            <w:tcW w:w="184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69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snapToGrid w:val="false"/>
              <w:spacing w:before="0" w:after="0"/>
              <w:ind w:left="113" w:right="113" w:hanging="0"/>
              <w:jc w:val="center"/>
              <w:rPr>
                <w:rFonts w:ascii="Arial" w:hAnsi="Arial" w:cs="Arial"/>
                <w:b/>
                <w:b/>
                <w:sz w:val="18"/>
              </w:rPr>
            </w:pPr>
            <w:r>
              <w:rPr>
                <w:rFonts w:cs="Arial" w:ascii="Arial" w:hAnsi="Arial"/>
                <w:b/>
                <w:sz w:val="18"/>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allowed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allowed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digits of 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snapToGrid w:val="false"/>
              <w:spacing w:before="0" w:after="0"/>
              <w:ind w:left="113" w:right="113" w:hanging="0"/>
              <w:jc w:val="center"/>
              <w:rPr>
                <w:rFonts w:ascii="Arial" w:hAnsi="Arial" w:cs="Arial"/>
                <w:b/>
                <w:b/>
                <w:sz w:val="18"/>
              </w:rPr>
            </w:pPr>
            <w:r>
              <w:rPr>
                <w:rFonts w:cs="Arial" w:ascii="Arial" w:hAnsi="Arial"/>
                <w:b/>
                <w:sz w:val="18"/>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allowed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701"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allowed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digits of additional 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snapToGrid w:val="false"/>
              <w:spacing w:before="0" w:after="0"/>
              <w:ind w:left="113" w:right="113" w:hanging="0"/>
              <w:jc w:val="center"/>
              <w:rPr>
                <w:rFonts w:ascii="Arial" w:hAnsi="Arial" w:cs="Arial"/>
                <w:b/>
                <w:b/>
                <w:sz w:val="18"/>
              </w:rPr>
            </w:pPr>
            <w:r>
              <w:rPr>
                <w:rFonts w:cs="Arial" w:ascii="Arial" w:hAnsi="Arial"/>
                <w:b/>
                <w:sz w:val="18"/>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69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snapToGrid w:val="false"/>
              <w:spacing w:before="0" w:after="0"/>
              <w:ind w:left="113" w:right="113" w:hanging="0"/>
              <w:jc w:val="center"/>
              <w:rPr>
                <w:rFonts w:ascii="Arial" w:hAnsi="Arial" w:cs="Arial"/>
                <w:b/>
                <w:b/>
                <w:sz w:val="18"/>
              </w:rPr>
            </w:pPr>
            <w:r>
              <w:rPr>
                <w:rFonts w:cs="Arial" w:ascii="Arial" w:hAnsi="Arial"/>
                <w:b/>
                <w:sz w:val="18"/>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unavailable</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69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unavailable</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snapToGrid w:val="false"/>
              <w:spacing w:before="0" w:after="0"/>
              <w:ind w:left="113" w:right="113" w:hanging="0"/>
              <w:jc w:val="center"/>
              <w:rPr>
                <w:rFonts w:ascii="Arial" w:hAnsi="Arial" w:cs="Arial"/>
                <w:b/>
                <w:b/>
                <w:sz w:val="18"/>
              </w:rPr>
            </w:pPr>
            <w:r>
              <w:rPr>
                <w:rFonts w:cs="Arial" w:ascii="Arial" w:hAnsi="Arial"/>
                <w:b/>
                <w:sz w:val="18"/>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pPr>
            <w:r>
              <w:rPr>
                <w:rFonts w:cs="Arial" w:ascii="Arial" w:hAnsi="Arial"/>
                <w:sz w:val="18"/>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reject by user</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69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reject by user</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snapToGrid w:val="false"/>
              <w:spacing w:before="0" w:after="0"/>
              <w:ind w:left="113" w:right="113" w:hanging="0"/>
              <w:jc w:val="center"/>
              <w:rPr>
                <w:rFonts w:ascii="Arial" w:hAnsi="Arial" w:cs="Arial"/>
                <w:b/>
                <w:b/>
                <w:sz w:val="18"/>
              </w:rPr>
            </w:pPr>
            <w:r>
              <w:rPr>
                <w:rFonts w:cs="Arial" w:ascii="Arial" w:hAnsi="Arial"/>
                <w:b/>
                <w:sz w:val="18"/>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interaction with other service</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69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interaction with other service</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snapToGrid w:val="false"/>
              <w:spacing w:before="0" w:after="0"/>
              <w:ind w:left="113" w:right="113" w:hanging="0"/>
              <w:jc w:val="center"/>
              <w:rPr>
                <w:rFonts w:ascii="Arial" w:hAnsi="Arial" w:cs="Arial"/>
                <w:b/>
                <w:b/>
                <w:sz w:val="18"/>
              </w:rPr>
            </w:pPr>
            <w:r>
              <w:rPr>
                <w:rFonts w:cs="Arial" w:ascii="Arial" w:hAnsi="Arial"/>
                <w:b/>
                <w:sz w:val="18"/>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payphone</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69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payphone</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snapToGrid w:val="false"/>
              <w:spacing w:before="0" w:after="0"/>
              <w:ind w:left="113" w:right="113" w:hanging="0"/>
              <w:jc w:val="center"/>
              <w:rPr>
                <w:rFonts w:ascii="Arial" w:hAnsi="Arial" w:cs="Arial"/>
                <w:b/>
                <w:b/>
                <w:sz w:val="18"/>
              </w:rPr>
            </w:pPr>
            <w:r>
              <w:rPr>
                <w:rFonts w:cs="Arial" w:ascii="Arial" w:hAnsi="Arial"/>
                <w:b/>
                <w:sz w:val="18"/>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restricted by network</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pPr>
            <w:r>
              <w:rPr>
                <w:rFonts w:cs="Arial" w:ascii="Arial" w:hAnsi="Arial"/>
                <w:sz w:val="18"/>
              </w:rPr>
              <w:t>not available</w:t>
            </w:r>
          </w:p>
        </w:tc>
        <w:tc>
          <w:tcPr>
            <w:tcW w:w="184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69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snapToGrid w:val="false"/>
              <w:spacing w:before="0" w:after="0"/>
              <w:ind w:left="113" w:right="113" w:hanging="0"/>
              <w:jc w:val="center"/>
              <w:rPr>
                <w:rFonts w:ascii="Arial" w:hAnsi="Arial" w:cs="Arial"/>
                <w:b/>
                <w:b/>
                <w:sz w:val="18"/>
              </w:rPr>
            </w:pPr>
            <w:r>
              <w:rPr>
                <w:rFonts w:cs="Arial" w:ascii="Arial" w:hAnsi="Arial"/>
                <w:b/>
                <w:sz w:val="18"/>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restricted by network</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allowed</w:t>
            </w:r>
          </w:p>
        </w:tc>
        <w:tc>
          <w:tcPr>
            <w:tcW w:w="992"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701"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allowed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digits of additional 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Arial" w:hAnsi="Arial" w:cs="Arial"/>
                <w:sz w:val="18"/>
              </w:rPr>
            </w:pPr>
            <w:r>
              <w:rPr>
                <w:rFonts w:cs="Arial" w:ascii="Arial" w:hAnsi="Arial"/>
                <w:sz w:val="18"/>
              </w:rPr>
              <w:t>-</w:t>
            </w:r>
          </w:p>
        </w:tc>
      </w:tr>
    </w:tbl>
    <w:p>
      <w:pPr>
        <w:pStyle w:val="Normal"/>
        <w:rPr/>
      </w:pPr>
      <w:r>
        <w:rPr/>
      </w:r>
    </w:p>
    <w:p>
      <w:pPr>
        <w:pStyle w:val="TH"/>
        <w:rPr/>
      </w:pPr>
      <w:r>
        <w:rPr/>
      </w:r>
    </w:p>
    <w:tbl>
      <w:tblPr>
        <w:tblW w:w="14742" w:type="dxa"/>
        <w:jc w:val="left"/>
        <w:tblInd w:w="552" w:type="dxa"/>
        <w:tblLayout w:type="fixed"/>
        <w:tblCellMar>
          <w:top w:w="0" w:type="dxa"/>
          <w:left w:w="70" w:type="dxa"/>
          <w:bottom w:w="0" w:type="dxa"/>
          <w:right w:w="70" w:type="dxa"/>
        </w:tblCellMar>
      </w:tblPr>
      <w:tblGrid>
        <w:gridCol w:w="1843"/>
        <w:gridCol w:w="1559"/>
        <w:gridCol w:w="1276"/>
        <w:gridCol w:w="1276"/>
        <w:gridCol w:w="992"/>
        <w:gridCol w:w="1701"/>
        <w:gridCol w:w="1559"/>
        <w:gridCol w:w="1843"/>
        <w:gridCol w:w="2693"/>
      </w:tblGrid>
      <w:tr>
        <w:trPr>
          <w:tblHeader w:val="true"/>
          <w:cantSplit w:val="true"/>
        </w:trPr>
        <w:tc>
          <w:tcPr>
            <w:tcW w:w="1843" w:type="dxa"/>
            <w:vMerge w:val="restart"/>
            <w:tcBorders>
              <w:top w:val="single" w:sz="12" w:space="0" w:color="000000"/>
              <w:left w:val="single" w:sz="12" w:space="0" w:color="000000"/>
              <w:bottom w:val="single" w:sz="12" w:space="0" w:color="000000"/>
              <w:right w:val="single" w:sz="12" w:space="0" w:color="000000"/>
            </w:tcBorders>
          </w:tcPr>
          <w:p>
            <w:pPr>
              <w:pStyle w:val="Normal"/>
              <w:keepNext w:val="true"/>
              <w:keepLines/>
              <w:snapToGrid w:val="false"/>
              <w:spacing w:before="0" w:after="0"/>
              <w:rPr>
                <w:rFonts w:ascii="Arial" w:hAnsi="Arial" w:cs="Arial"/>
              </w:rPr>
            </w:pPr>
            <w:r>
              <w:rPr>
                <w:rFonts w:cs="Arial" w:ascii="Arial" w:hAnsi="Arial"/>
              </w:rPr>
            </w:r>
          </w:p>
        </w:tc>
        <w:tc>
          <w:tcPr>
            <w:tcW w:w="6804" w:type="dxa"/>
            <w:gridSpan w:val="5"/>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b/>
                <w:b/>
              </w:rPr>
            </w:pPr>
            <w:r>
              <w:rPr>
                <w:rFonts w:cs="Arial" w:ascii="Arial" w:hAnsi="Arial"/>
                <w:b/>
              </w:rPr>
              <w:t>Information received over the NW-NW interface</w:t>
            </w:r>
          </w:p>
        </w:tc>
        <w:tc>
          <w:tcPr>
            <w:tcW w:w="6095" w:type="dxa"/>
            <w:gridSpan w:val="3"/>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b/>
                <w:b/>
              </w:rPr>
            </w:pPr>
            <w:r>
              <w:rPr>
                <w:rFonts w:cs="Arial" w:ascii="Arial" w:hAnsi="Arial"/>
                <w:b/>
              </w:rPr>
              <w:t>Information sent to the MS</w:t>
            </w:r>
          </w:p>
        </w:tc>
      </w:tr>
      <w:tr>
        <w:trPr>
          <w:tblHeader w:val="true"/>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cPr>
          <w:p>
            <w:pPr>
              <w:pStyle w:val="Normal"/>
              <w:keepNext w:val="true"/>
              <w:keepLines/>
              <w:snapToGrid w:val="false"/>
              <w:spacing w:before="0" w:after="0"/>
              <w:rPr>
                <w:rFonts w:ascii="Arial" w:hAnsi="Arial" w:cs="Arial"/>
                <w:b/>
                <w:b/>
              </w:rPr>
            </w:pPr>
            <w:r>
              <w:rPr>
                <w:rFonts w:cs="Arial" w:ascii="Arial" w:hAnsi="Arial"/>
                <w:b/>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presentation indicator</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line identity</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additional presentation indicator</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pPr>
            <w:r>
              <w:rPr>
                <w:rFonts w:cs="Arial" w:ascii="Arial" w:hAnsi="Arial"/>
              </w:rPr>
              <w:t>additional line identity</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pPr>
            <w:r>
              <w:rPr>
                <w:rFonts w:cs="Arial" w:ascii="Arial" w:hAnsi="Arial"/>
              </w:rPr>
              <w:t xml:space="preserve">Cause of No </w:t>
            </w:r>
            <w:r>
              <w:rPr>
                <w:rFonts w:cs="Arial" w:ascii="Arial" w:hAnsi="Arial"/>
                <w:lang w:eastAsia="ja-JP"/>
              </w:rPr>
              <w:t>CLI</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presentation indicator</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pPr>
            <w:r>
              <w:rPr>
                <w:rFonts w:cs="Arial" w:ascii="Arial" w:hAnsi="Arial"/>
              </w:rPr>
              <w:t xml:space="preserve">Cause of No </w:t>
            </w:r>
            <w:r>
              <w:rPr>
                <w:rFonts w:cs="Arial" w:ascii="Arial" w:hAnsi="Arial"/>
                <w:lang w:eastAsia="ja-JP"/>
              </w:rPr>
              <w:t>CLI</w:t>
            </w:r>
          </w:p>
        </w:tc>
      </w:tr>
      <w:tr>
        <w:trPr>
          <w:trHeight w:val="60" w:hRule="atLeast"/>
          <w:cantSplit w:val="true"/>
        </w:trPr>
        <w:tc>
          <w:tcPr>
            <w:tcW w:w="1843" w:type="dxa"/>
            <w:vMerge w:val="restart"/>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pacing w:before="0" w:after="0"/>
              <w:ind w:left="113" w:right="113" w:hanging="0"/>
              <w:jc w:val="center"/>
              <w:rPr>
                <w:rFonts w:ascii="Arial" w:hAnsi="Arial" w:cs="Arial"/>
                <w:b/>
                <w:b/>
              </w:rPr>
            </w:pPr>
            <w:r>
              <w:rPr>
                <w:rFonts w:cs="Arial" w:ascii="Arial" w:hAnsi="Arial"/>
                <w:b/>
              </w:rPr>
              <w:t>CLIP provisioned with override category</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not available</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not available</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not available</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allowed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allowed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 of 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allowed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allowed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 of additional 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 of 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NOTE 1</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unavailable</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NOTE 1</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unavailable</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reject by user</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NOTE 1</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reject by user</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interaction with other service</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NOTE 1</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interaction with other service</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payphone</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NOTE 1</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payphone</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pPr>
            <w:r>
              <w:rPr>
                <w:rFonts w:cs="Arial" w:ascii="Arial" w:hAnsi="Arial"/>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unavailable</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 of 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unavailable</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reject by user</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 of 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reject by user</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interaction with other service</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pPr>
            <w:r>
              <w:rPr>
                <w:rFonts w:cs="Arial" w:ascii="Arial" w:hAnsi="Arial"/>
              </w:rPr>
              <w:t>digits of 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interaction with other service</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payphone</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 of 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payphone</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 by network</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 of 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left w:val="single" w:sz="12" w:space="0" w:color="000000"/>
              <w:bottom w:val="single" w:sz="12" w:space="0" w:color="000000"/>
              <w:right w:val="single" w:sz="12" w:space="0" w:color="000000"/>
            </w:tcBorders>
            <w:textDirection w:val="btLr"/>
          </w:tcPr>
          <w:p>
            <w:pPr>
              <w:pStyle w:val="Normal"/>
              <w:keepNext w:val="true"/>
              <w:keepLines/>
              <w:snapToGrid w:val="false"/>
              <w:spacing w:before="0" w:after="0"/>
              <w:ind w:left="113" w:right="113" w:hanging="0"/>
              <w:jc w:val="center"/>
              <w:rPr>
                <w:rFonts w:ascii="Arial" w:hAnsi="Arial" w:cs="Arial"/>
              </w:rPr>
            </w:pPr>
            <w:r>
              <w:rPr>
                <w:rFonts w:cs="Arial" w:ascii="Arial" w:hAnsi="Arial"/>
              </w:rPr>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restricted by network</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allowed</w:t>
            </w:r>
          </w:p>
        </w:tc>
        <w:tc>
          <w:tcPr>
            <w:tcW w:w="992"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allowed</w:t>
            </w:r>
          </w:p>
        </w:tc>
        <w:tc>
          <w:tcPr>
            <w:tcW w:w="184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pPr>
            <w:r>
              <w:rPr>
                <w:rFonts w:cs="Arial" w:ascii="Arial" w:hAnsi="Arial"/>
              </w:rPr>
              <w:t>digits of additional line identity</w:t>
            </w:r>
          </w:p>
        </w:tc>
        <w:tc>
          <w:tcPr>
            <w:tcW w:w="2693" w:type="dxa"/>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bl>
    <w:p>
      <w:pPr>
        <w:pStyle w:val="B2"/>
        <w:keepNext w:val="true"/>
        <w:keepLines/>
        <w:spacing w:before="0" w:after="0"/>
        <w:rPr/>
      </w:pPr>
      <w:r>
        <w:rPr/>
        <w:t>-</w:t>
        <w:tab/>
        <w:t>parameter not present</w:t>
      </w:r>
    </w:p>
    <w:p>
      <w:pPr>
        <w:pStyle w:val="B2"/>
        <w:keepNext w:val="true"/>
        <w:keepLines/>
        <w:spacing w:before="0" w:after="0"/>
        <w:rPr/>
      </w:pPr>
      <w:r>
        <w:rPr/>
        <w:t>*</w:t>
        <w:tab/>
        <w:t>parameter absent or present, if present it may have any value</w:t>
      </w:r>
    </w:p>
    <w:p>
      <w:pPr>
        <w:pStyle w:val="B2"/>
        <w:spacing w:before="0" w:after="0"/>
        <w:rPr/>
      </w:pPr>
      <w:r>
        <w:rPr/>
        <w:t>+</w:t>
        <w:tab/>
        <w:t>parameter present, it may have any value</w:t>
      </w:r>
    </w:p>
    <w:p>
      <w:pPr>
        <w:pStyle w:val="B2"/>
        <w:spacing w:before="0" w:after="0"/>
        <w:rPr/>
      </w:pPr>
      <w:r>
        <w:rPr/>
      </w:r>
    </w:p>
    <w:p>
      <w:pPr>
        <w:sectPr>
          <w:headerReference w:type="default" r:id="rId58"/>
          <w:footerReference w:type="default" r:id="rId59"/>
          <w:type w:val="nextPage"/>
          <w:pgSz w:orient="landscape" w:w="16838" w:h="11906"/>
          <w:pgMar w:left="1134" w:right="1418" w:gutter="0" w:header="680" w:top="1134" w:footer="340" w:bottom="1134"/>
          <w:pgNumType w:fmt="decimal"/>
          <w:formProt w:val="false"/>
          <w:textDirection w:val="lrTb"/>
          <w:docGrid w:type="default" w:linePitch="360" w:charSpace="0"/>
        </w:sectPr>
        <w:pStyle w:val="NO"/>
        <w:rPr/>
      </w:pPr>
      <w:r>
        <w:rPr/>
        <w:t>NOTE 1:</w:t>
        <w:tab/>
        <w:t>Network Option to send either digits of the line identity or digits of additional line identity applies.</w:t>
      </w:r>
    </w:p>
    <w:p>
      <w:pPr>
        <w:pStyle w:val="Heading8"/>
        <w:ind w:left="0" w:hanging="0"/>
        <w:rPr/>
      </w:pPr>
      <w:bookmarkStart w:id="112" w:name="__RefHeading___Toc517461897"/>
      <w:bookmarkStart w:id="113" w:name="historyclause"/>
      <w:bookmarkEnd w:id="112"/>
      <w:bookmarkEnd w:id="113"/>
      <w:r>
        <w:rPr/>
        <w:t>Annex B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pPr>
            <w: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03.81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23.081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b/>
                <w:b/>
                <w:sz w:val="16"/>
              </w:rPr>
            </w:pPr>
            <w:r>
              <w:rPr>
                <w:b/>
                <w:sz w:val="16"/>
              </w:rPr>
            </w:r>
          </w:p>
        </w:tc>
        <w:tc>
          <w:tcPr>
            <w:tcW w:w="1020" w:type="dxa"/>
            <w:tcBorders>
              <w:top w:val="single" w:sz="6" w:space="0" w:color="000000"/>
              <w:bottom w:val="single" w:sz="6" w:space="0" w:color="000000"/>
              <w:right w:val="single" w:sz="6" w:space="0" w:color="000000"/>
            </w:tcBorders>
          </w:tcPr>
          <w:p>
            <w:pPr>
              <w:pStyle w:val="TAL"/>
              <w:rPr/>
            </w:pPr>
            <w:r>
              <w:rPr/>
              <w:t>23.081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3.0.1</w:t>
            </w:r>
          </w:p>
        </w:tc>
        <w:tc>
          <w:tcPr>
            <w:tcW w:w="3599" w:type="dxa"/>
            <w:tcBorders>
              <w:top w:val="single" w:sz="6" w:space="0" w:color="000000"/>
              <w:bottom w:val="single" w:sz="6" w:space="0" w:color="000000"/>
              <w:right w:val="single" w:sz="6" w:space="0" w:color="000000"/>
            </w:tcBorders>
          </w:tcPr>
          <w:p>
            <w:pPr>
              <w:pStyle w:val="TAL"/>
              <w:rPr/>
            </w:pPr>
            <w:r>
              <w:rPr/>
              <w:t>Upgrade of references from 2G to 3G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CN#08</w:t>
            </w:r>
          </w:p>
        </w:tc>
        <w:tc>
          <w:tcPr>
            <w:tcW w:w="1020" w:type="dxa"/>
            <w:tcBorders>
              <w:top w:val="single" w:sz="6" w:space="0" w:color="000000"/>
              <w:bottom w:val="single" w:sz="6" w:space="0" w:color="000000"/>
              <w:right w:val="single" w:sz="6" w:space="0" w:color="000000"/>
            </w:tcBorders>
          </w:tcPr>
          <w:p>
            <w:pPr>
              <w:pStyle w:val="TAL"/>
              <w:rPr/>
            </w:pPr>
            <w:r>
              <w:rPr/>
              <w:t>23.081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pPr>
            <w:r>
              <w:rPr/>
              <w:t>Enhanced handling of presentation indicators for CLIP</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23.081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23.081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CN#17</w:t>
            </w:r>
          </w:p>
        </w:tc>
        <w:tc>
          <w:tcPr>
            <w:tcW w:w="1020" w:type="dxa"/>
            <w:tcBorders>
              <w:top w:val="single" w:sz="6" w:space="0" w:color="000000"/>
              <w:bottom w:val="single" w:sz="6" w:space="0" w:color="000000"/>
              <w:right w:val="single" w:sz="6" w:space="0" w:color="000000"/>
            </w:tcBorders>
          </w:tcPr>
          <w:p>
            <w:pPr>
              <w:pStyle w:val="TAL"/>
              <w:rPr/>
            </w:pPr>
            <w:r>
              <w:rPr/>
              <w:t>23.081</w:t>
            </w:r>
          </w:p>
        </w:tc>
        <w:tc>
          <w:tcPr>
            <w:tcW w:w="762" w:type="dxa"/>
            <w:tcBorders>
              <w:top w:val="single" w:sz="6" w:space="0" w:color="000000"/>
              <w:bottom w:val="single" w:sz="6" w:space="0" w:color="000000"/>
              <w:right w:val="single" w:sz="6" w:space="0" w:color="000000"/>
            </w:tcBorders>
          </w:tcPr>
          <w:p>
            <w:pPr>
              <w:pStyle w:val="TAL"/>
              <w:rPr/>
            </w:pPr>
            <w:r>
              <w:rPr/>
              <w:t>0006</w:t>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5.1.0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Correction of 'Cause of no CLI' handling in SDLs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CN#19</w:t>
            </w:r>
          </w:p>
        </w:tc>
        <w:tc>
          <w:tcPr>
            <w:tcW w:w="1020" w:type="dxa"/>
            <w:tcBorders>
              <w:top w:val="single" w:sz="6" w:space="0" w:color="000000"/>
              <w:bottom w:val="single" w:sz="6" w:space="0" w:color="000000"/>
              <w:right w:val="single" w:sz="6" w:space="0" w:color="000000"/>
            </w:tcBorders>
          </w:tcPr>
          <w:p>
            <w:pPr>
              <w:pStyle w:val="TAL"/>
              <w:rPr/>
            </w:pPr>
            <w:r>
              <w:rPr/>
              <w:t>23.081</w:t>
            </w:r>
          </w:p>
        </w:tc>
        <w:tc>
          <w:tcPr>
            <w:tcW w:w="762" w:type="dxa"/>
            <w:tcBorders>
              <w:top w:val="single" w:sz="6" w:space="0" w:color="000000"/>
              <w:bottom w:val="single" w:sz="6" w:space="0" w:color="000000"/>
              <w:right w:val="single" w:sz="6" w:space="0" w:color="000000"/>
            </w:tcBorders>
          </w:tcPr>
          <w:p>
            <w:pPr>
              <w:pStyle w:val="TAL"/>
              <w:rPr/>
            </w:pPr>
            <w:r>
              <w:rPr/>
              <w:t>0007r1</w:t>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5.2.0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t>Correction to interworking between CLIP enhancement and CAMEL</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CN#25</w:t>
            </w:r>
          </w:p>
        </w:tc>
        <w:tc>
          <w:tcPr>
            <w:tcW w:w="1020" w:type="dxa"/>
            <w:tcBorders>
              <w:top w:val="single" w:sz="6" w:space="0" w:color="000000"/>
              <w:bottom w:val="single" w:sz="6" w:space="0" w:color="000000"/>
              <w:right w:val="single" w:sz="6" w:space="0" w:color="000000"/>
            </w:tcBorders>
          </w:tcPr>
          <w:p>
            <w:pPr>
              <w:pStyle w:val="TAL"/>
              <w:rPr/>
            </w:pPr>
            <w:r>
              <w:rPr/>
              <w:t>23.081</w:t>
            </w:r>
          </w:p>
        </w:tc>
        <w:tc>
          <w:tcPr>
            <w:tcW w:w="762" w:type="dxa"/>
            <w:tcBorders>
              <w:top w:val="single" w:sz="6" w:space="0" w:color="000000"/>
              <w:bottom w:val="single" w:sz="6" w:space="0" w:color="000000"/>
              <w:right w:val="single" w:sz="6" w:space="0" w:color="000000"/>
            </w:tcBorders>
          </w:tcPr>
          <w:p>
            <w:pPr>
              <w:pStyle w:val="TAL"/>
              <w:rPr/>
            </w:pPr>
            <w:r>
              <w:rPr/>
              <w:t>0008</w:t>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Editorial correction of table definition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23.081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23.081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CT#46</w:t>
            </w:r>
          </w:p>
        </w:tc>
        <w:tc>
          <w:tcPr>
            <w:tcW w:w="1020" w:type="dxa"/>
            <w:tcBorders>
              <w:top w:val="single" w:sz="6" w:space="0" w:color="000000"/>
              <w:bottom w:val="single" w:sz="4" w:space="0" w:color="000000"/>
              <w:right w:val="single" w:sz="6" w:space="0" w:color="000000"/>
            </w:tcBorders>
          </w:tcPr>
          <w:p>
            <w:pPr>
              <w:pStyle w:val="TAL"/>
              <w:rPr/>
            </w:pPr>
            <w:r>
              <w:rPr/>
              <w:t>23.081</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lang w:val="en-US" w:eastAsia="en-US"/>
              </w:rPr>
            </w:pPr>
            <w:r>
              <w:rPr>
                <w:lang w:val="en-US" w:eastAsia="en-US"/>
              </w:rPr>
              <w:t>9.0.0</w:t>
            </w:r>
          </w:p>
        </w:tc>
        <w:tc>
          <w:tcPr>
            <w:tcW w:w="3599" w:type="dxa"/>
            <w:tcBorders>
              <w:top w:val="single" w:sz="6" w:space="0" w:color="000000"/>
              <w:bottom w:val="single" w:sz="4" w:space="0" w:color="000000"/>
              <w:right w:val="single" w:sz="6" w:space="0" w:color="000000"/>
            </w:tcBorders>
          </w:tcPr>
          <w:p>
            <w:pPr>
              <w:pStyle w:val="TAL"/>
              <w:rPr>
                <w:lang w:val="en-US" w:eastAsia="en-US"/>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0009</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CLI interactions with ACR</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Rel-16 version (MCC)</w:t>
            </w:r>
          </w:p>
        </w:tc>
      </w:tr>
    </w:tbl>
    <w:p>
      <w:pPr>
        <w:pStyle w:val="Normal"/>
        <w:widowControl/>
        <w:bidi w:val="0"/>
        <w:spacing w:before="0" w:after="180"/>
        <w:rPr/>
      </w:pPr>
      <w:r>
        <w:rPr/>
      </w:r>
    </w:p>
    <w:sectPr>
      <w:headerReference w:type="default" r:id="rId60"/>
      <w:footerReference w:type="default" r:id="rId61"/>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1">
              <wp:simplePos x="0" y="0"/>
              <wp:positionH relativeFrom="margin">
                <wp:align>right</wp:align>
              </wp:positionH>
              <wp:positionV relativeFrom="paragraph">
                <wp:posOffset>635</wp:posOffset>
              </wp:positionV>
              <wp:extent cx="1844675" cy="131445"/>
              <wp:effectExtent l="0" t="0" r="0" b="0"/>
              <wp:wrapSquare wrapText="largest"/>
              <wp:docPr id="26"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23.081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23.081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1">
              <wp:simplePos x="0" y="0"/>
              <wp:positionH relativeFrom="margin">
                <wp:align>center</wp:align>
              </wp:positionH>
              <wp:positionV relativeFrom="paragraph">
                <wp:posOffset>635</wp:posOffset>
              </wp:positionV>
              <wp:extent cx="128905" cy="131445"/>
              <wp:effectExtent l="0" t="0" r="0" b="0"/>
              <wp:wrapSquare wrapText="largest"/>
              <wp:docPr id="27"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41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41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1">
              <wp:simplePos x="0" y="0"/>
              <wp:positionH relativeFrom="margin">
                <wp:align>left</wp:align>
              </wp:positionH>
              <wp:positionV relativeFrom="paragraph">
                <wp:posOffset>635</wp:posOffset>
              </wp:positionV>
              <wp:extent cx="598170" cy="131445"/>
              <wp:effectExtent l="0" t="0" r="0" b="0"/>
              <wp:wrapSquare wrapText="largest"/>
              <wp:docPr id="28"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p>
    <w:pPr>
      <w:pStyle w:val="Header"/>
      <w:rPr/>
    </w:pPr>
    <w:r>
      <w:rPr/>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3">
              <wp:simplePos x="0" y="0"/>
              <wp:positionH relativeFrom="margin">
                <wp:align>right</wp:align>
              </wp:positionH>
              <wp:positionV relativeFrom="paragraph">
                <wp:posOffset>635</wp:posOffset>
              </wp:positionV>
              <wp:extent cx="1844675" cy="131445"/>
              <wp:effectExtent l="0" t="0" r="0" b="0"/>
              <wp:wrapSquare wrapText="largest"/>
              <wp:docPr id="29" name="Frame13"/>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23.081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569.0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23.081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5">
              <wp:simplePos x="0" y="0"/>
              <wp:positionH relativeFrom="margin">
                <wp:align>center</wp:align>
              </wp:positionH>
              <wp:positionV relativeFrom="paragraph">
                <wp:posOffset>635</wp:posOffset>
              </wp:positionV>
              <wp:extent cx="128905" cy="131445"/>
              <wp:effectExtent l="0" t="0" r="0" b="0"/>
              <wp:wrapSquare wrapText="largest"/>
              <wp:docPr id="30" name="Frame14"/>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352.1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7">
              <wp:simplePos x="0" y="0"/>
              <wp:positionH relativeFrom="margin">
                <wp:align>left</wp:align>
              </wp:positionH>
              <wp:positionV relativeFrom="paragraph">
                <wp:posOffset>635</wp:posOffset>
              </wp:positionV>
              <wp:extent cx="598170" cy="131445"/>
              <wp:effectExtent l="0" t="0" r="0" b="0"/>
              <wp:wrapSquare wrapText="largest"/>
              <wp:docPr id="31" name="Frame15"/>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p>
    <w:pPr>
      <w:pStyle w:val="Header"/>
      <w:rPr/>
    </w:pPr>
    <w:r>
      <w:rPr/>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8">
              <wp:simplePos x="0" y="0"/>
              <wp:positionH relativeFrom="margin">
                <wp:align>right</wp:align>
              </wp:positionH>
              <wp:positionV relativeFrom="paragraph">
                <wp:posOffset>635</wp:posOffset>
              </wp:positionV>
              <wp:extent cx="1844675" cy="131445"/>
              <wp:effectExtent l="0" t="0" r="0" b="0"/>
              <wp:wrapSquare wrapText="largest"/>
              <wp:docPr id="32" name="Frame16"/>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23.081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23.081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9">
              <wp:simplePos x="0" y="0"/>
              <wp:positionH relativeFrom="margin">
                <wp:align>center</wp:align>
              </wp:positionH>
              <wp:positionV relativeFrom="paragraph">
                <wp:posOffset>635</wp:posOffset>
              </wp:positionV>
              <wp:extent cx="128905" cy="131445"/>
              <wp:effectExtent l="0" t="0" r="0" b="0"/>
              <wp:wrapSquare wrapText="largest"/>
              <wp:docPr id="33" name="Frame17"/>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44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44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0">
              <wp:simplePos x="0" y="0"/>
              <wp:positionH relativeFrom="margin">
                <wp:align>left</wp:align>
              </wp:positionH>
              <wp:positionV relativeFrom="paragraph">
                <wp:posOffset>635</wp:posOffset>
              </wp:positionV>
              <wp:extent cx="598170" cy="131445"/>
              <wp:effectExtent l="0" t="0" r="0" b="0"/>
              <wp:wrapSquare wrapText="largest"/>
              <wp:docPr id="34" name="Frame18"/>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style>
  <w:style w:type="character" w:styleId="WW8Num4z0">
    <w:name w:val="WW8Num4z0"/>
    <w:qFormat/>
    <w:rPr>
      <w:sz w:val="18"/>
    </w:rPr>
  </w:style>
  <w:style w:type="character" w:styleId="WW8Num5z0">
    <w:name w:val="WW8Num5z0"/>
    <w:qFormat/>
    <w:rPr/>
  </w:style>
  <w:style w:type="character" w:styleId="WW8Num6z0">
    <w:name w:val="WW8Num6z0"/>
    <w:qFormat/>
    <w:rPr/>
  </w:style>
  <w:style w:type="character" w:styleId="WW8Num8z0">
    <w:name w:val="WW8Num8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left="567"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oleObject" Target="embeddings/oleObject5.bin"/><Relationship Id="rId18" Type="http://schemas.openxmlformats.org/officeDocument/2006/relationships/image" Target="media/image12.wmf"/><Relationship Id="rId19" Type="http://schemas.openxmlformats.org/officeDocument/2006/relationships/oleObject" Target="embeddings/oleObject6.bin"/><Relationship Id="rId20" Type="http://schemas.openxmlformats.org/officeDocument/2006/relationships/image" Target="media/image13.emf"/><Relationship Id="rId21" Type="http://schemas.openxmlformats.org/officeDocument/2006/relationships/oleObject" Target="embeddings/oleObject7.bin"/><Relationship Id="rId22" Type="http://schemas.openxmlformats.org/officeDocument/2006/relationships/image" Target="media/image14.emf"/><Relationship Id="rId23" Type="http://schemas.openxmlformats.org/officeDocument/2006/relationships/oleObject" Target="embeddings/oleObject8.bin"/><Relationship Id="rId24" Type="http://schemas.openxmlformats.org/officeDocument/2006/relationships/image" Target="media/image15.emf"/><Relationship Id="rId25" Type="http://schemas.openxmlformats.org/officeDocument/2006/relationships/oleObject" Target="embeddings/oleObject9.bin"/><Relationship Id="rId26" Type="http://schemas.openxmlformats.org/officeDocument/2006/relationships/image" Target="media/image16.emf"/><Relationship Id="rId27" Type="http://schemas.openxmlformats.org/officeDocument/2006/relationships/image" Target="media/image17.wmf"/><Relationship Id="rId28" Type="http://schemas.openxmlformats.org/officeDocument/2006/relationships/image" Target="media/image18.wmf"/><Relationship Id="rId29" Type="http://schemas.openxmlformats.org/officeDocument/2006/relationships/image" Target="media/image19.wmf"/><Relationship Id="rId30" Type="http://schemas.openxmlformats.org/officeDocument/2006/relationships/oleObject" Target="embeddings/oleObject10.bin"/><Relationship Id="rId31" Type="http://schemas.openxmlformats.org/officeDocument/2006/relationships/image" Target="media/image20.wmf"/><Relationship Id="rId32" Type="http://schemas.openxmlformats.org/officeDocument/2006/relationships/oleObject" Target="embeddings/oleObject11.bin"/><Relationship Id="rId33" Type="http://schemas.openxmlformats.org/officeDocument/2006/relationships/image" Target="media/image21.emf"/><Relationship Id="rId34" Type="http://schemas.openxmlformats.org/officeDocument/2006/relationships/oleObject" Target="embeddings/oleObject12.bin"/><Relationship Id="rId35" Type="http://schemas.openxmlformats.org/officeDocument/2006/relationships/image" Target="media/image22.emf"/><Relationship Id="rId36" Type="http://schemas.openxmlformats.org/officeDocument/2006/relationships/oleObject" Target="embeddings/oleObject13.bin"/><Relationship Id="rId37" Type="http://schemas.openxmlformats.org/officeDocument/2006/relationships/image" Target="media/image23.wmf"/><Relationship Id="rId38" Type="http://schemas.openxmlformats.org/officeDocument/2006/relationships/oleObject" Target="embeddings/oleObject14.bin"/><Relationship Id="rId39" Type="http://schemas.openxmlformats.org/officeDocument/2006/relationships/image" Target="media/image24.emf"/><Relationship Id="rId40" Type="http://schemas.openxmlformats.org/officeDocument/2006/relationships/oleObject" Target="embeddings/oleObject15.bin"/><Relationship Id="rId41" Type="http://schemas.openxmlformats.org/officeDocument/2006/relationships/image" Target="media/image25.emf"/><Relationship Id="rId42" Type="http://schemas.openxmlformats.org/officeDocument/2006/relationships/image" Target="media/image26.wmf"/><Relationship Id="rId43" Type="http://schemas.openxmlformats.org/officeDocument/2006/relationships/image" Target="media/image27.wmf"/><Relationship Id="rId44" Type="http://schemas.openxmlformats.org/officeDocument/2006/relationships/image" Target="media/image28.wmf"/><Relationship Id="rId45" Type="http://schemas.openxmlformats.org/officeDocument/2006/relationships/image" Target="media/image29.png"/><Relationship Id="rId46" Type="http://schemas.openxmlformats.org/officeDocument/2006/relationships/oleObject" Target="embeddings/oleObject16.bin"/><Relationship Id="rId47" Type="http://schemas.openxmlformats.org/officeDocument/2006/relationships/image" Target="media/image30.emf"/><Relationship Id="rId48" Type="http://schemas.openxmlformats.org/officeDocument/2006/relationships/oleObject" Target="embeddings/oleObject17.bin"/><Relationship Id="rId49" Type="http://schemas.openxmlformats.org/officeDocument/2006/relationships/image" Target="media/image31.emf"/><Relationship Id="rId50" Type="http://schemas.openxmlformats.org/officeDocument/2006/relationships/image" Target="media/image32.wmf"/><Relationship Id="rId51" Type="http://schemas.openxmlformats.org/officeDocument/2006/relationships/image" Target="media/image33.wmf"/><Relationship Id="rId52" Type="http://schemas.openxmlformats.org/officeDocument/2006/relationships/oleObject" Target="embeddings/oleObject18.bin"/><Relationship Id="rId53" Type="http://schemas.openxmlformats.org/officeDocument/2006/relationships/image" Target="media/image34.emf"/><Relationship Id="rId54" Type="http://schemas.openxmlformats.org/officeDocument/2006/relationships/oleObject" Target="embeddings/oleObject19.bin"/><Relationship Id="rId55" Type="http://schemas.openxmlformats.org/officeDocument/2006/relationships/image" Target="media/image35.emf"/><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header" Target="header2.xml"/><Relationship Id="rId59" Type="http://schemas.openxmlformats.org/officeDocument/2006/relationships/footer" Target="footer2.xml"/><Relationship Id="rId60" Type="http://schemas.openxmlformats.org/officeDocument/2006/relationships/header" Target="header3.xml"/><Relationship Id="rId61" Type="http://schemas.openxmlformats.org/officeDocument/2006/relationships/footer" Target="footer3.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2002-03-06T13:43:00Z</dcterms:created>
  <dc:creator>Kimmo Kymalainen</dc:creator>
  <dc:description/>
  <cp:keywords>GSM UMTS network CLIP CLIR COLP COLR supplementary servce stage 2</cp:keywords>
  <dc:language>en-US</dc:language>
  <cp:lastModifiedBy>Kimmo Kymalainen</cp:lastModifiedBy>
  <cp:lastPrinted>1999-05-04T13:42:00Z</cp:lastPrinted>
  <dcterms:modified xsi:type="dcterms:W3CDTF">2020-07-07T20:06:00Z</dcterms:modified>
  <cp:revision>31</cp:revision>
  <dc:subject>Stage 2 (Release 10)</dc:subject>
  <dc:title>3GPP TS 23.081</dc:title>
</cp:coreProperties>
</file>