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media/image1.wmf" ContentType="image/x-wmf"/>
  <Override PartName="/word/media/image2.wmf" ContentType="image/x-wmf"/>
  <Override PartName="/word/media/image3.emf" ContentType="image/x-emf"/>
  <Override PartName="/word/media/image5.wmf" ContentType="image/x-wmf"/>
  <Override PartName="/word/media/image4.emf" ContentType="image/x-emf"/>
  <Override PartName="/word/media/image6.emf" ContentType="image/x-emf"/>
  <Override PartName="/word/media/image7.emf" ContentType="image/x-emf"/>
  <Override PartName="/word/media/image8.emf" ContentType="image/x-e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23.096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23.096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86560"/>
                <wp:effectExtent l="0" t="0" r="0" b="0"/>
                <wp:wrapTopAndBottom/>
                <wp:docPr id="3" name="Frame3"/>
                <a:graphic xmlns:a="http://schemas.openxmlformats.org/drawingml/2006/main">
                  <a:graphicData uri="http://schemas.microsoft.com/office/word/2010/wordprocessingShape">
                    <wps:wsp>
                      <wps:cNvSpPr txBox="1"/>
                      <wps:spPr>
                        <a:xfrm>
                          <a:off x="0" y="0"/>
                          <a:ext cx="6479540" cy="168656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Name identification supplementary services</w:t>
                            </w:r>
                            <w:r>
                              <w:rPr>
                                <w:spacing w:val="-4"/>
                              </w:rPr>
                              <w:t xml:space="preserve">; </w:t>
                              <w:br/>
                              <w:t>Stage 2</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Name identification supplementary services</w:t>
                      </w:r>
                      <w:r>
                        <w:rPr>
                          <w:spacing w:val="-4"/>
                        </w:rPr>
                        <w:t xml:space="preserve">; </w:t>
                        <w:br/>
                        <w:t>Stage 2</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1596306268"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857030342"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584200"/>
                <wp:effectExtent l="0" t="0" r="0" b="0"/>
                <wp:wrapTopAndBottom/>
                <wp:docPr id="7"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CNAP, supplementary service, stage 2</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CNAP, supplementary service,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80540"/>
                <wp:effectExtent l="0" t="0" r="0" b="0"/>
                <wp:wrapTopAndBottom/>
                <wp:docPr id="8"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703705"/>
                <wp:effectExtent l="0" t="0" r="0" b="0"/>
                <wp:wrapTopAndBottom/>
                <wp:docPr id="9"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1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463390">
            <w:r>
              <w:rPr>
                <w:rStyle w:val="IndexLink"/>
                <w:sz w:val="22"/>
                <w:lang w:val="en-US" w:eastAsia="en-US"/>
              </w:rPr>
              <w:t>4</w:t>
            </w:r>
          </w:hyperlink>
        </w:p>
        <w:p>
          <w:pPr>
            <w:pStyle w:val="Contents1"/>
            <w:rPr>
              <w:rFonts w:ascii="Calibri" w:hAnsi="Calibri" w:cs="Calibri"/>
              <w:szCs w:val="22"/>
              <w:lang w:val="en-US" w:eastAsia="en-US"/>
            </w:rPr>
          </w:pPr>
          <w:r>
            <w:rPr/>
            <w:t>1</w:t>
          </w:r>
          <w:r>
            <w:rPr>
              <w:rFonts w:cs="Calibri" w:ascii="Calibri" w:hAnsi="Calibri"/>
              <w:szCs w:val="22"/>
              <w:lang w:eastAsia="en-GB"/>
            </w:rPr>
            <w:tab/>
          </w:r>
          <w:r>
            <w:rPr>
              <w:lang w:val="en-US" w:eastAsia="en-US"/>
            </w:rPr>
            <w:t>Scope</w:t>
            <w:tab/>
          </w:r>
          <w:hyperlink w:anchor="__RefHeading___Toc517463391">
            <w:r>
              <w:rPr>
                <w:rStyle w:val="IndexLink"/>
                <w:lang w:val="en-US" w:eastAsia="en-US"/>
              </w:rPr>
              <w:t>5</w:t>
            </w:r>
          </w:hyperlink>
        </w:p>
        <w:p>
          <w:pPr>
            <w:pStyle w:val="Contents1"/>
            <w:rPr>
              <w:rFonts w:ascii="Calibri" w:hAnsi="Calibri" w:cs="Calibri"/>
              <w:szCs w:val="22"/>
              <w:lang w:val="en-US" w:eastAsia="en-US"/>
            </w:rPr>
          </w:pPr>
          <w:r>
            <w:rPr/>
            <w:t>2</w:t>
          </w:r>
          <w:r>
            <w:rPr>
              <w:rFonts w:cs="Calibri" w:ascii="Calibri" w:hAnsi="Calibri"/>
              <w:szCs w:val="22"/>
              <w:lang w:eastAsia="en-GB"/>
            </w:rPr>
            <w:tab/>
          </w:r>
          <w:r>
            <w:rPr>
              <w:lang w:val="en-US" w:eastAsia="en-US"/>
            </w:rPr>
            <w:t>References</w:t>
            <w:tab/>
          </w:r>
          <w:hyperlink w:anchor="__RefHeading___Toc517463392">
            <w:r>
              <w:rPr>
                <w:rStyle w:val="IndexLink"/>
                <w:lang w:val="en-US" w:eastAsia="en-US"/>
              </w:rPr>
              <w:t>5</w:t>
            </w:r>
          </w:hyperlink>
        </w:p>
        <w:p>
          <w:pPr>
            <w:pStyle w:val="Contents1"/>
            <w:rPr>
              <w:rFonts w:ascii="Calibri" w:hAnsi="Calibri" w:cs="Calibri"/>
              <w:szCs w:val="22"/>
              <w:lang w:val="en-US" w:eastAsia="en-US"/>
            </w:rPr>
          </w:pPr>
          <w:r>
            <w:rPr/>
            <w:t>3</w:t>
          </w:r>
          <w:r>
            <w:rPr>
              <w:rFonts w:cs="Calibri" w:ascii="Calibri" w:hAnsi="Calibri"/>
              <w:szCs w:val="22"/>
              <w:lang w:eastAsia="en-GB"/>
            </w:rPr>
            <w:tab/>
          </w:r>
          <w:r>
            <w:rPr>
              <w:lang w:val="en-US" w:eastAsia="en-US"/>
            </w:rPr>
            <w:t>Definitions and Abbreviations</w:t>
            <w:tab/>
          </w:r>
          <w:hyperlink w:anchor="__RefHeading___Toc517463393">
            <w:r>
              <w:rPr>
                <w:rStyle w:val="IndexLink"/>
                <w:lang w:val="en-US" w:eastAsia="en-US"/>
              </w:rPr>
              <w:t>5</w:t>
            </w:r>
          </w:hyperlink>
        </w:p>
        <w:p>
          <w:pPr>
            <w:pStyle w:val="Contents2"/>
            <w:rPr>
              <w:rFonts w:ascii="Calibri" w:hAnsi="Calibri" w:cs="Calibri"/>
              <w:sz w:val="22"/>
              <w:szCs w:val="22"/>
              <w:lang w:val="en-US" w:eastAsia="en-US"/>
            </w:rPr>
          </w:pPr>
          <w:r>
            <w:rPr/>
            <w:t>3.1</w:t>
          </w:r>
          <w:r>
            <w:rPr>
              <w:rFonts w:cs="Calibri" w:ascii="Calibri" w:hAnsi="Calibri"/>
              <w:sz w:val="22"/>
              <w:szCs w:val="22"/>
              <w:lang w:eastAsia="en-GB"/>
            </w:rPr>
            <w:tab/>
          </w:r>
          <w:r>
            <w:rPr>
              <w:lang w:val="en-US" w:eastAsia="en-US"/>
            </w:rPr>
            <w:t>Definitions</w:t>
            <w:tab/>
          </w:r>
          <w:hyperlink w:anchor="__RefHeading___Toc517463394">
            <w:r>
              <w:rPr>
                <w:rStyle w:val="IndexLink"/>
                <w:lang w:val="en-US" w:eastAsia="en-US"/>
              </w:rPr>
              <w:t>5</w:t>
            </w:r>
          </w:hyperlink>
        </w:p>
        <w:p>
          <w:pPr>
            <w:pStyle w:val="Contents2"/>
            <w:rPr>
              <w:rFonts w:ascii="Calibri" w:hAnsi="Calibri" w:cs="Calibri"/>
              <w:sz w:val="22"/>
              <w:szCs w:val="22"/>
              <w:lang w:val="en-US" w:eastAsia="en-US"/>
            </w:rPr>
          </w:pPr>
          <w:r>
            <w:rPr/>
            <w:t>3.2</w:t>
          </w:r>
          <w:r>
            <w:rPr>
              <w:rFonts w:cs="Calibri" w:ascii="Calibri" w:hAnsi="Calibri"/>
              <w:sz w:val="22"/>
              <w:szCs w:val="22"/>
              <w:lang w:eastAsia="en-GB"/>
            </w:rPr>
            <w:tab/>
          </w:r>
          <w:r>
            <w:rPr>
              <w:lang w:val="en-US" w:eastAsia="en-US"/>
            </w:rPr>
            <w:t>Abbreviations</w:t>
            <w:tab/>
          </w:r>
          <w:hyperlink w:anchor="__RefHeading___Toc517463395">
            <w:r>
              <w:rPr>
                <w:rStyle w:val="IndexLink"/>
                <w:lang w:val="en-US" w:eastAsia="en-US"/>
              </w:rPr>
              <w:t>6</w:t>
            </w:r>
          </w:hyperlink>
        </w:p>
        <w:p>
          <w:pPr>
            <w:pStyle w:val="Contents1"/>
            <w:rPr>
              <w:rFonts w:ascii="Calibri" w:hAnsi="Calibri" w:cs="Calibri"/>
              <w:szCs w:val="22"/>
              <w:lang w:val="en-US" w:eastAsia="en-US"/>
            </w:rPr>
          </w:pPr>
          <w:r>
            <w:rPr/>
            <w:t>4</w:t>
          </w:r>
          <w:r>
            <w:rPr>
              <w:rFonts w:cs="Calibri" w:ascii="Calibri" w:hAnsi="Calibri"/>
              <w:szCs w:val="22"/>
              <w:lang w:eastAsia="en-GB"/>
            </w:rPr>
            <w:tab/>
          </w:r>
          <w:r>
            <w:rPr>
              <w:lang w:val="en-US" w:eastAsia="en-US"/>
            </w:rPr>
            <w:t>Calling Name Presentation (CNAP)</w:t>
            <w:tab/>
          </w:r>
          <w:hyperlink w:anchor="__RefHeading___Toc517463396">
            <w:r>
              <w:rPr>
                <w:rStyle w:val="IndexLink"/>
                <w:lang w:val="en-US" w:eastAsia="en-US"/>
              </w:rPr>
              <w:t>6</w:t>
            </w:r>
          </w:hyperlink>
        </w:p>
        <w:p>
          <w:pPr>
            <w:pStyle w:val="Contents2"/>
            <w:rPr>
              <w:rFonts w:ascii="Calibri" w:hAnsi="Calibri" w:cs="Calibri"/>
              <w:sz w:val="22"/>
              <w:szCs w:val="22"/>
              <w:lang w:val="en-US" w:eastAsia="en-US"/>
            </w:rPr>
          </w:pPr>
          <w:r>
            <w:rPr/>
            <w:t>4.1</w:t>
          </w:r>
          <w:r>
            <w:rPr>
              <w:rFonts w:cs="Calibri" w:ascii="Calibri" w:hAnsi="Calibri"/>
              <w:sz w:val="22"/>
              <w:szCs w:val="22"/>
              <w:lang w:eastAsia="en-GB"/>
            </w:rPr>
            <w:tab/>
          </w:r>
          <w:r>
            <w:rPr>
              <w:lang w:val="en-US" w:eastAsia="en-US"/>
            </w:rPr>
            <w:t>Handling of calling name presentation</w:t>
            <w:tab/>
          </w:r>
          <w:hyperlink w:anchor="__RefHeading___Toc517463397">
            <w:r>
              <w:rPr>
                <w:rStyle w:val="IndexLink"/>
                <w:lang w:val="en-US" w:eastAsia="en-US"/>
              </w:rPr>
              <w:t>6</w:t>
            </w:r>
          </w:hyperlink>
        </w:p>
        <w:p>
          <w:pPr>
            <w:pStyle w:val="Contents3"/>
            <w:rPr>
              <w:rFonts w:ascii="Calibri" w:hAnsi="Calibri" w:cs="Calibri"/>
              <w:sz w:val="22"/>
              <w:szCs w:val="22"/>
              <w:lang w:val="en-US" w:eastAsia="en-US"/>
            </w:rPr>
          </w:pPr>
          <w:r>
            <w:rPr/>
            <w:t>4.1.1</w:t>
          </w:r>
          <w:r>
            <w:rPr>
              <w:rFonts w:cs="Calibri" w:ascii="Calibri" w:hAnsi="Calibri"/>
              <w:sz w:val="22"/>
              <w:szCs w:val="22"/>
              <w:lang w:eastAsia="en-GB"/>
            </w:rPr>
            <w:tab/>
          </w:r>
          <w:r>
            <w:rPr>
              <w:lang w:val="en-US" w:eastAsia="en-US"/>
            </w:rPr>
            <w:t>Originating MSC Activities</w:t>
            <w:tab/>
          </w:r>
          <w:hyperlink w:anchor="__RefHeading___Toc517463398">
            <w:r>
              <w:rPr>
                <w:rStyle w:val="IndexLink"/>
                <w:lang w:val="en-US" w:eastAsia="en-US"/>
              </w:rPr>
              <w:t>6</w:t>
            </w:r>
          </w:hyperlink>
        </w:p>
        <w:p>
          <w:pPr>
            <w:pStyle w:val="Contents3"/>
            <w:rPr>
              <w:rFonts w:ascii="Calibri" w:hAnsi="Calibri" w:cs="Calibri"/>
              <w:sz w:val="22"/>
              <w:szCs w:val="22"/>
              <w:lang w:val="en-US" w:eastAsia="en-US"/>
            </w:rPr>
          </w:pPr>
          <w:r>
            <w:rPr/>
            <w:t>4.1.2</w:t>
          </w:r>
          <w:r>
            <w:rPr>
              <w:rFonts w:cs="Calibri" w:ascii="Calibri" w:hAnsi="Calibri"/>
              <w:sz w:val="22"/>
              <w:szCs w:val="22"/>
              <w:lang w:eastAsia="en-GB"/>
            </w:rPr>
            <w:tab/>
          </w:r>
          <w:r>
            <w:rPr>
              <w:lang w:val="en-US" w:eastAsia="en-US"/>
            </w:rPr>
            <w:t>Terminating VMSC Activities</w:t>
            <w:tab/>
          </w:r>
          <w:hyperlink w:anchor="__RefHeading___Toc517463399">
            <w:r>
              <w:rPr>
                <w:rStyle w:val="IndexLink"/>
                <w:lang w:val="en-US" w:eastAsia="en-US"/>
              </w:rPr>
              <w:t>6</w:t>
            </w:r>
          </w:hyperlink>
        </w:p>
        <w:p>
          <w:pPr>
            <w:pStyle w:val="Contents3"/>
            <w:rPr>
              <w:rFonts w:ascii="Calibri" w:hAnsi="Calibri" w:cs="Calibri"/>
              <w:sz w:val="22"/>
              <w:szCs w:val="22"/>
              <w:lang w:val="en-US" w:eastAsia="en-US"/>
            </w:rPr>
          </w:pPr>
          <w:r>
            <w:rPr/>
            <w:t>4.1.3</w:t>
          </w:r>
          <w:r>
            <w:rPr>
              <w:rFonts w:cs="Calibri" w:ascii="Calibri" w:hAnsi="Calibri"/>
              <w:sz w:val="22"/>
              <w:szCs w:val="22"/>
              <w:lang w:eastAsia="en-GB"/>
            </w:rPr>
            <w:tab/>
          </w:r>
          <w:r>
            <w:rPr>
              <w:lang w:val="en-US" w:eastAsia="en-US"/>
            </w:rPr>
            <w:t>Interrogation</w:t>
            <w:tab/>
          </w:r>
          <w:hyperlink w:anchor="__RefHeading___Toc517463400">
            <w:r>
              <w:rPr>
                <w:rStyle w:val="IndexLink"/>
                <w:lang w:val="en-US" w:eastAsia="en-US"/>
              </w:rPr>
              <w:t>7</w:t>
            </w:r>
          </w:hyperlink>
        </w:p>
        <w:p>
          <w:pPr>
            <w:pStyle w:val="Contents2"/>
            <w:rPr>
              <w:rFonts w:ascii="Calibri" w:hAnsi="Calibri" w:cs="Calibri"/>
              <w:sz w:val="22"/>
              <w:szCs w:val="22"/>
              <w:lang w:val="en-US" w:eastAsia="en-US"/>
            </w:rPr>
          </w:pPr>
          <w:r>
            <w:rPr/>
            <w:t>4.2</w:t>
          </w:r>
          <w:r>
            <w:rPr>
              <w:rFonts w:cs="Calibri" w:ascii="Calibri" w:hAnsi="Calibri"/>
              <w:sz w:val="22"/>
              <w:szCs w:val="22"/>
              <w:lang w:eastAsia="en-GB"/>
            </w:rPr>
            <w:tab/>
          </w:r>
          <w:r>
            <w:rPr>
              <w:lang w:val="en-US" w:eastAsia="en-US"/>
            </w:rPr>
            <w:t>Functions and information flows</w:t>
            <w:tab/>
          </w:r>
          <w:hyperlink w:anchor="__RefHeading___Toc517463401">
            <w:r>
              <w:rPr>
                <w:rStyle w:val="IndexLink"/>
                <w:lang w:val="en-US" w:eastAsia="en-US"/>
              </w:rPr>
              <w:t>7</w:t>
            </w:r>
          </w:hyperlink>
        </w:p>
        <w:p>
          <w:pPr>
            <w:pStyle w:val="Contents2"/>
            <w:rPr>
              <w:rFonts w:ascii="Calibri" w:hAnsi="Calibri" w:cs="Calibri"/>
              <w:sz w:val="22"/>
              <w:szCs w:val="22"/>
              <w:lang w:val="en-US" w:eastAsia="en-US"/>
            </w:rPr>
          </w:pPr>
          <w:r>
            <w:rPr/>
            <w:t>4.3</w:t>
          </w:r>
          <w:r>
            <w:rPr>
              <w:rFonts w:cs="Calibri" w:ascii="Calibri" w:hAnsi="Calibri"/>
              <w:sz w:val="22"/>
              <w:szCs w:val="22"/>
              <w:lang w:eastAsia="en-GB"/>
            </w:rPr>
            <w:tab/>
          </w:r>
          <w:r>
            <w:rPr>
              <w:lang w:val="en-US" w:eastAsia="en-US"/>
            </w:rPr>
            <w:t>Information stored in the HLR</w:t>
            <w:tab/>
          </w:r>
          <w:hyperlink w:anchor="__RefHeading___Toc517463402">
            <w:r>
              <w:rPr>
                <w:rStyle w:val="IndexLink"/>
                <w:lang w:val="en-US" w:eastAsia="en-US"/>
              </w:rPr>
              <w:t>12</w:t>
            </w:r>
          </w:hyperlink>
        </w:p>
        <w:p>
          <w:pPr>
            <w:pStyle w:val="Contents2"/>
            <w:rPr>
              <w:rFonts w:ascii="Calibri" w:hAnsi="Calibri" w:cs="Calibri"/>
              <w:sz w:val="22"/>
              <w:szCs w:val="22"/>
              <w:lang w:val="en-US" w:eastAsia="en-US"/>
            </w:rPr>
          </w:pPr>
          <w:r>
            <w:rPr/>
            <w:t>4.4</w:t>
          </w:r>
          <w:r>
            <w:rPr>
              <w:rFonts w:cs="Calibri" w:ascii="Calibri" w:hAnsi="Calibri"/>
              <w:sz w:val="22"/>
              <w:szCs w:val="22"/>
              <w:lang w:eastAsia="en-GB"/>
            </w:rPr>
            <w:tab/>
          </w:r>
          <w:r>
            <w:rPr>
              <w:lang w:val="en-US" w:eastAsia="en-US"/>
            </w:rPr>
            <w:t>State Transition Model</w:t>
            <w:tab/>
          </w:r>
          <w:hyperlink w:anchor="__RefHeading___Toc517463403">
            <w:r>
              <w:rPr>
                <w:rStyle w:val="IndexLink"/>
                <w:lang w:val="en-US" w:eastAsia="en-US"/>
              </w:rPr>
              <w:t>12</w:t>
            </w:r>
          </w:hyperlink>
        </w:p>
        <w:p>
          <w:pPr>
            <w:pStyle w:val="Contents2"/>
            <w:rPr>
              <w:rFonts w:ascii="Calibri" w:hAnsi="Calibri" w:cs="Calibri"/>
              <w:sz w:val="22"/>
              <w:szCs w:val="22"/>
              <w:lang w:val="en-US" w:eastAsia="en-US"/>
            </w:rPr>
          </w:pPr>
          <w:r>
            <w:rPr/>
            <w:t>4.5</w:t>
          </w:r>
          <w:r>
            <w:rPr>
              <w:rFonts w:cs="Calibri" w:ascii="Calibri" w:hAnsi="Calibri"/>
              <w:sz w:val="22"/>
              <w:szCs w:val="22"/>
              <w:lang w:eastAsia="en-GB"/>
            </w:rPr>
            <w:tab/>
          </w:r>
          <w:r>
            <w:rPr>
              <w:lang w:val="en-US" w:eastAsia="en-US"/>
            </w:rPr>
            <w:t>Transfer of information from HLR to VLR</w:t>
            <w:tab/>
          </w:r>
          <w:hyperlink w:anchor="__RefHeading___Toc517463404">
            <w:r>
              <w:rPr>
                <w:rStyle w:val="IndexLink"/>
                <w:lang w:val="en-US" w:eastAsia="en-US"/>
              </w:rPr>
              <w:t>12</w:t>
            </w:r>
          </w:hyperlink>
        </w:p>
        <w:p>
          <w:pPr>
            <w:pStyle w:val="Contents2"/>
            <w:rPr>
              <w:rFonts w:ascii="Calibri" w:hAnsi="Calibri" w:cs="Calibri"/>
              <w:sz w:val="22"/>
              <w:szCs w:val="22"/>
              <w:lang w:val="en-US" w:eastAsia="en-US"/>
            </w:rPr>
          </w:pPr>
          <w:r>
            <w:rPr/>
            <w:t>4.6</w:t>
          </w:r>
          <w:r>
            <w:rPr>
              <w:rFonts w:cs="Calibri" w:ascii="Calibri" w:hAnsi="Calibri"/>
              <w:sz w:val="22"/>
              <w:szCs w:val="22"/>
              <w:lang w:eastAsia="en-GB"/>
            </w:rPr>
            <w:tab/>
          </w:r>
          <w:r>
            <w:rPr>
              <w:lang w:val="en-US" w:eastAsia="en-US"/>
            </w:rPr>
            <w:t>Information stored in the VLR</w:t>
            <w:tab/>
          </w:r>
          <w:hyperlink w:anchor="__RefHeading___Toc517463405">
            <w:r>
              <w:rPr>
                <w:rStyle w:val="IndexLink"/>
                <w:lang w:val="en-US" w:eastAsia="en-US"/>
              </w:rPr>
              <w:t>12</w:t>
            </w:r>
          </w:hyperlink>
        </w:p>
        <w:p>
          <w:pPr>
            <w:pStyle w:val="Contents2"/>
            <w:rPr>
              <w:rFonts w:ascii="Calibri" w:hAnsi="Calibri" w:cs="Calibri"/>
              <w:sz w:val="22"/>
              <w:szCs w:val="22"/>
              <w:lang w:val="en-US" w:eastAsia="en-US"/>
            </w:rPr>
          </w:pPr>
          <w:r>
            <w:rPr/>
            <w:t>4.7</w:t>
          </w:r>
          <w:r>
            <w:rPr>
              <w:rFonts w:cs="Calibri" w:ascii="Calibri" w:hAnsi="Calibri"/>
              <w:sz w:val="22"/>
              <w:szCs w:val="22"/>
              <w:lang w:eastAsia="en-GB"/>
            </w:rPr>
            <w:tab/>
          </w:r>
          <w:r>
            <w:rPr>
              <w:lang w:val="en-US" w:eastAsia="en-US"/>
            </w:rPr>
            <w:t>Handover</w:t>
            <w:tab/>
          </w:r>
          <w:hyperlink w:anchor="__RefHeading___Toc517463406">
            <w:r>
              <w:rPr>
                <w:rStyle w:val="IndexLink"/>
                <w:lang w:val="en-US" w:eastAsia="en-US"/>
              </w:rPr>
              <w:t>13</w:t>
            </w:r>
          </w:hyperlink>
        </w:p>
        <w:p>
          <w:pPr>
            <w:pStyle w:val="Contents9"/>
            <w:rPr>
              <w:rFonts w:ascii="Calibri" w:hAnsi="Calibri" w:cs="Calibri"/>
              <w:b w:val="false"/>
              <w:b w:val="false"/>
              <w:szCs w:val="22"/>
              <w:lang w:val="en-US" w:eastAsia="en-US"/>
            </w:rPr>
          </w:pPr>
          <w:r>
            <w:rPr/>
            <w:t>Annex A (normative for PCS1900):</w:t>
            <w:tab/>
            <w:t>Calling Name Information Setting to the MS</w:t>
            <w:tab/>
          </w:r>
          <w:hyperlink w:anchor="__RefHeading___Toc517463407">
            <w:r>
              <w:rPr>
                <w:rStyle w:val="IndexLink"/>
                <w:lang w:val="en-US" w:eastAsia="en-US"/>
              </w:rPr>
              <w:t>14</w:t>
            </w:r>
          </w:hyperlink>
        </w:p>
        <w:p>
          <w:pPr>
            <w:pStyle w:val="Contents8"/>
            <w:rPr>
              <w:rFonts w:ascii="Calibri" w:hAnsi="Calibri" w:cs="Calibri"/>
              <w:szCs w:val="22"/>
              <w:lang w:val="en-US" w:eastAsia="en-US"/>
            </w:rPr>
          </w:pPr>
          <w:r>
            <w:rPr>
              <w:b w:val="false"/>
            </w:rPr>
            <w:t>Annex B (informative):</w:t>
            <w:tab/>
            <w:t>Change history</w:t>
            <w:tab/>
          </w:r>
          <w:hyperlink w:anchor="__RefHeading___Toc517463408">
            <w:r>
              <w:rPr>
                <w:rStyle w:val="IndexLink"/>
                <w:b w:val="false"/>
                <w:lang w:val="en-US" w:eastAsia="en-US"/>
              </w:rPr>
              <w:t>15</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7463390"/>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describes name identification supplementary services (stage 2)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7463391"/>
      <w:bookmarkEnd w:id="7"/>
      <w:r>
        <w:rPr/>
        <w:t>1</w:t>
        <w:tab/>
        <w:t>Scope</w:t>
      </w:r>
    </w:p>
    <w:p>
      <w:pPr>
        <w:pStyle w:val="Normal"/>
        <w:rPr/>
      </w:pPr>
      <w:r>
        <w:rPr/>
        <w:t>The present document gives the stage 2 description of the Name Identification Supplementary Services.</w:t>
      </w:r>
    </w:p>
    <w:p>
      <w:pPr>
        <w:pStyle w:val="Normal"/>
        <w:rPr/>
      </w:pPr>
      <w:r>
        <w:rPr/>
        <w:t>The group of Name Identification Supplementary Services contains the following Supplementary Service:</w:t>
      </w:r>
    </w:p>
    <w:p>
      <w:pPr>
        <w:pStyle w:val="B1"/>
        <w:rPr/>
      </w:pPr>
      <w:r>
        <w:rPr>
          <w:b/>
        </w:rPr>
        <w:tab/>
        <w:t>CNAP -</w:t>
      </w:r>
      <w:r>
        <w:rPr/>
        <w:tab/>
        <w:t>Calling name presentation (clause 4).</w:t>
      </w:r>
    </w:p>
    <w:p>
      <w:pPr>
        <w:pStyle w:val="Heading1"/>
        <w:ind w:left="1134" w:hanging="1134"/>
        <w:rPr/>
      </w:pPr>
      <w:bookmarkStart w:id="8" w:name="__RefHeading___Toc517463392"/>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 ".</w:t>
      </w:r>
    </w:p>
    <w:p>
      <w:pPr>
        <w:pStyle w:val="EX"/>
        <w:rPr/>
      </w:pPr>
      <w:r>
        <w:rPr/>
        <w:t>[2]</w:t>
        <w:tab/>
        <w:t>3GPP TS 22.004: "General on Supplementary Services".</w:t>
      </w:r>
    </w:p>
    <w:p>
      <w:pPr>
        <w:pStyle w:val="EX"/>
        <w:rPr/>
      </w:pPr>
      <w:r>
        <w:rPr/>
        <w:t>[3]</w:t>
        <w:tab/>
        <w:t>3GPP TS 23.011: "</w:t>
      </w:r>
      <w:r>
        <w:rPr>
          <w:color w:val="000000"/>
          <w:lang w:val="en-US"/>
        </w:rPr>
        <w:t>Technical Realization of Supplementary Services - General Aspects</w:t>
      </w:r>
      <w:r>
        <w:rPr/>
        <w:t>".</w:t>
      </w:r>
    </w:p>
    <w:p>
      <w:pPr>
        <w:pStyle w:val="EX"/>
        <w:rPr/>
      </w:pPr>
      <w:r>
        <w:rPr/>
        <w:t>[4]</w:t>
        <w:tab/>
        <w:t>3GPP TS 23.016: "Subscriber Data Management - Stage 2".</w:t>
      </w:r>
    </w:p>
    <w:p>
      <w:pPr>
        <w:pStyle w:val="EX"/>
        <w:rPr/>
      </w:pPr>
      <w:r>
        <w:rPr/>
        <w:t>[5]</w:t>
        <w:tab/>
        <w:t>3GPP TS 23.081: "Line Identification Supplementary Services - Stage 2".</w:t>
      </w:r>
    </w:p>
    <w:p>
      <w:pPr>
        <w:pStyle w:val="Heading1"/>
        <w:ind w:left="1134" w:hanging="1134"/>
        <w:rPr/>
      </w:pPr>
      <w:bookmarkStart w:id="9" w:name="__RefHeading___Toc517463393"/>
      <w:bookmarkEnd w:id="9"/>
      <w:r>
        <w:rPr/>
        <w:t>3</w:t>
        <w:tab/>
        <w:t>Definitions and Abbreviations</w:t>
      </w:r>
    </w:p>
    <w:p>
      <w:pPr>
        <w:pStyle w:val="Heading2"/>
        <w:rPr/>
      </w:pPr>
      <w:bookmarkStart w:id="10" w:name="__RefHeading___Toc517463394"/>
      <w:bookmarkEnd w:id="10"/>
      <w:r>
        <w:rPr/>
        <w:t>3.1</w:t>
        <w:tab/>
        <w:t>Definitions</w:t>
      </w:r>
    </w:p>
    <w:p>
      <w:pPr>
        <w:pStyle w:val="Normal"/>
        <w:rPr/>
      </w:pPr>
      <w:r>
        <w:rPr>
          <w:b/>
        </w:rPr>
        <w:t xml:space="preserve">Definition of name identity: </w:t>
      </w:r>
    </w:p>
    <w:p>
      <w:pPr>
        <w:pStyle w:val="Normal"/>
        <w:rPr/>
      </w:pPr>
      <w:r>
        <w:rPr/>
        <w:t>The name identity is made up of the following information unit:</w:t>
      </w:r>
    </w:p>
    <w:p>
      <w:pPr>
        <w:pStyle w:val="B1"/>
        <w:rPr/>
      </w:pPr>
      <w:r>
        <w:rPr/>
        <w:t>-</w:t>
        <w:tab/>
        <w:t>The name of the mobile subscriber for the purpose of calling name presentation - up to 80 characters of information associated with a specific calling party.</w:t>
      </w:r>
    </w:p>
    <w:p>
      <w:pPr>
        <w:pStyle w:val="Normal"/>
        <w:rPr/>
      </w:pPr>
      <w:r>
        <w:rPr/>
        <w:t>The calling name identity is the name identity of the calling party.</w:t>
      </w:r>
    </w:p>
    <w:p>
      <w:pPr>
        <w:pStyle w:val="Normal"/>
        <w:keepNext w:val="true"/>
        <w:keepLines/>
        <w:rPr>
          <w:b/>
          <w:b/>
        </w:rPr>
      </w:pPr>
      <w:r>
        <w:rPr>
          <w:b/>
        </w:rPr>
        <w:t xml:space="preserve">Definition of Presentation Indicator: </w:t>
      </w:r>
    </w:p>
    <w:p>
      <w:pPr>
        <w:pStyle w:val="Normal"/>
        <w:keepNext w:val="true"/>
        <w:keepLines/>
        <w:rPr/>
      </w:pPr>
      <w:r>
        <w:rPr/>
        <w:t>In addition to or instead of the name identity, the network may give a Presentation Indicator to the called mobile subscriber of the CNAP service. The following information may be given:</w:t>
      </w:r>
    </w:p>
    <w:p>
      <w:pPr>
        <w:pStyle w:val="B1"/>
        <w:keepNext w:val="true"/>
        <w:keepLines/>
        <w:rPr/>
      </w:pPr>
      <w:r>
        <w:rPr/>
        <w:t>-</w:t>
        <w:tab/>
        <w:t>Presentation Indicator (PI) showing:</w:t>
      </w:r>
    </w:p>
    <w:p>
      <w:pPr>
        <w:pStyle w:val="B2"/>
        <w:keepNext w:val="true"/>
        <w:keepLines/>
        <w:rPr/>
      </w:pPr>
      <w:r>
        <w:rPr/>
        <w:t>a)</w:t>
        <w:tab/>
        <w:t>presentation restricted, or</w:t>
      </w:r>
    </w:p>
    <w:p>
      <w:pPr>
        <w:pStyle w:val="B2"/>
        <w:rPr/>
      </w:pPr>
      <w:r>
        <w:rPr/>
        <w:t>b)</w:t>
        <w:tab/>
        <w:t>name unavailable.</w:t>
      </w:r>
    </w:p>
    <w:p>
      <w:pPr>
        <w:pStyle w:val="Normal"/>
        <w:rPr>
          <w:b/>
          <w:b/>
        </w:rPr>
      </w:pPr>
      <w:r>
        <w:rPr>
          <w:b/>
        </w:rPr>
        <w:t>Calling Name Information:</w:t>
      </w:r>
    </w:p>
    <w:p>
      <w:pPr>
        <w:pStyle w:val="Normal"/>
        <w:rPr/>
      </w:pPr>
      <w:r>
        <w:rPr/>
        <w:t>The calling name information of the calling party includes either the calling name identity or an indication of privacy or unavailability.</w:t>
      </w:r>
    </w:p>
    <w:p>
      <w:pPr>
        <w:pStyle w:val="Heading2"/>
        <w:rPr/>
      </w:pPr>
      <w:bookmarkStart w:id="11" w:name="__RefHeading___Toc517463395"/>
      <w:bookmarkEnd w:id="11"/>
      <w:r>
        <w:rPr/>
        <w:t>3.2</w:t>
        <w:tab/>
        <w:t>Abbreviations</w:t>
      </w:r>
    </w:p>
    <w:p>
      <w:pPr>
        <w:pStyle w:val="Normal"/>
        <w:rPr/>
      </w:pPr>
      <w:r>
        <w:rPr/>
        <w:t>In addition to the following abbreviations used in the present document, abbreviations are listed in 3GPP TR  21. 905 [1].</w:t>
      </w:r>
    </w:p>
    <w:p>
      <w:pPr>
        <w:pStyle w:val="EW"/>
        <w:rPr/>
      </w:pPr>
      <w:r>
        <w:rPr/>
        <w:t>CNAP</w:t>
        <w:tab/>
        <w:t>Calling Name Presentation.</w:t>
      </w:r>
    </w:p>
    <w:p>
      <w:pPr>
        <w:pStyle w:val="Heading1"/>
        <w:ind w:left="1134" w:hanging="1134"/>
        <w:rPr/>
      </w:pPr>
      <w:bookmarkStart w:id="12" w:name="__RefHeading___Toc517463396"/>
      <w:bookmarkEnd w:id="12"/>
      <w:r>
        <w:rPr/>
        <w:t>4</w:t>
        <w:tab/>
        <w:t>Calling Name Presentation (CNAP)</w:t>
      </w:r>
    </w:p>
    <w:p>
      <w:pPr>
        <w:pStyle w:val="Heading2"/>
        <w:rPr/>
      </w:pPr>
      <w:bookmarkStart w:id="13" w:name="__RefHeading___Toc517463397"/>
      <w:bookmarkEnd w:id="13"/>
      <w:r>
        <w:rPr/>
        <w:t>4.1</w:t>
        <w:tab/>
        <w:t>Handling of calling name presentation</w:t>
      </w:r>
    </w:p>
    <w:p>
      <w:pPr>
        <w:pStyle w:val="Heading3"/>
        <w:rPr/>
      </w:pPr>
      <w:bookmarkStart w:id="14" w:name="__RefHeading___Toc517463398"/>
      <w:bookmarkEnd w:id="14"/>
      <w:r>
        <w:rPr/>
        <w:t>4.1.1</w:t>
        <w:tab/>
        <w:t>Originating MSC Activities</w:t>
      </w:r>
    </w:p>
    <w:p>
      <w:pPr>
        <w:pStyle w:val="Normal"/>
        <w:rPr/>
      </w:pPr>
      <w:r>
        <w:rPr/>
        <w:t>The originating MSC may include calling name information in the Setup.</w:t>
      </w:r>
    </w:p>
    <w:p>
      <w:pPr>
        <w:pStyle w:val="Heading3"/>
        <w:rPr/>
      </w:pPr>
      <w:bookmarkStart w:id="15" w:name="__RefHeading___Toc517463399"/>
      <w:bookmarkEnd w:id="15"/>
      <w:r>
        <w:rPr/>
        <w:t>4.1.2</w:t>
        <w:tab/>
        <w:t>Terminating VMSC Activities</w:t>
      </w:r>
    </w:p>
    <w:p>
      <w:pPr>
        <w:pStyle w:val="Normal"/>
        <w:rPr/>
      </w:pPr>
      <w:r>
        <w:rPr/>
        <w:t>The calling name identity shall be provided by the terminating VMSC to the MS. See Figure 3a/3b for details.</w:t>
      </w:r>
    </w:p>
    <w:p>
      <w:pPr>
        <w:pStyle w:val="Normal"/>
        <w:rPr/>
      </w:pPr>
      <w:r>
        <w:rPr/>
        <w:t>The procedures of the name database query are outside the scope of the present document.</w:t>
      </w:r>
    </w:p>
    <w:p>
      <w:pPr>
        <w:pStyle w:val="Normal"/>
        <w:rPr/>
      </w:pPr>
      <w:r>
        <w:rPr/>
        <w:t>The MSC shall determine the presentation indicator to be sent to the CNAP subscriber's MS by combining the presentation indicator in the calling line information (if available), the presentation indicator in the calling name information (if available) and the presentation indicator in the response from the name database (if applicable). The calling name shall be restricted if either the line or name indicator shows the information is to be restricted (and override category is not applicable). The precise handling depends on the structure of the name database and is therefore outside the scope of the present document. An example is shown in annex A.</w:t>
      </w:r>
    </w:p>
    <w:p>
      <w:pPr>
        <w:pStyle w:val="Normal"/>
        <w:rPr/>
      </w:pPr>
      <w:r>
        <w:rPr/>
        <w:t>If a name database query is not possible, e.g. calling line identity is unavailable, name database is not responding, or the name database response timer expires, then the MSC shall send a presentation indicator of name unavailable to the CNAP subscriber's MS.</w:t>
      </w:r>
    </w:p>
    <w:p>
      <w:pPr>
        <w:pStyle w:val="Normal"/>
        <w:rPr/>
      </w:pPr>
      <w:r>
        <w:rPr/>
        <w:t>A character translation may be required by the terminating MSC since the name characters stored in the name database are not using the GSM default alphabet (name characters passed to the CNAP subscriber's MS use the GSM default alphabet). Display of calling name identity to the subscriber is outside the scope of the present document.</w:t>
      </w:r>
    </w:p>
    <w:p>
      <w:pPr>
        <w:pStyle w:val="Heading3"/>
        <w:rPr/>
      </w:pPr>
      <w:bookmarkStart w:id="16" w:name="__RefHeading___Toc517463400"/>
      <w:bookmarkEnd w:id="16"/>
      <w:r>
        <w:rPr/>
        <w:t>4.1.3</w:t>
        <w:tab/>
        <w:t>Interrogation</w:t>
      </w:r>
    </w:p>
    <w:p>
      <w:pPr>
        <w:pStyle w:val="Normal"/>
        <w:keepNext w:val="true"/>
        <w:keepLines/>
        <w:rPr>
          <w:b/>
          <w:b/>
        </w:rPr>
      </w:pPr>
      <w:r>
        <w:rPr>
          <w:b/>
        </w:rPr>
        <w:t>Status check</w:t>
      </w:r>
    </w:p>
    <w:p>
      <w:pPr>
        <w:pStyle w:val="Normal"/>
        <w:keepNext w:val="true"/>
        <w:keepLines/>
        <w:rPr/>
      </w:pPr>
      <w:r>
        <w:rPr/>
        <w:t>The mobile subscriber can request the status of the supplementary service and be informed if the service is provided to him/her. This procedure is illustrated in figure 1.</w:t>
      </w:r>
    </w:p>
    <w:p>
      <w:pPr>
        <w:pStyle w:val="TH"/>
        <w:rPr/>
      </w:pPr>
      <w:r>
        <w:rPr/>
        <w:object w:dxaOrig="7040" w:dyaOrig="50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52pt;height:253pt" filled="f" o:ole="">
            <v:imagedata r:id="rId7" o:title=""/>
          </v:shape>
          <o:OLEObject Type="Embed" ProgID="" ShapeID="ole_rId6" DrawAspect="Content" ObjectID="_1207010818" r:id="rId6"/>
        </w:object>
      </w:r>
    </w:p>
    <w:p>
      <w:pPr>
        <w:pStyle w:val="TF"/>
        <w:rPr/>
      </w:pPr>
      <w:r>
        <w:rPr/>
        <w:t>Figure 1: Interrogation of Calling Name Presentation</w:t>
      </w:r>
    </w:p>
    <w:p>
      <w:pPr>
        <w:pStyle w:val="Heading2"/>
        <w:rPr/>
      </w:pPr>
      <w:bookmarkStart w:id="17" w:name="__RefHeading___Toc517463401"/>
      <w:bookmarkEnd w:id="17"/>
      <w:r>
        <w:rPr/>
        <w:t>4.2</w:t>
        <w:tab/>
        <w:t>Functions and information flows</w:t>
      </w:r>
    </w:p>
    <w:p>
      <w:pPr>
        <w:pStyle w:val="Normal"/>
        <w:rPr/>
      </w:pPr>
      <w:r>
        <w:rPr/>
        <w:t>The following Mobile Additional Functions (MAF) have been identified for the PLMN:</w:t>
      </w:r>
    </w:p>
    <w:p>
      <w:pPr>
        <w:pStyle w:val="B1"/>
        <w:rPr/>
      </w:pPr>
      <w:r>
        <w:rPr/>
        <w:tab/>
        <w:t>MAF049</w:t>
      </w:r>
    </w:p>
    <w:p>
      <w:pPr>
        <w:pStyle w:val="B2"/>
        <w:rPr/>
      </w:pPr>
      <w:r>
        <w:rPr/>
        <w:tab/>
        <w:t>Determination of the calling name presentation subscription.</w:t>
      </w:r>
    </w:p>
    <w:p>
      <w:pPr>
        <w:pStyle w:val="B2"/>
        <w:rPr/>
      </w:pPr>
      <w:r>
        <w:rPr/>
        <w:tab/>
        <w:t>The ability of a PLMN component to determine whether the supplementary service is provisioned for the mobile subscriber. See figure 3a.</w:t>
      </w:r>
    </w:p>
    <w:p>
      <w:pPr>
        <w:pStyle w:val="B2"/>
        <w:rPr/>
      </w:pPr>
      <w:r>
        <w:rPr/>
        <w:tab/>
        <w:t>Location: VLR.</w:t>
      </w:r>
    </w:p>
    <w:p>
      <w:pPr>
        <w:pStyle w:val="B1"/>
        <w:rPr/>
      </w:pPr>
      <w:r>
        <w:rPr/>
        <w:tab/>
        <w:t>MAF050</w:t>
      </w:r>
    </w:p>
    <w:p>
      <w:pPr>
        <w:pStyle w:val="B2"/>
        <w:rPr/>
      </w:pPr>
      <w:r>
        <w:rPr/>
        <w:tab/>
        <w:t>Determination of the calling party name for offering to the called party.</w:t>
      </w:r>
    </w:p>
    <w:p>
      <w:pPr>
        <w:pStyle w:val="B2"/>
        <w:rPr/>
      </w:pPr>
      <w:r>
        <w:rPr/>
        <w:tab/>
        <w:t>The ability of a PLMN component to determine and to forward the calling name identity and related indications to the called party. See figure 3b.</w:t>
      </w:r>
    </w:p>
    <w:p>
      <w:pPr>
        <w:pStyle w:val="B2"/>
        <w:rPr/>
      </w:pPr>
      <w:r>
        <w:rPr/>
        <w:tab/>
      </w:r>
      <w:r>
        <w:rPr>
          <w:lang w:val="fr-FR"/>
        </w:rPr>
        <w:t>Location: destination MSC.</w:t>
      </w:r>
    </w:p>
    <w:p>
      <w:pPr>
        <w:pStyle w:val="Normal"/>
        <w:rPr/>
      </w:pPr>
      <w:r>
        <w:rPr/>
        <w:t>The information flow is shown in figure 4.</w:t>
      </w:r>
    </w:p>
    <w:p>
      <w:pPr>
        <w:pStyle w:val="TH"/>
        <w:rPr/>
      </w:pPr>
      <w:r>
        <w:rPr/>
        <w:object w:dxaOrig="9105" w:dyaOrig="8492">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55.25pt;height:424.6pt" filled="f" o:ole="">
            <v:imagedata r:id="rId9" o:title=""/>
          </v:shape>
          <o:OLEObject Type="Embed" ProgID="" ShapeID="ole_rId8" DrawAspect="Content" ObjectID="_1929949009" r:id="rId8"/>
        </w:object>
      </w:r>
    </w:p>
    <w:p>
      <w:pPr>
        <w:pStyle w:val="TF"/>
        <w:rPr/>
      </w:pPr>
      <w:r>
        <w:rPr/>
        <w:t xml:space="preserve">Figure 2: MAF049 Determination of the calling name presentation subscription </w:t>
        <w:br/>
        <w:t>(VLR)</w:t>
      </w:r>
    </w:p>
    <w:p>
      <w:pPr>
        <w:pStyle w:val="TH"/>
        <w:rPr/>
      </w:pPr>
      <w:r>
        <w:rPr/>
        <mc:AlternateContent>
          <mc:Choice Requires="wps">
            <w:drawing>
              <wp:anchor behindDoc="0" distT="0" distB="0" distL="114935" distR="114935" simplePos="0" locked="0" layoutInCell="0" allowOverlap="1" relativeHeight="52">
                <wp:simplePos x="0" y="0"/>
                <wp:positionH relativeFrom="column">
                  <wp:posOffset>-256540</wp:posOffset>
                </wp:positionH>
                <wp:positionV relativeFrom="paragraph">
                  <wp:posOffset>5626100</wp:posOffset>
                </wp:positionV>
                <wp:extent cx="1555115" cy="365760"/>
                <wp:effectExtent l="635" t="635" r="0" b="635"/>
                <wp:wrapNone/>
                <wp:docPr id="10" name=""/>
                <a:graphic xmlns:a="http://schemas.openxmlformats.org/drawingml/2006/main">
                  <a:graphicData uri="http://schemas.microsoft.com/office/word/2010/wordprocessingShape">
                    <wps:wsp>
                      <wps:cNvSpPr/>
                      <wps:spPr>
                        <a:xfrm>
                          <a:off x="0" y="0"/>
                          <a:ext cx="1555200" cy="365760"/>
                        </a:xfrm>
                        <a:prstGeom prst="roundRect">
                          <a:avLst>
                            <a:gd name="adj" fmla="val 16667"/>
                          </a:avLst>
                        </a:prstGeom>
                        <a:noFill/>
                        <a:ln w="0">
                          <a:noFill/>
                        </a:ln>
                      </wps:spPr>
                      <wps:style>
                        <a:lnRef idx="0"/>
                        <a:fillRef idx="0"/>
                        <a:effectRef idx="0"/>
                        <a:fontRef idx="minor"/>
                      </wps:style>
                      <wps:txbx>
                        <w:txbxContent>
                          <w:p>
                            <w:pPr>
                              <w:overflowPunct w:val="false"/>
                              <w:bidi w:val="0"/>
                              <w:spacing w:before="0" w:after="180"/>
                              <w:rPr/>
                            </w:pPr>
                            <w:r>
                              <w:rPr>
                                <w:kern w:val="2"/>
                                <w:sz w:val="20"/>
                                <w:szCs w:val="20"/>
                                <w:rFonts w:ascii="Times New Roman" w:hAnsi="Times New Roman" w:eastAsia="Times New Roman" w:cs="Times New Roman"/>
                                <w:color w:val="auto"/>
                                <w:lang w:val="en-GB" w:bidi="ar-SA"/>
                              </w:rPr>
                              <w:t>Obtain info from database</w:t>
                            </w:r>
                          </w:p>
                        </w:txbxContent>
                      </wps:txbx>
                      <wps:bodyPr lIns="12600" rIns="12600" tIns="12600" bIns="12600" anchor="t">
                        <a:noAutofit/>
                      </wps:bodyPr>
                    </wps:wsp>
                  </a:graphicData>
                </a:graphic>
              </wp:anchor>
            </w:drawing>
          </mc:Choice>
          <mc:Fallback>
            <w:pict>
              <v:roundrect id="shape_0" path="l150994944,8388608l655360,557056l5529728,2816xe" coordsize="21600,21600" stroked="f" o:allowincell="f" style="position:absolute;margin-left:-20.2pt;margin-top:443pt;width:122.4pt;height:28.75pt;mso-wrap-style:square;v-text-anchor:top">
                <v:textbox>
                  <w:txbxContent>
                    <w:p>
                      <w:pPr>
                        <w:overflowPunct w:val="false"/>
                        <w:bidi w:val="0"/>
                        <w:spacing w:before="0" w:after="180"/>
                        <w:rPr/>
                      </w:pPr>
                      <w:r>
                        <w:rPr>
                          <w:kern w:val="2"/>
                          <w:sz w:val="20"/>
                          <w:szCs w:val="20"/>
                          <w:rFonts w:ascii="Times New Roman" w:hAnsi="Times New Roman" w:eastAsia="Times New Roman" w:cs="Times New Roman"/>
                          <w:color w:val="auto"/>
                          <w:lang w:val="en-GB" w:bidi="ar-SA"/>
                        </w:rPr>
                        <w:t>Obtain info from database</w:t>
                      </w:r>
                    </w:p>
                  </w:txbxContent>
                </v:textbox>
                <v:fill o:detectmouseclick="t" on="false"/>
                <v:stroke color="#3465a4" joinstyle="round" endcap="flat"/>
                <w10:wrap type="none"/>
              </v:roundrect>
            </w:pict>
          </mc:Fallback>
        </mc:AlternateContent>
        <mc:AlternateContent>
          <mc:Choice Requires="wps">
            <w:drawing>
              <wp:anchor behindDoc="0" distT="0" distB="0" distL="114935" distR="114935" simplePos="0" locked="0" layoutInCell="0" allowOverlap="1" relativeHeight="53">
                <wp:simplePos x="0" y="0"/>
                <wp:positionH relativeFrom="column">
                  <wp:posOffset>1297940</wp:posOffset>
                </wp:positionH>
                <wp:positionV relativeFrom="paragraph">
                  <wp:posOffset>5534660</wp:posOffset>
                </wp:positionV>
                <wp:extent cx="2286635" cy="365760"/>
                <wp:effectExtent l="635" t="635" r="0" b="635"/>
                <wp:wrapNone/>
                <wp:docPr id="11" name=""/>
                <a:graphic xmlns:a="http://schemas.openxmlformats.org/drawingml/2006/main">
                  <a:graphicData uri="http://schemas.microsoft.com/office/word/2010/wordprocessingShape">
                    <wps:wsp>
                      <wps:cNvSpPr/>
                      <wps:spPr>
                        <a:xfrm>
                          <a:off x="0" y="0"/>
                          <a:ext cx="2286720" cy="365760"/>
                        </a:xfrm>
                        <a:prstGeom prst="roundRect">
                          <a:avLst>
                            <a:gd name="adj" fmla="val 16667"/>
                          </a:avLst>
                        </a:prstGeom>
                        <a:noFill/>
                        <a:ln w="0">
                          <a:noFill/>
                        </a:ln>
                      </wps:spPr>
                      <wps:style>
                        <a:lnRef idx="0"/>
                        <a:fillRef idx="0"/>
                        <a:effectRef idx="0"/>
                        <a:fontRef idx="minor"/>
                      </wps:style>
                      <wps:txbx>
                        <w:txbxContent>
                          <w:p>
                            <w:pPr>
                              <w:overflowPunct w:val="false"/>
                              <w:bidi w:val="0"/>
                              <w:spacing w:before="0" w:after="180"/>
                              <w:rPr/>
                            </w:pPr>
                            <w:r>
                              <w:rPr>
                                <w:kern w:val="2"/>
                                <w:sz w:val="20"/>
                                <w:szCs w:val="20"/>
                                <w:rFonts w:ascii="Times New Roman" w:hAnsi="Times New Roman" w:eastAsia="Times New Roman" w:cs="Times New Roman"/>
                                <w:color w:val="auto"/>
                                <w:lang w:val="en-GB" w:bidi="ar-SA"/>
                              </w:rPr>
                              <w:t>Obtain info from signalling</w:t>
                            </w:r>
                          </w:p>
                        </w:txbxContent>
                      </wps:txbx>
                      <wps:bodyPr lIns="12600" rIns="12600" tIns="12600" bIns="12600" anchor="t">
                        <a:noAutofit/>
                      </wps:bodyPr>
                    </wps:wsp>
                  </a:graphicData>
                </a:graphic>
              </wp:anchor>
            </w:drawing>
          </mc:Choice>
          <mc:Fallback>
            <w:pict>
              <v:roundrect id="shape_0" path="l150994944,8388608l655360,557056l5529728,2816xe" coordsize="21600,21600" stroked="f" o:allowincell="f" style="position:absolute;margin-left:102.2pt;margin-top:435.8pt;width:180pt;height:28.75pt;mso-wrap-style:square;v-text-anchor:top">
                <v:textbox>
                  <w:txbxContent>
                    <w:p>
                      <w:pPr>
                        <w:overflowPunct w:val="false"/>
                        <w:bidi w:val="0"/>
                        <w:spacing w:before="0" w:after="180"/>
                        <w:rPr/>
                      </w:pPr>
                      <w:r>
                        <w:rPr>
                          <w:kern w:val="2"/>
                          <w:sz w:val="20"/>
                          <w:szCs w:val="20"/>
                          <w:rFonts w:ascii="Times New Roman" w:hAnsi="Times New Roman" w:eastAsia="Times New Roman" w:cs="Times New Roman"/>
                          <w:color w:val="auto"/>
                          <w:lang w:val="en-GB" w:bidi="ar-SA"/>
                        </w:rPr>
                        <w:t>Obtain info from signalling</w:t>
                      </w:r>
                    </w:p>
                  </w:txbxContent>
                </v:textbox>
                <v:fill o:detectmouseclick="t" on="false"/>
                <v:stroke color="#3465a4" joinstyle="round" endcap="flat"/>
                <w10:wrap type="none"/>
              </v:roundrect>
            </w:pict>
          </mc:Fallback>
        </mc:AlternateContent>
        <w:object w:dxaOrig="14060" w:dyaOrig="1740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85.75pt;height:607.25pt" filled="f" o:ole="">
            <v:imagedata r:id="rId11" o:title=""/>
          </v:shape>
          <o:OLEObject Type="Embed" ProgID="" ShapeID="ole_rId10" DrawAspect="Content" ObjectID="_1739434539" r:id="rId10"/>
        </w:object>
      </w:r>
    </w:p>
    <w:p>
      <w:pPr>
        <w:pStyle w:val="TF"/>
        <w:rPr/>
      </w:pPr>
      <w:r>
        <w:rPr/>
        <w:t>Figure 3a: MAF050(CNAP) Determination of the information for offering to the called party (Sheet 1)</w:t>
      </w:r>
    </w:p>
    <w:p>
      <w:pPr>
        <w:pStyle w:val="TH"/>
        <w:rPr/>
      </w:pPr>
      <w:r>
        <w:rPr/>
        <w:object w:dxaOrig="8997" w:dyaOrig="620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49.85pt;height:310.25pt" filled="f" o:ole="">
            <v:imagedata r:id="rId13" o:title=""/>
          </v:shape>
          <o:OLEObject Type="Embed" ProgID="" ShapeID="ole_rId12" DrawAspect="Content" ObjectID="_810504397" r:id="rId12"/>
        </w:object>
      </w:r>
    </w:p>
    <w:p>
      <w:pPr>
        <w:pStyle w:val="TF"/>
        <w:rPr/>
      </w:pPr>
      <w:r>
        <w:rPr/>
        <w:t>Figure 3b: MAF050(CNAP) Determination of the information for offering to the called party (Sheet 2)</w:t>
      </w:r>
    </w:p>
    <w:p>
      <w:pPr>
        <w:pStyle w:val="TH"/>
        <w:rPr/>
      </w:pPr>
      <w:r>
        <w:rPr/>
        <w:object w:dxaOrig="9177" w:dyaOrig="8848">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58.85pt;height:442.4pt" filled="f" o:ole="">
            <v:imagedata r:id="rId15" o:title=""/>
          </v:shape>
          <o:OLEObject Type="Embed" ProgID="" ShapeID="ole_rId14" DrawAspect="Content" ObjectID="_1647951877" r:id="rId14"/>
        </w:object>
      </w:r>
    </w:p>
    <w:p>
      <w:pPr>
        <w:pStyle w:val="TF"/>
        <w:rPr/>
      </w:pPr>
      <w:r>
        <w:rPr/>
        <w:t>Figure 4: Information Flow For Calling Name Presentation: Mobile Station Or Fixed Terminal To Mobile Station</w:t>
      </w:r>
    </w:p>
    <w:p>
      <w:pPr>
        <w:pStyle w:val="NO"/>
        <w:rPr/>
      </w:pPr>
      <w:r>
        <w:rPr/>
        <w:t>NOTE:</w:t>
        <w:tab/>
        <w:t>OR1:</w:t>
        <w:tab/>
        <w:t>CNAP provisioned</w:t>
        <w:tab/>
        <w:tab/>
        <w:tab/>
        <w:t>Y: yes</w:t>
        <w:tab/>
        <w:tab/>
        <w:br/>
        <w:tab/>
        <w:tab/>
        <w:tab/>
        <w:tab/>
        <w:tab/>
        <w:tab/>
        <w:tab/>
        <w:tab/>
        <w:tab/>
        <w:tab/>
        <w:t>N: no</w:t>
        <w:tab/>
        <w:br/>
        <w:t>OR2:</w:t>
        <w:tab/>
        <w:t>Calling Name Info</w:t>
        <w:tab/>
        <w:tab/>
        <w:tab/>
        <w:t>a: allowed</w:t>
        <w:tab/>
        <w:br/>
        <w:tab/>
        <w:t>Presentation Indicator Value</w:t>
        <w:tab/>
        <w:t>b: restricted</w:t>
        <w:tab/>
        <w:br/>
        <w:tab/>
        <w:tab/>
        <w:tab/>
        <w:tab/>
        <w:tab/>
        <w:tab/>
        <w:tab/>
        <w:tab/>
        <w:tab/>
        <w:tab/>
        <w:t>c: unavailable</w:t>
        <w:tab/>
        <w:br/>
        <w:t>OR3:</w:t>
        <w:tab/>
        <w:t>Override category</w:t>
        <w:tab/>
        <w:tab/>
        <w:tab/>
        <w:t>Y: yes</w:t>
        <w:tab/>
        <w:tab/>
        <w:br/>
        <w:tab/>
        <w:tab/>
        <w:tab/>
        <w:tab/>
        <w:tab/>
        <w:tab/>
        <w:tab/>
        <w:tab/>
        <w:tab/>
        <w:tab/>
        <w:t>N: no</w:t>
        <w:tab/>
        <w:br/>
        <w:t>info:</w:t>
        <w:tab/>
        <w:t>information</w:t>
        <w:tab/>
        <w:br/>
        <w:t>req:</w:t>
        <w:tab/>
        <w:t>request</w:t>
        <w:tab/>
        <w:br/>
        <w:t>ack:</w:t>
        <w:tab/>
        <w:t>acknowledge</w:t>
        <w:tab/>
        <w:br/>
        <w:t>PI:</w:t>
        <w:tab/>
        <w:tab/>
        <w:t>presentation indicator</w:t>
      </w:r>
      <w:r>
        <w:br w:type="page"/>
      </w:r>
    </w:p>
    <w:p>
      <w:pPr>
        <w:pStyle w:val="Heading2"/>
        <w:rPr/>
      </w:pPr>
      <w:bookmarkStart w:id="18" w:name="__RefHeading___Toc517463402"/>
      <w:bookmarkEnd w:id="18"/>
      <w:r>
        <w:rPr/>
        <w:t>4.3</w:t>
        <w:tab/>
        <w:t>Information stored in the HLR</w:t>
      </w:r>
    </w:p>
    <w:p>
      <w:pPr>
        <w:pStyle w:val="TH"/>
        <w:rPr/>
      </w:pPr>
      <w:r>
        <w:rPr/>
        <w:t>CNAP may have the following logical states (refer to 3GPP TS 23.011 for an explanation of the notation):</w:t>
      </w:r>
    </w:p>
    <w:tbl>
      <w:tblPr>
        <w:tblW w:w="9855" w:type="dxa"/>
        <w:jc w:val="left"/>
        <w:tblInd w:w="-108" w:type="dxa"/>
        <w:tblLayout w:type="fixed"/>
        <w:tblCellMar>
          <w:top w:w="0" w:type="dxa"/>
          <w:left w:w="108" w:type="dxa"/>
          <w:bottom w:w="0" w:type="dxa"/>
          <w:right w:w="108" w:type="dxa"/>
        </w:tblCellMar>
      </w:tblPr>
      <w:tblGrid>
        <w:gridCol w:w="2160"/>
        <w:gridCol w:w="2520"/>
        <w:gridCol w:w="2340"/>
        <w:gridCol w:w="2835"/>
      </w:tblGrid>
      <w:tr>
        <w:trPr/>
        <w:tc>
          <w:tcPr>
            <w:tcW w:w="2160" w:type="dxa"/>
            <w:tcBorders/>
          </w:tcPr>
          <w:p>
            <w:pPr>
              <w:pStyle w:val="Normal"/>
              <w:spacing w:before="0" w:after="0"/>
              <w:ind w:right="-720" w:hanging="0"/>
              <w:rPr>
                <w:b/>
                <w:b/>
              </w:rPr>
            </w:pPr>
            <w:r>
              <w:rPr>
                <w:b/>
              </w:rPr>
              <w:t>Provision State</w:t>
            </w:r>
          </w:p>
        </w:tc>
        <w:tc>
          <w:tcPr>
            <w:tcW w:w="2520" w:type="dxa"/>
            <w:tcBorders/>
          </w:tcPr>
          <w:p>
            <w:pPr>
              <w:pStyle w:val="Normal"/>
              <w:spacing w:before="0" w:after="0"/>
              <w:ind w:right="-720" w:hanging="0"/>
              <w:rPr>
                <w:b/>
                <w:b/>
              </w:rPr>
            </w:pPr>
            <w:r>
              <w:rPr>
                <w:b/>
              </w:rPr>
              <w:t>Registration State</w:t>
            </w:r>
          </w:p>
        </w:tc>
        <w:tc>
          <w:tcPr>
            <w:tcW w:w="2340" w:type="dxa"/>
            <w:tcBorders/>
          </w:tcPr>
          <w:p>
            <w:pPr>
              <w:pStyle w:val="Normal"/>
              <w:spacing w:before="0" w:after="0"/>
              <w:ind w:right="-720" w:hanging="0"/>
              <w:rPr>
                <w:b/>
                <w:b/>
              </w:rPr>
            </w:pPr>
            <w:r>
              <w:rPr>
                <w:b/>
              </w:rPr>
              <w:t>Activation State</w:t>
            </w:r>
          </w:p>
        </w:tc>
        <w:tc>
          <w:tcPr>
            <w:tcW w:w="2835" w:type="dxa"/>
            <w:tcBorders/>
          </w:tcPr>
          <w:p>
            <w:pPr>
              <w:pStyle w:val="Normal"/>
              <w:spacing w:before="0" w:after="0"/>
              <w:ind w:right="-720" w:hanging="0"/>
              <w:rPr>
                <w:b/>
                <w:b/>
              </w:rPr>
            </w:pPr>
            <w:r>
              <w:rPr>
                <w:b/>
              </w:rPr>
              <w:t>HLR Induced State</w:t>
            </w:r>
          </w:p>
        </w:tc>
      </w:tr>
      <w:tr>
        <w:trPr/>
        <w:tc>
          <w:tcPr>
            <w:tcW w:w="2160" w:type="dxa"/>
            <w:tcBorders/>
          </w:tcPr>
          <w:p>
            <w:pPr>
              <w:pStyle w:val="Normal"/>
              <w:spacing w:before="0" w:after="0"/>
              <w:ind w:right="-720" w:hanging="0"/>
              <w:rPr/>
            </w:pPr>
            <w:r>
              <w:rPr/>
              <w:t xml:space="preserve">(Not Provisioned, </w:t>
            </w:r>
          </w:p>
        </w:tc>
        <w:tc>
          <w:tcPr>
            <w:tcW w:w="2520" w:type="dxa"/>
            <w:tcBorders/>
          </w:tcPr>
          <w:p>
            <w:pPr>
              <w:pStyle w:val="Normal"/>
              <w:spacing w:before="0" w:after="0"/>
              <w:ind w:right="-720" w:hanging="0"/>
              <w:rPr/>
            </w:pPr>
            <w:r>
              <w:rPr/>
              <w:t>Not Applicable,</w:t>
            </w:r>
          </w:p>
        </w:tc>
        <w:tc>
          <w:tcPr>
            <w:tcW w:w="2340" w:type="dxa"/>
            <w:tcBorders/>
          </w:tcPr>
          <w:p>
            <w:pPr>
              <w:pStyle w:val="Normal"/>
              <w:spacing w:before="0" w:after="0"/>
              <w:ind w:right="-720" w:hanging="0"/>
              <w:rPr/>
            </w:pPr>
            <w:r>
              <w:rPr/>
              <w:t>Not Active,</w:t>
            </w:r>
          </w:p>
        </w:tc>
        <w:tc>
          <w:tcPr>
            <w:tcW w:w="2835" w:type="dxa"/>
            <w:tcBorders/>
          </w:tcPr>
          <w:p>
            <w:pPr>
              <w:pStyle w:val="Normal"/>
              <w:spacing w:before="0" w:after="0"/>
              <w:ind w:right="-720" w:hanging="0"/>
              <w:rPr/>
            </w:pPr>
            <w:r>
              <w:rPr/>
              <w:t>Not Induced)</w:t>
            </w:r>
          </w:p>
        </w:tc>
      </w:tr>
      <w:tr>
        <w:trPr/>
        <w:tc>
          <w:tcPr>
            <w:tcW w:w="2160" w:type="dxa"/>
            <w:tcBorders/>
          </w:tcPr>
          <w:p>
            <w:pPr>
              <w:pStyle w:val="Normal"/>
              <w:spacing w:before="0" w:after="0"/>
              <w:ind w:right="-720" w:hanging="0"/>
              <w:rPr/>
            </w:pPr>
            <w:r>
              <w:rPr/>
              <w:t xml:space="preserve">(Provisioned, </w:t>
            </w:r>
          </w:p>
        </w:tc>
        <w:tc>
          <w:tcPr>
            <w:tcW w:w="2520" w:type="dxa"/>
            <w:tcBorders/>
          </w:tcPr>
          <w:p>
            <w:pPr>
              <w:pStyle w:val="Normal"/>
              <w:spacing w:before="0" w:after="0"/>
              <w:ind w:right="-720" w:hanging="0"/>
              <w:rPr/>
            </w:pPr>
            <w:r>
              <w:rPr/>
              <w:t>Not Applicable,</w:t>
            </w:r>
          </w:p>
        </w:tc>
        <w:tc>
          <w:tcPr>
            <w:tcW w:w="2340" w:type="dxa"/>
            <w:tcBorders/>
          </w:tcPr>
          <w:p>
            <w:pPr>
              <w:pStyle w:val="Normal"/>
              <w:spacing w:before="0" w:after="0"/>
              <w:ind w:right="-720" w:hanging="0"/>
              <w:rPr/>
            </w:pPr>
            <w:r>
              <w:rPr/>
              <w:t>Active and Operative,</w:t>
            </w:r>
          </w:p>
        </w:tc>
        <w:tc>
          <w:tcPr>
            <w:tcW w:w="2835" w:type="dxa"/>
            <w:tcBorders/>
          </w:tcPr>
          <w:p>
            <w:pPr>
              <w:pStyle w:val="Normal"/>
              <w:spacing w:before="0" w:after="0"/>
              <w:ind w:right="-720" w:hanging="0"/>
              <w:rPr/>
            </w:pPr>
            <w:r>
              <w:rPr/>
              <w:t>Not Induced)</w:t>
            </w:r>
          </w:p>
        </w:tc>
      </w:tr>
    </w:tbl>
    <w:p>
      <w:pPr>
        <w:pStyle w:val="Normal"/>
        <w:rPr/>
      </w:pPr>
      <w:r>
        <w:rPr/>
      </w:r>
    </w:p>
    <w:p>
      <w:pPr>
        <w:pStyle w:val="Normal"/>
        <w:rPr/>
      </w:pPr>
      <w:r>
        <w:rPr/>
        <w:t>The HLR shall store the logical state of CNAP (which shall be one of the valid state listed above) on a per subscriber basis.</w:t>
      </w:r>
    </w:p>
    <w:p>
      <w:pPr>
        <w:pStyle w:val="Normal"/>
        <w:rPr/>
      </w:pPr>
      <w:r>
        <w:rPr/>
        <w:t>The HLR shall also store the subscription option "override category" on a per subscriber basis. The subscription options are: "Yes" or "No".</w:t>
      </w:r>
    </w:p>
    <w:p>
      <w:pPr>
        <w:pStyle w:val="Heading2"/>
        <w:rPr/>
      </w:pPr>
      <w:bookmarkStart w:id="19" w:name="__RefHeading___Toc517463403"/>
      <w:bookmarkEnd w:id="19"/>
      <w:r>
        <w:rPr/>
        <w:t>4.4</w:t>
        <w:tab/>
        <w:t>State Transition Model</w:t>
      </w:r>
    </w:p>
    <w:p>
      <w:pPr>
        <w:pStyle w:val="Normal"/>
        <w:rPr/>
      </w:pPr>
      <w:r>
        <w:rPr/>
        <w:t>The following figure shows the successful cases of transition between the applicable logical states of CNAP. The state changes are caused by actions of the service provider.</w:t>
      </w:r>
    </w:p>
    <w:p>
      <w:pPr>
        <w:pStyle w:val="Normal"/>
        <w:ind w:right="-720" w:hanging="0"/>
        <w:rPr/>
      </w:pPr>
      <w:r>
        <w:rPr/>
        <w:t>Note that error cases are not shown in the diagram as they normally do not cause change. Additionally, some successful requests may not cause a state change. Hence they are not shown in the diagram.</w:t>
      </w:r>
    </w:p>
    <w:p>
      <w:pPr>
        <w:pStyle w:val="TH"/>
        <w:rPr/>
      </w:pPr>
      <w:r>
        <w:rPr/>
        <w:object w:dxaOrig="6767" w:dyaOrig="221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38.35pt;height:110.95pt" filled="f" o:ole="">
            <v:imagedata r:id="rId17" o:title=""/>
          </v:shape>
          <o:OLEObject Type="Embed" ProgID="" ShapeID="ole_rId16" DrawAspect="Content" ObjectID="_923283116" r:id="rId16"/>
        </w:object>
      </w:r>
    </w:p>
    <w:p>
      <w:pPr>
        <w:pStyle w:val="TF"/>
        <w:rPr/>
      </w:pPr>
      <w:r>
        <w:rPr/>
        <w:t>Figure 5: State Transition model for CNAP</w:t>
      </w:r>
    </w:p>
    <w:p>
      <w:pPr>
        <w:pStyle w:val="Heading2"/>
        <w:rPr/>
      </w:pPr>
      <w:bookmarkStart w:id="20" w:name="__RefHeading___Toc517463404"/>
      <w:bookmarkEnd w:id="20"/>
      <w:r>
        <w:rPr/>
        <w:t>4.5</w:t>
        <w:tab/>
        <w:t>Transfer of information from HLR to VLR</w:t>
      </w:r>
    </w:p>
    <w:p>
      <w:pPr>
        <w:pStyle w:val="Normal"/>
        <w:ind w:right="-30" w:hanging="0"/>
        <w:rPr/>
      </w:pPr>
      <w:r>
        <w:rPr/>
        <w:t>If the provisioning state for CNAP is "provisioned" then, when the subscriber registers on a VLR, the HLR shall send the VLR subscriber information about the logical state of CNAP. Please refer to GSM 03.16 for details related to the handling of supplementary service information between the HLR and VLR.</w:t>
      </w:r>
    </w:p>
    <w:p>
      <w:pPr>
        <w:pStyle w:val="Normal"/>
        <w:rPr/>
      </w:pPr>
      <w:r>
        <w:rPr/>
        <w:t>If the logical state of CNAP or the override category is changed while a subscriber is registered on a VLR, then the HLR shall inform the VLR of the logical state of CNAP. If the override category is changed and the provisioning state of CNAP is "Provisioned", then the HLR shall inform the VLR about the new override category when the VLR is in the HPLMN country. The HLR may inform the VLR about the new override category when the VLR is outside the HPLMN country.</w:t>
      </w:r>
    </w:p>
    <w:p>
      <w:pPr>
        <w:pStyle w:val="Heading2"/>
        <w:rPr/>
      </w:pPr>
      <w:bookmarkStart w:id="21" w:name="__RefHeading___Toc517463405"/>
      <w:bookmarkEnd w:id="21"/>
      <w:r>
        <w:rPr/>
        <w:t>4.6</w:t>
        <w:tab/>
        <w:t>Information stored in the VLR</w:t>
      </w:r>
    </w:p>
    <w:p>
      <w:pPr>
        <w:pStyle w:val="Normal"/>
        <w:rPr/>
      </w:pPr>
      <w:r>
        <w:rPr/>
        <w:t>For CNAP, the VLR shall store the service state information and override category received from the HLR. If not received from the HLR (in case of roaming outside the HPLMN country), the override category shall be set to the default value "no".</w:t>
      </w:r>
    </w:p>
    <w:p>
      <w:pPr>
        <w:pStyle w:val="Heading2"/>
        <w:rPr/>
      </w:pPr>
      <w:bookmarkStart w:id="22" w:name="__RefHeading___Toc517463406"/>
      <w:bookmarkEnd w:id="22"/>
      <w:r>
        <w:rPr/>
        <w:t>4.7</w:t>
        <w:tab/>
        <w:t>Handover</w:t>
      </w:r>
    </w:p>
    <w:p>
      <w:pPr>
        <w:pStyle w:val="Normal"/>
        <w:rPr/>
      </w:pPr>
      <w:r>
        <w:rPr/>
        <w:t>Handover will have no impact on the control procedures and the operation of the service.</w:t>
      </w:r>
      <w:r>
        <w:br w:type="page"/>
      </w:r>
    </w:p>
    <w:p>
      <w:pPr>
        <w:pStyle w:val="Heading9"/>
        <w:rPr/>
      </w:pPr>
      <w:bookmarkStart w:id="23" w:name="__RefHeading___Toc517463407"/>
      <w:bookmarkEnd w:id="23"/>
      <w:r>
        <w:rPr/>
        <w:t>Annex A (normative for PCS1900):</w:t>
        <w:br/>
        <w:t>Calling Name Information Setting to the MS</w:t>
      </w:r>
    </w:p>
    <w:p>
      <w:pPr>
        <w:pStyle w:val="Normal"/>
        <w:rPr/>
      </w:pPr>
      <w:r>
        <w:rPr/>
        <w:t>A name database query is performed using the calling party's line identity as specified in ANSI T1.641 "Calling Name Identification Presentation".</w:t>
      </w:r>
    </w:p>
    <w:p>
      <w:pPr>
        <w:pStyle w:val="Normal"/>
        <w:rPr/>
      </w:pPr>
      <w:r>
        <w:rPr/>
        <w:t>The calling name information, which contains the resulting presentation indicator, as shown in Table 1 is sent to the CNAP subscriber's MS.</w:t>
      </w:r>
    </w:p>
    <w:p>
      <w:pPr>
        <w:pStyle w:val="TH"/>
        <w:rPr/>
      </w:pPr>
      <w:r>
        <w:rPr/>
        <w:t>Table 1: Determination of Calling Name Information sent to CNAP subscriber's MS</w:t>
      </w:r>
    </w:p>
    <w:tbl>
      <w:tblPr>
        <w:tblW w:w="9648" w:type="dxa"/>
        <w:jc w:val="left"/>
        <w:tblInd w:w="-123" w:type="dxa"/>
        <w:tblLayout w:type="fixed"/>
        <w:tblCellMar>
          <w:top w:w="0" w:type="dxa"/>
          <w:left w:w="108" w:type="dxa"/>
          <w:bottom w:w="0" w:type="dxa"/>
          <w:right w:w="108" w:type="dxa"/>
        </w:tblCellMar>
      </w:tblPr>
      <w:tblGrid>
        <w:gridCol w:w="2952"/>
        <w:gridCol w:w="2952"/>
        <w:gridCol w:w="3744"/>
      </w:tblGrid>
      <w:tr>
        <w:trPr>
          <w:tblHeader w:val="true"/>
        </w:trPr>
        <w:tc>
          <w:tcPr>
            <w:tcW w:w="2952" w:type="dxa"/>
            <w:tcBorders>
              <w:top w:val="single" w:sz="12" w:space="0" w:color="000000"/>
              <w:left w:val="single" w:sz="12" w:space="0" w:color="000000"/>
              <w:bottom w:val="single" w:sz="12" w:space="0" w:color="000000"/>
              <w:right w:val="single" w:sz="6" w:space="0" w:color="000000"/>
            </w:tcBorders>
          </w:tcPr>
          <w:p>
            <w:pPr>
              <w:pStyle w:val="Normal"/>
              <w:spacing w:before="0" w:after="0"/>
              <w:jc w:val="center"/>
              <w:rPr>
                <w:b/>
                <w:b/>
              </w:rPr>
            </w:pPr>
            <w:r>
              <w:rPr>
                <w:b/>
              </w:rPr>
              <w:t>Presentation Indicator in Calling Name Information</w:t>
            </w:r>
          </w:p>
        </w:tc>
        <w:tc>
          <w:tcPr>
            <w:tcW w:w="2952" w:type="dxa"/>
            <w:tcBorders>
              <w:top w:val="single" w:sz="12" w:space="0" w:color="000000"/>
              <w:bottom w:val="single" w:sz="12" w:space="0" w:color="000000"/>
              <w:right w:val="single" w:sz="6" w:space="0" w:color="000000"/>
            </w:tcBorders>
          </w:tcPr>
          <w:p>
            <w:pPr>
              <w:pStyle w:val="Normal"/>
              <w:spacing w:before="0" w:after="0"/>
              <w:jc w:val="center"/>
              <w:rPr>
                <w:b/>
                <w:b/>
              </w:rPr>
            </w:pPr>
            <w:r>
              <w:rPr>
                <w:b/>
              </w:rPr>
              <w:t>Presentation Indicator in Name Database</w:t>
            </w:r>
          </w:p>
        </w:tc>
        <w:tc>
          <w:tcPr>
            <w:tcW w:w="3744" w:type="dxa"/>
            <w:tcBorders>
              <w:top w:val="single" w:sz="12" w:space="0" w:color="000000"/>
              <w:bottom w:val="single" w:sz="12" w:space="0" w:color="000000"/>
              <w:right w:val="single" w:sz="12" w:space="0" w:color="000000"/>
            </w:tcBorders>
            <w:shd w:fill="F2F2F2" w:val="clear"/>
          </w:tcPr>
          <w:p>
            <w:pPr>
              <w:pStyle w:val="Normal"/>
              <w:spacing w:before="0" w:after="0"/>
              <w:jc w:val="center"/>
              <w:rPr/>
            </w:pPr>
            <w:r>
              <w:rPr>
                <w:b/>
              </w:rPr>
              <w:t>Calling Name Information sent to the CNAP subscriber's MS</w:t>
            </w:r>
          </w:p>
        </w:tc>
      </w:tr>
      <w:tr>
        <w:trPr/>
        <w:tc>
          <w:tcPr>
            <w:tcW w:w="2952" w:type="dxa"/>
            <w:tcBorders>
              <w:left w:val="single" w:sz="6" w:space="0" w:color="000000"/>
            </w:tcBorders>
          </w:tcPr>
          <w:p>
            <w:pPr>
              <w:pStyle w:val="Normal"/>
              <w:spacing w:before="0" w:after="0"/>
              <w:jc w:val="center"/>
              <w:rPr/>
            </w:pPr>
            <w:r>
              <w:rPr/>
              <w:t>Presentation</w:t>
            </w:r>
          </w:p>
        </w:tc>
        <w:tc>
          <w:tcPr>
            <w:tcW w:w="2952" w:type="dxa"/>
            <w:tcBorders>
              <w:left w:val="single" w:sz="6" w:space="0" w:color="000000"/>
              <w:bottom w:val="single" w:sz="6" w:space="0" w:color="000000"/>
              <w:right w:val="single" w:sz="6" w:space="0" w:color="000000"/>
            </w:tcBorders>
          </w:tcPr>
          <w:p>
            <w:pPr>
              <w:pStyle w:val="Normal"/>
              <w:spacing w:before="0" w:after="0"/>
              <w:jc w:val="center"/>
              <w:rPr/>
            </w:pPr>
            <w:r>
              <w:rPr/>
              <w:t>Presentation Allowed</w:t>
            </w:r>
          </w:p>
        </w:tc>
        <w:tc>
          <w:tcPr>
            <w:tcW w:w="3744" w:type="dxa"/>
            <w:tcBorders>
              <w:right w:val="single" w:sz="6" w:space="0" w:color="000000"/>
            </w:tcBorders>
            <w:shd w:fill="F2F2F2" w:val="clear"/>
          </w:tcPr>
          <w:p>
            <w:pPr>
              <w:pStyle w:val="Normal"/>
              <w:snapToGrid w:val="false"/>
              <w:spacing w:before="0" w:after="0"/>
              <w:jc w:val="center"/>
              <w:rPr/>
            </w:pPr>
            <w:r>
              <w:rPr/>
            </w:r>
          </w:p>
        </w:tc>
      </w:tr>
      <w:tr>
        <w:trPr/>
        <w:tc>
          <w:tcPr>
            <w:tcW w:w="2952" w:type="dxa"/>
            <w:tcBorders>
              <w:left w:val="single" w:sz="6" w:space="0" w:color="000000"/>
            </w:tcBorders>
          </w:tcPr>
          <w:p>
            <w:pPr>
              <w:pStyle w:val="Normal"/>
              <w:spacing w:before="0" w:after="0"/>
              <w:jc w:val="center"/>
              <w:rPr/>
            </w:pPr>
            <w:r>
              <w:rPr/>
              <w:t>Allowed</w:t>
            </w:r>
          </w:p>
        </w:tc>
        <w:tc>
          <w:tcPr>
            <w:tcW w:w="295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pPr>
            <w:r>
              <w:rPr/>
              <w:t>Presentation Restricted</w:t>
            </w:r>
          </w:p>
        </w:tc>
        <w:tc>
          <w:tcPr>
            <w:tcW w:w="3744" w:type="dxa"/>
            <w:tcBorders>
              <w:right w:val="single" w:sz="6" w:space="0" w:color="000000"/>
            </w:tcBorders>
            <w:shd w:fill="F2F2F2" w:val="clear"/>
          </w:tcPr>
          <w:p>
            <w:pPr>
              <w:pStyle w:val="Normal"/>
              <w:spacing w:before="0" w:after="0"/>
              <w:jc w:val="center"/>
              <w:rPr/>
            </w:pPr>
            <w:r>
              <w:rPr/>
              <w:t>Calling Name</w:t>
            </w:r>
          </w:p>
        </w:tc>
      </w:tr>
      <w:tr>
        <w:trPr/>
        <w:tc>
          <w:tcPr>
            <w:tcW w:w="2952" w:type="dxa"/>
            <w:tcBorders>
              <w:left w:val="single" w:sz="6" w:space="0" w:color="000000"/>
            </w:tcBorders>
          </w:tcPr>
          <w:p>
            <w:pPr>
              <w:pStyle w:val="Normal"/>
              <w:snapToGrid w:val="false"/>
              <w:spacing w:before="0" w:after="0"/>
              <w:jc w:val="center"/>
              <w:rPr/>
            </w:pPr>
            <w:r>
              <w:rPr/>
            </w:r>
          </w:p>
        </w:tc>
        <w:tc>
          <w:tcPr>
            <w:tcW w:w="295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pPr>
            <w:r>
              <w:rPr/>
              <w:t>Blocking Toggle</w:t>
            </w:r>
          </w:p>
        </w:tc>
        <w:tc>
          <w:tcPr>
            <w:tcW w:w="3744" w:type="dxa"/>
            <w:tcBorders>
              <w:right w:val="single" w:sz="6" w:space="0" w:color="000000"/>
            </w:tcBorders>
            <w:shd w:fill="F2F2F2" w:val="clear"/>
          </w:tcPr>
          <w:p>
            <w:pPr>
              <w:pStyle w:val="Normal"/>
              <w:spacing w:before="0" w:after="0"/>
              <w:jc w:val="center"/>
              <w:rPr/>
            </w:pPr>
            <w:r>
              <w:rPr/>
              <w:t>Identity</w:t>
            </w:r>
          </w:p>
        </w:tc>
      </w:tr>
      <w:tr>
        <w:trPr/>
        <w:tc>
          <w:tcPr>
            <w:tcW w:w="2952" w:type="dxa"/>
            <w:tcBorders>
              <w:left w:val="single" w:sz="6" w:space="0" w:color="000000"/>
            </w:tcBorders>
          </w:tcPr>
          <w:p>
            <w:pPr>
              <w:pStyle w:val="Normal"/>
              <w:snapToGrid w:val="false"/>
              <w:spacing w:before="0" w:after="0"/>
              <w:jc w:val="center"/>
              <w:rPr/>
            </w:pPr>
            <w:r>
              <w:rPr/>
            </w:r>
          </w:p>
        </w:tc>
        <w:tc>
          <w:tcPr>
            <w:tcW w:w="2952" w:type="dxa"/>
            <w:tcBorders>
              <w:top w:val="single" w:sz="6" w:space="0" w:color="000000"/>
              <w:left w:val="single" w:sz="6" w:space="0" w:color="000000"/>
              <w:bottom w:val="single" w:sz="6" w:space="0" w:color="000000"/>
              <w:right w:val="single" w:sz="6" w:space="0" w:color="000000"/>
            </w:tcBorders>
          </w:tcPr>
          <w:p>
            <w:pPr>
              <w:pStyle w:val="Normal"/>
              <w:spacing w:before="0" w:after="0"/>
              <w:jc w:val="center"/>
              <w:rPr/>
            </w:pPr>
            <w:r>
              <w:rPr/>
              <w:t>No Indication</w:t>
            </w:r>
          </w:p>
        </w:tc>
        <w:tc>
          <w:tcPr>
            <w:tcW w:w="3744" w:type="dxa"/>
            <w:tcBorders>
              <w:right w:val="single" w:sz="6" w:space="0" w:color="000000"/>
            </w:tcBorders>
            <w:shd w:fill="F2F2F2" w:val="clear"/>
          </w:tcPr>
          <w:p>
            <w:pPr>
              <w:pStyle w:val="Normal"/>
              <w:snapToGrid w:val="false"/>
              <w:spacing w:before="0" w:after="0"/>
              <w:jc w:val="center"/>
              <w:rPr/>
            </w:pPr>
            <w:r>
              <w:rPr/>
            </w:r>
          </w:p>
        </w:tc>
      </w:tr>
      <w:tr>
        <w:trPr/>
        <w:tc>
          <w:tcPr>
            <w:tcW w:w="2952" w:type="dxa"/>
            <w:tcBorders>
              <w:top w:val="single" w:sz="6" w:space="0" w:color="000000"/>
              <w:left w:val="single" w:sz="6" w:space="0" w:color="000000"/>
              <w:right w:val="single" w:sz="6" w:space="0" w:color="000000"/>
            </w:tcBorders>
          </w:tcPr>
          <w:p>
            <w:pPr>
              <w:pStyle w:val="Normal"/>
              <w:spacing w:before="0" w:after="0"/>
              <w:jc w:val="center"/>
              <w:rPr/>
            </w:pPr>
            <w:r>
              <w:rPr/>
              <w:t>Presentation Restricted</w:t>
            </w:r>
          </w:p>
        </w:tc>
        <w:tc>
          <w:tcPr>
            <w:tcW w:w="2952" w:type="dxa"/>
            <w:tcBorders>
              <w:right w:val="single" w:sz="6" w:space="0" w:color="000000"/>
            </w:tcBorders>
          </w:tcPr>
          <w:p>
            <w:pPr>
              <w:pStyle w:val="Normal"/>
              <w:spacing w:before="0" w:after="0"/>
              <w:jc w:val="center"/>
              <w:rPr/>
            </w:pPr>
            <w:r>
              <w:rPr/>
              <w:t>No Database Query performed</w:t>
            </w:r>
          </w:p>
        </w:tc>
        <w:tc>
          <w:tcPr>
            <w:tcW w:w="3744" w:type="dxa"/>
            <w:tcBorders>
              <w:top w:val="single" w:sz="6" w:space="0" w:color="000000"/>
              <w:right w:val="single" w:sz="6" w:space="0" w:color="000000"/>
            </w:tcBorders>
            <w:shd w:fill="F2F2F2" w:val="clear"/>
          </w:tcPr>
          <w:p>
            <w:pPr>
              <w:pStyle w:val="Normal"/>
              <w:spacing w:before="0" w:after="0"/>
              <w:jc w:val="center"/>
              <w:rPr/>
            </w:pPr>
            <w:r>
              <w:rPr/>
              <w:t>Presentation Restricted</w:t>
            </w:r>
            <w:r>
              <w:rPr>
                <w:vertAlign w:val="superscript"/>
              </w:rPr>
              <w:t>1</w:t>
            </w:r>
          </w:p>
          <w:p>
            <w:pPr>
              <w:pStyle w:val="Normal"/>
              <w:spacing w:before="0" w:after="0"/>
              <w:jc w:val="center"/>
              <w:rPr/>
            </w:pPr>
            <w:r>
              <w:rPr/>
            </w:r>
          </w:p>
        </w:tc>
      </w:tr>
      <w:tr>
        <w:trPr/>
        <w:tc>
          <w:tcPr>
            <w:tcW w:w="2952" w:type="dxa"/>
            <w:tcBorders>
              <w:top w:val="single" w:sz="6" w:space="0" w:color="000000"/>
              <w:left w:val="single" w:sz="6" w:space="0" w:color="000000"/>
              <w:right w:val="single" w:sz="6" w:space="0" w:color="000000"/>
            </w:tcBorders>
          </w:tcPr>
          <w:p>
            <w:pPr>
              <w:pStyle w:val="Normal"/>
              <w:spacing w:before="0" w:after="0"/>
              <w:jc w:val="center"/>
              <w:rPr/>
            </w:pPr>
            <w:r>
              <w:rPr/>
              <w:t>Blocking</w:t>
            </w:r>
          </w:p>
        </w:tc>
        <w:tc>
          <w:tcPr>
            <w:tcW w:w="2952" w:type="dxa"/>
            <w:tcBorders>
              <w:top w:val="single" w:sz="6" w:space="0" w:color="000000"/>
              <w:bottom w:val="single" w:sz="6" w:space="0" w:color="000000"/>
              <w:right w:val="single" w:sz="6" w:space="0" w:color="000000"/>
            </w:tcBorders>
          </w:tcPr>
          <w:p>
            <w:pPr>
              <w:pStyle w:val="Normal"/>
              <w:spacing w:before="0" w:after="0"/>
              <w:jc w:val="center"/>
              <w:rPr/>
            </w:pPr>
            <w:r>
              <w:rPr/>
              <w:t>Presentation Allowed</w:t>
            </w:r>
          </w:p>
        </w:tc>
        <w:tc>
          <w:tcPr>
            <w:tcW w:w="3744" w:type="dxa"/>
            <w:tcBorders>
              <w:top w:val="single" w:sz="6" w:space="0" w:color="000000"/>
              <w:bottom w:val="single" w:sz="6" w:space="0" w:color="000000"/>
              <w:right w:val="single" w:sz="6" w:space="0" w:color="000000"/>
            </w:tcBorders>
            <w:shd w:fill="F2F2F2" w:val="clear"/>
          </w:tcPr>
          <w:p>
            <w:pPr>
              <w:pStyle w:val="Normal"/>
              <w:spacing w:before="0" w:after="0"/>
              <w:jc w:val="center"/>
              <w:rPr/>
            </w:pPr>
            <w:r>
              <w:rPr/>
              <w:t>Presentation Restricted</w:t>
            </w:r>
            <w:r>
              <w:rPr>
                <w:vertAlign w:val="superscript"/>
              </w:rPr>
              <w:t>1</w:t>
            </w:r>
          </w:p>
        </w:tc>
      </w:tr>
      <w:tr>
        <w:trPr/>
        <w:tc>
          <w:tcPr>
            <w:tcW w:w="2952" w:type="dxa"/>
            <w:tcBorders>
              <w:left w:val="single" w:sz="6" w:space="0" w:color="000000"/>
              <w:right w:val="single" w:sz="6" w:space="0" w:color="000000"/>
            </w:tcBorders>
          </w:tcPr>
          <w:p>
            <w:pPr>
              <w:pStyle w:val="Normal"/>
              <w:spacing w:before="0" w:after="0"/>
              <w:jc w:val="center"/>
              <w:rPr/>
            </w:pPr>
            <w:r>
              <w:rPr/>
              <w:t>Toggle</w:t>
            </w:r>
          </w:p>
        </w:tc>
        <w:tc>
          <w:tcPr>
            <w:tcW w:w="2952" w:type="dxa"/>
            <w:tcBorders>
              <w:top w:val="single" w:sz="6" w:space="0" w:color="000000"/>
              <w:bottom w:val="single" w:sz="6" w:space="0" w:color="000000"/>
              <w:right w:val="single" w:sz="6" w:space="0" w:color="000000"/>
            </w:tcBorders>
          </w:tcPr>
          <w:p>
            <w:pPr>
              <w:pStyle w:val="Normal"/>
              <w:spacing w:before="0" w:after="0"/>
              <w:jc w:val="center"/>
              <w:rPr/>
            </w:pPr>
            <w:r>
              <w:rPr/>
              <w:t>Presentation Restricted</w:t>
            </w:r>
          </w:p>
        </w:tc>
        <w:tc>
          <w:tcPr>
            <w:tcW w:w="3744" w:type="dxa"/>
            <w:tcBorders>
              <w:top w:val="single" w:sz="6" w:space="0" w:color="000000"/>
              <w:bottom w:val="single" w:sz="6" w:space="0" w:color="000000"/>
              <w:right w:val="single" w:sz="6" w:space="0" w:color="000000"/>
            </w:tcBorders>
            <w:shd w:fill="F2F2F2" w:val="clear"/>
          </w:tcPr>
          <w:p>
            <w:pPr>
              <w:pStyle w:val="Normal"/>
              <w:spacing w:before="0" w:after="0"/>
              <w:jc w:val="center"/>
              <w:rPr/>
            </w:pPr>
            <w:r>
              <w:rPr/>
              <w:t>Calling Name Identity</w:t>
            </w:r>
          </w:p>
        </w:tc>
      </w:tr>
      <w:tr>
        <w:trPr/>
        <w:tc>
          <w:tcPr>
            <w:tcW w:w="2952" w:type="dxa"/>
            <w:tcBorders>
              <w:left w:val="single" w:sz="6" w:space="0" w:color="000000"/>
              <w:right w:val="single" w:sz="6" w:space="0" w:color="000000"/>
            </w:tcBorders>
          </w:tcPr>
          <w:p>
            <w:pPr>
              <w:pStyle w:val="Normal"/>
              <w:snapToGrid w:val="false"/>
              <w:spacing w:before="0" w:after="0"/>
              <w:jc w:val="center"/>
              <w:rPr/>
            </w:pPr>
            <w:r>
              <w:rPr/>
            </w:r>
          </w:p>
        </w:tc>
        <w:tc>
          <w:tcPr>
            <w:tcW w:w="2952" w:type="dxa"/>
            <w:tcBorders>
              <w:top w:val="single" w:sz="6" w:space="0" w:color="000000"/>
              <w:bottom w:val="single" w:sz="6" w:space="0" w:color="000000"/>
              <w:right w:val="single" w:sz="6" w:space="0" w:color="000000"/>
            </w:tcBorders>
          </w:tcPr>
          <w:p>
            <w:pPr>
              <w:pStyle w:val="Normal"/>
              <w:spacing w:before="0" w:after="0"/>
              <w:jc w:val="center"/>
              <w:rPr/>
            </w:pPr>
            <w:r>
              <w:rPr/>
              <w:t>Blocking Toggle</w:t>
            </w:r>
          </w:p>
        </w:tc>
        <w:tc>
          <w:tcPr>
            <w:tcW w:w="3744" w:type="dxa"/>
            <w:tcBorders>
              <w:top w:val="single" w:sz="6" w:space="0" w:color="000000"/>
              <w:bottom w:val="single" w:sz="6" w:space="0" w:color="000000"/>
              <w:right w:val="single" w:sz="6" w:space="0" w:color="000000"/>
            </w:tcBorders>
            <w:shd w:fill="F2F2F2" w:val="clear"/>
          </w:tcPr>
          <w:p>
            <w:pPr>
              <w:pStyle w:val="Normal"/>
              <w:spacing w:before="0" w:after="0"/>
              <w:jc w:val="center"/>
              <w:rPr/>
            </w:pPr>
            <w:r>
              <w:rPr/>
              <w:t xml:space="preserve">Unavailable </w:t>
            </w:r>
            <w:r>
              <w:rPr>
                <w:vertAlign w:val="superscript"/>
              </w:rPr>
              <w:t>2</w:t>
            </w:r>
          </w:p>
        </w:tc>
      </w:tr>
      <w:tr>
        <w:trPr/>
        <w:tc>
          <w:tcPr>
            <w:tcW w:w="2952" w:type="dxa"/>
            <w:tcBorders>
              <w:left w:val="single" w:sz="6" w:space="0" w:color="000000"/>
              <w:right w:val="single" w:sz="6" w:space="0" w:color="000000"/>
            </w:tcBorders>
          </w:tcPr>
          <w:p>
            <w:pPr>
              <w:pStyle w:val="Normal"/>
              <w:snapToGrid w:val="false"/>
              <w:spacing w:before="0" w:after="0"/>
              <w:jc w:val="center"/>
              <w:rPr/>
            </w:pPr>
            <w:r>
              <w:rPr/>
            </w:r>
          </w:p>
        </w:tc>
        <w:tc>
          <w:tcPr>
            <w:tcW w:w="2952" w:type="dxa"/>
            <w:tcBorders>
              <w:top w:val="single" w:sz="6" w:space="0" w:color="000000"/>
              <w:right w:val="single" w:sz="6" w:space="0" w:color="000000"/>
            </w:tcBorders>
          </w:tcPr>
          <w:p>
            <w:pPr>
              <w:pStyle w:val="Normal"/>
              <w:spacing w:before="0" w:after="0"/>
              <w:jc w:val="center"/>
              <w:rPr/>
            </w:pPr>
            <w:r>
              <w:rPr/>
              <w:t>No Indication</w:t>
            </w:r>
          </w:p>
        </w:tc>
        <w:tc>
          <w:tcPr>
            <w:tcW w:w="3744" w:type="dxa"/>
            <w:tcBorders>
              <w:top w:val="single" w:sz="6" w:space="0" w:color="000000"/>
              <w:right w:val="single" w:sz="6" w:space="0" w:color="000000"/>
            </w:tcBorders>
            <w:shd w:fill="F2F2F2" w:val="clear"/>
          </w:tcPr>
          <w:p>
            <w:pPr>
              <w:pStyle w:val="Normal"/>
              <w:spacing w:before="0" w:after="0"/>
              <w:jc w:val="center"/>
              <w:rPr/>
            </w:pPr>
            <w:r>
              <w:rPr/>
              <w:t xml:space="preserve">Unavailable </w:t>
            </w:r>
            <w:r>
              <w:rPr>
                <w:vertAlign w:val="superscript"/>
              </w:rPr>
              <w:t>2</w:t>
            </w:r>
          </w:p>
        </w:tc>
      </w:tr>
      <w:tr>
        <w:trPr/>
        <w:tc>
          <w:tcPr>
            <w:tcW w:w="2952" w:type="dxa"/>
            <w:tcBorders>
              <w:top w:val="single" w:sz="6" w:space="0" w:color="000000"/>
              <w:left w:val="single" w:sz="6" w:space="0" w:color="000000"/>
              <w:right w:val="single" w:sz="6" w:space="0" w:color="000000"/>
            </w:tcBorders>
          </w:tcPr>
          <w:p>
            <w:pPr>
              <w:pStyle w:val="Normal"/>
              <w:spacing w:before="0" w:after="0"/>
              <w:jc w:val="center"/>
              <w:rPr/>
            </w:pPr>
            <w:r>
              <w:rPr/>
              <w:t>No</w:t>
            </w:r>
          </w:p>
        </w:tc>
        <w:tc>
          <w:tcPr>
            <w:tcW w:w="2952" w:type="dxa"/>
            <w:tcBorders>
              <w:top w:val="single" w:sz="6" w:space="0" w:color="000000"/>
              <w:bottom w:val="single" w:sz="6" w:space="0" w:color="000000"/>
              <w:right w:val="single" w:sz="6" w:space="0" w:color="000000"/>
            </w:tcBorders>
          </w:tcPr>
          <w:p>
            <w:pPr>
              <w:pStyle w:val="Normal"/>
              <w:spacing w:before="0" w:after="0"/>
              <w:jc w:val="center"/>
              <w:rPr/>
            </w:pPr>
            <w:r>
              <w:rPr/>
              <w:t>Presentation Allowed</w:t>
            </w:r>
          </w:p>
        </w:tc>
        <w:tc>
          <w:tcPr>
            <w:tcW w:w="3744" w:type="dxa"/>
            <w:tcBorders>
              <w:top w:val="single" w:sz="6" w:space="0" w:color="000000"/>
              <w:bottom w:val="single" w:sz="6" w:space="0" w:color="000000"/>
              <w:right w:val="single" w:sz="6" w:space="0" w:color="000000"/>
            </w:tcBorders>
            <w:shd w:fill="F2F2F2" w:val="clear"/>
          </w:tcPr>
          <w:p>
            <w:pPr>
              <w:pStyle w:val="Normal"/>
              <w:spacing w:before="0" w:after="0"/>
              <w:jc w:val="center"/>
              <w:rPr/>
            </w:pPr>
            <w:r>
              <w:rPr/>
              <w:t>Calling Name Identity</w:t>
            </w:r>
          </w:p>
        </w:tc>
      </w:tr>
      <w:tr>
        <w:trPr/>
        <w:tc>
          <w:tcPr>
            <w:tcW w:w="2952" w:type="dxa"/>
            <w:tcBorders>
              <w:left w:val="single" w:sz="6" w:space="0" w:color="000000"/>
              <w:right w:val="single" w:sz="6" w:space="0" w:color="000000"/>
            </w:tcBorders>
          </w:tcPr>
          <w:p>
            <w:pPr>
              <w:pStyle w:val="Normal"/>
              <w:spacing w:before="0" w:after="0"/>
              <w:jc w:val="center"/>
              <w:rPr/>
            </w:pPr>
            <w:r>
              <w:rPr/>
              <w:t>Indication</w:t>
            </w:r>
          </w:p>
        </w:tc>
        <w:tc>
          <w:tcPr>
            <w:tcW w:w="2952" w:type="dxa"/>
            <w:tcBorders>
              <w:top w:val="single" w:sz="6" w:space="0" w:color="000000"/>
              <w:bottom w:val="single" w:sz="6" w:space="0" w:color="000000"/>
              <w:right w:val="single" w:sz="6" w:space="0" w:color="000000"/>
            </w:tcBorders>
          </w:tcPr>
          <w:p>
            <w:pPr>
              <w:pStyle w:val="Normal"/>
              <w:spacing w:before="0" w:after="0"/>
              <w:jc w:val="center"/>
              <w:rPr/>
            </w:pPr>
            <w:r>
              <w:rPr/>
              <w:t>Presentation Restricted</w:t>
            </w:r>
          </w:p>
        </w:tc>
        <w:tc>
          <w:tcPr>
            <w:tcW w:w="3744" w:type="dxa"/>
            <w:tcBorders>
              <w:top w:val="single" w:sz="6" w:space="0" w:color="000000"/>
              <w:bottom w:val="single" w:sz="6" w:space="0" w:color="000000"/>
              <w:right w:val="single" w:sz="6" w:space="0" w:color="000000"/>
            </w:tcBorders>
            <w:shd w:fill="F2F2F2" w:val="clear"/>
          </w:tcPr>
          <w:p>
            <w:pPr>
              <w:pStyle w:val="Normal"/>
              <w:spacing w:before="0" w:after="0"/>
              <w:jc w:val="center"/>
              <w:rPr/>
            </w:pPr>
            <w:r>
              <w:rPr/>
              <w:t>Presentation Restricted</w:t>
            </w:r>
            <w:r>
              <w:rPr>
                <w:vertAlign w:val="superscript"/>
              </w:rPr>
              <w:t>1</w:t>
            </w:r>
          </w:p>
        </w:tc>
      </w:tr>
      <w:tr>
        <w:trPr/>
        <w:tc>
          <w:tcPr>
            <w:tcW w:w="2952" w:type="dxa"/>
            <w:tcBorders>
              <w:left w:val="single" w:sz="6" w:space="0" w:color="000000"/>
              <w:right w:val="single" w:sz="6" w:space="0" w:color="000000"/>
            </w:tcBorders>
          </w:tcPr>
          <w:p>
            <w:pPr>
              <w:pStyle w:val="Normal"/>
              <w:spacing w:before="0" w:after="0"/>
              <w:jc w:val="center"/>
              <w:rPr/>
            </w:pPr>
            <w:r>
              <w:rPr/>
              <w:t>(or No Calling Name</w:t>
            </w:r>
          </w:p>
        </w:tc>
        <w:tc>
          <w:tcPr>
            <w:tcW w:w="2952" w:type="dxa"/>
            <w:tcBorders>
              <w:top w:val="single" w:sz="6" w:space="0" w:color="000000"/>
              <w:bottom w:val="single" w:sz="6" w:space="0" w:color="000000"/>
              <w:right w:val="single" w:sz="6" w:space="0" w:color="000000"/>
            </w:tcBorders>
          </w:tcPr>
          <w:p>
            <w:pPr>
              <w:pStyle w:val="Normal"/>
              <w:spacing w:before="0" w:after="0"/>
              <w:jc w:val="center"/>
              <w:rPr/>
            </w:pPr>
            <w:r>
              <w:rPr/>
              <w:t>Blocking Toggle</w:t>
            </w:r>
          </w:p>
        </w:tc>
        <w:tc>
          <w:tcPr>
            <w:tcW w:w="3744" w:type="dxa"/>
            <w:tcBorders>
              <w:top w:val="single" w:sz="6" w:space="0" w:color="000000"/>
              <w:bottom w:val="single" w:sz="6" w:space="0" w:color="000000"/>
              <w:right w:val="single" w:sz="6" w:space="0" w:color="000000"/>
            </w:tcBorders>
            <w:shd w:fill="F2F2F2" w:val="clear"/>
          </w:tcPr>
          <w:p>
            <w:pPr>
              <w:pStyle w:val="Normal"/>
              <w:spacing w:before="0" w:after="0"/>
              <w:jc w:val="center"/>
              <w:rPr/>
            </w:pPr>
            <w:r>
              <w:rPr/>
              <w:t xml:space="preserve">Unavailable </w:t>
            </w:r>
            <w:r>
              <w:rPr>
                <w:vertAlign w:val="superscript"/>
              </w:rPr>
              <w:t>2</w:t>
            </w:r>
          </w:p>
        </w:tc>
      </w:tr>
      <w:tr>
        <w:trPr/>
        <w:tc>
          <w:tcPr>
            <w:tcW w:w="2952" w:type="dxa"/>
            <w:tcBorders>
              <w:left w:val="single" w:sz="6" w:space="0" w:color="000000"/>
              <w:bottom w:val="single" w:sz="6" w:space="0" w:color="000000"/>
              <w:right w:val="single" w:sz="6" w:space="0" w:color="000000"/>
            </w:tcBorders>
          </w:tcPr>
          <w:p>
            <w:pPr>
              <w:pStyle w:val="Normal"/>
              <w:spacing w:before="0" w:after="0"/>
              <w:jc w:val="center"/>
              <w:rPr/>
            </w:pPr>
            <w:r>
              <w:rPr/>
              <w:t>Information present)</w:t>
            </w:r>
          </w:p>
        </w:tc>
        <w:tc>
          <w:tcPr>
            <w:tcW w:w="2952" w:type="dxa"/>
            <w:tcBorders>
              <w:top w:val="single" w:sz="6" w:space="0" w:color="000000"/>
              <w:bottom w:val="single" w:sz="6" w:space="0" w:color="000000"/>
              <w:right w:val="single" w:sz="6" w:space="0" w:color="000000"/>
            </w:tcBorders>
          </w:tcPr>
          <w:p>
            <w:pPr>
              <w:pStyle w:val="Normal"/>
              <w:spacing w:before="0" w:after="0"/>
              <w:jc w:val="center"/>
              <w:rPr/>
            </w:pPr>
            <w:r>
              <w:rPr/>
              <w:t>No Indication</w:t>
            </w:r>
          </w:p>
        </w:tc>
        <w:tc>
          <w:tcPr>
            <w:tcW w:w="3744" w:type="dxa"/>
            <w:tcBorders>
              <w:top w:val="single" w:sz="6" w:space="0" w:color="000000"/>
              <w:bottom w:val="single" w:sz="6" w:space="0" w:color="000000"/>
              <w:right w:val="single" w:sz="6" w:space="0" w:color="000000"/>
            </w:tcBorders>
            <w:shd w:fill="F2F2F2" w:val="clear"/>
          </w:tcPr>
          <w:p>
            <w:pPr>
              <w:pStyle w:val="Normal"/>
              <w:spacing w:before="0" w:after="0"/>
              <w:jc w:val="center"/>
              <w:rPr/>
            </w:pPr>
            <w:r>
              <w:rPr/>
              <w:t xml:space="preserve">Unavailable </w:t>
            </w:r>
            <w:r>
              <w:rPr>
                <w:vertAlign w:val="superscript"/>
              </w:rPr>
              <w:t>2</w:t>
            </w:r>
          </w:p>
        </w:tc>
      </w:tr>
    </w:tbl>
    <w:p>
      <w:pPr>
        <w:pStyle w:val="Normal"/>
        <w:rPr/>
      </w:pPr>
      <w:r>
        <w:rPr/>
      </w:r>
    </w:p>
    <w:p>
      <w:pPr>
        <w:pStyle w:val="NO"/>
        <w:rPr/>
      </w:pPr>
      <w:r>
        <w:rPr/>
        <w:t>NOTE1:</w:t>
        <w:tab/>
        <w:t>If the override category is set to yes, the MSC shall send the calling name identity and a presentation indicator of presentation restricted to the CNAP subscriber's MS.</w:t>
      </w:r>
    </w:p>
    <w:p>
      <w:pPr>
        <w:pStyle w:val="NO"/>
        <w:rPr/>
      </w:pPr>
      <w:r>
        <w:rPr/>
        <w:t>NOTE 2:</w:t>
        <w:tab/>
        <w:t>These combinations are unexpected: an indication of name unavailable is given.</w:t>
      </w:r>
      <w:r>
        <w:br w:type="page"/>
      </w:r>
    </w:p>
    <w:p>
      <w:pPr>
        <w:pStyle w:val="Heading8"/>
        <w:ind w:left="0" w:hanging="0"/>
        <w:rPr/>
      </w:pPr>
      <w:bookmarkStart w:id="24" w:name="__RefHeading___Toc517463408"/>
      <w:bookmarkStart w:id="25" w:name="historyclause"/>
      <w:bookmarkEnd w:id="24"/>
      <w:bookmarkEnd w:id="25"/>
      <w:r>
        <w:rPr/>
        <w:t>Annex B (informative):</w:t>
        <w:br/>
        <w:t>Change history</w:t>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lang w:val="en-US"/>
              </w:rPr>
            </w:pPr>
            <w:r>
              <w:rPr>
                <w:lang w:val="en-US"/>
              </w:rPr>
              <w:t>Spec</w:t>
            </w:r>
          </w:p>
        </w:tc>
        <w:tc>
          <w:tcPr>
            <w:tcW w:w="762" w:type="dxa"/>
            <w:tcBorders>
              <w:top w:val="single" w:sz="6" w:space="0" w:color="000000"/>
              <w:bottom w:val="single" w:sz="6" w:space="0" w:color="000000"/>
              <w:right w:val="single" w:sz="6" w:space="0" w:color="000000"/>
            </w:tcBorders>
            <w:shd w:fill="F2F2F2" w:val="clear"/>
          </w:tcPr>
          <w:p>
            <w:pPr>
              <w:pStyle w:val="TAH"/>
              <w:rPr>
                <w:lang w:val="en-US"/>
              </w:rPr>
            </w:pPr>
            <w:r>
              <w:rPr>
                <w:lang w:val="en-US"/>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bottom w:val="single" w:sz="6" w:space="0" w:color="000000"/>
              <w:right w:val="single" w:sz="6" w:space="0" w:color="000000"/>
            </w:tcBorders>
          </w:tcPr>
          <w:p>
            <w:pPr>
              <w:pStyle w:val="TAL"/>
              <w:rPr/>
            </w:pPr>
            <w:r>
              <w:rPr/>
              <w:t>GSM 03.96</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23.096</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b/>
                <w:b/>
                <w:sz w:val="16"/>
              </w:rPr>
            </w:pPr>
            <w:r>
              <w:rPr>
                <w:b/>
                <w:sz w:val="16"/>
              </w:rPr>
            </w:r>
          </w:p>
        </w:tc>
        <w:tc>
          <w:tcPr>
            <w:tcW w:w="1020" w:type="dxa"/>
            <w:tcBorders>
              <w:top w:val="single" w:sz="6" w:space="0" w:color="000000"/>
              <w:bottom w:val="single" w:sz="6" w:space="0" w:color="000000"/>
              <w:right w:val="single" w:sz="6" w:space="0" w:color="000000"/>
            </w:tcBorders>
          </w:tcPr>
          <w:p>
            <w:pPr>
              <w:pStyle w:val="TAL"/>
              <w:rPr/>
            </w:pPr>
            <w:r>
              <w:rPr/>
              <w:t>23.096</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3.0.1</w:t>
            </w:r>
          </w:p>
        </w:tc>
        <w:tc>
          <w:tcPr>
            <w:tcW w:w="3599" w:type="dxa"/>
            <w:tcBorders>
              <w:top w:val="single" w:sz="6" w:space="0" w:color="000000"/>
              <w:bottom w:val="single" w:sz="6" w:space="0" w:color="000000"/>
              <w:right w:val="single" w:sz="6" w:space="0" w:color="000000"/>
            </w:tcBorders>
          </w:tcPr>
          <w:p>
            <w:pPr>
              <w:pStyle w:val="TAL"/>
              <w:rPr/>
            </w:pPr>
            <w:r>
              <w:rPr/>
              <w:t>References updated from 2G to 3G</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23.096</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pPr>
            <w:r>
              <w:rPr/>
              <w:t>Release 4 after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23.096</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Release 5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020" w:type="dxa"/>
            <w:tcBorders>
              <w:top w:val="single" w:sz="6" w:space="0" w:color="000000"/>
              <w:bottom w:val="single" w:sz="6" w:space="0" w:color="000000"/>
              <w:right w:val="single" w:sz="6" w:space="0" w:color="000000"/>
            </w:tcBorders>
          </w:tcPr>
          <w:p>
            <w:pPr>
              <w:pStyle w:val="TAL"/>
              <w:rPr/>
            </w:pPr>
            <w:r>
              <w:rPr/>
              <w:t>23.096</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pPr>
            <w:r>
              <w:rPr/>
              <w:t>Release 6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CT#30</w:t>
            </w:r>
          </w:p>
        </w:tc>
        <w:tc>
          <w:tcPr>
            <w:tcW w:w="1020" w:type="dxa"/>
            <w:tcBorders>
              <w:top w:val="single" w:sz="6" w:space="0" w:color="000000"/>
              <w:bottom w:val="single" w:sz="6" w:space="0" w:color="000000"/>
              <w:right w:val="single" w:sz="6" w:space="0" w:color="000000"/>
            </w:tcBorders>
          </w:tcPr>
          <w:p>
            <w:pPr>
              <w:pStyle w:val="TAL"/>
              <w:rPr/>
            </w:pPr>
            <w:r>
              <w:rPr/>
              <w:t>23.096</w:t>
            </w:r>
          </w:p>
        </w:tc>
        <w:tc>
          <w:tcPr>
            <w:tcW w:w="762" w:type="dxa"/>
            <w:tcBorders>
              <w:top w:val="single" w:sz="6" w:space="0" w:color="000000"/>
              <w:bottom w:val="single" w:sz="6" w:space="0" w:color="000000"/>
              <w:right w:val="single" w:sz="6" w:space="0" w:color="000000"/>
            </w:tcBorders>
          </w:tcPr>
          <w:p>
            <w:pPr>
              <w:pStyle w:val="TAL"/>
              <w:rPr/>
            </w:pPr>
            <w:r>
              <w:rPr/>
              <w:t>0001</w:t>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6.1.0</w:t>
            </w:r>
          </w:p>
        </w:tc>
        <w:tc>
          <w:tcPr>
            <w:tcW w:w="3599" w:type="dxa"/>
            <w:tcBorders>
              <w:top w:val="single" w:sz="6" w:space="0" w:color="000000"/>
              <w:bottom w:val="single" w:sz="6" w:space="0" w:color="000000"/>
              <w:right w:val="single" w:sz="6" w:space="0" w:color="000000"/>
            </w:tcBorders>
          </w:tcPr>
          <w:p>
            <w:pPr>
              <w:pStyle w:val="TAL"/>
              <w:rPr/>
            </w:pPr>
            <w:r>
              <w:rPr/>
              <w:t>Incorrect reference</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CT#35</w:t>
            </w:r>
          </w:p>
        </w:tc>
        <w:tc>
          <w:tcPr>
            <w:tcW w:w="1020" w:type="dxa"/>
            <w:tcBorders>
              <w:top w:val="single" w:sz="6" w:space="0" w:color="000000"/>
              <w:bottom w:val="single" w:sz="6" w:space="0" w:color="000000"/>
              <w:right w:val="single" w:sz="6" w:space="0" w:color="000000"/>
            </w:tcBorders>
          </w:tcPr>
          <w:p>
            <w:pPr>
              <w:pStyle w:val="TAL"/>
              <w:rPr/>
            </w:pPr>
            <w:r>
              <w:rPr/>
              <w:t>23.096</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pPr>
            <w:r>
              <w:rPr/>
              <w:t>Upgraded unchanged from Rel-6</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CT#42</w:t>
            </w:r>
          </w:p>
        </w:tc>
        <w:tc>
          <w:tcPr>
            <w:tcW w:w="1020" w:type="dxa"/>
            <w:tcBorders>
              <w:top w:val="single" w:sz="6" w:space="0" w:color="000000"/>
              <w:bottom w:val="single" w:sz="4" w:space="0" w:color="000000"/>
              <w:right w:val="single" w:sz="6" w:space="0" w:color="000000"/>
            </w:tcBorders>
          </w:tcPr>
          <w:p>
            <w:pPr>
              <w:pStyle w:val="TAL"/>
              <w:rPr/>
            </w:pPr>
            <w:r>
              <w:rPr/>
              <w:t>23.096</w:t>
            </w:r>
          </w:p>
        </w:tc>
        <w:tc>
          <w:tcPr>
            <w:tcW w:w="762" w:type="dxa"/>
            <w:tcBorders>
              <w:top w:val="single" w:sz="6" w:space="0" w:color="000000"/>
              <w:bottom w:val="single" w:sz="4" w:space="0" w:color="000000"/>
              <w:right w:val="single" w:sz="6" w:space="0" w:color="000000"/>
            </w:tcBorders>
          </w:tcPr>
          <w:p>
            <w:pPr>
              <w:pStyle w:val="TAL"/>
              <w:snapToGrid w:val="false"/>
              <w:rPr/>
            </w:pPr>
            <w:r>
              <w:rPr/>
            </w:r>
          </w:p>
        </w:tc>
        <w:tc>
          <w:tcPr>
            <w:tcW w:w="966" w:type="dxa"/>
            <w:tcBorders>
              <w:top w:val="single" w:sz="6" w:space="0" w:color="000000"/>
              <w:bottom w:val="single" w:sz="4" w:space="0" w:color="000000"/>
              <w:right w:val="single" w:sz="6" w:space="0" w:color="000000"/>
            </w:tcBorders>
          </w:tcPr>
          <w:p>
            <w:pPr>
              <w:pStyle w:val="TAL"/>
              <w:rPr/>
            </w:pPr>
            <w:r>
              <w:rPr/>
              <w:t>Rel-8</w:t>
            </w:r>
          </w:p>
        </w:tc>
        <w:tc>
          <w:tcPr>
            <w:tcW w:w="1296" w:type="dxa"/>
            <w:tcBorders>
              <w:top w:val="single" w:sz="6" w:space="0" w:color="000000"/>
              <w:bottom w:val="single" w:sz="4" w:space="0" w:color="000000"/>
              <w:right w:val="single" w:sz="6" w:space="0" w:color="000000"/>
            </w:tcBorders>
          </w:tcPr>
          <w:p>
            <w:pPr>
              <w:pStyle w:val="TAL"/>
              <w:rPr/>
            </w:pPr>
            <w:r>
              <w:rPr/>
              <w:t>8.0.0</w:t>
            </w:r>
          </w:p>
        </w:tc>
        <w:tc>
          <w:tcPr>
            <w:tcW w:w="3599" w:type="dxa"/>
            <w:tcBorders>
              <w:top w:val="single" w:sz="6" w:space="0" w:color="000000"/>
              <w:bottom w:val="single" w:sz="4" w:space="0" w:color="000000"/>
              <w:right w:val="single" w:sz="6" w:space="0" w:color="000000"/>
            </w:tcBorders>
          </w:tcPr>
          <w:p>
            <w:pPr>
              <w:pStyle w:val="TAL"/>
              <w:rPr/>
            </w:pPr>
            <w:r>
              <w:rPr/>
              <w:t>Upgraded unchanged from Rel-7</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CT#46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23.096</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Rel-9</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9.0.0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23.096</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23.096</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23.096</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23.096</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23.096</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23.096</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23.096</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widowControl/>
        <w:bidi w:val="0"/>
        <w:spacing w:before="0" w:after="180"/>
        <w:rPr/>
      </w:pPr>
      <w:r>
        <w:rPr/>
      </w:r>
    </w:p>
    <w:sectPr>
      <w:headerReference w:type="default" r:id="rId18"/>
      <w:footerReference w:type="default" r:id="rId19"/>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Helvetica">
    <w:altName w:val="Arial"/>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844675"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23.096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23.096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635</wp:posOffset>
              </wp:positionV>
              <wp:extent cx="12890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635</wp:posOffset>
              </wp:positionV>
              <wp:extent cx="59817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St1z0">
    <w:name w:val="WW8NumSt1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Heading1H1">
    <w:name w:val="Heading 1.H1"/>
    <w:next w:val="Normal"/>
    <w:qFormat/>
    <w:pPr>
      <w:keepNext w:val="true"/>
      <w:keepLines/>
      <w:widowControl w:val="false"/>
      <w:pBdr>
        <w:top w:val="single" w:sz="12" w:space="3" w:color="000000"/>
      </w:pBdr>
      <w:bidi w:val="0"/>
      <w:spacing w:before="240" w:after="180"/>
      <w:ind w:left="1134" w:hanging="1134"/>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ZK">
    <w:name w:val="ZK"/>
    <w:qFormat/>
    <w:pPr>
      <w:widowControl/>
      <w:bidi w:val="0"/>
      <w:spacing w:lineRule="atLeast" w:line="240" w:before="0" w:after="240"/>
      <w:ind w:left="1191" w:right="113" w:hanging="1191"/>
    </w:pPr>
    <w:rPr>
      <w:rFonts w:ascii="Arial" w:hAnsi="Arial" w:eastAsia="Times New Roman" w:cs="Arial"/>
      <w:color w:val="auto"/>
      <w:sz w:val="20"/>
      <w:szCs w:val="20"/>
      <w:lang w:val="en-GB" w:bidi="ar-SA" w:eastAsia="zh-CN"/>
    </w:rPr>
  </w:style>
  <w:style w:type="paragraph" w:styleId="NOTE">
    <w:name w:val="NOTE"/>
    <w:qFormat/>
    <w:pPr>
      <w:widowControl/>
      <w:tabs>
        <w:tab w:val="clear" w:pos="284"/>
        <w:tab w:val="left" w:pos="1701" w:leader="none"/>
      </w:tabs>
      <w:bidi w:val="0"/>
      <w:spacing w:lineRule="exact" w:line="240" w:before="0" w:after="240"/>
      <w:ind w:left="1701" w:hanging="1134"/>
      <w:jc w:val="both"/>
    </w:pPr>
    <w:rPr>
      <w:rFonts w:ascii="Helvetica" w:hAnsi="Helvetica" w:eastAsia="Times New Roman" w:cs="Helvetica"/>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emf"/><Relationship Id="rId14" Type="http://schemas.openxmlformats.org/officeDocument/2006/relationships/oleObject" Target="embeddings/oleObject7.bin"/><Relationship Id="rId15" Type="http://schemas.openxmlformats.org/officeDocument/2006/relationships/image" Target="media/image7.emf"/><Relationship Id="rId16" Type="http://schemas.openxmlformats.org/officeDocument/2006/relationships/oleObject" Target="embeddings/oleObject8.bin"/><Relationship Id="rId17" Type="http://schemas.openxmlformats.org/officeDocument/2006/relationships/image" Target="media/image8.emf"/><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2001-03-27T08:15:00Z</dcterms:created>
  <dc:creator>MCC Support</dc:creator>
  <dc:description/>
  <cp:keywords>LTE GSM UMTS network CNAP supplementary service stage 2</cp:keywords>
  <dc:language>en-US</dc:language>
  <cp:lastModifiedBy>Kimmo Kymalainen</cp:lastModifiedBy>
  <cp:lastPrinted>1999-05-04T13:42:00Z</cp:lastPrinted>
  <dcterms:modified xsi:type="dcterms:W3CDTF">2020-07-07T20:29:00Z</dcterms:modified>
  <cp:revision>34</cp:revision>
  <dc:subject>Stage 2 (Release 10)</dc:subject>
  <dc:title>3GPP TS 23.096</dc:title>
</cp:coreProperties>
</file>