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25.300 </w:t>
                            </w:r>
                            <w:r>
                              <w:rPr/>
                              <w:t xml:space="preserve">V16.1.0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25.300 </w:t>
                      </w:r>
                      <w:r>
                        <w:rPr/>
                        <w:t xml:space="preserve">V16.1.0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Universal Terrestrial Radio Access Network (UTRAN);</w:t>
                              <w:br/>
                              <w:t>General description;</w:t>
                              <w:br/>
                              <w:t>Stage 2</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Universal Terrestrial Radio Access Network (UTRAN);</w:t>
                        <w:br/>
                        <w:t>General description;</w:t>
                        <w:br/>
                        <w:t>Stage 2</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color w:val="0000FF"/>
                              </w:rPr>
                              <w:tab/>
                            </w:r>
                            <w:r>
                              <w:rPr/>
                              <w:drawing>
                                <wp:inline distT="0" distB="0" distL="0" distR="0">
                                  <wp:extent cx="1624965" cy="9499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color w:val="0000FF"/>
                        </w:rPr>
                        <w:tab/>
                      </w:r>
                      <w:r>
                        <w:rPr/>
                        <w:drawing>
                          <wp:inline distT="0" distB="0" distL="0" distR="0">
                            <wp:extent cx="1624965" cy="94996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9718675</wp:posOffset>
                </wp:positionV>
                <wp:extent cx="6343015" cy="874395"/>
                <wp:effectExtent l="0" t="0" r="0" b="0"/>
                <wp:wrapTopAndBottom/>
                <wp:docPr id="7"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UTRAN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UTRAN</w:t>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4">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5">
                        <w:r>
                          <w:rPr>
                            <w:rStyle w:val="InternetLink"/>
                            <w:rFonts w:cs="Arial" w:ascii="Arial" w:hAnsi="Arial"/>
                            <w:sz w:val="18"/>
                          </w:rPr>
                          <w:t>http://www.3gpp.org</w:t>
                        </w:r>
                      </w:hyperlink>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6308092">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6308093">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6308094">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6308095">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6308096">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6308097">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630809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Heterogeneous Networks Mobility Enhancements</w:t>
            <w:tab/>
          </w:r>
          <w:hyperlink w:anchor="__RefHeading___Toc46308099">
            <w:r>
              <w:rPr>
                <w:rStyle w:val="IndexLink"/>
              </w:rPr>
              <w:t>7</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t>Heterogeneous Networks Enhancements</w:t>
            <w:tab/>
          </w:r>
          <w:hyperlink w:anchor="__RefHeading___Toc46308100">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DCH Enhancements</w:t>
          </w:r>
          <w:r>
            <w:rPr>
              <w:lang w:val="en-US" w:eastAsia="en-US"/>
            </w:rPr>
            <w:t xml:space="preserve"> (FDD only)</w:t>
          </w:r>
          <w:r>
            <w:rPr/>
            <w:tab/>
          </w:r>
          <w:hyperlink w:anchor="__RefHeading___Toc46308101">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DL overhead optimization</w:t>
            <w:tab/>
          </w:r>
          <w:hyperlink w:anchor="__RefHeading___Toc46308102">
            <w:r>
              <w:rPr>
                <w:rStyle w:val="IndexLink"/>
              </w:rPr>
              <w:t>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Enhanced rate matching and transport channel multiplexing</w:t>
            <w:tab/>
          </w:r>
          <w:hyperlink w:anchor="__RefHeading___Toc46308103">
            <w:r>
              <w:rPr>
                <w:rStyle w:val="IndexLink"/>
              </w:rPr>
              <w:t>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 xml:space="preserve">DL </w:t>
          </w:r>
          <w:r>
            <w:rPr>
              <w:bCs/>
            </w:rPr>
            <w:t xml:space="preserve">frame early termination (DL FET) and </w:t>
          </w:r>
          <w:r>
            <w:rPr/>
            <w:t>UL DPCCH with DL FET ACK</w:t>
            <w:tab/>
          </w:r>
          <w:hyperlink w:anchor="__RefHeading___Toc46308104">
            <w:r>
              <w:rPr>
                <w:rStyle w:val="IndexLink"/>
              </w:rPr>
              <w:t>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DL FET Full mode (Mode 1)</w:t>
            <w:tab/>
          </w:r>
          <w:hyperlink w:anchor="__RefHeading___Toc46308105">
            <w:r>
              <w:rPr>
                <w:rStyle w:val="IndexLink"/>
              </w:rPr>
              <w:t>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 xml:space="preserve">DL </w:t>
          </w:r>
          <w:r>
            <w:rPr>
              <w:bCs/>
            </w:rPr>
            <w:t>FET Basic mode (Mode 0)</w:t>
          </w:r>
          <w:r>
            <w:rPr/>
            <w:tab/>
          </w:r>
          <w:hyperlink w:anchor="__RefHeading___Toc46308106">
            <w:r>
              <w:rPr>
                <w:rStyle w:val="IndexLink"/>
              </w:rPr>
              <w:t>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Uplink DPDCH dynamic 10ms transmission</w:t>
            <w:tab/>
          </w:r>
          <w:hyperlink w:anchor="__RefHeading___Toc46308107">
            <w:r>
              <w:rPr>
                <w:rStyle w:val="IndexLink"/>
              </w:rPr>
              <w:t>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Access Control in Connected Mode (CELL_FACH, CELL_PCH and URA_PCH)</w:t>
            <w:tab/>
          </w:r>
          <w:hyperlink w:anchor="__RefHeading___Toc46308108">
            <w:r>
              <w:rPr>
                <w:rStyle w:val="IndexLink"/>
              </w:rPr>
              <w:t>10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lang w:val="en-US" w:eastAsia="en-US"/>
            </w:rPr>
            <w:t>Access control enhancements</w:t>
          </w:r>
          <w:r>
            <w:rPr/>
            <w:tab/>
          </w:r>
          <w:hyperlink w:anchor="__RefHeading___Toc46308109">
            <w:r>
              <w:rPr>
                <w:rStyle w:val="IndexLink"/>
              </w:rPr>
              <w:t>10</w:t>
            </w:r>
          </w:hyperlink>
        </w:p>
        <w:p>
          <w:pPr>
            <w:pStyle w:val="Contents1"/>
            <w:rPr>
              <w:rFonts w:ascii="Calibri" w:hAnsi="Calibri" w:cs="Calibri"/>
              <w:szCs w:val="22"/>
              <w:lang w:val="en-US" w:eastAsia="en-US"/>
            </w:rPr>
          </w:pPr>
          <w:r>
            <w:rPr>
              <w:lang w:val="en-US" w:eastAsia="en-US"/>
            </w:rPr>
            <w:t>8.1</w:t>
          </w:r>
          <w:r>
            <w:rPr>
              <w:rFonts w:cs="Calibri" w:ascii="Calibri" w:hAnsi="Calibri"/>
              <w:szCs w:val="22"/>
              <w:lang w:val="en-US" w:eastAsia="en-US"/>
            </w:rPr>
            <w:tab/>
          </w:r>
          <w:r>
            <w:rPr>
              <w:lang w:val="en-US" w:eastAsia="en-US"/>
            </w:rPr>
            <w:t>DSAC and PPAC update for the UE in CELL_DCH state</w:t>
          </w:r>
          <w:r>
            <w:rPr/>
            <w:tab/>
          </w:r>
          <w:hyperlink w:anchor="__RefHeading___Toc46308110">
            <w:r>
              <w:rPr>
                <w:rStyle w:val="IndexLink"/>
              </w:rPr>
              <w:t>10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Enhanced Broadcast of System Information</w:t>
            <w:tab/>
          </w:r>
          <w:hyperlink w:anchor="__RefHeading___Toc46308111">
            <w:r>
              <w:rPr>
                <w:rStyle w:val="IndexLink"/>
              </w:rPr>
              <w:t>10</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Second system information broadcast channel</w:t>
            <w:tab/>
          </w:r>
          <w:hyperlink w:anchor="__RefHeading___Toc46308112">
            <w:r>
              <w:rPr>
                <w:rStyle w:val="IndexLink"/>
              </w:rPr>
              <w:t>10</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Scheduling information overhead reduction</w:t>
            <w:tab/>
          </w:r>
          <w:hyperlink w:anchor="__RefHeading___Toc46308113">
            <w:r>
              <w:rPr>
                <w:rStyle w:val="IndexLink"/>
              </w:rPr>
              <w:t>12</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MIB and Cell Value Tag range extension</w:t>
            <w:tab/>
          </w:r>
          <w:hyperlink w:anchor="__RefHeading___Toc46308114">
            <w:r>
              <w:rPr>
                <w:rStyle w:val="IndexLink"/>
              </w:rPr>
              <w:t>12</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RAN assisted WLAN interworking</w:t>
            <w:tab/>
          </w:r>
          <w:hyperlink w:anchor="__RefHeading___Toc46308115">
            <w:r>
              <w:rPr>
                <w:rStyle w:val="IndexLink"/>
              </w:rPr>
              <w:t>12</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 principles</w:t>
            <w:tab/>
          </w:r>
          <w:hyperlink w:anchor="__RefHeading___Toc46308116">
            <w:r>
              <w:rPr>
                <w:rStyle w:val="IndexLink"/>
              </w:rPr>
              <w:t>12</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Access network selection and traffic steering rules</w:t>
            <w:tab/>
          </w:r>
          <w:hyperlink w:anchor="__RefHeading___Toc46308117">
            <w:r>
              <w:rPr>
                <w:rStyle w:val="IndexLink"/>
              </w:rPr>
              <w:t>13</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Increased minimum number of carriers to monitor</w:t>
            <w:tab/>
          </w:r>
          <w:hyperlink w:anchor="__RefHeading___Toc46308118">
            <w:r>
              <w:rPr>
                <w:rStyle w:val="IndexLink"/>
              </w:rPr>
              <w:t>13</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Extended DRX in Idle mode</w:t>
            <w:tab/>
          </w:r>
          <w:hyperlink w:anchor="__RefHeading___Toc46308119">
            <w:r>
              <w:rPr>
                <w:rStyle w:val="IndexLink"/>
              </w:rPr>
              <w:t>13</w:t>
            </w:r>
          </w:hyperlink>
        </w:p>
        <w:p>
          <w:pPr>
            <w:pStyle w:val="Contents1"/>
            <w:rPr>
              <w:rFonts w:ascii="Calibri" w:hAnsi="Calibri" w:cs="Calibri"/>
              <w:szCs w:val="22"/>
              <w:lang w:val="en-US" w:eastAsia="en-US"/>
            </w:rPr>
          </w:pPr>
          <w:r>
            <w:rPr>
              <w:lang w:val="en-US" w:eastAsia="en-US"/>
            </w:rPr>
            <w:t>13</w:t>
          </w:r>
          <w:r>
            <w:rPr>
              <w:rFonts w:cs="Calibri" w:ascii="Calibri" w:hAnsi="Calibri"/>
              <w:szCs w:val="22"/>
              <w:lang w:val="en-US" w:eastAsia="en-US"/>
            </w:rPr>
            <w:tab/>
          </w:r>
          <w:r>
            <w:rPr>
              <w:lang w:val="en-US" w:eastAsia="en-US"/>
            </w:rPr>
            <w:t>L2 and L3 Downlink enhancements for UMTS</w:t>
          </w:r>
          <w:r>
            <w:rPr/>
            <w:tab/>
          </w:r>
          <w:hyperlink w:anchor="__RefHeading___Toc46308120">
            <w:r>
              <w:rPr>
                <w:rStyle w:val="IndexLink"/>
              </w:rPr>
              <w:t>14</w:t>
            </w:r>
          </w:hyperlink>
        </w:p>
        <w:p>
          <w:pPr>
            <w:pStyle w:val="Contents2"/>
            <w:rPr>
              <w:rFonts w:ascii="Calibri" w:hAnsi="Calibri" w:cs="Calibri"/>
              <w:sz w:val="22"/>
              <w:szCs w:val="22"/>
              <w:lang w:val="en-US" w:eastAsia="en-US"/>
            </w:rPr>
          </w:pPr>
          <w:r>
            <w:rPr>
              <w:lang w:val="en-US" w:eastAsia="en-US"/>
            </w:rPr>
            <w:t>13.1</w:t>
          </w:r>
          <w:r>
            <w:rPr>
              <w:rFonts w:cs="Calibri" w:ascii="Calibri" w:hAnsi="Calibri"/>
              <w:sz w:val="22"/>
              <w:szCs w:val="22"/>
              <w:lang w:val="en-US" w:eastAsia="en-US"/>
            </w:rPr>
            <w:tab/>
          </w:r>
          <w:r>
            <w:rPr>
              <w:lang w:val="en-US" w:eastAsia="en-US"/>
            </w:rPr>
            <w:t>Retrievable configurations</w:t>
          </w:r>
          <w:r>
            <w:rPr/>
            <w:tab/>
          </w:r>
          <w:hyperlink w:anchor="__RefHeading___Toc46308121">
            <w:r>
              <w:rPr>
                <w:rStyle w:val="IndexLink"/>
              </w:rPr>
              <w:t>14</w:t>
            </w:r>
          </w:hyperlink>
        </w:p>
        <w:p>
          <w:pPr>
            <w:pStyle w:val="Contents2"/>
            <w:rPr>
              <w:rFonts w:ascii="Calibri" w:hAnsi="Calibri" w:cs="Calibri"/>
              <w:sz w:val="22"/>
              <w:szCs w:val="22"/>
              <w:lang w:val="en-US" w:eastAsia="en-US"/>
            </w:rPr>
          </w:pPr>
          <w:r>
            <w:rPr>
              <w:lang w:val="en-US" w:eastAsia="en-US"/>
            </w:rPr>
            <w:t>13.2</w:t>
          </w:r>
          <w:r>
            <w:rPr>
              <w:rFonts w:cs="Calibri" w:ascii="Calibri" w:hAnsi="Calibri"/>
              <w:sz w:val="22"/>
              <w:szCs w:val="22"/>
              <w:lang w:val="en-US" w:eastAsia="en-US"/>
            </w:rPr>
            <w:tab/>
          </w:r>
          <w:r>
            <w:rPr>
              <w:lang w:val="en-US" w:eastAsia="en-US"/>
            </w:rPr>
            <w:t>URA_PCH with seamless transition</w:t>
          </w:r>
          <w:r>
            <w:rPr/>
            <w:tab/>
          </w:r>
          <w:hyperlink w:anchor="__RefHeading___Toc46308122">
            <w:r>
              <w:rPr>
                <w:rStyle w:val="IndexLink"/>
              </w:rPr>
              <w:t>14</w:t>
            </w:r>
          </w:hyperlink>
        </w:p>
        <w:p>
          <w:pPr>
            <w:pStyle w:val="Contents2"/>
            <w:rPr>
              <w:rFonts w:ascii="Calibri" w:hAnsi="Calibri" w:cs="Calibri"/>
              <w:sz w:val="22"/>
              <w:szCs w:val="22"/>
              <w:lang w:val="en-US" w:eastAsia="en-US"/>
            </w:rPr>
          </w:pPr>
          <w:r>
            <w:rPr/>
            <w:t>13.</w:t>
          </w:r>
          <w:r>
            <w:rPr>
              <w:lang w:val="en-US" w:eastAsia="en-US"/>
            </w:rPr>
            <w:t>3</w:t>
          </w:r>
          <w:r>
            <w:rPr>
              <w:rFonts w:cs="Calibri" w:ascii="Calibri" w:hAnsi="Calibri"/>
              <w:sz w:val="22"/>
              <w:szCs w:val="22"/>
              <w:lang w:val="en-US" w:eastAsia="en-US"/>
            </w:rPr>
            <w:tab/>
          </w:r>
          <w:r>
            <w:rPr>
              <w:lang w:val="en-US" w:eastAsia="en-US"/>
            </w:rPr>
            <w:t>O</w:t>
          </w:r>
          <w:r>
            <w:rPr>
              <w:lang w:val="en-US" w:eastAsia="en-US"/>
            </w:rPr>
            <w:t>ptimization from IDLE to CONNECTED state</w:t>
          </w:r>
          <w:r>
            <w:rPr/>
            <w:tab/>
          </w:r>
          <w:hyperlink w:anchor="__RefHeading___Toc46308123">
            <w:r>
              <w:rPr>
                <w:rStyle w:val="IndexLink"/>
              </w:rPr>
              <w:t>14</w:t>
            </w:r>
          </w:hyperlink>
        </w:p>
        <w:p>
          <w:pPr>
            <w:pStyle w:val="Contents2"/>
            <w:rPr>
              <w:rFonts w:ascii="Calibri" w:hAnsi="Calibri" w:cs="Calibri"/>
              <w:sz w:val="22"/>
              <w:szCs w:val="22"/>
              <w:lang w:val="en-US" w:eastAsia="en-US"/>
            </w:rPr>
          </w:pPr>
          <w:r>
            <w:rPr/>
            <w:t>13.</w:t>
          </w:r>
          <w:r>
            <w:rPr>
              <w:lang w:val="en-US" w:eastAsia="en-US"/>
            </w:rPr>
            <w:t>4</w:t>
          </w:r>
          <w:r>
            <w:rPr>
              <w:rFonts w:cs="Calibri" w:ascii="Calibri" w:hAnsi="Calibri"/>
              <w:sz w:val="22"/>
              <w:szCs w:val="22"/>
              <w:lang w:val="en-US" w:eastAsia="en-US"/>
            </w:rPr>
            <w:tab/>
          </w:r>
          <w:r>
            <w:rPr>
              <w:lang w:val="en-US" w:eastAsia="en-US"/>
            </w:rPr>
            <w:t>Blind HARQ retransmissions for HSDPA</w:t>
          </w:r>
          <w:r>
            <w:rPr/>
            <w:tab/>
          </w:r>
          <w:hyperlink w:anchor="__RefHeading___Toc46308124">
            <w:r>
              <w:rPr>
                <w:rStyle w:val="IndexLink"/>
              </w:rPr>
              <w:t>15</w:t>
            </w:r>
          </w:hyperlink>
        </w:p>
        <w:p>
          <w:pPr>
            <w:pStyle w:val="Contents2"/>
            <w:rPr>
              <w:rFonts w:ascii="Calibri" w:hAnsi="Calibri" w:cs="Calibri"/>
              <w:sz w:val="22"/>
              <w:szCs w:val="22"/>
              <w:lang w:val="en-US" w:eastAsia="en-US"/>
            </w:rPr>
          </w:pPr>
          <w:r>
            <w:rPr>
              <w:lang w:val="en-US" w:eastAsia="en-US"/>
            </w:rPr>
            <w:t>13.5</w:t>
          </w:r>
          <w:r>
            <w:rPr>
              <w:rFonts w:cs="Calibri" w:ascii="Calibri" w:hAnsi="Calibri"/>
              <w:sz w:val="22"/>
              <w:szCs w:val="22"/>
              <w:lang w:val="en-US" w:eastAsia="en-US"/>
            </w:rPr>
            <w:tab/>
          </w:r>
          <w:r>
            <w:rPr>
              <w:lang w:val="en-US" w:eastAsia="en-US"/>
            </w:rPr>
            <w:t>Enhanced state transition</w:t>
          </w:r>
          <w:r>
            <w:rPr/>
            <w:tab/>
          </w:r>
          <w:hyperlink w:anchor="__RefHeading___Toc46308125">
            <w:r>
              <w:rPr>
                <w:rStyle w:val="IndexLink"/>
              </w:rPr>
              <w:t>15</w:t>
            </w:r>
          </w:hyperlink>
        </w:p>
        <w:p>
          <w:pPr>
            <w:pStyle w:val="Contents2"/>
            <w:rPr>
              <w:rFonts w:ascii="Calibri" w:hAnsi="Calibri" w:cs="Calibri"/>
              <w:sz w:val="22"/>
              <w:szCs w:val="22"/>
              <w:lang w:val="en-US" w:eastAsia="en-US"/>
            </w:rPr>
          </w:pPr>
          <w:r>
            <w:rPr>
              <w:lang w:val="en-US" w:eastAsia="en-US"/>
            </w:rPr>
            <w:t>13.6</w:t>
          </w:r>
          <w:r>
            <w:rPr>
              <w:rFonts w:cs="Calibri" w:ascii="Calibri" w:hAnsi="Calibri"/>
              <w:sz w:val="22"/>
              <w:szCs w:val="22"/>
              <w:lang w:val="en-US" w:eastAsia="en-US"/>
            </w:rPr>
            <w:tab/>
          </w:r>
          <w:r>
            <w:rPr>
              <w:lang w:val="en-US" w:eastAsia="en-US"/>
            </w:rPr>
            <w:t>Improved synchronized RRC procedures</w:t>
          </w:r>
          <w:r>
            <w:rPr/>
            <w:tab/>
          </w:r>
          <w:hyperlink w:anchor="__RefHeading___Toc46308126">
            <w:r>
              <w:rPr>
                <w:rStyle w:val="IndexLink"/>
              </w:rPr>
              <w:t>15</w:t>
            </w:r>
          </w:hyperlink>
        </w:p>
        <w:p>
          <w:pPr>
            <w:pStyle w:val="Contents1"/>
            <w:rPr>
              <w:rFonts w:ascii="Calibri" w:hAnsi="Calibri" w:cs="Calibri"/>
              <w:szCs w:val="22"/>
              <w:lang w:val="en-US" w:eastAsia="en-US"/>
            </w:rPr>
          </w:pPr>
          <w:r>
            <w:rPr>
              <w:color w:val="000000"/>
            </w:rPr>
            <w:t>14</w:t>
          </w:r>
          <w:r>
            <w:rPr>
              <w:rFonts w:cs="Calibri" w:ascii="Calibri" w:hAnsi="Calibri"/>
              <w:szCs w:val="22"/>
              <w:lang w:val="en-US" w:eastAsia="en-US"/>
            </w:rPr>
            <w:tab/>
          </w:r>
          <w:r>
            <w:rPr>
              <w:color w:val="000000"/>
            </w:rPr>
            <w:t>Downlink TPC enhancements for UMTS</w:t>
          </w:r>
          <w:r>
            <w:rPr/>
            <w:tab/>
          </w:r>
          <w:hyperlink w:anchor="__RefHeading___Toc46308127">
            <w:r>
              <w:rPr>
                <w:rStyle w:val="IndexLink"/>
              </w:rPr>
              <w:t>15</w:t>
            </w:r>
          </w:hyperlink>
        </w:p>
        <w:p>
          <w:pPr>
            <w:pStyle w:val="Contents1"/>
            <w:rPr>
              <w:rFonts w:ascii="Calibri" w:hAnsi="Calibri" w:cs="Calibri"/>
              <w:szCs w:val="22"/>
              <w:lang w:val="en-US" w:eastAsia="en-US"/>
            </w:rPr>
          </w:pPr>
          <w:r>
            <w:rPr>
              <w:lang w:val="en-US" w:eastAsia="en-US"/>
            </w:rPr>
            <w:t>15</w:t>
          </w:r>
          <w:r>
            <w:rPr>
              <w:rFonts w:cs="Calibri" w:ascii="Calibri" w:hAnsi="Calibri"/>
              <w:szCs w:val="22"/>
              <w:lang w:val="en-US" w:eastAsia="en-US"/>
            </w:rPr>
            <w:tab/>
          </w:r>
          <w:r>
            <w:rPr>
              <w:lang w:val="en-US" w:eastAsia="en-US"/>
            </w:rPr>
            <w:t>NAICS offloading (FDD only)</w:t>
          </w:r>
          <w:r>
            <w:rPr/>
            <w:tab/>
          </w:r>
          <w:hyperlink w:anchor="__RefHeading___Toc46308128">
            <w:r>
              <w:rPr>
                <w:rStyle w:val="IndexLink"/>
              </w:rPr>
              <w:t>15</w:t>
            </w:r>
          </w:hyperlink>
        </w:p>
        <w:p>
          <w:pPr>
            <w:pStyle w:val="Contents1"/>
            <w:rPr>
              <w:rFonts w:ascii="Calibri" w:hAnsi="Calibri" w:cs="Calibri"/>
              <w:szCs w:val="22"/>
              <w:lang w:val="en-US" w:eastAsia="en-US"/>
            </w:rPr>
          </w:pPr>
          <w:r>
            <w:rPr/>
            <w:t>16</w:t>
          </w:r>
          <w:r>
            <w:rPr>
              <w:rFonts w:cs="Calibri" w:ascii="Calibri" w:hAnsi="Calibri"/>
              <w:szCs w:val="22"/>
              <w:lang w:val="en-US" w:eastAsia="en-US"/>
            </w:rPr>
            <w:tab/>
          </w:r>
          <w:r>
            <w:rPr/>
            <w:t>ACDC in Idle Mode</w:t>
            <w:tab/>
          </w:r>
          <w:hyperlink w:anchor="__RefHeading___Toc46308129">
            <w:r>
              <w:rPr>
                <w:rStyle w:val="IndexLink"/>
              </w:rPr>
              <w:t>15</w:t>
            </w:r>
          </w:hyperlink>
        </w:p>
        <w:p>
          <w:pPr>
            <w:pStyle w:val="Contents1"/>
            <w:rPr>
              <w:rFonts w:ascii="Calibri" w:hAnsi="Calibri" w:cs="Calibri"/>
              <w:szCs w:val="22"/>
              <w:lang w:val="en-US" w:eastAsia="en-US"/>
            </w:rPr>
          </w:pPr>
          <w:r>
            <w:rPr/>
            <w:t>17</w:t>
          </w:r>
          <w:r>
            <w:rPr>
              <w:rFonts w:cs="Calibri" w:ascii="Calibri" w:hAnsi="Calibri"/>
              <w:szCs w:val="22"/>
              <w:lang w:val="en-US" w:eastAsia="en-US"/>
            </w:rPr>
            <w:tab/>
          </w:r>
          <w:r>
            <w:rPr/>
            <w:t>RRC optimization</w:t>
            <w:tab/>
          </w:r>
          <w:hyperlink w:anchor="__RefHeading___Toc46308130">
            <w:r>
              <w:rPr>
                <w:rStyle w:val="IndexLink"/>
              </w:rPr>
              <w:t>16</w:t>
            </w:r>
          </w:hyperlink>
        </w:p>
        <w:p>
          <w:pPr>
            <w:pStyle w:val="Contents2"/>
            <w:rPr>
              <w:rFonts w:ascii="Calibri" w:hAnsi="Calibri" w:cs="Calibri"/>
              <w:sz w:val="22"/>
              <w:szCs w:val="22"/>
              <w:lang w:val="en-US" w:eastAsia="en-US"/>
            </w:rPr>
          </w:pPr>
          <w:r>
            <w:rPr/>
            <w:t>17.1</w:t>
          </w:r>
          <w:r>
            <w:rPr>
              <w:rFonts w:cs="Calibri" w:ascii="Calibri" w:hAnsi="Calibri"/>
              <w:sz w:val="22"/>
              <w:szCs w:val="22"/>
              <w:lang w:val="en-US" w:eastAsia="en-US"/>
            </w:rPr>
            <w:tab/>
          </w:r>
          <w:r>
            <w:rPr/>
            <w:t>RRC measurement events for UPH reporting</w:t>
            <w:tab/>
          </w:r>
          <w:hyperlink w:anchor="__RefHeading___Toc46308131">
            <w:r>
              <w:rPr>
                <w:rStyle w:val="IndexLink"/>
              </w:rPr>
              <w:t>16</w:t>
            </w:r>
          </w:hyperlink>
        </w:p>
        <w:p>
          <w:pPr>
            <w:pStyle w:val="Contents2"/>
            <w:rPr>
              <w:rFonts w:ascii="Calibri" w:hAnsi="Calibri" w:cs="Calibri"/>
              <w:sz w:val="22"/>
              <w:szCs w:val="22"/>
              <w:lang w:val="en-US" w:eastAsia="en-US"/>
            </w:rPr>
          </w:pPr>
          <w:r>
            <w:rPr/>
            <w:t>17.2</w:t>
          </w:r>
          <w:r>
            <w:rPr>
              <w:rFonts w:cs="Calibri" w:ascii="Calibri" w:hAnsi="Calibri"/>
              <w:sz w:val="22"/>
              <w:szCs w:val="22"/>
              <w:lang w:val="en-US" w:eastAsia="en-US"/>
            </w:rPr>
            <w:tab/>
          </w:r>
          <w:r>
            <w:rPr/>
            <w:t>Simultaneous Setup and Release of RABs and RBs</w:t>
            <w:tab/>
          </w:r>
          <w:hyperlink w:anchor="__RefHeading___Toc46308132">
            <w:r>
              <w:rPr>
                <w:rStyle w:val="IndexLink"/>
              </w:rPr>
              <w:t>16</w:t>
            </w:r>
          </w:hyperlink>
        </w:p>
        <w:p>
          <w:pPr>
            <w:pStyle w:val="Contents1"/>
            <w:rPr>
              <w:rFonts w:ascii="Calibri" w:hAnsi="Calibri" w:cs="Calibri"/>
              <w:szCs w:val="22"/>
              <w:lang w:val="en-US" w:eastAsia="en-US"/>
            </w:rPr>
          </w:pPr>
          <w:r>
            <w:rPr>
              <w:lang w:val="en-US" w:eastAsia="en-US"/>
            </w:rPr>
            <w:t>18</w:t>
          </w:r>
          <w:r>
            <w:rPr>
              <w:rFonts w:cs="Calibri" w:ascii="Calibri" w:hAnsi="Calibri"/>
              <w:szCs w:val="22"/>
              <w:lang w:val="en-US" w:eastAsia="en-US"/>
            </w:rPr>
            <w:tab/>
          </w:r>
          <w:r>
            <w:rPr>
              <w:lang w:val="en-US" w:eastAsia="en-US"/>
            </w:rPr>
            <w:t>HS-SCCH DRX in CELL_FACH state (FDD only)</w:t>
          </w:r>
          <w:r>
            <w:rPr/>
            <w:tab/>
          </w:r>
          <w:hyperlink w:anchor="__RefHeading___Toc46308133">
            <w:r>
              <w:rPr>
                <w:rStyle w:val="IndexLink"/>
              </w:rPr>
              <w:t>16</w:t>
            </w:r>
          </w:hyperlink>
        </w:p>
        <w:p>
          <w:pPr>
            <w:pStyle w:val="Contents1"/>
            <w:rPr>
              <w:rFonts w:ascii="Calibri" w:hAnsi="Calibri" w:cs="Calibri"/>
              <w:szCs w:val="22"/>
              <w:lang w:val="en-US" w:eastAsia="en-US"/>
            </w:rPr>
          </w:pPr>
          <w:r>
            <w:rPr/>
            <w:t>19</w:t>
          </w:r>
          <w:r>
            <w:rPr>
              <w:rFonts w:cs="Calibri" w:ascii="Calibri" w:hAnsi="Calibri"/>
              <w:szCs w:val="22"/>
              <w:lang w:val="en-US" w:eastAsia="en-US"/>
            </w:rPr>
            <w:tab/>
          </w:r>
          <w:r>
            <w:rPr>
              <w:lang w:val="en-US" w:eastAsia="en-US"/>
            </w:rPr>
            <w:t>Dual Cell E-DCH operation enhancements</w:t>
          </w:r>
          <w:r>
            <w:rPr/>
            <w:tab/>
          </w:r>
          <w:hyperlink w:anchor="__RefHeading___Toc46308134">
            <w:r>
              <w:rPr>
                <w:rStyle w:val="IndexLink"/>
              </w:rPr>
              <w:t>16</w:t>
            </w:r>
          </w:hyperlink>
        </w:p>
        <w:p>
          <w:pPr>
            <w:pStyle w:val="Contents1"/>
            <w:rPr>
              <w:rFonts w:ascii="Calibri" w:hAnsi="Calibri" w:cs="Calibri"/>
              <w:szCs w:val="22"/>
              <w:lang w:val="en-US" w:eastAsia="en-US"/>
            </w:rPr>
          </w:pPr>
          <w:r>
            <w:rPr>
              <w:lang w:val="en-US" w:eastAsia="en-US"/>
            </w:rPr>
            <w:t>20</w:t>
          </w:r>
          <w:r>
            <w:rPr>
              <w:rFonts w:cs="Calibri" w:ascii="Calibri" w:hAnsi="Calibri"/>
              <w:szCs w:val="22"/>
              <w:lang w:val="en-US" w:eastAsia="en-US"/>
            </w:rPr>
            <w:tab/>
          </w:r>
          <w:r>
            <w:rPr/>
            <w:t>QoE Measurement Collection</w:t>
            <w:tab/>
          </w:r>
          <w:hyperlink w:anchor="__RefHeading___Toc46308135">
            <w:r>
              <w:rPr>
                <w:rStyle w:val="IndexLink"/>
              </w:rPr>
              <w:t>16</w:t>
            </w:r>
          </w:hyperlink>
        </w:p>
        <w:p>
          <w:pPr>
            <w:pStyle w:val="Contents1"/>
            <w:rPr>
              <w:rFonts w:ascii="Calibri" w:hAnsi="Calibri" w:cs="Calibri"/>
              <w:szCs w:val="22"/>
              <w:lang w:val="en-US" w:eastAsia="en-US"/>
            </w:rPr>
          </w:pPr>
          <w:r>
            <w:rPr>
              <w:rFonts w:eastAsia="SimSun;宋体"/>
              <w:lang w:val="en-US" w:eastAsia="en-US"/>
            </w:rPr>
            <w:t>21</w:t>
          </w:r>
          <w:r>
            <w:rPr>
              <w:rFonts w:cs="Calibri" w:ascii="Calibri" w:hAnsi="Calibri"/>
              <w:szCs w:val="22"/>
              <w:lang w:val="en-US" w:eastAsia="en-US"/>
            </w:rPr>
            <w:tab/>
          </w:r>
          <w:r>
            <w:rPr>
              <w:rFonts w:eastAsia="SimSun;宋体"/>
              <w:lang w:val="en-US" w:eastAsia="en-US"/>
            </w:rPr>
            <w:t>DL Interference Mitigation (FDD only)</w:t>
          </w:r>
          <w:r>
            <w:rPr/>
            <w:tab/>
          </w:r>
          <w:hyperlink w:anchor="__RefHeading___Toc46308136">
            <w:r>
              <w:rPr>
                <w:rStyle w:val="IndexLink"/>
              </w:rPr>
              <w:t>17</w:t>
            </w:r>
          </w:hyperlink>
        </w:p>
        <w:p>
          <w:pPr>
            <w:pStyle w:val="Contents1"/>
            <w:rPr>
              <w:rFonts w:ascii="Calibri" w:hAnsi="Calibri" w:cs="Calibri"/>
              <w:szCs w:val="22"/>
              <w:lang w:val="en-US" w:eastAsia="en-US"/>
            </w:rPr>
          </w:pPr>
          <w:r>
            <w:rPr>
              <w:rFonts w:eastAsia="SimSun;宋体"/>
              <w:lang w:val="en-US" w:eastAsia="en-US"/>
            </w:rPr>
            <w:t>22</w:t>
          </w:r>
          <w:r>
            <w:rPr>
              <w:rFonts w:cs="Calibri" w:ascii="Calibri" w:hAnsi="Calibri"/>
              <w:szCs w:val="22"/>
              <w:lang w:val="en-US" w:eastAsia="en-US"/>
            </w:rPr>
            <w:tab/>
          </w:r>
          <w:r>
            <w:rPr/>
            <w:t>Simplified HS-SCCH type 1 operation</w:t>
            <w:tab/>
          </w:r>
          <w:hyperlink w:anchor="__RefHeading___Toc46308137">
            <w:r>
              <w:rPr>
                <w:rStyle w:val="IndexLink"/>
              </w:rPr>
              <w:t>17</w:t>
            </w:r>
          </w:hyperlink>
        </w:p>
        <w:p>
          <w:pPr>
            <w:pStyle w:val="Contents1"/>
            <w:rPr>
              <w:rFonts w:ascii="Calibri" w:hAnsi="Calibri" w:cs="Calibri"/>
              <w:szCs w:val="22"/>
              <w:lang w:val="en-US" w:eastAsia="en-US"/>
            </w:rPr>
          </w:pPr>
          <w:r>
            <w:rPr/>
            <w:t>23</w:t>
          </w:r>
          <w:r>
            <w:rPr>
              <w:rFonts w:cs="Calibri" w:ascii="Calibri" w:hAnsi="Calibri"/>
              <w:szCs w:val="22"/>
              <w:lang w:val="en-US" w:eastAsia="en-US"/>
            </w:rPr>
            <w:tab/>
          </w:r>
          <w:r>
            <w:rPr/>
            <w:t>NR SRVCC to UTRAN</w:t>
            <w:tab/>
          </w:r>
          <w:hyperlink w:anchor="__RefHeading___Toc46308138">
            <w:r>
              <w:rPr>
                <w:rStyle w:val="IndexLink"/>
              </w:rPr>
              <w:t>17</w:t>
            </w:r>
          </w:hyperlink>
        </w:p>
        <w:p>
          <w:pPr>
            <w:pStyle w:val="Contents8"/>
            <w:rPr>
              <w:rFonts w:ascii="Calibri" w:hAnsi="Calibri" w:cs="Calibri"/>
              <w:szCs w:val="22"/>
              <w:lang w:val="en-US" w:eastAsia="en-US"/>
            </w:rPr>
          </w:pPr>
          <w:r>
            <w:rPr>
              <w:b w:val="false"/>
            </w:rPr>
            <w:t>Annex A (informative): Change history</w:t>
            <w:tab/>
          </w:r>
          <w:hyperlink w:anchor="__RefHeading___Toc46308139">
            <w:r>
              <w:rPr>
                <w:rStyle w:val="IndexLink"/>
                <w:b w:val="false"/>
              </w:rPr>
              <w:t>18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46308092"/>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6308093"/>
      <w:bookmarkEnd w:id="7"/>
      <w:r>
        <w:rPr/>
        <w:t>1</w:t>
        <w:tab/>
        <w:t>Scope</w:t>
      </w:r>
    </w:p>
    <w:p>
      <w:pPr>
        <w:pStyle w:val="Normal"/>
        <w:autoSpaceDE w:val="false"/>
        <w:spacing w:before="0" w:after="0"/>
        <w:rPr>
          <w:lang w:val="en-US"/>
        </w:rPr>
      </w:pPr>
      <w:r>
        <w:rPr/>
        <w:t xml:space="preserve">The present document </w:t>
      </w:r>
      <w:r>
        <w:rPr>
          <w:lang w:val="en-US"/>
        </w:rPr>
        <w:t xml:space="preserve">provides an overview and overall description of the UTRA radio interface functionalities from Release 12 onwards which are not covered by the Technical Specifications TS 25.308 [2] or TS 25.319 [3]. </w:t>
      </w:r>
    </w:p>
    <w:p>
      <w:pPr>
        <w:pStyle w:val="Heading1"/>
        <w:ind w:left="1134" w:hanging="1134"/>
        <w:rPr/>
      </w:pPr>
      <w:bookmarkStart w:id="8" w:name="__RefHeading___Toc46308094"/>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25.308: "UTRA HSDPA: UTRAN Overall Description (Stage 2) ".</w:t>
      </w:r>
    </w:p>
    <w:p>
      <w:pPr>
        <w:pStyle w:val="EX"/>
        <w:rPr/>
      </w:pPr>
      <w:r>
        <w:rPr/>
        <w:t>[3]</w:t>
        <w:tab/>
        <w:t>3GPP TS 25.319: "Enhanced Uplink: Overall description (Stage 2) ".</w:t>
      </w:r>
    </w:p>
    <w:p>
      <w:pPr>
        <w:pStyle w:val="EX"/>
        <w:rPr/>
      </w:pPr>
      <w:r>
        <w:rPr/>
        <w:t>[4]</w:t>
        <w:tab/>
        <w:t>3GPP TS 24.008: "Mobile radio interface layer 3 specification, Core Network Protocols - Stage 3".</w:t>
      </w:r>
    </w:p>
    <w:p>
      <w:pPr>
        <w:pStyle w:val="EX"/>
        <w:rPr/>
      </w:pPr>
      <w:r>
        <w:rPr/>
        <w:t>[5]</w:t>
        <w:tab/>
      </w:r>
      <w:r>
        <w:rPr/>
        <w:t>3GPP TS 23.0</w:t>
      </w:r>
      <w:r>
        <w:rPr/>
        <w:t>60</w:t>
      </w:r>
      <w:r>
        <w:rPr/>
        <w:t>:</w:t>
      </w:r>
      <w:r>
        <w:rPr/>
        <w:t xml:space="preserve"> "General Packet Radio Service (GPRS); Service description; Stage 2".</w:t>
      </w:r>
    </w:p>
    <w:p>
      <w:pPr>
        <w:pStyle w:val="EX"/>
        <w:rPr/>
      </w:pPr>
      <w:r>
        <w:rPr/>
        <w:t>[6]</w:t>
        <w:tab/>
        <w:t>3GPP TS 23.682: "Architecture enhancements to facilitate communications with packet data networks and applications".</w:t>
      </w:r>
    </w:p>
    <w:p>
      <w:pPr>
        <w:pStyle w:val="EX"/>
        <w:rPr/>
      </w:pPr>
      <w:r>
        <w:rPr/>
        <w:t>[7]</w:t>
        <w:tab/>
        <w:t>3GPP TR 25.704: "Study on enhanced broadcast of system information".</w:t>
      </w:r>
    </w:p>
    <w:p>
      <w:pPr>
        <w:pStyle w:val="EX"/>
        <w:rPr/>
      </w:pPr>
      <w:r>
        <w:rPr/>
        <w:t>[8]</w:t>
        <w:tab/>
        <w:t>3GPP TS 24.312: "Access Network Discovery and Selection Function (ANDSF) Management Object (MO)".</w:t>
      </w:r>
    </w:p>
    <w:p>
      <w:pPr>
        <w:pStyle w:val="EX"/>
        <w:rPr/>
      </w:pPr>
      <w:r>
        <w:rPr/>
        <w:t>[9]</w:t>
        <w:tab/>
        <w:t>3GPP TS 25.304: "User Equipment (UE) procedures in idle mode and procedures for cell reselection in connected mode".</w:t>
      </w:r>
    </w:p>
    <w:p>
      <w:pPr>
        <w:pStyle w:val="EX"/>
        <w:rPr/>
      </w:pPr>
      <w:r>
        <w:rPr/>
        <w:t>[10]</w:t>
        <w:tab/>
        <w:t>3GPP TS 23.402: "Architecture enhancements for non-3GPP accesses".</w:t>
      </w:r>
    </w:p>
    <w:p>
      <w:pPr>
        <w:pStyle w:val="EX"/>
        <w:rPr/>
      </w:pPr>
      <w:r>
        <w:rPr/>
        <w:t>[11]</w:t>
        <w:tab/>
        <w:t>3GPP TS 25.133: "Requirements for support of radio resource management (FDD)".</w:t>
      </w:r>
    </w:p>
    <w:p>
      <w:pPr>
        <w:pStyle w:val="EX"/>
        <w:rPr/>
      </w:pPr>
      <w:r>
        <w:rPr/>
        <w:t>[12]</w:t>
        <w:tab/>
        <w:t>3GPP TS 25.331: "Radio Resource Control (RRC)".</w:t>
      </w:r>
    </w:p>
    <w:p>
      <w:pPr>
        <w:pStyle w:val="EX"/>
        <w:rPr/>
      </w:pPr>
      <w:r>
        <w:rPr/>
        <w:t>[13]</w:t>
        <w:tab/>
        <w:t>3GPP TR 25.993: "Typical examples of Radio Access Bearers (RABs) and Radio Bearers (RBs) supported by Universal Terrestrial Radio Access (UTRA)".</w:t>
      </w:r>
    </w:p>
    <w:p>
      <w:pPr>
        <w:pStyle w:val="EX"/>
        <w:rPr/>
      </w:pPr>
      <w:r>
        <w:rPr/>
        <w:t>[14]</w:t>
        <w:tab/>
        <w:t>3GPP TS 37.320: "Universal Terrestrial Radio Access (UTRA) and Evolved Universal Terrestrial Radio Access (E-UTRA); Radio measurement collection for Minimization of Drive Tests (MDT); Overall description; Stage 2".</w:t>
      </w:r>
    </w:p>
    <w:p>
      <w:pPr>
        <w:pStyle w:val="EX"/>
        <w:rPr>
          <w:lang w:eastAsia="ja-JP"/>
        </w:rPr>
      </w:pPr>
      <w:r>
        <w:rPr/>
        <w:t>[15]</w:t>
        <w:tab/>
        <w:t xml:space="preserve">3GPP TS 23.216: </w:t>
      </w:r>
      <w:r>
        <w:rPr>
          <w:lang w:eastAsia="ja-JP"/>
        </w:rPr>
        <w:t>"Single Radio Voice Call Continuity (SRVCC); Stage 2".</w:t>
      </w:r>
    </w:p>
    <w:p>
      <w:pPr>
        <w:pStyle w:val="EX"/>
        <w:rPr>
          <w:lang w:eastAsia="ja-JP"/>
        </w:rPr>
      </w:pPr>
      <w:r>
        <w:rPr>
          <w:lang w:eastAsia="ja-JP"/>
        </w:rPr>
        <w:t>[16]</w:t>
        <w:tab/>
      </w:r>
      <w:r>
        <w:rPr/>
        <w:t>3GPP TS 38.300: "NR; Overall description; Stage 2".</w:t>
      </w:r>
    </w:p>
    <w:p>
      <w:pPr>
        <w:pStyle w:val="EX"/>
        <w:rPr/>
      </w:pPr>
      <w:r>
        <w:rPr>
          <w:lang w:eastAsia="zh-CN"/>
        </w:rPr>
        <w:t>[</w:t>
      </w:r>
      <w:r>
        <w:rPr>
          <w:lang w:eastAsia="zh-CN"/>
        </w:rPr>
        <w:t>17</w:t>
      </w:r>
      <w:r>
        <w:rPr>
          <w:lang w:eastAsia="zh-CN"/>
        </w:rPr>
        <w:t>]</w:t>
        <w:tab/>
      </w:r>
      <w:r>
        <w:rPr/>
        <w:t>3GPP TS 25.413: "UTRAN Iu Interface RANAP Signalling".</w:t>
      </w:r>
    </w:p>
    <w:p>
      <w:pPr>
        <w:pStyle w:val="Heading1"/>
        <w:ind w:left="1134" w:hanging="1134"/>
        <w:rPr/>
      </w:pPr>
      <w:bookmarkStart w:id="9" w:name="__RefHeading___Toc46308095"/>
      <w:bookmarkEnd w:id="9"/>
      <w:r>
        <w:rPr/>
        <w:t>3</w:t>
        <w:tab/>
        <w:t>Definitions, symbols and abbreviations</w:t>
      </w:r>
    </w:p>
    <w:p>
      <w:pPr>
        <w:pStyle w:val="Heading2"/>
        <w:rPr/>
      </w:pPr>
      <w:bookmarkStart w:id="10" w:name="__RefHeading___Toc46308096"/>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Power saving mode:</w:t>
      </w:r>
      <w:r>
        <w:rPr/>
        <w:t xml:space="preserve"> Mode configured and controlled by NAS that allows the UE to reduce its power consumption, as defined in TS 24.008 [4], </w:t>
      </w:r>
      <w:r>
        <w:rPr/>
        <w:t>TS</w:t>
      </w:r>
      <w:r>
        <w:rPr/>
        <w:t xml:space="preserve"> </w:t>
      </w:r>
      <w:r>
        <w:rPr/>
        <w:t>23.</w:t>
      </w:r>
      <w:r>
        <w:rPr/>
        <w:t xml:space="preserve">060 [5], </w:t>
      </w:r>
      <w:r>
        <w:rPr/>
        <w:t>TS</w:t>
      </w:r>
      <w:r>
        <w:rPr/>
        <w:t xml:space="preserve"> </w:t>
      </w:r>
      <w:r>
        <w:rPr/>
        <w:t>23.682</w:t>
      </w:r>
      <w:r>
        <w:rPr/>
        <w:t xml:space="preserve"> [6].</w:t>
      </w:r>
    </w:p>
    <w:p>
      <w:pPr>
        <w:pStyle w:val="Heading2"/>
        <w:rPr/>
      </w:pPr>
      <w:bookmarkStart w:id="11" w:name="__RefHeading___Toc46308097"/>
      <w:bookmarkEnd w:id="11"/>
      <w:r>
        <w:rPr/>
        <w:t>3.2</w:t>
        <w:tab/>
        <w:t>Symbols</w:t>
      </w:r>
    </w:p>
    <w:p>
      <w:pPr>
        <w:pStyle w:val="Normal"/>
        <w:keepNext w:val="true"/>
        <w:rPr/>
      </w:pPr>
      <w:r>
        <w:rPr/>
        <w:t>For the purposes of the present document, the following symbols apply:</w:t>
      </w:r>
    </w:p>
    <w:p>
      <w:pPr>
        <w:pStyle w:val="EW"/>
        <w:rPr/>
      </w:pPr>
      <w:r>
        <w:rPr/>
        <w:t>&lt;symbol&gt;</w:t>
        <w:tab/>
        <w:t>&lt;Explanation&gt;</w:t>
      </w:r>
    </w:p>
    <w:p>
      <w:pPr>
        <w:pStyle w:val="Heading2"/>
        <w:rPr/>
      </w:pPr>
      <w:bookmarkStart w:id="12" w:name="__RefHeading___Toc46308098"/>
      <w:bookmarkEnd w:id="12"/>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ACDC</w:t>
        <w:tab/>
      </w:r>
      <w:r>
        <w:rPr>
          <w:color w:val="000000"/>
        </w:rPr>
        <w:t>Application specific Congestion control for Data Communication</w:t>
      </w:r>
    </w:p>
    <w:p>
      <w:pPr>
        <w:pStyle w:val="EW"/>
        <w:rPr/>
      </w:pPr>
      <w:r>
        <w:rPr>
          <w:lang w:eastAsia="ja-JP"/>
        </w:rPr>
        <w:t>ANDSF</w:t>
        <w:tab/>
        <w:t>Access Network Discovery and Selection Function</w:t>
      </w:r>
    </w:p>
    <w:p>
      <w:pPr>
        <w:pStyle w:val="EW"/>
        <w:rPr/>
      </w:pPr>
      <w:r>
        <w:rPr>
          <w:lang w:eastAsia="zh-CN"/>
        </w:rPr>
        <w:t>DPCCH2</w:t>
        <w:tab/>
        <w:t>Dedicated Physical Control Channel 2</w:t>
      </w:r>
    </w:p>
    <w:p>
      <w:pPr>
        <w:pStyle w:val="EW"/>
        <w:rPr/>
      </w:pPr>
      <w:r>
        <w:rPr/>
        <w:t>NCL</w:t>
        <w:tab/>
        <w:t>Neighbour Cell List</w:t>
      </w:r>
    </w:p>
    <w:p>
      <w:pPr>
        <w:pStyle w:val="EW"/>
        <w:rPr/>
      </w:pPr>
      <w:r>
        <w:rPr/>
        <w:t>NR</w:t>
        <w:tab/>
        <w:t>NR Radio Access</w:t>
      </w:r>
    </w:p>
    <w:p>
      <w:pPr>
        <w:pStyle w:val="EW"/>
        <w:rPr>
          <w:lang w:eastAsia="ja-JP"/>
        </w:rPr>
      </w:pPr>
      <w:r>
        <w:rPr>
          <w:lang w:eastAsia="ja-JP"/>
        </w:rPr>
        <w:t>OPI</w:t>
        <w:tab/>
        <w:t>Offload Preference Indicator</w:t>
      </w:r>
    </w:p>
    <w:p>
      <w:pPr>
        <w:pStyle w:val="EW"/>
        <w:rPr/>
      </w:pPr>
      <w:r>
        <w:rPr/>
        <w:t>PSM</w:t>
        <w:tab/>
        <w:t>Power Saving Mode</w:t>
      </w:r>
    </w:p>
    <w:p>
      <w:pPr>
        <w:pStyle w:val="EW"/>
        <w:rPr/>
      </w:pPr>
      <w:r>
        <w:rPr/>
        <w:t>SRVCC</w:t>
        <w:tab/>
        <w:t>Single Radio Voice Call Continuity</w:t>
      </w:r>
    </w:p>
    <w:p>
      <w:pPr>
        <w:pStyle w:val="EW"/>
        <w:rPr/>
      </w:pPr>
      <w:r>
        <w:rPr/>
        <w:t>QoE</w:t>
        <w:tab/>
        <w:t>Quality of Experience</w:t>
      </w:r>
    </w:p>
    <w:p>
      <w:pPr>
        <w:pStyle w:val="EW"/>
        <w:rPr/>
      </w:pPr>
      <w:r>
        <w:rPr/>
        <w:t>WLAN</w:t>
        <w:tab/>
        <w:t>Wireless Local Area Network</w:t>
      </w:r>
    </w:p>
    <w:p>
      <w:pPr>
        <w:pStyle w:val="Heading1"/>
        <w:ind w:left="1134" w:hanging="1134"/>
        <w:rPr/>
      </w:pPr>
      <w:bookmarkStart w:id="13" w:name="__RefHeading___Toc46308099"/>
      <w:bookmarkEnd w:id="13"/>
      <w:r>
        <w:rPr/>
        <w:t>4</w:t>
        <w:tab/>
        <w:t>Heterogeneous Networks</w:t>
      </w:r>
      <w:r>
        <w:rPr/>
        <w:t xml:space="preserve"> Mobility Enhancements</w:t>
      </w:r>
    </w:p>
    <w:p>
      <w:pPr>
        <w:pStyle w:val="B2"/>
        <w:ind w:left="284" w:hanging="284"/>
        <w:rPr/>
      </w:pPr>
      <w:r>
        <w:rPr>
          <w:lang w:eastAsia="zh-CN"/>
        </w:rPr>
        <w:t>Neighbour Cell List (</w:t>
      </w:r>
      <w:r>
        <w:rPr/>
        <w:t>NCL</w:t>
      </w:r>
      <w:r>
        <w:rPr>
          <w:lang w:eastAsia="zh-CN"/>
        </w:rPr>
        <w:t>)</w:t>
      </w:r>
      <w:r>
        <w:rPr/>
        <w:t xml:space="preserve"> extension</w:t>
      </w:r>
    </w:p>
    <w:p>
      <w:pPr>
        <w:pStyle w:val="B1"/>
        <w:rPr/>
      </w:pPr>
      <w:r>
        <w:rPr/>
        <w:t>-</w:t>
        <w:tab/>
      </w:r>
      <w:r>
        <w:rPr/>
        <w:t>The size of the inter-frequency neighbour cell</w:t>
      </w:r>
      <w:r>
        <w:rPr>
          <w:lang w:eastAsia="zh-CN"/>
        </w:rPr>
        <w:t xml:space="preserve"> list </w:t>
      </w:r>
      <w:r>
        <w:rPr/>
        <w:t>is extended for CELL_DCH, CELL_FACH, CELL_PCH</w:t>
      </w:r>
      <w:r>
        <w:rPr>
          <w:lang w:eastAsia="zh-CN"/>
        </w:rPr>
        <w:t>, URA_PCH</w:t>
      </w:r>
      <w:r>
        <w:rPr/>
        <w:t xml:space="preserve"> </w:t>
      </w:r>
      <w:r>
        <w:rPr/>
        <w:t xml:space="preserve">states </w:t>
      </w:r>
      <w:r>
        <w:rPr/>
        <w:t xml:space="preserve">and </w:t>
      </w:r>
      <w:r>
        <w:rPr/>
        <w:t>I</w:t>
      </w:r>
      <w:r>
        <w:rPr/>
        <w:t xml:space="preserve">dle </w:t>
      </w:r>
      <w:r>
        <w:rPr>
          <w:lang w:eastAsia="zh-CN"/>
        </w:rPr>
        <w:t>mode</w:t>
      </w:r>
      <w:r>
        <w:rPr>
          <w:lang w:eastAsia="zh-CN"/>
        </w:rPr>
        <w:t>, so that network could configure more inter-freq</w:t>
      </w:r>
      <w:r>
        <w:rPr>
          <w:lang w:eastAsia="zh-CN"/>
        </w:rPr>
        <w:t>uency</w:t>
      </w:r>
      <w:r>
        <w:rPr>
          <w:lang w:eastAsia="zh-CN"/>
        </w:rPr>
        <w:t xml:space="preserve"> neighbour cells than 32 for UE to monitor and detect under massive small cell deployment scenario</w:t>
      </w:r>
      <w:r>
        <w:rPr/>
        <w:t xml:space="preserve">. </w:t>
      </w:r>
    </w:p>
    <w:p>
      <w:pPr>
        <w:pStyle w:val="B2"/>
        <w:ind w:left="284" w:hanging="284"/>
        <w:rPr/>
      </w:pPr>
      <w:r>
        <w:rPr>
          <w:lang w:eastAsia="zh-CN"/>
        </w:rPr>
        <w:t xml:space="preserve">Change of best cell on </w:t>
      </w:r>
      <w:r>
        <w:rPr>
          <w:lang w:eastAsia="zh-CN"/>
        </w:rPr>
        <w:t>a configured</w:t>
      </w:r>
      <w:r>
        <w:rPr>
          <w:lang w:eastAsia="zh-CN"/>
        </w:rPr>
        <w:t xml:space="preserve"> secondary downlink frequency (event 2g)</w:t>
      </w:r>
    </w:p>
    <w:p>
      <w:pPr>
        <w:pStyle w:val="B1"/>
        <w:rPr/>
      </w:pPr>
      <w:r>
        <w:rPr/>
        <w:t>-</w:t>
        <w:tab/>
        <w:t>Event 2g is an inter-frequency measurement event. It is applicable only to the secondary downlink frequency with configured HS-DSCH operation, and it can be configured on more than one secondary downlink frequency.</w:t>
      </w:r>
    </w:p>
    <w:p>
      <w:pPr>
        <w:pStyle w:val="B2"/>
        <w:ind w:left="284" w:hanging="284"/>
        <w:rPr/>
      </w:pPr>
      <w:r>
        <w:rPr/>
        <w:t>E</w:t>
      </w:r>
      <w:r>
        <w:rPr>
          <w:lang w:eastAsia="zh-CN"/>
        </w:rPr>
        <w:t>n</w:t>
      </w:r>
      <w:r>
        <w:rPr/>
        <w:t>hanced Serving Cell Change for Event 1C</w:t>
      </w:r>
    </w:p>
    <w:p>
      <w:pPr>
        <w:pStyle w:val="B1"/>
        <w:rPr/>
      </w:pPr>
      <w:r>
        <w:rPr/>
        <w:t>-</w:t>
        <w:tab/>
      </w:r>
      <w:r>
        <w:rPr/>
        <w:t>The enhanced Serving Cell Change procedure could also be applied to Event 1C,</w:t>
      </w:r>
      <w:r>
        <w:rPr>
          <w:lang w:eastAsia="zh-CN"/>
        </w:rPr>
        <w:t xml:space="preserve"> which is defined in </w:t>
      </w:r>
      <w:r>
        <w:rPr/>
        <w:t xml:space="preserve">TS 25.308 </w:t>
      </w:r>
      <w:r>
        <w:rPr>
          <w:lang w:eastAsia="zh-CN"/>
        </w:rPr>
        <w:t>[2]</w:t>
      </w:r>
      <w:r>
        <w:rPr/>
        <w:t>.</w:t>
      </w:r>
    </w:p>
    <w:p>
      <w:pPr>
        <w:pStyle w:val="Heading1"/>
        <w:ind w:left="1134" w:hanging="1134"/>
        <w:rPr>
          <w:lang w:eastAsia="ja-JP"/>
        </w:rPr>
      </w:pPr>
      <w:bookmarkStart w:id="14" w:name="__RefHeading___Toc46308100"/>
      <w:bookmarkEnd w:id="14"/>
      <w:r>
        <w:rPr>
          <w:lang w:eastAsia="ja-JP"/>
        </w:rPr>
        <w:t>5</w:t>
        <w:tab/>
      </w:r>
      <w:r>
        <w:rPr/>
        <w:t>Heterogeneous Networks</w:t>
      </w:r>
      <w:r>
        <w:rPr/>
        <w:t xml:space="preserve"> Enhancements</w:t>
      </w:r>
    </w:p>
    <w:p>
      <w:pPr>
        <w:pStyle w:val="Normal"/>
        <w:widowControl w:val="false"/>
        <w:autoSpaceDE w:val="false"/>
        <w:spacing w:before="0" w:after="240"/>
        <w:rPr/>
      </w:pPr>
      <w:r>
        <w:rPr>
          <w:color w:val="000000"/>
          <w:lang w:val="en-US" w:eastAsia="zh-CN"/>
        </w:rPr>
        <w:t>Serving E-DCH cell decoupling</w:t>
      </w:r>
    </w:p>
    <w:p>
      <w:pPr>
        <w:pStyle w:val="B1"/>
        <w:rPr/>
      </w:pPr>
      <w:r>
        <w:rPr>
          <w:lang w:val="en-US" w:eastAsia="zh-CN"/>
        </w:rPr>
        <w:t>-</w:t>
        <w:tab/>
        <w:t>Serving E-DCH cell decoupling is introduced in order to improve the quality of reception of the uplink E-DCH control channels and the E-DCH SI in the presence of strong uplink/downlink imbalance. The UE is configured with different serving HS-DSCH cell and serving E-DCH cell.</w:t>
      </w:r>
    </w:p>
    <w:p>
      <w:pPr>
        <w:pStyle w:val="Normal"/>
        <w:widowControl w:val="false"/>
        <w:autoSpaceDE w:val="false"/>
        <w:spacing w:before="0" w:after="240"/>
        <w:rPr>
          <w:color w:val="000000"/>
          <w:lang w:val="en-US" w:eastAsia="zh-CN"/>
        </w:rPr>
      </w:pPr>
      <w:r>
        <w:rPr>
          <w:color w:val="000000"/>
          <w:lang w:val="en-US" w:eastAsia="zh-CN"/>
        </w:rPr>
        <w:t>Radio Links without DPCH/F-DPCH</w:t>
      </w:r>
    </w:p>
    <w:p>
      <w:pPr>
        <w:pStyle w:val="B1"/>
        <w:rPr>
          <w:lang w:val="en-US" w:eastAsia="zh-CN"/>
        </w:rPr>
      </w:pPr>
      <w:r>
        <w:rPr>
          <w:lang w:val="en-US" w:eastAsia="zh-CN"/>
        </w:rPr>
        <w:t>-</w:t>
        <w:tab/>
        <w:t>The UE is configured with a subset of non-serving E-DCH radio links in the UE's E-DCH active set to operate in the absence of DPCH/F-DPCH. However, a UE is allowed to only receive either E-HICH or both E-HICH and E-RGCH from these non-serving E-DCH cells to mitigate uplink interference to a cell that is unable to power control a UE in the presence of strong uplink/downlink imbalance.</w:t>
      </w:r>
    </w:p>
    <w:p>
      <w:pPr>
        <w:pStyle w:val="Normal"/>
        <w:rPr>
          <w:lang w:val="en-US" w:eastAsia="zh-CN"/>
        </w:rPr>
      </w:pPr>
      <w:r>
        <w:rPr>
          <w:lang w:val="en-US" w:eastAsia="zh-CN"/>
        </w:rPr>
        <w:t>DPCCH2 transmission</w:t>
      </w:r>
    </w:p>
    <w:p>
      <w:pPr>
        <w:pStyle w:val="B1"/>
        <w:rPr/>
      </w:pPr>
      <w:r>
        <w:rPr>
          <w:lang w:val="en-US" w:eastAsia="zh-CN"/>
        </w:rPr>
        <w:t>-</w:t>
        <w:tab/>
        <w:t>In order to improve the quality of reception of the HS-DPCCH in the presence of strong uplink/imbalance, a new secondary uplink pilot channel (DPCCH2) is introduced in the serving HS-DSCH cell as the reference for the HS-DPCCH channel power.</w:t>
      </w:r>
    </w:p>
    <w:p>
      <w:pPr>
        <w:pStyle w:val="Heading1"/>
        <w:ind w:left="1134" w:hanging="1134"/>
        <w:rPr/>
      </w:pPr>
      <w:bookmarkStart w:id="15" w:name="__RefHeading___Toc46308101"/>
      <w:bookmarkEnd w:id="15"/>
      <w:r>
        <w:rPr/>
        <w:t>6</w:t>
        <w:tab/>
        <w:t>DCH</w:t>
      </w:r>
      <w:r>
        <w:rPr/>
        <w:t xml:space="preserve"> Enhancements</w:t>
      </w:r>
      <w:r>
        <w:rPr>
          <w:lang w:eastAsia="zh-CN"/>
        </w:rPr>
        <w:t xml:space="preserve"> (FDD only)</w:t>
      </w:r>
    </w:p>
    <w:p>
      <w:pPr>
        <w:pStyle w:val="Normal"/>
        <w:rPr/>
      </w:pPr>
      <w:r>
        <w:rPr/>
        <w:t>DCH enhancements aims at improving the link efficiency and UE battery performance for voice calls compared to R99 DCH. DCH enhancements constitutes of the following sub-features:</w:t>
      </w:r>
    </w:p>
    <w:p>
      <w:pPr>
        <w:pStyle w:val="B1"/>
        <w:rPr/>
      </w:pPr>
      <w:r>
        <w:rPr/>
        <w:t>-</w:t>
        <w:tab/>
        <w:t>DL overhead optimization</w:t>
      </w:r>
    </w:p>
    <w:p>
      <w:pPr>
        <w:pStyle w:val="B1"/>
        <w:rPr/>
      </w:pPr>
      <w:r>
        <w:rPr/>
        <w:t>-</w:t>
        <w:tab/>
        <w:t>Enhanced rate matching and transport channel multiplexing</w:t>
      </w:r>
    </w:p>
    <w:p>
      <w:pPr>
        <w:pStyle w:val="B1"/>
        <w:rPr/>
      </w:pPr>
      <w:r>
        <w:rPr/>
        <w:t>-</w:t>
        <w:tab/>
        <w:t>DL Frame Early Termination (DL FET)</w:t>
      </w:r>
    </w:p>
    <w:p>
      <w:pPr>
        <w:pStyle w:val="B1"/>
        <w:rPr/>
      </w:pPr>
      <w:r>
        <w:rPr/>
        <w:t>-</w:t>
        <w:tab/>
        <w:t>Uplink DPCCH with DL FET ACK</w:t>
      </w:r>
    </w:p>
    <w:p>
      <w:pPr>
        <w:pStyle w:val="B1"/>
        <w:rPr/>
      </w:pPr>
      <w:r>
        <w:rPr/>
        <w:t>-</w:t>
        <w:tab/>
        <w:t>Uplink DPDCH dynamic 10ms transmission</w:t>
      </w:r>
    </w:p>
    <w:p>
      <w:pPr>
        <w:pStyle w:val="Normal"/>
        <w:rPr>
          <w:lang w:eastAsia="zh-CN"/>
        </w:rPr>
      </w:pPr>
      <w:r>
        <w:rPr/>
        <w:t xml:space="preserve">DCH </w:t>
      </w:r>
      <w:r>
        <w:rPr>
          <w:lang w:eastAsia="zh-CN"/>
        </w:rPr>
        <w:t>e</w:t>
      </w:r>
      <w:r>
        <w:rPr/>
        <w:t>nhancements supports two modes (Basic and Full). The mode choice controls how the DL Frame Early Termination sub-feature operates, as described in 6.3. All other sub-features are active in both modes.</w:t>
      </w:r>
    </w:p>
    <w:p>
      <w:pPr>
        <w:pStyle w:val="Normal"/>
        <w:rPr>
          <w:lang w:eastAsia="zh-CN"/>
        </w:rPr>
      </w:pPr>
      <w:r>
        <w:rPr>
          <w:lang w:eastAsia="zh-CN"/>
        </w:rPr>
        <w:t xml:space="preserve">DCH enhancements is only applicable </w:t>
      </w:r>
      <w:r>
        <w:rPr>
          <w:lang w:eastAsia="zh-CN"/>
        </w:rPr>
        <w:t>if the TTI of all</w:t>
      </w:r>
      <w:r>
        <w:rPr>
          <w:lang w:eastAsia="zh-CN"/>
        </w:rPr>
        <w:t xml:space="preserve"> DCH </w:t>
      </w:r>
      <w:r>
        <w:rPr>
          <w:lang w:eastAsia="zh-CN"/>
        </w:rPr>
        <w:t>transport channels on both downlink and uplink is at least</w:t>
      </w:r>
      <w:r>
        <w:rPr>
          <w:lang w:eastAsia="zh-CN"/>
        </w:rPr>
        <w:t xml:space="preserve"> 20 ms.</w:t>
      </w:r>
    </w:p>
    <w:p>
      <w:pPr>
        <w:pStyle w:val="Normal"/>
        <w:rPr>
          <w:lang w:eastAsia="zh-CN"/>
        </w:rPr>
      </w:pPr>
      <w:r>
        <w:rPr>
          <w:lang w:eastAsia="zh-CN"/>
        </w:rPr>
        <w:t>If a UE is configured with both CS and PS mapped to the DCH transport channel (in uplink or downlink or both), then DCH enhancements may be configured only when PS has UL:0 and DL:0kbps RAB configuration (3GPP TR 25.993 [13]).</w:t>
      </w:r>
    </w:p>
    <w:p>
      <w:pPr>
        <w:pStyle w:val="Heading2"/>
        <w:rPr/>
      </w:pPr>
      <w:bookmarkStart w:id="16" w:name="__RefHeading___Toc46308102"/>
      <w:bookmarkEnd w:id="16"/>
      <w:r>
        <w:rPr/>
        <w:t>6.1</w:t>
        <w:tab/>
        <w:t>DL overhead optimization</w:t>
      </w:r>
    </w:p>
    <w:p>
      <w:pPr>
        <w:pStyle w:val="Normal"/>
        <w:spacing w:before="0" w:after="120"/>
        <w:rPr/>
      </w:pPr>
      <w:r>
        <w:rPr/>
        <w:t>This sub-feature introduces new DL DPCH slot format by removing the dedicated pilot bits from DL DPCCH and reusing them for DL DPDCH instead.</w:t>
      </w:r>
    </w:p>
    <w:p>
      <w:pPr>
        <w:pStyle w:val="Normal"/>
        <w:spacing w:before="0" w:after="120"/>
        <w:rPr>
          <w:lang w:eastAsia="zh-CN"/>
        </w:rPr>
      </w:pPr>
      <w:r>
        <w:rPr/>
        <w:t>The R99 downlink physical channel (DPCH) consists of 0.66ms slots that contain 2 groups of data (DPDCH) symbols and 3 groups of control (DPCCH) symbols. The size of the groups is determined by the slot format. The control symbol groups are TPC - controlling uplink transmit power, TFCI - specifying the downlink packet type, and dedicated pilot - supporting channel estimation for DL power control and closed-loop transmit diversity. While the TFCI group may be empty in certain slot formats, the pilot and TPC are currently always non-empty. The dedicated pilot bits are used for estimation of DL SIR. With this sub-feature, new DL DPCH slot formats are introduced by removing the dedicated pilot bits and reusing the TPC bits instead for estimating the DL SIR. Correspondingly, the number of data symbols in a slot is increased leading to less control channel overhead on the downlink.</w:t>
      </w:r>
    </w:p>
    <w:p>
      <w:pPr>
        <w:pStyle w:val="Normal"/>
        <w:spacing w:before="0" w:after="120"/>
        <w:rPr/>
      </w:pPr>
      <w:r>
        <w:rPr>
          <w:lang w:eastAsia="zh-CN"/>
        </w:rPr>
        <w:t>DL</w:t>
      </w:r>
      <w:r>
        <w:rPr>
          <w:lang w:eastAsia="zh-CN"/>
        </w:rPr>
        <w:t xml:space="preserve"> </w:t>
      </w:r>
      <w:r>
        <w:rPr>
          <w:lang w:eastAsia="zh-CN"/>
        </w:rPr>
        <w:t>closed-loop transmit diversity</w:t>
      </w:r>
      <w:r>
        <w:rPr>
          <w:lang w:eastAsia="zh-CN"/>
        </w:rPr>
        <w:t xml:space="preserve"> is not supported when </w:t>
      </w:r>
      <w:r>
        <w:rPr>
          <w:lang w:eastAsia="zh-CN"/>
        </w:rPr>
        <w:t>this sub-feature is</w:t>
      </w:r>
      <w:r>
        <w:rPr>
          <w:lang w:eastAsia="zh-CN"/>
        </w:rPr>
        <w:t xml:space="preserve"> configured</w:t>
      </w:r>
      <w:r>
        <w:rPr>
          <w:lang w:eastAsia="zh-CN"/>
        </w:rPr>
        <w:t>.</w:t>
      </w:r>
    </w:p>
    <w:p>
      <w:pPr>
        <w:pStyle w:val="Heading2"/>
        <w:rPr/>
      </w:pPr>
      <w:bookmarkStart w:id="17" w:name="__RefHeading___Toc46308103"/>
      <w:bookmarkEnd w:id="17"/>
      <w:r>
        <w:rPr/>
        <w:t>6.2</w:t>
        <w:tab/>
        <w:t>Enhanced rate matching and transport channel multiplexing</w:t>
      </w:r>
    </w:p>
    <w:p>
      <w:pPr>
        <w:pStyle w:val="Normal"/>
        <w:rPr/>
      </w:pPr>
      <w:r>
        <w:rPr/>
        <w:t>The physical layer in R99 is designed to carry potentially a large variety of transport blocks with different sizes. The drawback for this design is the rate matching may not be efficient when some transport format combinations are not frequently used. For example, DCCH channel carries non-zero transport blocks not as often as voice DTCH channel. The enhanced rate matching and transport channel multiplexing sub-feature sets a zero rate matching attribute for DCCH, whenever DCCH channel does not carry a transport block together with DTCH channel. The DCCH bit fields are used to transmit DTCH transport channels instead. This potentially improves link efficiency due to less puncturing and better rate matching of the transport block with the available physical channel resources.</w:t>
      </w:r>
    </w:p>
    <w:p>
      <w:pPr>
        <w:pStyle w:val="Heading2"/>
        <w:spacing w:before="120" w:after="180"/>
        <w:rPr>
          <w:bCs/>
        </w:rPr>
      </w:pPr>
      <w:bookmarkStart w:id="18" w:name="__RefHeading___Toc46308104"/>
      <w:bookmarkEnd w:id="18"/>
      <w:r>
        <w:rPr/>
        <w:t>6.3</w:t>
        <w:tab/>
        <w:t xml:space="preserve">DL </w:t>
      </w:r>
      <w:r>
        <w:rPr>
          <w:bCs/>
        </w:rPr>
        <w:t xml:space="preserve">frame early termination (DL FET) and </w:t>
      </w:r>
      <w:r>
        <w:rPr/>
        <w:t>UL DPCCH with DL FET ACK</w:t>
      </w:r>
    </w:p>
    <w:p>
      <w:pPr>
        <w:pStyle w:val="Normal"/>
        <w:spacing w:before="0" w:after="120"/>
        <w:rPr/>
      </w:pPr>
      <w:r>
        <w:rPr/>
        <w:t>In a power-controlled system such as R99 DCH, inefficiencies in the power-control loop, such as limited granularity, delays and errors in the feedback, result in the presence of excess SINR at the receiver. This means that packets such as the voice packets which have a long (20ms) transmission time interval (TTI) can often be early-decoded, i.e, decoded prior to reception of all the data symbols in a TTI by running the channel decoder at multiple time instants during the TTI instead of only once at the end of the TTI. This is referred to as Frame Early Termination</w:t>
      </w:r>
      <w:r>
        <w:rPr>
          <w:lang w:eastAsia="zh-CN"/>
        </w:rPr>
        <w:t xml:space="preserve"> </w:t>
      </w:r>
      <w:r>
        <w:rPr/>
        <w:t>(FET). As described below, DCH enhancements introduces new mechanisms to R99 DCH in order to support DL FET.</w:t>
      </w:r>
    </w:p>
    <w:p>
      <w:pPr>
        <w:pStyle w:val="Normal"/>
        <w:rPr>
          <w:lang w:eastAsia="zh-CN"/>
        </w:rPr>
      </w:pPr>
      <w:r>
        <w:rPr/>
        <w:t>A new design of UL DPCCH is introduced to support DL FET. With the new design, TFCI information is carried in the first 10 slots of each 20ms TTI for the uplink. Sending the TFCI information early in each 20ms TTI allows sending of DL FET ACK or NACK information using the TFCI bits in remaining UL DPCCH slots that do not carry TFCI.</w:t>
      </w:r>
    </w:p>
    <w:p>
      <w:pPr>
        <w:pStyle w:val="Normal"/>
        <w:rPr>
          <w:lang w:eastAsia="zh-CN"/>
        </w:rPr>
      </w:pPr>
      <w:r>
        <w:rPr/>
        <w:t>Furthermore, there are two modes of operation introduced with support for DL FET in DCH enhancements as described below.</w:t>
      </w:r>
    </w:p>
    <w:p>
      <w:pPr>
        <w:pStyle w:val="Heading3"/>
        <w:rPr>
          <w:bCs/>
        </w:rPr>
      </w:pPr>
      <w:bookmarkStart w:id="19" w:name="__RefHeading___Toc46308105"/>
      <w:bookmarkEnd w:id="19"/>
      <w:r>
        <w:rPr/>
        <w:t>6.3.1</w:t>
        <w:tab/>
        <w:t>DL FET Full mode (Mode 1)</w:t>
      </w:r>
    </w:p>
    <w:p>
      <w:pPr>
        <w:pStyle w:val="Normal"/>
        <w:rPr>
          <w:lang w:eastAsia="zh-CN"/>
        </w:rPr>
      </w:pPr>
      <w:r>
        <w:rPr/>
        <w:t>In the Full mode of operation:</w:t>
      </w:r>
    </w:p>
    <w:p>
      <w:pPr>
        <w:pStyle w:val="B1"/>
        <w:rPr/>
      </w:pPr>
      <w:r>
        <w:rPr/>
        <w:t>-</w:t>
        <w:tab/>
        <w:t xml:space="preserve">The UE acknowledges successful early decoding of a DL packet via a DL FET ACK on the newly designed UL DPCCH channel, which then allows the NodeB to stop transmission of the packet. </w:t>
      </w:r>
    </w:p>
    <w:p>
      <w:pPr>
        <w:pStyle w:val="B1"/>
        <w:rPr/>
      </w:pPr>
      <w:r>
        <w:rPr/>
        <w:t>-</w:t>
        <w:tab/>
        <w:t>AMR Class A, B, C transport channels are concatenated on the DL which further helps in early decoding of DL DPDCH.</w:t>
      </w:r>
    </w:p>
    <w:p>
      <w:pPr>
        <w:pStyle w:val="Heading3"/>
        <w:rPr>
          <w:bCs/>
        </w:rPr>
      </w:pPr>
      <w:bookmarkStart w:id="20" w:name="__RefHeading___Toc46308106"/>
      <w:bookmarkEnd w:id="20"/>
      <w:r>
        <w:rPr/>
        <w:t>6.3.2</w:t>
        <w:tab/>
        <w:t xml:space="preserve">DL </w:t>
      </w:r>
      <w:r>
        <w:rPr>
          <w:bCs/>
        </w:rPr>
        <w:t>FET Basic mode (Mode 0)</w:t>
      </w:r>
    </w:p>
    <w:p>
      <w:pPr>
        <w:pStyle w:val="Normal"/>
        <w:rPr>
          <w:lang w:eastAsia="zh-CN"/>
        </w:rPr>
      </w:pPr>
      <w:r>
        <w:rPr/>
        <w:t>In the Basic mode of operation:</w:t>
      </w:r>
    </w:p>
    <w:p>
      <w:pPr>
        <w:pStyle w:val="B1"/>
        <w:rPr/>
      </w:pPr>
      <w:r>
        <w:rPr/>
        <w:t>-</w:t>
        <w:tab/>
        <w:t>DL FET is achieved by applying the DL BLER target at slot 14 (10ms) in each 20ms TTI duration. The NodeB may decide to stop transmission of the DL voice packet at slot 14 provided that the Uplink is in 10ms transmission mode (see sub-clause 6.4). The UE does not indicate successful decoding of the DL packet via the DL FET ACK or NACK field in UL DPCCH.</w:t>
      </w:r>
    </w:p>
    <w:p>
      <w:pPr>
        <w:pStyle w:val="B1"/>
        <w:rPr/>
      </w:pPr>
      <w:r>
        <w:rPr/>
        <w:t>-</w:t>
        <w:tab/>
        <w:t>AMR Class A, B, C transport channels are not concatenated on the downlink.</w:t>
      </w:r>
    </w:p>
    <w:p>
      <w:pPr>
        <w:pStyle w:val="Heading2"/>
        <w:spacing w:before="120" w:after="180"/>
        <w:rPr>
          <w:bCs/>
        </w:rPr>
      </w:pPr>
      <w:bookmarkStart w:id="21" w:name="__RefHeading___Toc46308107"/>
      <w:bookmarkEnd w:id="21"/>
      <w:r>
        <w:rPr/>
        <w:t>6.4</w:t>
        <w:tab/>
        <w:t>Uplink DPDCH dynamic 10ms transmission</w:t>
      </w:r>
    </w:p>
    <w:p>
      <w:pPr>
        <w:pStyle w:val="Normal"/>
        <w:rPr/>
      </w:pPr>
      <w:r>
        <w:rPr/>
        <w:t xml:space="preserve">The R99 DCH transport channels for a voice call are typically configured with 20ms TTI. However, the transport block sizes for a voice call could potentially be transmitted over a shorter duration. The sub-feature of </w:t>
      </w:r>
      <w:r>
        <w:rPr>
          <w:lang w:eastAsia="zh-CN"/>
        </w:rPr>
        <w:t>u</w:t>
      </w:r>
      <w:r>
        <w:rPr/>
        <w:t>plink DPDCH dynamic 10ms transmission allows for dynamically selecting a shorter transmission time, i.e. 10ms, at the physical layer to transmit a voice packet on the uplink. The UE selects on whether to use a 10ms or 20ms transmission duration based on considerations such as the power headroom at the UE. The UE also discontinues the transmission of UL DPCCH for the remaining duration of the TTI when both UL transport block has been completed transmitted and DL has been successfully decoded early.</w:t>
      </w:r>
    </w:p>
    <w:p>
      <w:pPr>
        <w:pStyle w:val="Normal"/>
        <w:rPr/>
      </w:pPr>
      <w:r>
        <w:rPr/>
        <w:t xml:space="preserve">With 20ms TTI transmission at the physical layer, the pilot channel (UL DPCCH) is sent for the entire 20ms duration. This </w:t>
      </w:r>
      <w:r>
        <w:rPr>
          <w:lang w:eastAsia="zh-CN"/>
        </w:rPr>
        <w:t>sub-feature</w:t>
      </w:r>
      <w:r>
        <w:rPr/>
        <w:t xml:space="preserve"> potentially improves link efficiency due to reduction in UL DPCCH overhead as well as improves UE battery performance by allowing the UE to turn off its transceiver once the reception and transmission has been completed before the end of a 20ms TTI.</w:t>
      </w:r>
    </w:p>
    <w:p>
      <w:pPr>
        <w:pStyle w:val="Heading1"/>
        <w:ind w:left="1134" w:hanging="1134"/>
        <w:rPr/>
      </w:pPr>
      <w:bookmarkStart w:id="22" w:name="__RefHeading___Toc46308108"/>
      <w:bookmarkEnd w:id="22"/>
      <w:r>
        <w:rPr/>
        <w:t>7</w:t>
        <w:tab/>
        <w:t>Access Control in Connected Mode (CELL_FACH, CELL_PCH and URA_PCH)</w:t>
      </w:r>
    </w:p>
    <w:p>
      <w:pPr>
        <w:pStyle w:val="Normal"/>
        <w:rPr/>
      </w:pPr>
      <w:r>
        <w:rPr/>
        <w:t xml:space="preserve">For FDD, certain categories of UEs may be configured for Access Control in connected mode. </w:t>
      </w:r>
      <w:r>
        <w:rPr>
          <w:lang w:val="en-US" w:eastAsia="en-US"/>
        </w:rPr>
        <w:t xml:space="preserve">This feature allows </w:t>
      </w:r>
      <w:r>
        <w:rPr/>
        <w:t xml:space="preserve">for a network to differentiate and control accesses of UE for DTCH transmission in CELL_FACH state and </w:t>
      </w:r>
      <w:r>
        <w:rPr>
          <w:lang w:eastAsia="zh-CN"/>
        </w:rPr>
        <w:t>for DCCH/CCCH du</w:t>
      </w:r>
      <w:r>
        <w:rPr>
          <w:lang w:eastAsia="zh-CN"/>
        </w:rPr>
        <w:t>e</w:t>
      </w:r>
      <w:r>
        <w:rPr>
          <w:lang w:eastAsia="zh-CN"/>
        </w:rPr>
        <w:t xml:space="preserve"> to uplink data transmission in </w:t>
      </w:r>
      <w:r>
        <w:rPr/>
        <w:t xml:space="preserve">CELL_PCH state or URA_PCH state, when uplink congestion is being experienced. </w:t>
      </w:r>
    </w:p>
    <w:p>
      <w:pPr>
        <w:pStyle w:val="Normal"/>
        <w:rPr/>
      </w:pPr>
      <w:r>
        <w:rPr/>
        <w:t>The network may differentiate among the UE population by assigning UEs to one of 16 defined Access Groups. The network can indicate the identity of the access group to which the UE is assigned via RRC dedicated signalling.</w:t>
      </w:r>
    </w:p>
    <w:p>
      <w:pPr>
        <w:pStyle w:val="Normal"/>
        <w:rPr/>
      </w:pPr>
      <w:r>
        <w:rPr/>
        <w:t xml:space="preserve">For each network assigned Access Group, the network can indicate in System Information whether the UEs in CELL_FACH state, CELL_PCH state </w:t>
      </w:r>
      <w:r>
        <w:rPr>
          <w:lang w:eastAsia="zh-CN"/>
        </w:rPr>
        <w:t>or URA_PCH state</w:t>
      </w:r>
      <w:r>
        <w:rPr/>
        <w:t xml:space="preserve"> in that group are Blocked or Unblocked for DTCH data transmission</w:t>
      </w:r>
      <w:r>
        <w:rPr>
          <w:lang w:eastAsia="zh-CN"/>
        </w:rPr>
        <w:t xml:space="preserve"> and for DCCH/CCCH due to uplink data transmission</w:t>
      </w:r>
      <w:r>
        <w:rPr/>
        <w:t xml:space="preserve">. The System Information Block containing the Access Group information is scheduled by the network only during periods of uplink congestion. </w:t>
      </w:r>
      <w:r>
        <w:rPr>
          <w:rFonts w:cs="Arial"/>
          <w:lang w:val="en-US"/>
        </w:rPr>
        <w:t xml:space="preserve">A UE </w:t>
      </w:r>
      <w:r>
        <w:rPr/>
        <w:t>in CELL_FACH state, CELL_PCH state</w:t>
      </w:r>
      <w:r>
        <w:rPr>
          <w:lang w:eastAsia="zh-CN"/>
        </w:rPr>
        <w:t xml:space="preserve"> or URA_PCH state</w:t>
      </w:r>
      <w:r>
        <w:rPr/>
        <w:t xml:space="preserve"> </w:t>
      </w:r>
      <w:r>
        <w:rPr>
          <w:rFonts w:cs="Arial"/>
          <w:lang w:val="en-US"/>
        </w:rPr>
        <w:t>which has data to transmit</w:t>
      </w:r>
      <w:r>
        <w:rPr>
          <w:rFonts w:cs="Arial"/>
          <w:lang w:val="en-US" w:eastAsia="zh-CN"/>
        </w:rPr>
        <w:t xml:space="preserve"> and has an access group identity</w:t>
      </w:r>
      <w:r>
        <w:rPr>
          <w:rFonts w:cs="Arial"/>
          <w:lang w:val="en-US"/>
        </w:rPr>
        <w:t xml:space="preserve"> will reacquire the System Information Block containing the Access Group information based on the expiration of a timer.</w:t>
      </w:r>
    </w:p>
    <w:p>
      <w:pPr>
        <w:pStyle w:val="Normal"/>
        <w:rPr/>
      </w:pPr>
      <w:r>
        <w:rPr>
          <w:lang w:val="en-US"/>
        </w:rPr>
        <w:t>UEs in CELL_PCH (without seamless transition to CELL_FACH state) or URA_PCH (without seamless transition to CELL_FACH) are not allowed to initiate Cell Update procedure triggered due to DTCH data transmission with cause "uplink data transmission" when the Access Group of the UE is Blocked.</w:t>
      </w:r>
    </w:p>
    <w:p>
      <w:pPr>
        <w:pStyle w:val="Normal"/>
        <w:rPr>
          <w:lang w:val="en-US"/>
        </w:rPr>
      </w:pPr>
      <w:r>
        <w:rPr>
          <w:lang w:val="en-US"/>
        </w:rPr>
        <w:t>UEs in CELL_PCH (with seamless transition to CELL_FACH state) or URA_PCH (with seamless transition to CELL_FACH state) are not allowed to initiate Measurement Report procedure triggered due to DTCH data transmission when the Access Group of the UE is Blocked.</w:t>
      </w:r>
    </w:p>
    <w:p>
      <w:pPr>
        <w:pStyle w:val="Normal"/>
        <w:rPr/>
      </w:pPr>
      <w:r>
        <w:rPr/>
        <w:t>A UE in CELL_FACH state, CELL_PCH state</w:t>
      </w:r>
      <w:r>
        <w:rPr>
          <w:lang w:eastAsia="zh-CN"/>
        </w:rPr>
        <w:t xml:space="preserve"> or URA_PCH state</w:t>
      </w:r>
      <w:r>
        <w:rPr/>
        <w:t xml:space="preserve"> which is blocked for DTCH transmission </w:t>
      </w:r>
      <w:r>
        <w:rPr>
          <w:lang w:eastAsia="zh-CN"/>
        </w:rPr>
        <w:t>and for DCCH/CCCH due to data transmission</w:t>
      </w:r>
      <w:r>
        <w:rPr/>
        <w:t xml:space="preserve"> in the uplink is permitted to transmit </w:t>
      </w:r>
      <w:r>
        <w:rPr>
          <w:lang w:val="en-US"/>
        </w:rPr>
        <w:t>uplink RLC Control PDUs.</w:t>
      </w:r>
    </w:p>
    <w:p>
      <w:pPr>
        <w:pStyle w:val="Heading1"/>
        <w:spacing w:before="120" w:after="120"/>
        <w:ind w:left="720" w:hanging="720"/>
        <w:rPr/>
      </w:pPr>
      <w:bookmarkStart w:id="23" w:name="__RefHeading___Toc46308109"/>
      <w:bookmarkEnd w:id="23"/>
      <w:r>
        <w:rPr/>
        <w:t>8</w:t>
        <w:tab/>
      </w:r>
      <w:r>
        <w:rPr>
          <w:lang w:eastAsia="zh-CN"/>
        </w:rPr>
        <w:t>Access control enhancements</w:t>
      </w:r>
    </w:p>
    <w:p>
      <w:pPr>
        <w:pStyle w:val="Heading1"/>
        <w:spacing w:before="120" w:after="120"/>
        <w:ind w:left="720" w:hanging="720"/>
        <w:rPr>
          <w:sz w:val="28"/>
          <w:szCs w:val="28"/>
        </w:rPr>
      </w:pPr>
      <w:bookmarkStart w:id="24" w:name="__RefHeading___Toc46308110"/>
      <w:bookmarkEnd w:id="24"/>
      <w:r>
        <w:rPr>
          <w:sz w:val="28"/>
          <w:szCs w:val="28"/>
          <w:lang w:eastAsia="zh-CN"/>
        </w:rPr>
        <w:t>8</w:t>
      </w:r>
      <w:r>
        <w:rPr>
          <w:sz w:val="28"/>
          <w:szCs w:val="28"/>
          <w:lang w:eastAsia="zh-CN"/>
        </w:rPr>
        <w:t>.1</w:t>
        <w:tab/>
        <w:t>DSAC and PPAC update for the UE in CELL_DCH state</w:t>
      </w:r>
    </w:p>
    <w:p>
      <w:pPr>
        <w:pStyle w:val="Normal"/>
        <w:rPr>
          <w:lang w:val="en-US" w:eastAsia="zh-CN"/>
        </w:rPr>
      </w:pPr>
      <w:r>
        <w:rPr>
          <w:lang w:val="en-US" w:eastAsia="en-US"/>
        </w:rPr>
        <w:t>In CELL_DCH state, it allows the network to indicate to the UE about the DSAC and PPAC parameters through dedicated signalling so that the UE can obtain the updated DSAC and PPAC information.</w:t>
      </w:r>
    </w:p>
    <w:p>
      <w:pPr>
        <w:pStyle w:val="Heading1"/>
        <w:ind w:left="1134" w:hanging="1134"/>
        <w:rPr/>
      </w:pPr>
      <w:bookmarkStart w:id="25" w:name="__RefHeading___Toc46308111"/>
      <w:bookmarkEnd w:id="25"/>
      <w:r>
        <w:rPr/>
        <w:t>9</w:t>
        <w:tab/>
        <w:t>Enhanced Broadcast of System Information</w:t>
      </w:r>
    </w:p>
    <w:p>
      <w:pPr>
        <w:pStyle w:val="Heading2"/>
        <w:rPr/>
      </w:pPr>
      <w:bookmarkStart w:id="26" w:name="__RefHeading___Toc46308112"/>
      <w:bookmarkEnd w:id="26"/>
      <w:r>
        <w:rPr/>
        <w:t>9.1</w:t>
        <w:tab/>
        <w:t>Second system information broadcast channel</w:t>
      </w:r>
    </w:p>
    <w:p>
      <w:pPr>
        <w:pStyle w:val="Normal"/>
        <w:rPr/>
      </w:pPr>
      <w:r>
        <w:rPr>
          <w:lang w:eastAsia="zh-CN"/>
        </w:rPr>
        <w:t xml:space="preserve">In order to increase system information capacity (see TR 25.704 [7]) a second system information broadcast channel on SCCPCH can be configured, in addition to the system information broadcast channel on PCCPCH. </w:t>
      </w:r>
    </w:p>
    <w:p>
      <w:pPr>
        <w:pStyle w:val="Normal"/>
        <w:rPr/>
      </w:pPr>
      <w:r>
        <w:rPr>
          <w:lang w:eastAsia="zh-CN"/>
        </w:rPr>
        <w:t>The second system information broadcast channel is mapped to a separate SCCPCH, which is different from the SCCPCH used for paging and FACH/CTCH, as depicted in Figure 9.1-1.</w:t>
      </w:r>
    </w:p>
    <w:p>
      <w:pPr>
        <w:pStyle w:val="TH"/>
        <w:rPr>
          <w:lang w:val="en-US" w:eastAsia="en-US"/>
        </w:rPr>
      </w:pPr>
      <w:r>
        <w:rPr>
          <w:lang w:val="en-US" w:eastAsia="en-US"/>
        </w:rPr>
        <w:drawing>
          <wp:inline distT="0" distB="0" distL="0" distR="0">
            <wp:extent cx="4240530" cy="2640330"/>
            <wp:effectExtent l="0" t="0" r="0" b="0"/>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6"/>
                    <a:srcRect l="13685" t="24384" r="14943" b="4409"/>
                    <a:stretch>
                      <a:fillRect/>
                    </a:stretch>
                  </pic:blipFill>
                  <pic:spPr bwMode="auto">
                    <a:xfrm>
                      <a:off x="0" y="0"/>
                      <a:ext cx="4240530" cy="2640330"/>
                    </a:xfrm>
                    <a:prstGeom prst="rect">
                      <a:avLst/>
                    </a:prstGeom>
                  </pic:spPr>
                </pic:pic>
              </a:graphicData>
            </a:graphic>
          </wp:inline>
        </w:drawing>
      </w:r>
    </w:p>
    <w:p>
      <w:pPr>
        <w:pStyle w:val="TF"/>
        <w:rPr/>
      </w:pPr>
      <w:r>
        <w:rPr>
          <w:lang w:eastAsia="zh-CN"/>
        </w:rPr>
        <w:t>Figure 9.1-1: Channel mapping of system information broadcast channel and second system information broadcast channel.</w:t>
      </w:r>
    </w:p>
    <w:p>
      <w:pPr>
        <w:pStyle w:val="Normal"/>
        <w:rPr/>
      </w:pPr>
      <w:r>
        <w:rPr>
          <w:lang w:eastAsia="zh-CN"/>
        </w:rPr>
        <w:t>The UE should be able to monitor at least two SCCPCHs simultaneously, but the UE may skip reading the second system information broadcast channel during CTCH occasions in Idle mode and CELL_PCH/URA_PCH state. When HS-DSCH in CELL_FACH is used, a UE supporting second system information broadcast channel monitors the corresponding SCCPCH while listening to HS-DSCH.</w:t>
      </w:r>
    </w:p>
    <w:p>
      <w:pPr>
        <w:pStyle w:val="Normal"/>
        <w:rPr>
          <w:lang w:eastAsia="zh-CN"/>
        </w:rPr>
      </w:pPr>
      <w:r>
        <w:rPr>
          <w:lang w:eastAsia="zh-CN"/>
        </w:rPr>
        <w:t xml:space="preserve">REL-12 and later SIBs are introduced on both the system information broadcast channel as well as the second system information broadcast channel. Pre-REL-12 SIBs may be broadcasted on the second system information broadcast channel in addition to the system information broadcast channel. Any SIB type may be scheduled simultaneously on system information broadcast channel and second system information broadcast channel provided that the content is the same. </w:t>
      </w:r>
    </w:p>
    <w:p>
      <w:pPr>
        <w:pStyle w:val="Normal"/>
        <w:rPr/>
      </w:pPr>
      <w:r>
        <w:rPr>
          <w:lang w:eastAsia="zh-CN"/>
        </w:rPr>
        <w:t xml:space="preserve">Most of the existing principles and procedures for system information reading are retained for the second system information broadcast channel. To reduce the latency to acquire the system information on both system information broadcast channel and second system information broadcast channel, the UE acquires the system information on both channels simultaneously. The simultaneous acquisition of system information on both system information broadcast channel and second system information broadcast channel is depicted in Figure 9.1-2. </w:t>
      </w:r>
    </w:p>
    <w:p>
      <w:pPr>
        <w:pStyle w:val="TH"/>
        <w:rPr>
          <w:lang w:val="en-US" w:eastAsia="en-US"/>
        </w:rPr>
      </w:pPr>
      <w:r>
        <w:rPr>
          <w:lang w:val="en-US" w:eastAsia="en-US"/>
        </w:rPr>
        <w:drawing>
          <wp:inline distT="0" distB="0" distL="0" distR="0">
            <wp:extent cx="5303520" cy="231457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7"/>
                    <a:srcRect l="21799" t="32751" r="20195" b="22211"/>
                    <a:stretch>
                      <a:fillRect/>
                    </a:stretch>
                  </pic:blipFill>
                  <pic:spPr bwMode="auto">
                    <a:xfrm>
                      <a:off x="0" y="0"/>
                      <a:ext cx="5303520" cy="2314575"/>
                    </a:xfrm>
                    <a:prstGeom prst="rect">
                      <a:avLst/>
                    </a:prstGeom>
                  </pic:spPr>
                </pic:pic>
              </a:graphicData>
            </a:graphic>
          </wp:inline>
        </w:drawing>
      </w:r>
    </w:p>
    <w:p>
      <w:pPr>
        <w:pStyle w:val="TF"/>
        <w:rPr/>
      </w:pPr>
      <w:r>
        <w:rPr>
          <w:lang w:eastAsia="zh-CN"/>
        </w:rPr>
        <w:t xml:space="preserve">Figure 9.1-2: System information acquisition on system information broadcast channel and second system information broadcast channel. </w:t>
      </w:r>
    </w:p>
    <w:p>
      <w:pPr>
        <w:pStyle w:val="Normal"/>
        <w:rPr/>
      </w:pPr>
      <w:r>
        <w:rPr>
          <w:lang w:val="en-US" w:eastAsia="en-US"/>
        </w:rPr>
        <w:t xml:space="preserve">When the SB3 value tag in PAGING TYPE 1 or SYSTEM INFORMATION CHANGE INDICATION (SICI) message is updated the UE supporting second system information broadcast channel is required to re-acquire the system information on the second system information broadcast channel. When the SB3 value tag is updated, but the MIB value tag is not, the UE supporting second system information broadcast channel is only required to re-acquire the system information on the second system information broadcast channel. </w:t>
      </w:r>
    </w:p>
    <w:p>
      <w:pPr>
        <w:pStyle w:val="Normal"/>
        <w:rPr/>
      </w:pPr>
      <w:r>
        <w:rPr>
          <w:lang w:val="en-US" w:eastAsia="en-US"/>
        </w:rPr>
        <w:t>The scheduling block 3 (SB3) contains the scheduling information for the system information on the second system information broadcast channel. This scheduling information uses the SFN of the PCCPCH.</w:t>
      </w:r>
    </w:p>
    <w:p>
      <w:pPr>
        <w:pStyle w:val="Normal"/>
        <w:rPr/>
      </w:pPr>
      <w:r>
        <w:rPr>
          <w:lang w:val="en-US" w:eastAsia="en-US"/>
        </w:rPr>
        <w:t>The SB3 is broadcasted with a pre-defined offset (40 ms) from the start of the frame containing the MIB, as depicted in the Figure 9.1-3. The MIB on BCH mapped on PCCPCH contains the channelization code of the second system information broadcast channel, the repetition interval of SB3 and the number of segments of SB3. The remaining configuration parameters of the second system information broadcast channel are pre-defined.</w:t>
      </w:r>
    </w:p>
    <w:p>
      <w:pPr>
        <w:pStyle w:val="TH"/>
        <w:rPr>
          <w:lang w:val="en-US" w:eastAsia="en-US"/>
        </w:rPr>
      </w:pPr>
      <w:r>
        <w:rPr>
          <w:lang w:val="en-US" w:eastAsia="en-US"/>
        </w:rPr>
        <w:drawing>
          <wp:inline distT="0" distB="0" distL="0" distR="0">
            <wp:extent cx="3718560" cy="168846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8"/>
                    <a:srcRect l="29336" t="36736" r="30281" b="30441"/>
                    <a:stretch>
                      <a:fillRect/>
                    </a:stretch>
                  </pic:blipFill>
                  <pic:spPr bwMode="auto">
                    <a:xfrm>
                      <a:off x="0" y="0"/>
                      <a:ext cx="3718560" cy="1688465"/>
                    </a:xfrm>
                    <a:prstGeom prst="rect">
                      <a:avLst/>
                    </a:prstGeom>
                  </pic:spPr>
                </pic:pic>
              </a:graphicData>
            </a:graphic>
          </wp:inline>
        </w:drawing>
      </w:r>
    </w:p>
    <w:p>
      <w:pPr>
        <w:pStyle w:val="TF"/>
        <w:rPr>
          <w:lang w:val="en-US" w:eastAsia="en-US"/>
        </w:rPr>
      </w:pPr>
      <w:r>
        <w:rPr>
          <w:lang w:eastAsia="zh-CN"/>
        </w:rPr>
        <w:t xml:space="preserve">Figure 9.1-3: SB3 pre-defined offset </w:t>
      </w:r>
      <w:r>
        <w:rPr>
          <w:lang w:val="en-US" w:eastAsia="en-US"/>
        </w:rPr>
        <w:t xml:space="preserve">from the start of the frame containing the MIB. </w:t>
      </w:r>
    </w:p>
    <w:p>
      <w:pPr>
        <w:pStyle w:val="Heading2"/>
        <w:rPr/>
      </w:pPr>
      <w:bookmarkStart w:id="27" w:name="__RefHeading___Toc46308113"/>
      <w:bookmarkEnd w:id="27"/>
      <w:r>
        <w:rPr>
          <w:lang w:val="en-US" w:eastAsia="en-US"/>
        </w:rPr>
        <w:t>9.2</w:t>
        <w:tab/>
        <w:t>Scheduling information overhead reduction</w:t>
      </w:r>
    </w:p>
    <w:p>
      <w:pPr>
        <w:pStyle w:val="Normal"/>
        <w:rPr/>
      </w:pPr>
      <w:r>
        <w:rPr/>
        <w:t xml:space="preserve">To reduce the overhead of SIB scheduling information, included in MIB and Scheduling Blocks, the network may use mandatory default values for SIB_OFF and SEG_COUNT (when SIB_POS offset info is included) for SIBs of REL-12 or later. </w:t>
      </w:r>
    </w:p>
    <w:p>
      <w:pPr>
        <w:pStyle w:val="Heading2"/>
        <w:rPr/>
      </w:pPr>
      <w:bookmarkStart w:id="28" w:name="__RefHeading___Toc46308114"/>
      <w:bookmarkEnd w:id="28"/>
      <w:r>
        <w:rPr>
          <w:lang w:val="en-US" w:eastAsia="en-US"/>
        </w:rPr>
        <w:t>9.3</w:t>
        <w:tab/>
        <w:t>MIB and Cell Value Tag range extension</w:t>
      </w:r>
    </w:p>
    <w:p>
      <w:pPr>
        <w:pStyle w:val="Normal"/>
        <w:rPr/>
      </w:pPr>
      <w:r>
        <w:rPr>
          <w:lang w:val="en-US" w:eastAsia="en-US"/>
        </w:rPr>
        <w:t>To reduce the risk of Cell Value Tag wrap around, the network may broadcast a range extension (1..16) of the Cell Value Tag for SIB3, SIB5, SIB5bis, SIB21 and SIB22. The network may also extend the MIB value tag range (1..16). For UEs supporting these extensions the SIBs and MIB wrap around at 16, while for UEs not supporting this feature the SIBs wraps around at 4 (and MIB at 8). SIBs of REL-12 or later use the extended Cell Value Tag range (1..16).</w:t>
      </w:r>
    </w:p>
    <w:p>
      <w:pPr>
        <w:pStyle w:val="Heading1"/>
        <w:ind w:left="1134" w:hanging="1134"/>
        <w:rPr/>
      </w:pPr>
      <w:bookmarkStart w:id="29" w:name="__RefHeading___Toc46308115"/>
      <w:bookmarkEnd w:id="29"/>
      <w:r>
        <w:rPr/>
        <w:t>10</w:t>
        <w:tab/>
        <w:t>RAN assisted WLAN interworking</w:t>
      </w:r>
    </w:p>
    <w:p>
      <w:pPr>
        <w:pStyle w:val="Normal"/>
        <w:rPr/>
      </w:pPr>
      <w:r>
        <w:rPr/>
        <w:t xml:space="preserve">This clause describes the mechanisms to support traffic steering between UTRAN and WLAN. </w:t>
      </w:r>
    </w:p>
    <w:p>
      <w:pPr>
        <w:pStyle w:val="Heading2"/>
        <w:rPr/>
      </w:pPr>
      <w:bookmarkStart w:id="30" w:name="__RefHeading___Toc46308116"/>
      <w:bookmarkEnd w:id="30"/>
      <w:r>
        <w:rPr/>
        <w:t>10.1</w:t>
        <w:tab/>
        <w:t>General principles</w:t>
      </w:r>
    </w:p>
    <w:p>
      <w:pPr>
        <w:pStyle w:val="Normal"/>
        <w:rPr/>
      </w:pPr>
      <w:r>
        <w:rPr/>
        <w:t xml:space="preserve">This version of the specification supports UTRAN assisted UE based bi-directional traffic steering between UTRAN and WLAN for UEs in </w:t>
      </w:r>
      <w:r>
        <w:rPr>
          <w:lang w:eastAsia="ja-JP"/>
        </w:rPr>
        <w:t>Idle mode and CELL_DCH, CELL_FACH, CELL_PCH and URA_PCH states</w:t>
      </w:r>
      <w:r>
        <w:rPr/>
        <w:t>.</w:t>
      </w:r>
    </w:p>
    <w:p>
      <w:pPr>
        <w:pStyle w:val="Normal"/>
        <w:rPr/>
      </w:pPr>
      <w:r>
        <w:rPr/>
        <w:t>UTRAN provides assistance parameters via broadcast and dedicated RRC signalling to the UE. The RAN assistance parameters may include UTRAN signal strength thresholds, WLAN channel utilization thresholds, WLAN backhaul data rate thresholds, WLAN signal strength thresholds and Offload Preference Indicator (OPI). UTRAN can also provide a list of WLAN identifiers to the UE via broadcast and dedicated signalling</w:t>
      </w:r>
      <w:r>
        <w:rPr>
          <w:lang w:eastAsia="ja-JP"/>
        </w:rPr>
        <w:t>.</w:t>
      </w:r>
    </w:p>
    <w:p>
      <w:pPr>
        <w:pStyle w:val="Normal"/>
        <w:rPr/>
      </w:pPr>
      <w:r>
        <w:rPr/>
        <w:t>The UE uses the RAN assistance parameters in the evaluation of:</w:t>
      </w:r>
    </w:p>
    <w:p>
      <w:pPr>
        <w:pStyle w:val="B1"/>
        <w:ind w:left="0" w:firstLine="284"/>
        <w:rPr/>
      </w:pPr>
      <w:r>
        <w:rPr/>
        <w:t>-</w:t>
        <w:tab/>
        <w:t>access network selection and traffic steering rules defined in TS 25.304 [9]; or</w:t>
      </w:r>
    </w:p>
    <w:p>
      <w:pPr>
        <w:pStyle w:val="B1"/>
        <w:ind w:left="284" w:hanging="0"/>
        <w:rPr/>
      </w:pPr>
      <w:r>
        <w:rPr/>
        <w:t>-</w:t>
        <w:tab/>
        <w:t xml:space="preserve">ANDSF policies defined in TS 24.312 [8] </w:t>
      </w:r>
    </w:p>
    <w:p>
      <w:pPr>
        <w:pStyle w:val="Normal"/>
        <w:rPr/>
      </w:pPr>
      <w:r>
        <w:rPr/>
        <w:t xml:space="preserve">for traffic steering decisions between UTRAN and WLAN </w:t>
      </w:r>
      <w:r>
        <w:rPr>
          <w:lang w:eastAsia="ja-JP"/>
        </w:rPr>
        <w:t>as specified in TS 23.402 [10]</w:t>
      </w:r>
      <w:r>
        <w:rPr/>
        <w:t xml:space="preserve">. </w:t>
      </w:r>
    </w:p>
    <w:p>
      <w:pPr>
        <w:pStyle w:val="Normal"/>
        <w:rPr/>
      </w:pPr>
      <w:r>
        <w:rPr/>
        <w:t xml:space="preserve">The OPI is only used in ANDSF policies as specified in TS 24.312 [8]. </w:t>
      </w:r>
    </w:p>
    <w:p>
      <w:pPr>
        <w:pStyle w:val="Normal"/>
        <w:rPr/>
      </w:pPr>
      <w:r>
        <w:rPr/>
        <w:t>WLAN identifiers are only used in access network selection and traffic steering rules defined in TS 25.304 [9].</w:t>
      </w:r>
    </w:p>
    <w:p>
      <w:pPr>
        <w:pStyle w:val="Normal"/>
        <w:rPr/>
      </w:pPr>
      <w:r>
        <w:rPr/>
        <w:t xml:space="preserve">If the UE is provisioned with ANDSF policies it shall forward the received RAN assistance parameters to upper layers, otherwise it shall use them in the access network selection and traffic steering rules defined in subclause 10.2 and TS 25.304 [9]. </w:t>
      </w:r>
      <w:r>
        <w:rPr>
          <w:lang w:eastAsia="ja-JP"/>
        </w:rPr>
        <w:t xml:space="preserve">The </w:t>
      </w:r>
      <w:r>
        <w:rPr/>
        <w:t xml:space="preserve">access network selection and </w:t>
      </w:r>
      <w:r>
        <w:rPr>
          <w:lang w:eastAsia="ja-JP"/>
        </w:rPr>
        <w:t xml:space="preserve">traffic steering rules </w:t>
      </w:r>
      <w:r>
        <w:rPr/>
        <w:t xml:space="preserve">defined in subclause 10.2 and TS 25.304 [9] </w:t>
      </w:r>
      <w:r>
        <w:rPr>
          <w:lang w:eastAsia="ja-JP"/>
        </w:rPr>
        <w:t>are applied only to the WLANs of which identifiers are provided by the UTRAN.</w:t>
      </w:r>
    </w:p>
    <w:p>
      <w:pPr>
        <w:pStyle w:val="Normal"/>
        <w:rPr/>
      </w:pPr>
      <w:r>
        <w:rPr/>
        <w:t>The UE in CELL_DCH state shall apply the parameters obtained via dedicated signalling</w:t>
      </w:r>
      <w:r>
        <w:rPr>
          <w:rFonts w:eastAsia="SimSun;宋体"/>
          <w:lang w:eastAsia="zh-CN"/>
        </w:rPr>
        <w:t>, and shall keep those parameters during handover if they are not reconfigured or deleted</w:t>
      </w:r>
      <w:r>
        <w:rPr/>
        <w:t>; the UE shall discard the parameters obtained via dedicated signalling at SRNS relocation.</w:t>
      </w:r>
    </w:p>
    <w:p>
      <w:pPr>
        <w:pStyle w:val="Normal"/>
        <w:rPr/>
      </w:pPr>
      <w:r>
        <w:rPr/>
        <w:t>The UE in CELL_FACH state shall apply the parameters obtained via dedicated signalling if such have been received from the serving cell; otherwise the UE shall apply the parameters obtained via broadcast signalling. Upon cell selection/reselection the UE shall discard the dedicated parameters.</w:t>
      </w:r>
    </w:p>
    <w:p>
      <w:pPr>
        <w:pStyle w:val="Normal"/>
        <w:rPr/>
      </w:pPr>
      <w:r>
        <w:rPr/>
        <w:t>The UE in Idle mode, CELL_PCH or URA_PCH state shall keep and apply the parameters obtained via dedicated signalling until selection/reselection of another cell than the one where these parameters were received or a timer has expired since the UE moved from CELL_DCH or CELL_FACH to Idle mode, CELL_PCH or URA_PCH state, upon which the UE shall discard the dedicated parameters and apply the parameters obtained via broadcast signalling.</w:t>
      </w:r>
    </w:p>
    <w:p>
      <w:pPr>
        <w:pStyle w:val="Normal"/>
        <w:rPr/>
      </w:pPr>
      <w:r>
        <w:rPr/>
        <w:t>In the case of RAN sharing, each PLMN sharing the RAN can broadcast independent sets of RAN assistance parameters.</w:t>
      </w:r>
    </w:p>
    <w:p>
      <w:pPr>
        <w:pStyle w:val="Heading2"/>
        <w:rPr/>
      </w:pPr>
      <w:bookmarkStart w:id="31" w:name="__RefHeading___Toc46308117"/>
      <w:bookmarkEnd w:id="31"/>
      <w:r>
        <w:rPr/>
        <w:t>10.2</w:t>
        <w:tab/>
        <w:t>Access network selection and traffic steering rules</w:t>
      </w:r>
    </w:p>
    <w:p>
      <w:pPr>
        <w:pStyle w:val="Normal"/>
        <w:rPr/>
      </w:pPr>
      <w:r>
        <w:rPr/>
        <w:t>The UE indicates to upper layers when (and for which WLAN identifiers) access network selection and traffic steering rules defined in TS 25.304 [9] are fulfilled. The selection among WLANs that fulfil the access network selection and traffic steering rules is up to UE implementation.</w:t>
      </w:r>
    </w:p>
    <w:p>
      <w:pPr>
        <w:pStyle w:val="Normal"/>
        <w:rPr/>
      </w:pPr>
      <w:r>
        <w:rPr/>
        <w:t>When the UE applies the access network selection and traffic steering rules defined in TS 25.304 [9], higher layers perform traffic steering between UTRAN and WLAN.</w:t>
      </w:r>
    </w:p>
    <w:p>
      <w:pPr>
        <w:pStyle w:val="Heading1"/>
        <w:ind w:left="1134" w:hanging="1134"/>
        <w:rPr/>
      </w:pPr>
      <w:bookmarkStart w:id="32" w:name="__RefHeading___Toc46308118"/>
      <w:bookmarkEnd w:id="32"/>
      <w:r>
        <w:rPr/>
        <w:t>11</w:t>
        <w:tab/>
        <w:t>Increased minimum number of carriers to monitor</w:t>
      </w:r>
    </w:p>
    <w:p>
      <w:pPr>
        <w:pStyle w:val="Normal"/>
        <w:rPr/>
      </w:pPr>
      <w:r>
        <w:rPr/>
        <w:t>The increased number of carrier monitoring feature allows a UE to monitor more UMTS and LTE frequencies in all RRC states.</w:t>
      </w:r>
    </w:p>
    <w:p>
      <w:pPr>
        <w:pStyle w:val="Normal"/>
        <w:rPr/>
      </w:pPr>
      <w:r>
        <w:rPr/>
        <w:t xml:space="preserve">When increased carrier monitoring is used, the network signals whether a carrier should be measured with "reduced measurement performance" together with a scaling factor applicable for CELL_DCH and CELL_FACH states. In Idle mode, CELL_PCH and URA_PCH states a fixed scaling factor is used. When a carrier does not belong to the "reduced measurement performance" group, it belongs to the "normal measurement performance" group. </w:t>
      </w:r>
    </w:p>
    <w:p>
      <w:pPr>
        <w:pStyle w:val="Normal"/>
        <w:rPr/>
      </w:pPr>
      <w:r>
        <w:rPr/>
        <w:t>The value and the use of scaling factor are specified in [11].</w:t>
      </w:r>
    </w:p>
    <w:p>
      <w:pPr>
        <w:pStyle w:val="Heading1"/>
        <w:ind w:left="1134" w:hanging="1134"/>
        <w:rPr/>
      </w:pPr>
      <w:bookmarkStart w:id="33" w:name="__RefHeading___Toc46308119"/>
      <w:bookmarkEnd w:id="33"/>
      <w:r>
        <w:rPr/>
        <w:t>12</w:t>
        <w:tab/>
        <w:t>Extended DRX in Idle mode</w:t>
      </w:r>
    </w:p>
    <w:p>
      <w:pPr>
        <w:pStyle w:val="Normal"/>
        <w:rPr/>
      </w:pPr>
      <w:r>
        <w:rPr/>
        <w:t xml:space="preserve">The extended DRX (eDRX) feature enables DRX 10,24 seconds up to 2621.44 seconds (~44 minutes) in Idle mode for the PS domain. </w:t>
      </w:r>
    </w:p>
    <w:p>
      <w:pPr>
        <w:pStyle w:val="Normal"/>
        <w:rPr/>
      </w:pPr>
      <w:r>
        <w:rPr/>
        <w:t>The eDRX feature in Idle mode uses the Paging Occasions (PO) as determined by the CN domain specific DRX cycle length coefficient (PS domain) in SIB1 [12] and specified by the Discontinuous Reception for Paging [9]. However the UE is not required to monitor every PO, but only the POs that belong to the Paging Transmission Window (PTW):</w:t>
      </w:r>
    </w:p>
    <w:p>
      <w:pPr>
        <w:pStyle w:val="TH"/>
        <w:rPr>
          <w:lang w:val="sv-SE" w:eastAsia="en-US"/>
        </w:rPr>
      </w:pPr>
      <w:r>
        <w:rPr>
          <w:lang w:val="sv-SE" w:eastAsia="en-US"/>
        </w:rPr>
        <w:drawing>
          <wp:inline distT="0" distB="0" distL="0" distR="0">
            <wp:extent cx="6336665" cy="224980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9"/>
                    <a:srcRect l="10362" t="33267" r="11618" b="22188"/>
                    <a:stretch>
                      <a:fillRect/>
                    </a:stretch>
                  </pic:blipFill>
                  <pic:spPr bwMode="auto">
                    <a:xfrm>
                      <a:off x="0" y="0"/>
                      <a:ext cx="6336665" cy="2249805"/>
                    </a:xfrm>
                    <a:prstGeom prst="rect">
                      <a:avLst/>
                    </a:prstGeom>
                  </pic:spPr>
                </pic:pic>
              </a:graphicData>
            </a:graphic>
          </wp:inline>
        </w:drawing>
      </w:r>
    </w:p>
    <w:p>
      <w:pPr>
        <w:pStyle w:val="TF"/>
        <w:rPr/>
      </w:pPr>
      <w:r>
        <w:rPr/>
        <w:t>Figure 12-1: Extended DRX in Idle mode</w:t>
      </w:r>
    </w:p>
    <w:p>
      <w:pPr>
        <w:pStyle w:val="Normal"/>
        <w:rPr/>
      </w:pPr>
      <w:r>
        <w:rPr/>
        <w:t>The eDRX parameter in Idle mode values, i.e. timer values for T</w:t>
      </w:r>
      <w:r>
        <w:rPr>
          <w:vertAlign w:val="subscript"/>
        </w:rPr>
        <w:t>eDRX</w:t>
      </w:r>
      <w:r>
        <w:rPr/>
        <w:t xml:space="preserve"> and T</w:t>
      </w:r>
      <w:r>
        <w:rPr>
          <w:vertAlign w:val="subscript"/>
        </w:rPr>
        <w:t>PTW</w:t>
      </w:r>
      <w:r>
        <w:rPr/>
        <w:t xml:space="preserve"> are negotiated and configured during ATTACH and RAU procedure ([4] and [5]). Timer T</w:t>
      </w:r>
      <w:r>
        <w:rPr>
          <w:vertAlign w:val="subscript"/>
        </w:rPr>
        <w:t>eDRX</w:t>
      </w:r>
      <w:r>
        <w:rPr/>
        <w:t xml:space="preserve"> is (re-)started when </w:t>
      </w:r>
      <w:r>
        <w:rPr>
          <w:lang w:val="en-US" w:eastAsia="zh-CN"/>
        </w:rPr>
        <w:t xml:space="preserve">upper layers indicate </w:t>
      </w:r>
      <w:r>
        <w:rPr/>
        <w:t xml:space="preserve">successful completion of the ATTACH/RAU procedure, including eDRX parameters in Idle mode. </w:t>
      </w:r>
      <w:r>
        <w:rPr>
          <w:lang w:eastAsia="zh-CN"/>
        </w:rPr>
        <w:t>When timer T</w:t>
      </w:r>
      <w:r>
        <w:rPr>
          <w:vertAlign w:val="subscript"/>
          <w:lang w:eastAsia="zh-CN"/>
        </w:rPr>
        <w:t>eDRX</w:t>
      </w:r>
      <w:r>
        <w:rPr>
          <w:lang w:eastAsia="zh-CN"/>
        </w:rPr>
        <w:t xml:space="preserve"> expires, the UE wakes-up from sleep, it checks the MIB for any system information changes and it starts monitoring the paging occasions in the PS DRX in Idle mode. When timer T</w:t>
      </w:r>
      <w:r>
        <w:rPr>
          <w:vertAlign w:val="subscript"/>
          <w:lang w:eastAsia="zh-CN"/>
        </w:rPr>
        <w:t>eDRX</w:t>
      </w:r>
      <w:r>
        <w:rPr>
          <w:lang w:eastAsia="zh-CN"/>
        </w:rPr>
        <w:t xml:space="preserve"> expires it is re-started, and timer T</w:t>
      </w:r>
      <w:r>
        <w:rPr>
          <w:vertAlign w:val="subscript"/>
          <w:lang w:eastAsia="zh-CN"/>
        </w:rPr>
        <w:t>PTW</w:t>
      </w:r>
      <w:r>
        <w:rPr>
          <w:lang w:eastAsia="zh-CN"/>
        </w:rPr>
        <w:t xml:space="preserve"> is started. When timer T</w:t>
      </w:r>
      <w:r>
        <w:rPr>
          <w:vertAlign w:val="subscript"/>
          <w:lang w:eastAsia="zh-CN"/>
        </w:rPr>
        <w:t>PTW</w:t>
      </w:r>
      <w:r>
        <w:rPr>
          <w:lang w:eastAsia="zh-CN"/>
        </w:rPr>
        <w:t xml:space="preserve"> expires the UE stops monitoring paging occasions in the PS DRX in Idle mode. </w:t>
      </w:r>
      <w:r>
        <w:rPr>
          <w:lang w:val="en-US" w:eastAsia="zh-CN"/>
        </w:rPr>
        <w:t>The timer T</w:t>
      </w:r>
      <w:r>
        <w:rPr>
          <w:vertAlign w:val="subscript"/>
          <w:lang w:val="en-US" w:eastAsia="zh-CN"/>
        </w:rPr>
        <w:t>eDRX</w:t>
      </w:r>
      <w:r>
        <w:rPr>
          <w:lang w:val="en-US" w:eastAsia="zh-CN"/>
        </w:rPr>
        <w:t xml:space="preserve"> and T</w:t>
      </w:r>
      <w:r>
        <w:rPr>
          <w:vertAlign w:val="subscript"/>
          <w:lang w:val="en-US" w:eastAsia="zh-CN"/>
        </w:rPr>
        <w:t xml:space="preserve">PTW </w:t>
      </w:r>
      <w:r>
        <w:rPr>
          <w:lang w:val="en-US" w:eastAsia="zh-CN"/>
        </w:rPr>
        <w:t>do not stop/reset when the UE transitions from Idle to Connected or transitions from Connected to Idle</w:t>
      </w:r>
      <w:r>
        <w:rPr>
          <w:lang w:eastAsia="zh-CN"/>
        </w:rPr>
        <w:t>. The timers T</w:t>
      </w:r>
      <w:r>
        <w:rPr>
          <w:vertAlign w:val="subscript"/>
          <w:lang w:eastAsia="zh-CN"/>
        </w:rPr>
        <w:t>eDRX</w:t>
      </w:r>
      <w:r>
        <w:rPr>
          <w:lang w:eastAsia="zh-CN"/>
        </w:rPr>
        <w:t xml:space="preserve"> and T</w:t>
      </w:r>
      <w:r>
        <w:rPr>
          <w:vertAlign w:val="subscript"/>
          <w:lang w:eastAsia="zh-CN"/>
        </w:rPr>
        <w:t>PTW</w:t>
      </w:r>
      <w:r>
        <w:rPr>
          <w:lang w:eastAsia="zh-CN"/>
        </w:rPr>
        <w:t xml:space="preserve"> are stopped, if running, when upper layer indicates that the </w:t>
      </w:r>
      <w:r>
        <w:rPr/>
        <w:t>eDRX parameters in Idle mode</w:t>
      </w:r>
      <w:r>
        <w:rPr>
          <w:lang w:eastAsia="zh-CN"/>
        </w:rPr>
        <w:t xml:space="preserve"> are not included in the ATTACH/RAU complete. The timers T</w:t>
      </w:r>
      <w:r>
        <w:rPr>
          <w:vertAlign w:val="subscript"/>
          <w:lang w:eastAsia="zh-CN"/>
        </w:rPr>
        <w:t>eDRX</w:t>
      </w:r>
      <w:r>
        <w:rPr>
          <w:lang w:eastAsia="zh-CN"/>
        </w:rPr>
        <w:t xml:space="preserve"> and T</w:t>
      </w:r>
      <w:r>
        <w:rPr>
          <w:vertAlign w:val="subscript"/>
          <w:lang w:eastAsia="zh-CN"/>
        </w:rPr>
        <w:t>PTW</w:t>
      </w:r>
      <w:r>
        <w:rPr>
          <w:lang w:eastAsia="zh-CN"/>
        </w:rPr>
        <w:t xml:space="preserve"> are reset when upper layer indicates that a new value is configured in ATTACH/RAU complete. The value of T</w:t>
      </w:r>
      <w:r>
        <w:rPr>
          <w:vertAlign w:val="subscript"/>
          <w:lang w:eastAsia="zh-CN"/>
        </w:rPr>
        <w:t>eDRX</w:t>
      </w:r>
      <w:r>
        <w:rPr>
          <w:lang w:eastAsia="zh-CN"/>
        </w:rPr>
        <w:t xml:space="preserve"> is signaled in IE “eDRX value” in ATTACH/RAU [4] for timer T331 in RRC [12]. The value of T</w:t>
      </w:r>
      <w:r>
        <w:rPr>
          <w:vertAlign w:val="subscript"/>
          <w:lang w:eastAsia="zh-CN"/>
        </w:rPr>
        <w:t>PTW</w:t>
      </w:r>
      <w:r>
        <w:rPr>
          <w:lang w:eastAsia="zh-CN"/>
        </w:rPr>
        <w:t xml:space="preserve"> is signaled in IE “Paging Time Window” in ATTACH/RAU [4] for timer T332 in RRC [12].</w:t>
      </w:r>
    </w:p>
    <w:p>
      <w:pPr>
        <w:pStyle w:val="Heading1"/>
        <w:ind w:left="1134" w:hanging="1134"/>
        <w:rPr/>
      </w:pPr>
      <w:bookmarkStart w:id="34" w:name="__RefHeading___Toc46308120"/>
      <w:bookmarkEnd w:id="34"/>
      <w:r>
        <w:rPr>
          <w:lang w:eastAsia="zh-CN"/>
        </w:rPr>
        <w:t>13</w:t>
      </w:r>
      <w:r>
        <w:rPr/>
        <w:tab/>
      </w:r>
      <w:r>
        <w:rPr>
          <w:lang w:eastAsia="zh-CN"/>
        </w:rPr>
        <w:t>L2 and L3 Downlink enhancements for UMTS</w:t>
      </w:r>
    </w:p>
    <w:p>
      <w:pPr>
        <w:pStyle w:val="Heading2"/>
        <w:rPr/>
      </w:pPr>
      <w:bookmarkStart w:id="35" w:name="__RefHeading___Toc46308121"/>
      <w:bookmarkEnd w:id="35"/>
      <w:r>
        <w:rPr>
          <w:lang w:eastAsia="zh-CN"/>
        </w:rPr>
        <w:t>13</w:t>
      </w:r>
      <w:r>
        <w:rPr>
          <w:lang w:eastAsia="zh-CN"/>
        </w:rPr>
        <w:t>.1</w:t>
      </w:r>
      <w:r>
        <w:rPr/>
        <w:tab/>
      </w:r>
      <w:r>
        <w:rPr>
          <w:lang w:eastAsia="zh-CN"/>
        </w:rPr>
        <w:t>Retrievable configurations</w:t>
      </w:r>
    </w:p>
    <w:p>
      <w:pPr>
        <w:pStyle w:val="Normal"/>
        <w:rPr>
          <w:lang w:eastAsia="zh-CN"/>
        </w:rPr>
      </w:pPr>
      <w:r>
        <w:rPr/>
        <w:t xml:space="preserve">The retrievable configurations feature allows the UE to store configurations together with an identity. </w:t>
      </w:r>
      <w:r>
        <w:rPr>
          <w:lang w:eastAsia="zh-CN"/>
        </w:rPr>
        <w:t xml:space="preserve">When the network invokes a retrievable configuration, it needs to signal only its identity. A retrievable </w:t>
      </w:r>
      <w:r>
        <w:rPr>
          <w:lang w:eastAsia="zh-CN"/>
        </w:rPr>
        <w:t>configuration</w:t>
      </w:r>
      <w:r>
        <w:rPr>
          <w:lang w:eastAsia="zh-CN"/>
        </w:rPr>
        <w:t xml:space="preserve"> can be signalled to a UE in any state except for idle. </w:t>
      </w:r>
      <w:r>
        <w:rPr/>
        <w:t>Retrievable configurations are cleared when entering idle mode and at SRNS relocation.</w:t>
      </w:r>
    </w:p>
    <w:p>
      <w:pPr>
        <w:pStyle w:val="Normal"/>
        <w:rPr>
          <w:lang w:eastAsia="zh-CN"/>
        </w:rPr>
      </w:pPr>
      <w:r>
        <w:rPr>
          <w:lang w:eastAsia="zh-CN"/>
        </w:rPr>
        <w:t xml:space="preserve">There are two ways of signalling the retrievable configurations: one way is that as a result of an RRC signalling procedure, the UE stores the received </w:t>
      </w:r>
      <w:r>
        <w:rPr>
          <w:lang w:eastAsia="zh-CN"/>
        </w:rPr>
        <w:t>configuration</w:t>
      </w:r>
      <w:r>
        <w:rPr>
          <w:lang w:eastAsia="zh-CN"/>
        </w:rPr>
        <w:t xml:space="preserve"> as a retrievable configuration, and the other way is that the network preconfigure</w:t>
      </w:r>
      <w:r>
        <w:rPr>
          <w:lang w:eastAsia="zh-CN"/>
        </w:rPr>
        <w:t>s the UE with</w:t>
      </w:r>
      <w:r>
        <w:rPr>
          <w:lang w:eastAsia="zh-CN"/>
        </w:rPr>
        <w:t xml:space="preserve"> at least one retrievable configuration. The </w:t>
      </w:r>
      <w:r>
        <w:rPr>
          <w:lang w:eastAsia="zh-CN"/>
        </w:rPr>
        <w:t>network</w:t>
      </w:r>
      <w:r>
        <w:rPr>
          <w:lang w:eastAsia="zh-CN"/>
        </w:rPr>
        <w:t xml:space="preserve"> can signal a delta </w:t>
      </w:r>
      <w:r>
        <w:rPr>
          <w:lang w:eastAsia="zh-CN"/>
        </w:rPr>
        <w:t xml:space="preserve">to a stored configuration </w:t>
      </w:r>
      <w:r>
        <w:rPr>
          <w:lang w:eastAsia="zh-CN"/>
        </w:rPr>
        <w:t xml:space="preserve">for either of </w:t>
      </w:r>
      <w:r>
        <w:rPr>
          <w:lang w:eastAsia="zh-CN"/>
        </w:rPr>
        <w:t xml:space="preserve">the </w:t>
      </w:r>
      <w:r>
        <w:rPr>
          <w:lang w:eastAsia="zh-CN"/>
        </w:rPr>
        <w:t>two ways. T</w:t>
      </w:r>
      <w:r>
        <w:rPr>
          <w:lang w:eastAsia="zh-CN"/>
        </w:rPr>
        <w:t>h</w:t>
      </w:r>
      <w:r>
        <w:rPr>
          <w:lang w:eastAsia="zh-CN"/>
        </w:rPr>
        <w:t>e UE validates a retrievable configuration when it invokes it.</w:t>
      </w:r>
    </w:p>
    <w:p>
      <w:pPr>
        <w:pStyle w:val="Heading2"/>
        <w:rPr/>
      </w:pPr>
      <w:bookmarkStart w:id="36" w:name="__RefHeading___Toc46308122"/>
      <w:bookmarkEnd w:id="36"/>
      <w:r>
        <w:rPr>
          <w:lang w:eastAsia="zh-CN"/>
        </w:rPr>
        <w:t>13</w:t>
      </w:r>
      <w:r>
        <w:rPr>
          <w:lang w:eastAsia="zh-CN"/>
        </w:rPr>
        <w:t>.</w:t>
      </w:r>
      <w:r>
        <w:rPr>
          <w:lang w:eastAsia="zh-CN"/>
        </w:rPr>
        <w:t>2</w:t>
      </w:r>
      <w:r>
        <w:rPr/>
        <w:tab/>
      </w:r>
      <w:r>
        <w:rPr>
          <w:lang w:eastAsia="zh-CN"/>
        </w:rPr>
        <w:t>URA_PCH with seamless transition</w:t>
      </w:r>
    </w:p>
    <w:p>
      <w:pPr>
        <w:pStyle w:val="Normal"/>
        <w:rPr>
          <w:kern w:val="2"/>
          <w:lang w:eastAsia="zh-CN"/>
        </w:rPr>
      </w:pPr>
      <w:r>
        <w:rPr>
          <w:kern w:val="2"/>
          <w:lang w:eastAsia="zh-CN"/>
        </w:rPr>
        <w:t>The feature URA_PCH with seamless transition to CELL_FACH is described in 3GPP TS 25.319 [3].</w:t>
      </w:r>
    </w:p>
    <w:p>
      <w:pPr>
        <w:pStyle w:val="Heading2"/>
        <w:rPr>
          <w:lang w:eastAsia="zh-CN"/>
        </w:rPr>
      </w:pPr>
      <w:bookmarkStart w:id="37" w:name="__RefHeading___Toc46308123"/>
      <w:bookmarkEnd w:id="37"/>
      <w:r>
        <w:rPr/>
        <w:t>13.</w:t>
      </w:r>
      <w:r>
        <w:rPr>
          <w:lang w:eastAsia="zh-CN"/>
        </w:rPr>
        <w:t>3</w:t>
      </w:r>
      <w:r>
        <w:rPr/>
        <w:tab/>
      </w:r>
      <w:r>
        <w:rPr>
          <w:lang w:eastAsia="zh-CN"/>
        </w:rPr>
        <w:t>O</w:t>
      </w:r>
      <w:r>
        <w:rPr>
          <w:lang w:val="en-US" w:eastAsia="zh-CN"/>
        </w:rPr>
        <w:t>ptimization from IDLE to CONNECTED state</w:t>
      </w:r>
    </w:p>
    <w:p>
      <w:pPr>
        <w:pStyle w:val="Normal"/>
        <w:rPr>
          <w:lang w:val="en-US" w:eastAsia="en-US"/>
        </w:rPr>
      </w:pPr>
      <w:r>
        <w:rPr>
          <w:lang w:val="en-US" w:eastAsia="en-US"/>
        </w:rPr>
        <w:t xml:space="preserve">If the UE </w:t>
      </w:r>
      <w:r>
        <w:rPr/>
        <w:t xml:space="preserve">supports </w:t>
      </w:r>
      <w:r>
        <w:rPr>
          <w:rFonts w:cs="Arial"/>
        </w:rPr>
        <w:t>"</w:t>
      </w:r>
      <w:r>
        <w:rPr/>
        <w:t>NodeB triggered HS-DPCCH transmission</w:t>
      </w:r>
      <w:r>
        <w:rPr>
          <w:rFonts w:cs="Arial"/>
        </w:rPr>
        <w:t>"</w:t>
      </w:r>
      <w:r>
        <w:rPr>
          <w:lang w:eastAsia="zh-CN"/>
        </w:rPr>
        <w:t>,</w:t>
      </w:r>
      <w:r>
        <w:rPr/>
        <w:t xml:space="preserve"> the RNC can issue the </w:t>
      </w:r>
      <w:r>
        <w:rPr>
          <w:rFonts w:cs="Arial"/>
        </w:rPr>
        <w:t>indication to</w:t>
      </w:r>
      <w:r>
        <w:rPr>
          <w:rFonts w:eastAsia="SimSun;宋体"/>
        </w:rPr>
        <w:t xml:space="preserve"> trigger acquisition of the common E-DCH resource or to release the allocated common E-DCH resource for the particular UE</w:t>
      </w:r>
      <w:r>
        <w:rPr>
          <w:lang w:eastAsia="zh-CN"/>
        </w:rPr>
        <w:t>.</w:t>
      </w:r>
    </w:p>
    <w:p>
      <w:pPr>
        <w:pStyle w:val="Heading2"/>
        <w:rPr/>
      </w:pPr>
      <w:bookmarkStart w:id="38" w:name="__RefHeading___Toc46308124"/>
      <w:bookmarkEnd w:id="38"/>
      <w:r>
        <w:rPr/>
        <w:t>13.</w:t>
      </w:r>
      <w:r>
        <w:rPr>
          <w:lang w:eastAsia="zh-CN"/>
        </w:rPr>
        <w:t>4</w:t>
      </w:r>
      <w:r>
        <w:rPr/>
        <w:tab/>
      </w:r>
      <w:r>
        <w:rPr>
          <w:lang w:eastAsia="zh-CN"/>
        </w:rPr>
        <w:t>Blind HARQ retransmissions for HSDPA</w:t>
      </w:r>
    </w:p>
    <w:p>
      <w:pPr>
        <w:pStyle w:val="Normal"/>
        <w:rPr>
          <w:lang w:val="en-US" w:eastAsia="en-US"/>
        </w:rPr>
      </w:pPr>
      <w:r>
        <w:rPr>
          <w:kern w:val="2"/>
          <w:lang w:eastAsia="zh-CN"/>
        </w:rPr>
        <w:t>The feature blind HARQ retransmissions for HSDPA is described in 3GPP TS 25.308 [2].</w:t>
      </w:r>
    </w:p>
    <w:p>
      <w:pPr>
        <w:pStyle w:val="Heading2"/>
        <w:rPr/>
      </w:pPr>
      <w:bookmarkStart w:id="39" w:name="__RefHeading___Toc46308125"/>
      <w:bookmarkEnd w:id="39"/>
      <w:r>
        <w:rPr>
          <w:lang w:eastAsia="zh-CN"/>
        </w:rPr>
        <w:t>13</w:t>
      </w:r>
      <w:r>
        <w:rPr>
          <w:lang w:eastAsia="zh-CN"/>
        </w:rPr>
        <w:t>.</w:t>
      </w:r>
      <w:r>
        <w:rPr>
          <w:lang w:eastAsia="zh-CN"/>
        </w:rPr>
        <w:t>5</w:t>
      </w:r>
      <w:r>
        <w:rPr/>
        <w:tab/>
      </w:r>
      <w:r>
        <w:rPr>
          <w:lang w:eastAsia="zh-CN"/>
        </w:rPr>
        <w:t>Enhanced state transition</w:t>
      </w:r>
    </w:p>
    <w:p>
      <w:pPr>
        <w:pStyle w:val="Normal"/>
        <w:rPr>
          <w:lang w:eastAsia="zh-CN"/>
        </w:rPr>
      </w:pPr>
      <w:r>
        <w:rPr/>
        <w:t>This feature allows the UE to move to a more power efficient state with</w:t>
      </w:r>
      <w:r>
        <w:rPr>
          <w:lang w:eastAsia="zh-CN"/>
        </w:rPr>
        <w:t>out</w:t>
      </w:r>
      <w:r>
        <w:rPr/>
        <w:t xml:space="preserve"> explicit RRC reconfiguration. The UE sends the RRC indication to the RNC and moves to the target state upon reception of the RLC ACK from the RNC. The state transition is applicable to the following cases: from CELL_DCH to CELL_FACH, from CELL_FACH to CELL_PCH/URA_PCH, and from CELL_DCH to CELL_PCH/URA_PCH.</w:t>
      </w:r>
    </w:p>
    <w:p>
      <w:pPr>
        <w:pStyle w:val="Normal"/>
        <w:rPr>
          <w:lang w:val="en-US" w:eastAsia="en-US"/>
        </w:rPr>
      </w:pPr>
      <w:r>
        <w:rPr/>
        <w:t>While configuring a UE with enhanced state transition, the RNC can provide RRC configuration that will be applied once the UE enters the target state.</w:t>
      </w:r>
    </w:p>
    <w:p>
      <w:pPr>
        <w:pStyle w:val="Heading2"/>
        <w:rPr/>
      </w:pPr>
      <w:bookmarkStart w:id="40" w:name="__RefHeading___Toc46308126"/>
      <w:bookmarkEnd w:id="40"/>
      <w:r>
        <w:rPr>
          <w:lang w:eastAsia="zh-CN"/>
        </w:rPr>
        <w:t>13</w:t>
      </w:r>
      <w:r>
        <w:rPr>
          <w:lang w:eastAsia="zh-CN"/>
        </w:rPr>
        <w:t>.</w:t>
      </w:r>
      <w:r>
        <w:rPr>
          <w:lang w:eastAsia="zh-CN"/>
        </w:rPr>
        <w:t>6</w:t>
      </w:r>
      <w:r>
        <w:rPr/>
        <w:tab/>
      </w:r>
      <w:r>
        <w:rPr>
          <w:lang w:eastAsia="zh-CN"/>
        </w:rPr>
        <w:t>Improved synchronized RRC procedures</w:t>
      </w:r>
    </w:p>
    <w:p>
      <w:pPr>
        <w:pStyle w:val="Normal"/>
        <w:rPr/>
      </w:pPr>
      <w:r>
        <w:rPr>
          <w:lang w:eastAsia="zh-CN"/>
        </w:rPr>
        <w:t>In i</w:t>
      </w:r>
      <w:r>
        <w:rPr/>
        <w:t>mproved synchronized RRC procedures</w:t>
      </w:r>
      <w:r>
        <w:rPr>
          <w:lang w:eastAsia="zh-CN"/>
        </w:rPr>
        <w:t>,</w:t>
      </w:r>
      <w:r>
        <w:rPr/>
        <w:t xml:space="preserve"> </w:t>
      </w:r>
      <w:r>
        <w:rPr>
          <w:lang w:eastAsia="zh-CN"/>
        </w:rPr>
        <w:t xml:space="preserve">firstly </w:t>
      </w:r>
      <w:r>
        <w:rPr/>
        <w:t>the UE receives an RRC reconfiguration message for a synchronized RRC procedure indicating that the activation time shall be dynamically determined</w:t>
      </w:r>
      <w:r>
        <w:rPr>
          <w:lang w:eastAsia="zh-CN"/>
        </w:rPr>
        <w:t>. Then</w:t>
      </w:r>
      <w:r>
        <w:rPr/>
        <w:t xml:space="preserve">, </w:t>
      </w:r>
      <w:r>
        <w:rPr>
          <w:lang w:eastAsia="zh-CN"/>
        </w:rPr>
        <w:t xml:space="preserve">when </w:t>
      </w:r>
      <w:r>
        <w:rPr/>
        <w:t>the UE</w:t>
      </w:r>
      <w:r>
        <w:rPr>
          <w:lang w:eastAsia="zh-CN"/>
        </w:rPr>
        <w:t xml:space="preserve"> is ready to switch to the new configuration indicated in the RRC message, it</w:t>
      </w:r>
      <w:r>
        <w:rPr/>
        <w:t xml:space="preserve"> sends a MAC Control Information to the Node B. On reception of the HARQ ACK to the MAC Control Information, the UE calculates the activation time by adding an offset to the current CFN. The UE</w:t>
      </w:r>
      <w:r>
        <w:rPr>
          <w:lang w:eastAsia="zh-CN"/>
        </w:rPr>
        <w:t xml:space="preserve"> reconfigures at the calculated activation time and</w:t>
      </w:r>
      <w:r>
        <w:rPr/>
        <w:t xml:space="preserve"> sends an RRC configuration complete message upon successful completion of the procedure.</w:t>
      </w:r>
    </w:p>
    <w:p>
      <w:pPr>
        <w:pStyle w:val="Normal"/>
        <w:rPr>
          <w:lang w:val="en-US" w:eastAsia="en-US"/>
        </w:rPr>
      </w:pPr>
      <w:r>
        <w:rPr>
          <w:lang w:eastAsia="zh-CN"/>
        </w:rPr>
        <w:t>T</w:t>
      </w:r>
      <w:r>
        <w:rPr>
          <w:lang w:eastAsia="zh-CN"/>
        </w:rPr>
        <w:t xml:space="preserve">he network can also indicate </w:t>
      </w:r>
      <w:r>
        <w:rPr>
          <w:lang w:eastAsia="zh-CN"/>
        </w:rPr>
        <w:t>a legacy</w:t>
      </w:r>
      <w:r>
        <w:rPr>
          <w:lang w:eastAsia="zh-CN"/>
        </w:rPr>
        <w:t xml:space="preserve"> activation time,</w:t>
      </w:r>
      <w:r>
        <w:rPr>
          <w:lang w:eastAsia="zh-CN"/>
        </w:rPr>
        <w:t xml:space="preserve"> </w:t>
      </w:r>
      <w:r>
        <w:rPr>
          <w:lang w:eastAsia="zh-CN"/>
        </w:rPr>
        <w:t xml:space="preserve">at </w:t>
      </w:r>
      <w:r>
        <w:rPr>
          <w:lang w:eastAsia="zh-CN"/>
        </w:rPr>
        <w:t>which the switch to the new configuration latest shall occur.</w:t>
      </w:r>
      <w:r>
        <w:rPr>
          <w:lang w:eastAsia="zh-CN"/>
        </w:rPr>
        <w:t xml:space="preserve"> The UE will choose the smallest value of the legacy activation time and the calculated activation time as the final activation time.</w:t>
      </w:r>
    </w:p>
    <w:p>
      <w:pPr>
        <w:pStyle w:val="Heading1"/>
        <w:ind w:left="1134" w:hanging="1134"/>
        <w:rPr>
          <w:color w:val="000000"/>
        </w:rPr>
      </w:pPr>
      <w:bookmarkStart w:id="41" w:name="__RefHeading___Toc46308127"/>
      <w:bookmarkEnd w:id="41"/>
      <w:r>
        <w:rPr>
          <w:color w:val="000000"/>
        </w:rPr>
        <w:t>14</w:t>
        <w:tab/>
      </w:r>
      <w:r>
        <w:rPr>
          <w:color w:val="000000"/>
          <w:lang w:val="en-US" w:eastAsia="en-US"/>
        </w:rPr>
        <w:t>Downlink TPC enhancements for UMTS</w:t>
      </w:r>
    </w:p>
    <w:p>
      <w:pPr>
        <w:pStyle w:val="Normal"/>
        <w:rPr>
          <w:color w:val="000000"/>
          <w:lang w:val="en-US" w:eastAsia="en-US"/>
        </w:rPr>
      </w:pPr>
      <w:r>
        <w:rPr>
          <w:color w:val="000000"/>
        </w:rPr>
        <w:t>In CELL_DCH state, the network can configure a UE with power control Algorithm 3 when the F-DPCH is also configured. For this algorithm, the TPC command is transmitted only once in a certain number of consecutive slots, and other TPC commands are DTXed in the remaining slots. The number of consecutive slots can be configured with 3 or 5 slots.</w:t>
        <w:br/>
        <w:br/>
        <w:t xml:space="preserve">If a UE is configured with Algorithm 3 on any of the radio links, then all the radio links within the same RLS must have power control Algorithm 3. If power control Algorithm 3 is configured in one RLS, and any of the legacy algorithms is configured in another RLS, then the UE will behave as per Algorithm 3 to determine transmission power under such configuration. </w:t>
        <w:br/>
        <w:br/>
        <w:t>For generation of TPC in uplink DPCCH, the UE will generate and transmit TPC command as per the algorithm configured on the serving radio link.</w:t>
      </w:r>
    </w:p>
    <w:p>
      <w:pPr>
        <w:pStyle w:val="Heading1"/>
        <w:ind w:left="1134" w:hanging="1134"/>
        <w:rPr/>
      </w:pPr>
      <w:bookmarkStart w:id="42" w:name="__RefHeading___Toc46308128"/>
      <w:bookmarkEnd w:id="42"/>
      <w:r>
        <w:rPr>
          <w:lang w:eastAsia="zh-CN"/>
        </w:rPr>
        <w:t>15</w:t>
      </w:r>
      <w:r>
        <w:rPr/>
        <w:tab/>
      </w:r>
      <w:r>
        <w:rPr>
          <w:lang w:eastAsia="zh-CN"/>
        </w:rPr>
        <w:t>NAICS offloading (FDD only)</w:t>
      </w:r>
    </w:p>
    <w:p>
      <w:pPr>
        <w:pStyle w:val="Normal"/>
        <w:rPr/>
      </w:pPr>
      <w:r>
        <w:rPr/>
        <w:t>In this offloading mechanism, the UE is configured with the Multiflow operation 3GPP TS 25.308 [2], which allows the UE to measure and send CQIs for cells belonging to a different Node B. Based on received channel quality information, the UE can be offloaded from the serving Node B HS-DSCH cell(s) to HS-DSCH cell(s) belonging to a different Node B through the network specific behaviour, e.g. serving cell change procedure.</w:t>
      </w:r>
    </w:p>
    <w:p>
      <w:pPr>
        <w:pStyle w:val="Heading1"/>
        <w:ind w:left="1134" w:hanging="1134"/>
        <w:rPr/>
      </w:pPr>
      <w:bookmarkStart w:id="43" w:name="__RefHeading___Toc46308129"/>
      <w:bookmarkEnd w:id="43"/>
      <w:r>
        <w:rPr/>
        <w:t>16</w:t>
        <w:tab/>
        <w:t>ACDC in Idle Mode</w:t>
      </w:r>
    </w:p>
    <w:p>
      <w:pPr>
        <w:pStyle w:val="Normal"/>
        <w:rPr/>
      </w:pPr>
      <w:r>
        <w:rPr>
          <w:lang w:val="en-US" w:eastAsia="en-US"/>
        </w:rPr>
        <w:t>The ACDC feature allows network</w:t>
      </w:r>
      <w:r>
        <w:rPr/>
        <w:t xml:space="preserve"> to control new PS domain access attempts from particular applications in the UE in idle mode to prevent/mitigate overload of the access network and/or the core network. </w:t>
      </w:r>
    </w:p>
    <w:p>
      <w:pPr>
        <w:pStyle w:val="Normal"/>
        <w:rPr/>
      </w:pPr>
      <w:r>
        <w:rPr/>
        <w:t>The applications on the UE may be associated with an ACDC category. At subscription, at least four ACDC categories, and up to 16 ACDC categories, are allocated to the subscriber and stored in the ACDC Management Object (MO) or USIM [9].</w:t>
      </w:r>
    </w:p>
    <w:p>
      <w:pPr>
        <w:pStyle w:val="Normal"/>
        <w:rPr/>
      </w:pPr>
      <w:r>
        <w:rPr/>
        <w:t>The access barring information for each ACDC category is broadcast in SIB. The ACDC capable UE controls the access attempt for a certain application based on the broadcast barring information and the configuration of ACDC categories in the UE.</w:t>
      </w:r>
    </w:p>
    <w:p>
      <w:pPr>
        <w:pStyle w:val="Normal"/>
        <w:rPr/>
      </w:pPr>
      <w:r>
        <w:rPr/>
        <w:t>The following guidelines define the behaviour of a UE configured with ACDC when other access control mechanisms (ACB, EAB and DSAC) are co-existing:</w:t>
      </w:r>
    </w:p>
    <w:p>
      <w:pPr>
        <w:pStyle w:val="B1"/>
        <w:rPr/>
      </w:pPr>
      <w:r>
        <w:rPr/>
        <w:t>-</w:t>
        <w:tab/>
        <w:t>When DSAC and ACDC are configured together, the PS domain DSAC will be ignored by the UEs.</w:t>
      </w:r>
    </w:p>
    <w:p>
      <w:pPr>
        <w:pStyle w:val="B1"/>
        <w:rPr/>
      </w:pPr>
      <w:r>
        <w:rPr/>
        <w:t>-</w:t>
        <w:tab/>
        <w:t>When EAB and ACDC are configured together, the UE will first check EAB and then check ACDC.</w:t>
      </w:r>
    </w:p>
    <w:p>
      <w:pPr>
        <w:pStyle w:val="B1"/>
        <w:rPr/>
      </w:pPr>
      <w:r>
        <w:rPr/>
        <w:t>-</w:t>
        <w:tab/>
        <w:t>For UEs configured with ACDC, ACB is ignored.</w:t>
      </w:r>
    </w:p>
    <w:p>
      <w:pPr>
        <w:pStyle w:val="Heading1"/>
        <w:ind w:left="1134" w:hanging="1134"/>
        <w:rPr/>
      </w:pPr>
      <w:bookmarkStart w:id="44" w:name="__RefHeading___Toc46308130"/>
      <w:bookmarkEnd w:id="44"/>
      <w:r>
        <w:rPr/>
        <w:t>17</w:t>
        <w:tab/>
        <w:t>RRC optimization</w:t>
      </w:r>
    </w:p>
    <w:p>
      <w:pPr>
        <w:pStyle w:val="Heading2"/>
        <w:rPr/>
      </w:pPr>
      <w:bookmarkStart w:id="45" w:name="__RefHeading___Toc46308131"/>
      <w:bookmarkEnd w:id="45"/>
      <w:r>
        <w:rPr/>
        <w:t>17.1</w:t>
        <w:tab/>
        <w:t>RRC measurement events for UPH reporting</w:t>
      </w:r>
    </w:p>
    <w:p>
      <w:pPr>
        <w:pStyle w:val="Normal"/>
        <w:rPr/>
      </w:pPr>
      <w:r>
        <w:rPr/>
        <w:t>The RRC measurement events for UPH reporting allow the UE to perform measurements on UE Power Headroom (UPH) and signal measurement events when the UPH becomes larger or less than an absolute threshold respectively. The thresholds are configurable, as well as hysteresis, time-to-trigger, filter coefficient and pending time after trigger for each of the events.</w:t>
      </w:r>
    </w:p>
    <w:p>
      <w:pPr>
        <w:pStyle w:val="Heading2"/>
        <w:rPr/>
      </w:pPr>
      <w:bookmarkStart w:id="46" w:name="__RefHeading___Toc46308132"/>
      <w:bookmarkEnd w:id="46"/>
      <w:r>
        <w:rPr/>
        <w:t>17.2</w:t>
        <w:tab/>
        <w:t>Simultaneous Setup and Release of RABs and RBs</w:t>
      </w:r>
    </w:p>
    <w:p>
      <w:pPr>
        <w:pStyle w:val="Normal"/>
        <w:rPr/>
      </w:pPr>
      <w:r>
        <w:rPr/>
        <w:t>The simultaneous setup and release of RABs and RBs enhancement allows setup, release and reconfiguration of radio access bearers and radio bearers in the same RRC message.</w:t>
      </w:r>
    </w:p>
    <w:p>
      <w:pPr>
        <w:pStyle w:val="Heading1"/>
        <w:ind w:left="1134" w:hanging="1134"/>
        <w:rPr/>
      </w:pPr>
      <w:bookmarkStart w:id="47" w:name="__RefHeading___Toc46308133"/>
      <w:bookmarkEnd w:id="47"/>
      <w:r>
        <w:rPr>
          <w:lang w:eastAsia="zh-CN"/>
        </w:rPr>
        <w:t>18</w:t>
      </w:r>
      <w:r>
        <w:rPr>
          <w:lang w:eastAsia="ja-JP"/>
        </w:rPr>
        <w:tab/>
      </w:r>
      <w:r>
        <w:rPr>
          <w:lang w:eastAsia="zh-CN"/>
        </w:rPr>
        <w:t>HS-SCCH DRX in CELL_FACH state</w:t>
      </w:r>
      <w:r>
        <w:rPr>
          <w:lang w:eastAsia="ja-JP"/>
        </w:rPr>
        <w:t xml:space="preserve"> (FDD only)</w:t>
      </w:r>
    </w:p>
    <w:p>
      <w:pPr>
        <w:pStyle w:val="Normal"/>
        <w:rPr>
          <w:kern w:val="2"/>
          <w:lang w:eastAsia="zh-CN"/>
        </w:rPr>
      </w:pPr>
      <w:r>
        <w:rPr>
          <w:kern w:val="2"/>
          <w:lang w:eastAsia="zh-CN"/>
        </w:rPr>
        <w:t>With the feature HS-SCCH DRX in CELL_FACH state, the UE discontinuously receive</w:t>
      </w:r>
      <w:r>
        <w:rPr>
          <w:kern w:val="2"/>
          <w:lang w:eastAsia="zh-CN"/>
        </w:rPr>
        <w:t>s</w:t>
      </w:r>
      <w:r>
        <w:rPr>
          <w:kern w:val="2"/>
          <w:lang w:eastAsia="zh-CN"/>
        </w:rPr>
        <w:t xml:space="preserve"> only HS-SCCH orders </w:t>
      </w:r>
      <w:r>
        <w:rPr>
          <w:kern w:val="2"/>
          <w:lang w:eastAsia="zh-CN"/>
        </w:rPr>
        <w:t xml:space="preserve">without </w:t>
      </w:r>
      <w:r>
        <w:rPr>
          <w:kern w:val="2"/>
          <w:lang w:eastAsia="zh-CN"/>
        </w:rPr>
        <w:t>decod</w:t>
      </w:r>
      <w:r>
        <w:rPr>
          <w:kern w:val="2"/>
          <w:lang w:eastAsia="zh-CN"/>
        </w:rPr>
        <w:t>ing</w:t>
      </w:r>
      <w:r>
        <w:rPr>
          <w:kern w:val="2"/>
          <w:lang w:eastAsia="zh-CN"/>
        </w:rPr>
        <w:t xml:space="preserve"> HS-DSCH in CELL_FACH state. Details could be referred in 3GPP TS 25.308 [2].</w:t>
      </w:r>
    </w:p>
    <w:p>
      <w:pPr>
        <w:pStyle w:val="Heading1"/>
        <w:ind w:left="1134" w:hanging="1134"/>
        <w:rPr>
          <w:lang w:eastAsia="zh-CN"/>
        </w:rPr>
      </w:pPr>
      <w:bookmarkStart w:id="48" w:name="__RefHeading___Toc46308134"/>
      <w:bookmarkEnd w:id="48"/>
      <w:r>
        <w:rPr/>
        <w:t>19</w:t>
        <w:tab/>
      </w:r>
      <w:r>
        <w:rPr>
          <w:lang w:eastAsia="zh-CN"/>
        </w:rPr>
        <w:t>Dual Cell E-DCH operation enhancements</w:t>
      </w:r>
    </w:p>
    <w:p>
      <w:pPr>
        <w:pStyle w:val="Normal"/>
        <w:rPr>
          <w:lang w:eastAsia="zh-CN"/>
        </w:rPr>
      </w:pPr>
      <w:r>
        <w:rPr>
          <w:lang w:eastAsia="zh-CN"/>
        </w:rPr>
        <w:t>This feature Dual Cell E-DCH operation enhancements is described in 3GPP TS 25.319 [3].</w:t>
      </w:r>
    </w:p>
    <w:p>
      <w:pPr>
        <w:pStyle w:val="Heading1"/>
        <w:ind w:left="1134" w:hanging="1134"/>
        <w:rPr/>
      </w:pPr>
      <w:bookmarkStart w:id="49" w:name="__RefHeading___Toc46308135"/>
      <w:bookmarkEnd w:id="49"/>
      <w:r>
        <w:rPr>
          <w:lang w:eastAsia="zh-CN"/>
        </w:rPr>
        <w:t>20</w:t>
      </w:r>
      <w:r>
        <w:rPr/>
        <w:tab/>
      </w:r>
      <w:r>
        <w:rPr>
          <w:lang w:val="en-US" w:eastAsia="en-US"/>
        </w:rPr>
        <w:t>QoE Measurement Collection</w:t>
      </w:r>
    </w:p>
    <w:p>
      <w:pPr>
        <w:pStyle w:val="Normal"/>
        <w:rPr/>
      </w:pPr>
      <w:r>
        <w:rPr/>
        <w:t>With this feature, the network can configure collection of measurements from the UE. The feature defines QoE measurement configuration and measurement reporting containers, and the feature uses the MDT framework [14]. QoE measurement configuration received from OAM or CN is encapsulated in a container, which is inserted in a Measurement Control message and forwarded to the UE transparently. QoE measurements received from UE higher layer are inserted in a container in a Measurement Report message and sent over SRB4.</w:t>
      </w:r>
    </w:p>
    <w:p>
      <w:pPr>
        <w:pStyle w:val="Normal"/>
        <w:rPr/>
      </w:pPr>
      <w:r>
        <w:rPr/>
        <w:t>The supported service types for QoE Measurement Collection are QoE Measurement Collection for streaming services and QoE Measurement Collection for MTSI services.</w:t>
      </w:r>
    </w:p>
    <w:p>
      <w:pPr>
        <w:pStyle w:val="Normal"/>
        <w:rPr/>
      </w:pPr>
      <w:r>
        <w:rPr/>
        <w:t>The QoE measurement configuration is supported in CELL_DCH and CELL_FACH states, whereas the QoE measurement reporting is supported in CELL_DCH state only.</w:t>
      </w:r>
    </w:p>
    <w:p>
      <w:pPr>
        <w:pStyle w:val="Normal"/>
        <w:rPr/>
      </w:pPr>
      <w:r>
        <w:rPr/>
        <w:t>Both signalling based and management based initiation cases are allowed. For the signalling based case, the QoE Measurement Collection is initiated towards a specific UE from CN nodes using the MDT mechanism as described in clause 5.1.3 [14]; for the management based case, the QoE Measurement Collection is initiated from OAM targeting an area (without targeting a specific UE).</w:t>
      </w:r>
    </w:p>
    <w:p>
      <w:pPr>
        <w:pStyle w:val="Heading1"/>
        <w:ind w:left="1134" w:hanging="1134"/>
        <w:rPr>
          <w:rFonts w:eastAsia="SimSun;宋体"/>
          <w:lang w:eastAsia="ja-JP"/>
        </w:rPr>
      </w:pPr>
      <w:bookmarkStart w:id="50" w:name="__RefHeading___Toc46308136"/>
      <w:bookmarkEnd w:id="50"/>
      <w:r>
        <w:rPr>
          <w:rFonts w:eastAsia="SimSun;宋体"/>
          <w:lang w:eastAsia="ja-JP"/>
        </w:rPr>
        <w:t>21</w:t>
        <w:tab/>
        <w:t>DL Interference Mitigation (FDD only)</w:t>
      </w:r>
    </w:p>
    <w:p>
      <w:pPr>
        <w:pStyle w:val="Normal"/>
        <w:rPr/>
      </w:pPr>
      <w:r>
        <w:rPr/>
        <w:t>The feature DL interference mitigation enables the UE to receive an indication about a potential increase in the DL adjacent channel interference level (e.g. due to adjacent GSM carriers). The corresponding signalling indication is conveyed in broadcast messages SIB5, SIB5bis and SIB6. The UE may use this indication to mitigate the DL interference, e.g. by using optimized Rx filtering.</w:t>
      </w:r>
    </w:p>
    <w:p>
      <w:pPr>
        <w:pStyle w:val="Heading1"/>
        <w:ind w:left="1134" w:hanging="1134"/>
        <w:rPr/>
      </w:pPr>
      <w:bookmarkStart w:id="51" w:name="__RefHeading___Toc46308137"/>
      <w:bookmarkEnd w:id="51"/>
      <w:r>
        <w:rPr>
          <w:rFonts w:eastAsia="SimSun;宋体"/>
          <w:lang w:eastAsia="ja-JP"/>
        </w:rPr>
        <w:t>22</w:t>
        <w:tab/>
      </w:r>
      <w:r>
        <w:rPr>
          <w:lang w:val="en-US" w:eastAsia="en-US"/>
        </w:rPr>
        <w:t>Simplified HS-SCCH type 1 operation</w:t>
      </w:r>
    </w:p>
    <w:p>
      <w:pPr>
        <w:pStyle w:val="Normal"/>
        <w:autoSpaceDE w:val="false"/>
        <w:spacing w:before="0" w:after="0"/>
        <w:rPr>
          <w:kern w:val="2"/>
          <w:lang w:eastAsia="zh-CN"/>
        </w:rPr>
      </w:pPr>
      <w:r>
        <w:rPr>
          <w:lang w:eastAsia="zh-CN"/>
        </w:rPr>
        <w:t xml:space="preserve">This feature </w:t>
      </w:r>
      <w:r>
        <w:rPr>
          <w:lang w:eastAsia="zh-CN"/>
        </w:rPr>
        <w:t xml:space="preserve">Simplified HS-SCCH type 1 </w:t>
      </w:r>
      <w:r>
        <w:rPr>
          <w:lang w:eastAsia="zh-CN"/>
        </w:rPr>
        <w:t xml:space="preserve">operation is described in </w:t>
      </w:r>
      <w:r>
        <w:rPr>
          <w:kern w:val="2"/>
          <w:lang w:eastAsia="zh-CN"/>
        </w:rPr>
        <w:t>3GPP TS 25.308 [2].</w:t>
      </w:r>
    </w:p>
    <w:p>
      <w:pPr>
        <w:pStyle w:val="Normal"/>
        <w:autoSpaceDE w:val="false"/>
        <w:spacing w:before="0" w:after="0"/>
        <w:rPr>
          <w:kern w:val="2"/>
          <w:lang w:eastAsia="zh-CN"/>
        </w:rPr>
      </w:pPr>
      <w:r>
        <w:rPr>
          <w:kern w:val="2"/>
          <w:lang w:eastAsia="zh-CN"/>
        </w:rPr>
      </w:r>
    </w:p>
    <w:p>
      <w:pPr>
        <w:pStyle w:val="Heading1"/>
        <w:ind w:left="1134" w:hanging="1134"/>
        <w:rPr/>
      </w:pPr>
      <w:bookmarkStart w:id="52" w:name="__RefHeading___Toc46308138"/>
      <w:bookmarkEnd w:id="52"/>
      <w:r>
        <w:rPr/>
        <w:t>23</w:t>
        <w:tab/>
        <w:t>NR SRVCC to UTRAN</w:t>
      </w:r>
    </w:p>
    <w:p>
      <w:pPr>
        <w:pStyle w:val="Normal"/>
        <w:rPr>
          <w:lang w:val="en-US" w:eastAsia="en-US"/>
        </w:rPr>
      </w:pPr>
      <w:r>
        <w:rPr>
          <w:lang w:val="en-US" w:eastAsia="en-US"/>
        </w:rPr>
        <w:t xml:space="preserve">The feature NR SRVCC to UTRAN enables a UE to perform a SRVCC procedure from NR only to UTRAN FDD. The SRVCC architecture and signalling flow have been defined in </w:t>
      </w:r>
      <w:r>
        <w:rPr/>
        <w:t xml:space="preserve">TS 23.216 </w:t>
      </w:r>
      <w:r>
        <w:rPr>
          <w:lang w:val="en-US" w:eastAsia="en-US"/>
        </w:rPr>
        <w:t xml:space="preserve">[15]. In </w:t>
      </w:r>
      <w:r>
        <w:rPr/>
        <w:t xml:space="preserve">TS 38.300 </w:t>
      </w:r>
      <w:r>
        <w:rPr>
          <w:lang w:val="en-US" w:eastAsia="en-US"/>
        </w:rPr>
        <w:t xml:space="preserve">[16], inter-RAT mobility procedure on NR SRVCC to UTRAN FDD has been defined. The UE receives in the handover to UTRAN command security information which is used to derive both ciphering and integrity protection keys for operation in UTRAN, as specified in </w:t>
      </w:r>
      <w:r>
        <w:rPr/>
        <w:t xml:space="preserve">TS 38.300 </w:t>
      </w:r>
      <w:r>
        <w:rPr>
          <w:lang w:val="en-US" w:eastAsia="en-US"/>
        </w:rPr>
        <w:t xml:space="preserve">[16]. During the handover, as specfied in </w:t>
      </w:r>
      <w:r>
        <w:rPr/>
        <w:t xml:space="preserve">TS 25.413 </w:t>
      </w:r>
      <w:r>
        <w:rPr>
          <w:lang w:val="en-US" w:eastAsia="en-US"/>
        </w:rPr>
        <w:t xml:space="preserve">[17], the target RNC node receives the SRVCC </w:t>
      </w:r>
      <w:r>
        <w:rPr>
          <w:lang w:val="en-US" w:eastAsia="en-US"/>
        </w:rPr>
        <w:t>s</w:t>
      </w:r>
      <w:r>
        <w:rPr>
          <w:lang w:val="en-US" w:eastAsia="en-US"/>
        </w:rPr>
        <w:t>ource RAT indication from the source NR node. After the UE completes the IMS voice service in UTRAN FDD, the security mode control procedure is performed to activate the integrity protection for the voice service in the CS domain. When and how to perform the return procedure from UTRAN to NR after the UE completes the voice service depends on UE implementation.</w:t>
      </w:r>
    </w:p>
    <w:p>
      <w:pPr>
        <w:pStyle w:val="Normal"/>
        <w:autoSpaceDE w:val="false"/>
        <w:spacing w:before="0" w:after="0"/>
        <w:rPr>
          <w:lang w:val="en-US" w:eastAsia="en-US"/>
        </w:rPr>
      </w:pPr>
      <w:r>
        <w:rPr>
          <w:lang w:val="en-US" w:eastAsia="en-US"/>
        </w:rPr>
      </w:r>
      <w:r>
        <w:br w:type="page"/>
      </w:r>
    </w:p>
    <w:p>
      <w:pPr>
        <w:pStyle w:val="Heading8"/>
        <w:ind w:left="0" w:hanging="0"/>
        <w:rPr/>
      </w:pPr>
      <w:bookmarkStart w:id="53" w:name="__RefHeading___Toc46308139"/>
      <w:bookmarkStart w:id="54" w:name="historyclause"/>
      <w:bookmarkEnd w:id="53"/>
      <w:bookmarkEnd w:id="54"/>
      <w:r>
        <w:rPr/>
        <w:t>Annex A (informative):</w:t>
        <w:br/>
        <w:t>Change history</w:t>
      </w:r>
    </w:p>
    <w:tbl>
      <w:tblPr>
        <w:tblW w:w="9781"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5245"/>
        <w:gridCol w:w="567"/>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24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02/2014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R2-85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R2-140618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Initial Skeleton Document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sz w:val="16"/>
                <w:szCs w:val="16"/>
              </w:rPr>
              <w:t>02/2014</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R2-85</w:t>
            </w:r>
          </w:p>
        </w:tc>
        <w:tc>
          <w:tcPr>
            <w:tcW w:w="952"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R2-140860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Updates after review. Removal of section 4, updated wording of the scope</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0.0.2</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sz w:val="16"/>
                <w:szCs w:val="16"/>
              </w:rPr>
              <w:t>02/2014</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R2-85</w:t>
            </w:r>
          </w:p>
        </w:tc>
        <w:tc>
          <w:tcPr>
            <w:tcW w:w="952"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R2-140895</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right w:val="single" w:sz="6" w:space="0" w:color="000000"/>
            </w:tcBorders>
            <w:shd w:fill="FFFFFF" w:val="clear"/>
          </w:tcPr>
          <w:p>
            <w:pPr>
              <w:pStyle w:val="TAL"/>
              <w:rPr/>
            </w:pPr>
            <w:r>
              <w:rPr>
                <w:sz w:val="16"/>
                <w:szCs w:val="16"/>
              </w:rPr>
              <w:t>TS version 0.1.0 as agreed</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R2-86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R2-142782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Incorporating the Hetnet stage 2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R2-86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R2-142925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version 0.2.0 as agreed by email discussion [86#11] after RAN2 #86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R2-86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R2-142926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version 1.0.0 as agreed by email discussion [86#11] after RAN2 #86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RP-140844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TS version 1.0.0 submitted to RAN#64 for 1-step approval</w:t>
            </w:r>
          </w:p>
          <w:p>
            <w:pPr>
              <w:pStyle w:val="TAL"/>
              <w:rPr>
                <w:sz w:val="16"/>
                <w:szCs w:val="16"/>
              </w:rPr>
            </w:pPr>
            <w:r>
              <w:rPr>
                <w:sz w:val="16"/>
                <w:szCs w:val="16"/>
              </w:rPr>
              <w:t>Approved as 12.0.0 at RAN#64 and MCC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RP-140882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Stage 2 description of Power Saving Mode feature for UMTS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RP-141504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Stage-2 details of WLAN/3GPP Radio Interworking for UMTS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RP-65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RP-141503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DSAC and PPAC update in CELL_DCH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DCH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RP-141503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Further EUL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RP-141502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a second broadcast channel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RP-141501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25.300 on the introduction of Heterogeneous Networks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RP-142127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Cleanup corrections for Access group mechanism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RP-142122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on handling of dedicated parameters upon cell selection&amp;reselection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RP-142126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25.300 on the correction of Second Broadcast Channel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RP-142128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increased UE carrier monitoring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RP-150919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for Access Group based access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RP-152064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NAICS for UMTS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RP-152060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CR to 25.300 on the introduction of Downlink TPC enhancements for UMTS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retrievable configurations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URA_PCH with seamless transition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improved synchronized RRC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blind HARQ retransmissions for 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RP-152062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enhanced state transition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RP-152061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optimization from IDLE to CONNECTED state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RP-152063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extended DRX in Idle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rPr>
            </w:pPr>
            <w:r>
              <w:rPr>
                <w:i/>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Application specific Congestion control for Data Communication (ACDC) in 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RP-160466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sz w:val="16"/>
                <w:szCs w:val="16"/>
              </w:rPr>
            </w:pPr>
            <w:r>
              <w:rPr>
                <w:rFonts w:cs="Arial"/>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signalling transmission control due to access group blocking of DTCH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r>
      <w:tr>
        <w:trPr>
          <w:trHeight w:val="273" w:hRule="exac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R2-164343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sz w:val="16"/>
                <w:szCs w:val="16"/>
              </w:rPr>
            </w:pPr>
            <w:r>
              <w:rPr>
                <w:rFonts w:cs="Arial"/>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DCH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RP-161748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RRC events for UPH reporting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RP-161748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simultaneous setup and release of RABs and RBs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RP-162330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HS-SCCH DRX operation in CELL_FACH state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RP-162331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Dual Cell E-DCH operation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03/2017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RP-75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RP-170654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for traffic steering granularity for RAN assisted WLAN interworking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RP-170648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QoE Measurement Collection for streaming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RP-171240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DL interference mitigation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RP-171591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for DL Interference Mitigation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RP-171592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Simplified HS-SCCH type 1 operation for UMTS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RP-180067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QoE Measurement Collection for MTSI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03/2020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RP-87e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RP-200051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NR SRVCC to 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07/2020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RP-200573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ciphering for NR SRVCC to 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16.1.0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1864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25.300 V16.1.0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25.300 V16.1.0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4445</wp:posOffset>
              </wp:positionV>
              <wp:extent cx="1276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SimSun;宋体"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2Char1">
    <w:name w:val="B2 Char1"/>
    <w:qFormat/>
    <w:rPr>
      <w:lang w:val="en-GB"/>
    </w:rPr>
  </w:style>
  <w:style w:type="character" w:styleId="BalloonTextChar">
    <w:name w:val="Balloon Text Char"/>
    <w:qFormat/>
    <w:rPr>
      <w:rFonts w:ascii="Segoe UI" w:hAnsi="Segoe UI" w:cs="Segoe UI"/>
      <w:sz w:val="18"/>
      <w:szCs w:val="18"/>
    </w:rPr>
  </w:style>
  <w:style w:type="character" w:styleId="B1Char1">
    <w:name w:val="B1 Char1"/>
    <w:qFormat/>
    <w:rPr>
      <w:lang w:val="en-GB"/>
    </w:rPr>
  </w:style>
  <w:style w:type="character" w:styleId="Heading2Char">
    <w:name w:val="Heading 2 Char"/>
    <w:qFormat/>
    <w:rPr>
      <w:rFonts w:ascii="Arial" w:hAnsi="Arial" w:cs="Arial"/>
      <w:sz w:val="32"/>
      <w:lang w:val="en-GB"/>
    </w:rPr>
  </w:style>
  <w:style w:type="character" w:styleId="Doctext2Char">
    <w:name w:val="Doc-text2 Char"/>
    <w:qFormat/>
    <w:rPr>
      <w:rFonts w:ascii="Arial" w:hAnsi="Arial" w:eastAsia="MS Mincho;ＭＳ 明朝" w:cs="Arial"/>
      <w:szCs w:val="24"/>
      <w:lang w:val="en-GB"/>
    </w:rPr>
  </w:style>
  <w:style w:type="character" w:styleId="Heading1Char">
    <w:name w:val="Heading 1 Char"/>
    <w:qFormat/>
    <w:rPr>
      <w:rFonts w:ascii="Arial" w:hAnsi="Arial" w:cs="Arial"/>
      <w:sz w:val="36"/>
      <w:lang w:val="en-GB" w:bidi="ar-SA"/>
    </w:rPr>
  </w:style>
  <w:style w:type="character" w:styleId="Heading3Char">
    <w:name w:val="Heading 3 Char"/>
    <w:qFormat/>
    <w:rPr>
      <w:rFonts w:ascii="Arial" w:hAnsi="Arial" w:cs="Arial"/>
      <w:sz w:val="28"/>
      <w:lang w:val="en-GB"/>
    </w:rPr>
  </w:style>
  <w:style w:type="character" w:styleId="DocumentMapChar">
    <w:name w:val="Document Map Char"/>
    <w:qFormat/>
    <w:rPr>
      <w:rFonts w:ascii="Tahoma" w:hAnsi="Tahoma" w:cs="Tahoma"/>
      <w:sz w:val="16"/>
      <w:szCs w:val="16"/>
      <w:lang w:val="en-GB"/>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lang w:val="en-US"/>
    </w:rPr>
  </w:style>
  <w:style w:type="paragraph" w:styleId="Doctext2">
    <w:name w:val="Doc-text2"/>
    <w:basedOn w:val="Normal"/>
    <w:qFormat/>
    <w:pPr>
      <w:tabs>
        <w:tab w:val="clear" w:pos="284"/>
        <w:tab w:val="left" w:pos="1622" w:leader="none"/>
      </w:tabs>
      <w:spacing w:before="0" w:after="0"/>
      <w:ind w:left="1622" w:hanging="363"/>
    </w:pPr>
    <w:rPr>
      <w:rFonts w:ascii="Arial" w:hAnsi="Arial" w:eastAsia="MS Mincho;ＭＳ 明朝" w:cs="Arial"/>
      <w:szCs w:val="24"/>
    </w:rPr>
  </w:style>
  <w:style w:type="paragraph" w:styleId="DocumentMap">
    <w:name w:val="Document Map"/>
    <w:basedOn w:val="Normal"/>
    <w:qFormat/>
    <w:pPr/>
    <w:rPr>
      <w:rFonts w:ascii="Tahoma" w:hAnsi="Tahoma" w:cs="Tahoma"/>
      <w:sz w:val="16"/>
      <w:szCs w:val="16"/>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2017-09-07T14:43:00Z</dcterms:created>
  <dc:creator>3GPP TSG RAN WG6</dc:creator>
  <dc:description/>
  <cp:keywords>UTRAN</cp:keywords>
  <dc:language>en-US</dc:language>
  <cp:lastModifiedBy>x</cp:lastModifiedBy>
  <dcterms:modified xsi:type="dcterms:W3CDTF">2020-07-22T09:02:00Z</dcterms:modified>
  <cp:revision>18</cp:revision>
  <dc:subject>3GPP TS 25.300 Universal Terrestrial Radio Access Network (UTRAN); General description; Stage 2  (Release 15)</dc:subject>
  <dc:title>3GPP TS 25.300</dc:title>
</cp:coreProperties>
</file>