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25.307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25.307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Requirements on User Equipments (UEs) supporting a release-independent frequency band</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Requirements on User Equipments (UEs) supporting a release-independent frequency band</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color w:val="0000FF"/>
                              </w:rPr>
                              <w:drawing>
                                <wp:inline distT="0" distB="0" distL="0" distR="0">
                                  <wp:extent cx="1625600" cy="8255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color w:val="0000FF"/>
                        </w:rPr>
                        <w:drawing>
                          <wp:inline distT="0" distB="0" distL="0" distR="0">
                            <wp:extent cx="1625600" cy="8255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479540" cy="1038860"/>
                <wp:effectExtent l="0" t="0" r="0" b="0"/>
                <wp:wrapTopAndBottom/>
                <wp:docPr id="7" name="Frame5"/>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Normal"/>
                              <w:spacing w:before="0" w:after="0"/>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r>
                          </w:p>
                          <w:p>
                            <w:pPr>
                              <w:pStyle w:val="Normal"/>
                              <w:spacing w:before="0" w:after="180"/>
                              <w:jc w:val="both"/>
                              <w:rPr/>
                            </w:pPr>
                            <w:r>
                              <w:rPr>
                                <w:sz w:val="16"/>
                              </w:rP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0"/>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r>
                    </w:p>
                    <w:p>
                      <w:pPr>
                        <w:pStyle w:val="Normal"/>
                        <w:spacing w:before="0" w:after="180"/>
                        <w:jc w:val="both"/>
                        <w:rPr/>
                      </w:pPr>
                      <w:r>
                        <w:rPr>
                          <w:sz w:val="16"/>
                        </w:rP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9"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0"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4">
                              <w:r>
                                <w:rPr>
                                  <w:rStyle w:val="InternetLink"/>
                                  <w:rFonts w:eastAsia="MS Mincho;ＭＳ 明朝" w:cs="Times New Roman"/>
                                  <w:kern w:val="0"/>
                                  <w:sz w:val="18"/>
                                  <w:lang w:val="en-GB" w:eastAsia="en-US"/>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5">
                        <w:r>
                          <w:rPr>
                            <w:rStyle w:val="InternetLink"/>
                            <w:rFonts w:eastAsia="MS Mincho;ＭＳ 明朝" w:cs="Times New Roman"/>
                            <w:kern w:val="0"/>
                            <w:sz w:val="18"/>
                            <w:lang w:val="en-GB" w:eastAsia="en-US"/>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1400" cy="1680845"/>
                <wp:effectExtent l="0" t="0" r="0" b="0"/>
                <wp:wrapTopAndBottom/>
                <wp:docPr id="11"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r>
                          </w:p>
                          <w:p>
                            <w:pPr>
                              <w:pStyle w:val="FP"/>
                              <w:rPr/>
                            </w:pPr>
                            <w:r>
                              <w:rPr>
                                <w:sz w:val="18"/>
                                <w:lang w:val="en-US" w:eastAsia="en-US"/>
                              </w:rP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r>
                    </w:p>
                    <w:p>
                      <w:pPr>
                        <w:pStyle w:val="FP"/>
                        <w:rPr/>
                      </w:pPr>
                      <w:r>
                        <w:rPr>
                          <w:sz w:val="18"/>
                          <w:lang w:val="en-US" w:eastAsia="en-US"/>
                        </w:rP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MS Mincho;ＭＳ 明朝" w:cs="Times New Roman"/>
              <w:color w:val="auto"/>
              <w:lang w:val="en-GB" w:eastAsia="en-US" w:bidi="ar-SA"/>
            </w:rPr>
            <w:instrText xml:space="preserve"> TOC \o "1-9" </w:instrText>
          </w:r>
          <w:r>
            <w:rPr>
              <w:sz w:val="22"/>
              <w:szCs w:val="20"/>
              <w:rFonts w:eastAsia="MS Mincho;ＭＳ 明朝" w:cs="Times New Roman"/>
              <w:color w:val="auto"/>
              <w:lang w:val="en-GB" w:eastAsia="en-US" w:bidi="ar-SA"/>
            </w:rPr>
            <w:fldChar w:fldCharType="separate"/>
          </w:r>
          <w:r>
            <w:rPr>
              <w:rFonts w:eastAsia="MS Mincho;ＭＳ 明朝" w:cs="Times New Roman"/>
              <w:color w:val="auto"/>
              <w:sz w:val="22"/>
              <w:szCs w:val="20"/>
              <w:lang w:val="en-GB" w:eastAsia="en-US" w:bidi="ar-SA"/>
            </w:rPr>
            <w:t>Foreword</w:t>
            <w:tab/>
          </w:r>
          <w:hyperlink w:anchor="__RefHeading___Toc517861514">
            <w:r>
              <w:rPr>
                <w:rStyle w:val="IndexLink"/>
                <w:rFonts w:eastAsia="MS Mincho;ＭＳ 明朝"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517861515">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517861516">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517861517">
            <w:r>
              <w:rPr>
                <w:rStyle w:val="IndexLink"/>
              </w:rPr>
              <w:t>5</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517861518">
            <w:r>
              <w:rPr>
                <w:rStyle w:val="IndexLink"/>
              </w:rPr>
              <w:t>5</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517861519">
            <w:r>
              <w:rPr>
                <w:rStyle w:val="IndexLink"/>
              </w:rPr>
              <w:t>5</w:t>
            </w:r>
          </w:hyperlink>
        </w:p>
        <w:p>
          <w:pPr>
            <w:pStyle w:val="Contents1"/>
            <w:rPr>
              <w:rFonts w:ascii="Calibri" w:hAnsi="Calibri" w:eastAsia="Times New Roman" w:cs="Calibri"/>
              <w:szCs w:val="22"/>
              <w:lang w:val="en-US" w:eastAsia="en-US"/>
            </w:rPr>
          </w:pPr>
          <w:r>
            <w:rPr/>
            <w:t>3A</w:t>
          </w:r>
          <w:r>
            <w:rPr>
              <w:rFonts w:eastAsia="Times New Roman" w:cs="Calibri" w:ascii="Calibri" w:hAnsi="Calibri"/>
              <w:szCs w:val="22"/>
              <w:lang w:val="en-US" w:eastAsia="en-US"/>
            </w:rPr>
            <w:tab/>
          </w:r>
          <w:r>
            <w:rPr>
              <w:lang w:val="en-US" w:eastAsia="en-US"/>
            </w:rPr>
            <w:t>General</w:t>
          </w:r>
          <w:r>
            <w:rPr/>
            <w:tab/>
          </w:r>
          <w:hyperlink w:anchor="__RefHeading___Toc517861520">
            <w:r>
              <w:rPr>
                <w:rStyle w:val="IndexLink"/>
              </w:rPr>
              <w:t>5</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Void</w:t>
            <w:tab/>
          </w:r>
          <w:hyperlink w:anchor="__RefHeading___Toc517861521">
            <w:r>
              <w:rPr>
                <w:rStyle w:val="IndexLink"/>
              </w:rPr>
              <w:t>6</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Void</w:t>
            <w:tab/>
          </w:r>
          <w:hyperlink w:anchor="__RefHeading___Toc517861522">
            <w:r>
              <w:rPr>
                <w:rStyle w:val="IndexLink"/>
              </w:rPr>
              <w:t>6</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t>Void</w:t>
            <w:tab/>
          </w:r>
          <w:hyperlink w:anchor="__RefHeading___Toc517861523">
            <w:r>
              <w:rPr>
                <w:rStyle w:val="IndexLink"/>
              </w:rPr>
              <w:t>6</w:t>
            </w:r>
          </w:hyperlink>
        </w:p>
        <w:p>
          <w:pPr>
            <w:pStyle w:val="Contents1"/>
            <w:rPr>
              <w:rFonts w:ascii="Calibri" w:hAnsi="Calibri" w:eastAsia="Times New Roman" w:cs="Calibri"/>
              <w:szCs w:val="22"/>
              <w:lang w:val="en-US" w:eastAsia="en-US"/>
            </w:rPr>
          </w:pPr>
          <w:r>
            <w:rPr/>
            <w:t>7</w:t>
          </w:r>
          <w:r>
            <w:rPr>
              <w:rFonts w:eastAsia="Times New Roman" w:cs="Calibri" w:ascii="Calibri" w:hAnsi="Calibri"/>
              <w:szCs w:val="22"/>
              <w:lang w:val="en-US" w:eastAsia="en-US"/>
            </w:rPr>
            <w:tab/>
          </w:r>
          <w:r>
            <w:rPr/>
            <w:t>Void</w:t>
            <w:tab/>
          </w:r>
          <w:hyperlink w:anchor="__RefHeading___Toc517861524">
            <w:r>
              <w:rPr>
                <w:rStyle w:val="IndexLink"/>
              </w:rPr>
              <w:t>6</w:t>
            </w:r>
          </w:hyperlink>
        </w:p>
        <w:p>
          <w:pPr>
            <w:pStyle w:val="Contents1"/>
            <w:rPr>
              <w:rFonts w:ascii="Calibri" w:hAnsi="Calibri" w:eastAsia="Times New Roman" w:cs="Calibri"/>
              <w:szCs w:val="22"/>
              <w:lang w:val="en-US" w:eastAsia="en-US"/>
            </w:rPr>
          </w:pPr>
          <w:r>
            <w:rPr/>
            <w:t>8</w:t>
          </w:r>
          <w:r>
            <w:rPr>
              <w:rFonts w:eastAsia="Times New Roman" w:cs="Calibri" w:ascii="Calibri" w:hAnsi="Calibri"/>
              <w:szCs w:val="22"/>
              <w:lang w:val="en-US" w:eastAsia="en-US"/>
            </w:rPr>
            <w:tab/>
          </w:r>
          <w:r>
            <w:rPr/>
            <w:t>Void</w:t>
            <w:tab/>
          </w:r>
          <w:hyperlink w:anchor="__RefHeading___Toc517861525">
            <w:r>
              <w:rPr>
                <w:rStyle w:val="IndexLink"/>
              </w:rPr>
              <w:t>6</w:t>
            </w:r>
          </w:hyperlink>
        </w:p>
        <w:p>
          <w:pPr>
            <w:pStyle w:val="Contents1"/>
            <w:rPr>
              <w:rFonts w:ascii="Calibri" w:hAnsi="Calibri" w:eastAsia="Times New Roman" w:cs="Calibri"/>
              <w:szCs w:val="22"/>
              <w:lang w:val="en-US" w:eastAsia="en-US"/>
            </w:rPr>
          </w:pPr>
          <w:r>
            <w:rPr/>
            <w:t>9</w:t>
          </w:r>
          <w:r>
            <w:rPr>
              <w:rFonts w:eastAsia="Times New Roman" w:cs="Calibri" w:ascii="Calibri" w:hAnsi="Calibri"/>
              <w:szCs w:val="22"/>
              <w:lang w:val="en-US" w:eastAsia="en-US"/>
            </w:rPr>
            <w:tab/>
          </w:r>
          <w:r>
            <w:rPr>
              <w:lang w:val="en-US" w:eastAsia="en-US"/>
            </w:rPr>
            <w:t>Void</w:t>
          </w:r>
          <w:r>
            <w:rPr/>
            <w:tab/>
          </w:r>
          <w:hyperlink w:anchor="__RefHeading___Toc517861526">
            <w:r>
              <w:rPr>
                <w:rStyle w:val="IndexLink"/>
              </w:rPr>
              <w:t>6</w:t>
            </w:r>
          </w:hyperlink>
        </w:p>
        <w:p>
          <w:pPr>
            <w:pStyle w:val="Contents1"/>
            <w:rPr>
              <w:rFonts w:ascii="Calibri" w:hAnsi="Calibri" w:eastAsia="Times New Roman" w:cs="Calibri"/>
              <w:szCs w:val="22"/>
              <w:lang w:val="en-US" w:eastAsia="en-US"/>
            </w:rPr>
          </w:pPr>
          <w:r>
            <w:rPr/>
            <w:t>10</w:t>
          </w:r>
          <w:r>
            <w:rPr>
              <w:rFonts w:eastAsia="Times New Roman" w:cs="Calibri" w:ascii="Calibri" w:hAnsi="Calibri"/>
              <w:szCs w:val="22"/>
              <w:lang w:val="en-US" w:eastAsia="en-US"/>
            </w:rPr>
            <w:tab/>
          </w:r>
          <w:r>
            <w:rPr>
              <w:lang w:val="en-US" w:eastAsia="en-US"/>
            </w:rPr>
            <w:t>Void</w:t>
          </w:r>
          <w:r>
            <w:rPr/>
            <w:tab/>
          </w:r>
          <w:hyperlink w:anchor="__RefHeading___Toc517861527">
            <w:r>
              <w:rPr>
                <w:rStyle w:val="IndexLink"/>
              </w:rPr>
              <w:t>6</w:t>
            </w:r>
          </w:hyperlink>
        </w:p>
        <w:p>
          <w:pPr>
            <w:pStyle w:val="Contents1"/>
            <w:rPr>
              <w:rFonts w:ascii="Calibri" w:hAnsi="Calibri" w:eastAsia="Times New Roman" w:cs="Calibri"/>
              <w:szCs w:val="22"/>
              <w:lang w:val="en-US" w:eastAsia="en-US"/>
            </w:rPr>
          </w:pPr>
          <w:r>
            <w:rPr/>
            <w:t>11</w:t>
          </w:r>
          <w:r>
            <w:rPr>
              <w:rFonts w:eastAsia="Times New Roman" w:cs="Calibri" w:ascii="Calibri" w:hAnsi="Calibri"/>
              <w:szCs w:val="22"/>
              <w:lang w:val="en-US" w:eastAsia="en-US"/>
            </w:rPr>
            <w:tab/>
          </w:r>
          <w:r>
            <w:rPr>
              <w:lang w:val="en-US" w:eastAsia="en-US"/>
            </w:rPr>
            <w:t>Void</w:t>
          </w:r>
          <w:r>
            <w:rPr/>
            <w:tab/>
          </w:r>
          <w:hyperlink w:anchor="__RefHeading___Toc517861528">
            <w:r>
              <w:rPr>
                <w:rStyle w:val="IndexLink"/>
              </w:rPr>
              <w:t>6</w:t>
            </w:r>
          </w:hyperlink>
        </w:p>
        <w:p>
          <w:pPr>
            <w:pStyle w:val="Contents1"/>
            <w:rPr>
              <w:rFonts w:ascii="Calibri" w:hAnsi="Calibri" w:eastAsia="Times New Roman" w:cs="Calibri"/>
              <w:szCs w:val="22"/>
              <w:lang w:val="en-US" w:eastAsia="en-US"/>
            </w:rPr>
          </w:pPr>
          <w:r>
            <w:rPr/>
            <w:t>12</w:t>
          </w:r>
          <w:r>
            <w:rPr>
              <w:rFonts w:eastAsia="Times New Roman" w:cs="Calibri" w:ascii="Calibri" w:hAnsi="Calibri"/>
              <w:szCs w:val="22"/>
              <w:lang w:val="en-US" w:eastAsia="en-US"/>
            </w:rPr>
            <w:tab/>
          </w:r>
          <w:r>
            <w:rPr>
              <w:lang w:val="en-US" w:eastAsia="en-US"/>
            </w:rPr>
            <w:t>Void</w:t>
          </w:r>
          <w:r>
            <w:rPr/>
            <w:tab/>
          </w:r>
          <w:hyperlink w:anchor="__RefHeading___Toc517861529">
            <w:r>
              <w:rPr>
                <w:rStyle w:val="IndexLink"/>
              </w:rPr>
              <w:t>6</w:t>
            </w:r>
          </w:hyperlink>
        </w:p>
        <w:p>
          <w:pPr>
            <w:pStyle w:val="Contents1"/>
            <w:rPr>
              <w:rFonts w:ascii="Calibri" w:hAnsi="Calibri" w:eastAsia="Times New Roman" w:cs="Calibri"/>
              <w:szCs w:val="22"/>
              <w:lang w:val="en-US" w:eastAsia="en-US"/>
            </w:rPr>
          </w:pPr>
          <w:r>
            <w:rPr/>
            <w:t>13</w:t>
          </w:r>
          <w:r>
            <w:rPr>
              <w:rFonts w:eastAsia="Times New Roman" w:cs="Calibri" w:ascii="Calibri" w:hAnsi="Calibri"/>
              <w:szCs w:val="22"/>
              <w:lang w:val="en-US" w:eastAsia="en-US"/>
            </w:rPr>
            <w:tab/>
          </w:r>
          <w:r>
            <w:rPr>
              <w:lang w:val="en-US" w:eastAsia="en-US"/>
            </w:rPr>
            <w:t>Void</w:t>
          </w:r>
          <w:r>
            <w:rPr/>
            <w:tab/>
          </w:r>
          <w:hyperlink w:anchor="__RefHeading___Toc517861530">
            <w:r>
              <w:rPr>
                <w:rStyle w:val="IndexLink"/>
              </w:rPr>
              <w:t>6</w:t>
            </w:r>
          </w:hyperlink>
        </w:p>
        <w:p>
          <w:pPr>
            <w:pStyle w:val="Contents1"/>
            <w:rPr>
              <w:rFonts w:ascii="Calibri" w:hAnsi="Calibri" w:eastAsia="Times New Roman" w:cs="Calibri"/>
              <w:szCs w:val="22"/>
              <w:lang w:val="en-US" w:eastAsia="en-US"/>
            </w:rPr>
          </w:pPr>
          <w:r>
            <w:rPr/>
            <w:t>14</w:t>
          </w:r>
          <w:r>
            <w:rPr>
              <w:rFonts w:eastAsia="Times New Roman" w:cs="Calibri" w:ascii="Calibri" w:hAnsi="Calibri"/>
              <w:szCs w:val="22"/>
              <w:lang w:val="en-US" w:eastAsia="en-US"/>
            </w:rPr>
            <w:tab/>
          </w:r>
          <w:r>
            <w:rPr>
              <w:lang w:val="en-US" w:eastAsia="en-US"/>
            </w:rPr>
            <w:t>Void</w:t>
          </w:r>
          <w:r>
            <w:rPr/>
            <w:tab/>
          </w:r>
          <w:hyperlink w:anchor="__RefHeading___Toc517861531">
            <w:r>
              <w:rPr>
                <w:rStyle w:val="IndexLink"/>
              </w:rPr>
              <w:t>6</w:t>
            </w:r>
          </w:hyperlink>
        </w:p>
        <w:p>
          <w:pPr>
            <w:pStyle w:val="Contents1"/>
            <w:rPr>
              <w:rFonts w:ascii="Calibri" w:hAnsi="Calibri" w:eastAsia="Times New Roman" w:cs="Calibri"/>
              <w:szCs w:val="22"/>
              <w:lang w:val="en-US" w:eastAsia="en-US"/>
            </w:rPr>
          </w:pPr>
          <w:r>
            <w:rPr/>
            <w:t>15</w:t>
          </w:r>
          <w:r>
            <w:rPr>
              <w:rFonts w:eastAsia="Times New Roman" w:cs="Calibri" w:ascii="Calibri" w:hAnsi="Calibri"/>
              <w:szCs w:val="22"/>
              <w:lang w:val="en-US" w:eastAsia="en-US"/>
            </w:rPr>
            <w:tab/>
          </w:r>
          <w:r>
            <w:rPr>
              <w:lang w:val="en-US" w:eastAsia="en-US"/>
            </w:rPr>
            <w:t>Void</w:t>
          </w:r>
          <w:r>
            <w:rPr/>
            <w:tab/>
          </w:r>
          <w:hyperlink w:anchor="__RefHeading___Toc517861532">
            <w:r>
              <w:rPr>
                <w:rStyle w:val="IndexLink"/>
              </w:rPr>
              <w:t>7</w:t>
            </w:r>
          </w:hyperlink>
        </w:p>
        <w:p>
          <w:pPr>
            <w:pStyle w:val="Contents1"/>
            <w:rPr>
              <w:rFonts w:ascii="Calibri" w:hAnsi="Calibri" w:eastAsia="Times New Roman" w:cs="Calibri"/>
              <w:szCs w:val="22"/>
              <w:lang w:val="en-US" w:eastAsia="en-US"/>
            </w:rPr>
          </w:pPr>
          <w:r>
            <w:rPr/>
            <w:t>16</w:t>
          </w:r>
          <w:r>
            <w:rPr>
              <w:rFonts w:eastAsia="Times New Roman" w:cs="Calibri" w:ascii="Calibri" w:hAnsi="Calibri"/>
              <w:szCs w:val="22"/>
              <w:lang w:val="en-US" w:eastAsia="en-US"/>
            </w:rPr>
            <w:tab/>
          </w:r>
          <w:r>
            <w:rPr>
              <w:lang w:val="en-US" w:eastAsia="en-US"/>
            </w:rPr>
            <w:t>Void</w:t>
          </w:r>
          <w:r>
            <w:rPr/>
            <w:tab/>
          </w:r>
          <w:hyperlink w:anchor="__RefHeading___Toc517861533">
            <w:r>
              <w:rPr>
                <w:rStyle w:val="IndexLink"/>
              </w:rPr>
              <w:t>7</w:t>
            </w:r>
          </w:hyperlink>
        </w:p>
        <w:p>
          <w:pPr>
            <w:pStyle w:val="Contents1"/>
            <w:rPr>
              <w:rFonts w:ascii="Calibri" w:hAnsi="Calibri" w:eastAsia="Times New Roman" w:cs="Calibri"/>
              <w:szCs w:val="22"/>
              <w:lang w:val="en-US" w:eastAsia="en-US"/>
            </w:rPr>
          </w:pPr>
          <w:r>
            <w:rPr/>
            <w:t>17</w:t>
          </w:r>
          <w:r>
            <w:rPr>
              <w:rFonts w:eastAsia="Times New Roman" w:cs="Calibri" w:ascii="Calibri" w:hAnsi="Calibri"/>
              <w:szCs w:val="22"/>
              <w:lang w:val="en-US" w:eastAsia="en-US"/>
            </w:rPr>
            <w:tab/>
          </w:r>
          <w:r>
            <w:rPr>
              <w:lang w:val="en-US" w:eastAsia="en-US"/>
            </w:rPr>
            <w:t>Void</w:t>
          </w:r>
          <w:r>
            <w:rPr/>
            <w:tab/>
          </w:r>
          <w:hyperlink w:anchor="__RefHeading___Toc517861534">
            <w:r>
              <w:rPr>
                <w:rStyle w:val="IndexLink"/>
              </w:rPr>
              <w:t>7</w:t>
            </w:r>
          </w:hyperlink>
        </w:p>
        <w:p>
          <w:pPr>
            <w:pStyle w:val="Contents1"/>
            <w:rPr>
              <w:rFonts w:ascii="Calibri" w:hAnsi="Calibri" w:eastAsia="Times New Roman" w:cs="Calibri"/>
              <w:szCs w:val="22"/>
              <w:lang w:val="en-US" w:eastAsia="en-US"/>
            </w:rPr>
          </w:pPr>
          <w:r>
            <w:rPr/>
            <w:t>18</w:t>
          </w:r>
          <w:r>
            <w:rPr>
              <w:rFonts w:eastAsia="Times New Roman" w:cs="Calibri" w:ascii="Calibri" w:hAnsi="Calibri"/>
              <w:szCs w:val="22"/>
              <w:lang w:val="en-US" w:eastAsia="en-US"/>
            </w:rPr>
            <w:tab/>
          </w:r>
          <w:r>
            <w:rPr>
              <w:lang w:val="en-US" w:eastAsia="en-US"/>
            </w:rPr>
            <w:t>Void</w:t>
          </w:r>
          <w:r>
            <w:rPr/>
            <w:tab/>
          </w:r>
          <w:hyperlink w:anchor="__RefHeading___Toc517861535">
            <w:r>
              <w:rPr>
                <w:rStyle w:val="IndexLink"/>
              </w:rPr>
              <w:t>7</w:t>
            </w:r>
          </w:hyperlink>
        </w:p>
        <w:p>
          <w:pPr>
            <w:pStyle w:val="Contents1"/>
            <w:rPr>
              <w:rFonts w:ascii="Calibri" w:hAnsi="Calibri" w:eastAsia="Times New Roman" w:cs="Calibri"/>
              <w:szCs w:val="22"/>
              <w:lang w:val="en-US" w:eastAsia="en-US"/>
            </w:rPr>
          </w:pPr>
          <w:r>
            <w:rPr/>
            <w:t>19</w:t>
          </w:r>
          <w:r>
            <w:rPr>
              <w:rFonts w:eastAsia="Times New Roman" w:cs="Calibri" w:ascii="Calibri" w:hAnsi="Calibri"/>
              <w:szCs w:val="22"/>
              <w:lang w:val="en-US" w:eastAsia="en-US"/>
            </w:rPr>
            <w:tab/>
          </w:r>
          <w:r>
            <w:rPr>
              <w:lang w:val="en-US" w:eastAsia="en-US"/>
            </w:rPr>
            <w:t>Void</w:t>
          </w:r>
          <w:r>
            <w:rPr/>
            <w:tab/>
          </w:r>
          <w:hyperlink w:anchor="__RefHeading___Toc517861536">
            <w:r>
              <w:rPr>
                <w:rStyle w:val="IndexLink"/>
              </w:rPr>
              <w:t>7</w:t>
            </w:r>
          </w:hyperlink>
        </w:p>
        <w:p>
          <w:pPr>
            <w:pStyle w:val="Contents1"/>
            <w:rPr>
              <w:rFonts w:ascii="Calibri" w:hAnsi="Calibri" w:eastAsia="Times New Roman" w:cs="Calibri"/>
              <w:szCs w:val="22"/>
              <w:lang w:val="en-US" w:eastAsia="en-US"/>
            </w:rPr>
          </w:pPr>
          <w:r>
            <w:rPr/>
            <w:t>20</w:t>
          </w:r>
          <w:r>
            <w:rPr>
              <w:rFonts w:eastAsia="Times New Roman" w:cs="Calibri" w:ascii="Calibri" w:hAnsi="Calibri"/>
              <w:szCs w:val="22"/>
              <w:lang w:val="en-US" w:eastAsia="en-US"/>
            </w:rPr>
            <w:tab/>
          </w:r>
          <w:r>
            <w:rPr>
              <w:lang w:val="en-US" w:eastAsia="en-US"/>
            </w:rPr>
            <w:t>Void</w:t>
          </w:r>
          <w:r>
            <w:rPr/>
            <w:tab/>
          </w:r>
          <w:hyperlink w:anchor="__RefHeading___Toc517861537">
            <w:r>
              <w:rPr>
                <w:rStyle w:val="IndexLink"/>
              </w:rPr>
              <w:t>7</w:t>
            </w:r>
          </w:hyperlink>
        </w:p>
        <w:p>
          <w:pPr>
            <w:pStyle w:val="Contents1"/>
            <w:rPr>
              <w:rFonts w:ascii="Calibri" w:hAnsi="Calibri" w:eastAsia="Times New Roman" w:cs="Calibri"/>
              <w:szCs w:val="22"/>
              <w:lang w:val="en-US" w:eastAsia="en-US"/>
            </w:rPr>
          </w:pPr>
          <w:r>
            <w:rPr/>
            <w:t>21</w:t>
          </w:r>
          <w:r>
            <w:rPr>
              <w:rFonts w:eastAsia="Times New Roman" w:cs="Calibri" w:ascii="Calibri" w:hAnsi="Calibri"/>
              <w:szCs w:val="22"/>
              <w:lang w:val="en-US" w:eastAsia="en-US"/>
            </w:rPr>
            <w:tab/>
          </w:r>
          <w:r>
            <w:rPr>
              <w:lang w:val="en-US" w:eastAsia="en-US"/>
            </w:rPr>
            <w:t>Void</w:t>
          </w:r>
          <w:r>
            <w:rPr/>
            <w:tab/>
          </w:r>
          <w:hyperlink w:anchor="__RefHeading___Toc517861538">
            <w:r>
              <w:rPr>
                <w:rStyle w:val="IndexLink"/>
              </w:rPr>
              <w:t>7</w:t>
            </w:r>
          </w:hyperlink>
        </w:p>
        <w:p>
          <w:pPr>
            <w:pStyle w:val="Contents1"/>
            <w:rPr>
              <w:rFonts w:ascii="Calibri" w:hAnsi="Calibri" w:eastAsia="Times New Roman" w:cs="Calibri"/>
              <w:szCs w:val="22"/>
              <w:lang w:val="en-US" w:eastAsia="en-US"/>
            </w:rPr>
          </w:pPr>
          <w:r>
            <w:rPr/>
            <w:t>22</w:t>
          </w:r>
          <w:r>
            <w:rPr>
              <w:rFonts w:eastAsia="Times New Roman" w:cs="Calibri" w:ascii="Calibri" w:hAnsi="Calibri"/>
              <w:szCs w:val="22"/>
              <w:lang w:val="en-US" w:eastAsia="en-US"/>
            </w:rPr>
            <w:tab/>
          </w:r>
          <w:r>
            <w:rPr>
              <w:lang w:val="en-US" w:eastAsia="en-US"/>
            </w:rPr>
            <w:t>Void</w:t>
          </w:r>
          <w:r>
            <w:rPr/>
            <w:tab/>
          </w:r>
          <w:hyperlink w:anchor="__RefHeading___Toc517861539">
            <w:r>
              <w:rPr>
                <w:rStyle w:val="IndexLink"/>
              </w:rPr>
              <w:t>7</w:t>
            </w:r>
          </w:hyperlink>
        </w:p>
        <w:p>
          <w:pPr>
            <w:pStyle w:val="Contents1"/>
            <w:rPr>
              <w:rFonts w:ascii="Calibri" w:hAnsi="Calibri" w:eastAsia="Times New Roman" w:cs="Calibri"/>
              <w:szCs w:val="22"/>
              <w:lang w:val="en-US" w:eastAsia="en-US"/>
            </w:rPr>
          </w:pPr>
          <w:r>
            <w:rPr/>
            <w:t>23</w:t>
          </w:r>
          <w:r>
            <w:rPr>
              <w:rFonts w:eastAsia="Times New Roman" w:cs="Calibri" w:ascii="Calibri" w:hAnsi="Calibri"/>
              <w:szCs w:val="22"/>
              <w:lang w:val="en-US" w:eastAsia="en-US"/>
            </w:rPr>
            <w:tab/>
          </w:r>
          <w:r>
            <w:rPr>
              <w:lang w:val="en-US" w:eastAsia="en-US"/>
            </w:rPr>
            <w:t>Void</w:t>
          </w:r>
          <w:r>
            <w:rPr/>
            <w:tab/>
          </w:r>
          <w:hyperlink w:anchor="__RefHeading___Toc517861540">
            <w:r>
              <w:rPr>
                <w:rStyle w:val="IndexLink"/>
              </w:rPr>
              <w:t>7</w:t>
            </w:r>
          </w:hyperlink>
        </w:p>
        <w:p>
          <w:pPr>
            <w:pStyle w:val="Contents1"/>
            <w:rPr>
              <w:rFonts w:ascii="Calibri" w:hAnsi="Calibri" w:eastAsia="Times New Roman" w:cs="Calibri"/>
              <w:szCs w:val="22"/>
              <w:lang w:val="en-US" w:eastAsia="en-US"/>
            </w:rPr>
          </w:pPr>
          <w:r>
            <w:rPr/>
            <w:t>24</w:t>
          </w:r>
          <w:r>
            <w:rPr>
              <w:rFonts w:eastAsia="Times New Roman" w:cs="Calibri" w:ascii="Calibri" w:hAnsi="Calibri"/>
              <w:szCs w:val="22"/>
              <w:lang w:val="en-US" w:eastAsia="en-US"/>
            </w:rPr>
            <w:tab/>
          </w:r>
          <w:r>
            <w:rPr>
              <w:lang w:val="en-US" w:eastAsia="en-US"/>
            </w:rPr>
            <w:t>Void</w:t>
          </w:r>
          <w:r>
            <w:rPr/>
            <w:tab/>
          </w:r>
          <w:hyperlink w:anchor="__RefHeading___Toc517861541">
            <w:r>
              <w:rPr>
                <w:rStyle w:val="IndexLink"/>
              </w:rPr>
              <w:t>7</w:t>
            </w:r>
          </w:hyperlink>
        </w:p>
        <w:p>
          <w:pPr>
            <w:pStyle w:val="Contents1"/>
            <w:rPr>
              <w:rFonts w:ascii="Calibri" w:hAnsi="Calibri" w:eastAsia="Times New Roman" w:cs="Calibri"/>
              <w:szCs w:val="22"/>
              <w:lang w:val="en-US" w:eastAsia="en-US"/>
            </w:rPr>
          </w:pPr>
          <w:r>
            <w:rPr/>
            <w:t>25</w:t>
          </w:r>
          <w:r>
            <w:rPr>
              <w:rFonts w:eastAsia="Times New Roman" w:cs="Calibri" w:ascii="Calibri" w:hAnsi="Calibri"/>
              <w:szCs w:val="22"/>
              <w:lang w:val="en-US" w:eastAsia="en-US"/>
            </w:rPr>
            <w:tab/>
          </w:r>
          <w:r>
            <w:rPr>
              <w:lang w:val="en-US" w:eastAsia="en-US"/>
            </w:rPr>
            <w:t>Void</w:t>
          </w:r>
          <w:r>
            <w:rPr/>
            <w:tab/>
          </w:r>
          <w:hyperlink w:anchor="__RefHeading___Toc517861542">
            <w:r>
              <w:rPr>
                <w:rStyle w:val="IndexLink"/>
              </w:rPr>
              <w:t>7</w:t>
            </w:r>
          </w:hyperlink>
        </w:p>
        <w:p>
          <w:pPr>
            <w:pStyle w:val="Contents8"/>
            <w:rPr>
              <w:rFonts w:ascii="Calibri" w:hAnsi="Calibri" w:eastAsia="Times New Roman" w:cs="Calibri"/>
              <w:b w:val="false"/>
              <w:b w:val="false"/>
              <w:szCs w:val="22"/>
              <w:lang w:val="en-US" w:eastAsia="en-US"/>
            </w:rPr>
          </w:pPr>
          <w:r>
            <w:rPr/>
            <w:t>Annex A (normative):</w:t>
            <w:tab/>
            <w:t>Void</w:t>
            <w:tab/>
          </w:r>
          <w:hyperlink w:anchor="__RefHeading___Toc517861543">
            <w:r>
              <w:rPr>
                <w:rStyle w:val="IndexLink"/>
              </w:rPr>
              <w:t>9</w:t>
            </w:r>
          </w:hyperlink>
        </w:p>
        <w:p>
          <w:pPr>
            <w:pStyle w:val="Contents8"/>
            <w:rPr>
              <w:rFonts w:ascii="Calibri" w:hAnsi="Calibri" w:eastAsia="Times New Roman" w:cs="Calibri"/>
              <w:b w:val="false"/>
              <w:b w:val="false"/>
              <w:szCs w:val="22"/>
              <w:lang w:val="en-US" w:eastAsia="en-US"/>
            </w:rPr>
          </w:pPr>
          <w:r>
            <w:rPr/>
            <w:t>Annex B (normative):</w:t>
            <w:tab/>
            <w:t>Frequency arrangement for overlapping operating bands</w:t>
            <w:tab/>
          </w:r>
          <w:hyperlink w:anchor="__RefHeading___Toc517861544">
            <w:r>
              <w:rPr>
                <w:rStyle w:val="IndexLink"/>
              </w:rPr>
              <w:t>10</w:t>
            </w:r>
          </w:hyperlink>
        </w:p>
        <w:p>
          <w:pPr>
            <w:pStyle w:val="Contents8"/>
            <w:rPr>
              <w:rFonts w:ascii="Calibri" w:hAnsi="Calibri" w:eastAsia="Times New Roman" w:cs="Calibri"/>
              <w:szCs w:val="22"/>
              <w:lang w:val="en-US" w:eastAsia="en-US"/>
            </w:rPr>
          </w:pPr>
          <w:r>
            <w:rPr>
              <w:b w:val="false"/>
            </w:rPr>
            <w:t>Annex C (informative):</w:t>
            <w:tab/>
            <w:t>Change history</w:t>
            <w:tab/>
          </w:r>
          <w:hyperlink w:anchor="__RefHeading___Toc517861545">
            <w:r>
              <w:rPr>
                <w:rStyle w:val="IndexLink"/>
                <w:b w:val="false"/>
              </w:rPr>
              <w:t>11</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517861514"/>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861515"/>
      <w:bookmarkEnd w:id="8"/>
      <w:r>
        <w:rPr/>
        <w:t>1</w:t>
        <w:tab/>
        <w:t>Scope</w:t>
      </w:r>
    </w:p>
    <w:p>
      <w:pPr>
        <w:pStyle w:val="Normal"/>
        <w:rPr/>
      </w:pPr>
      <w:r>
        <w:rPr/>
        <w:t>The present document specifies requirements on UEs supporting a frequency band that is independent of release.</w:t>
      </w:r>
    </w:p>
    <w:p>
      <w:pPr>
        <w:pStyle w:val="Heading1"/>
        <w:ind w:left="1134" w:hanging="1134"/>
        <w:rPr/>
      </w:pPr>
      <w:bookmarkStart w:id="9" w:name="__RefHeading___Toc517861516"/>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lang w:eastAsia="ja-JP"/>
        </w:rPr>
      </w:pPr>
      <w:r>
        <w:rPr/>
        <w:t>[2] to [</w:t>
      </w:r>
      <w:r>
        <w:rPr>
          <w:lang w:eastAsia="ja-JP"/>
        </w:rPr>
        <w:t>29</w:t>
      </w:r>
      <w:r>
        <w:rPr/>
        <w:t>]</w:t>
        <w:tab/>
        <w:t>Void.</w:t>
      </w:r>
    </w:p>
    <w:p>
      <w:pPr>
        <w:pStyle w:val="EX"/>
        <w:rPr>
          <w:lang w:eastAsia="ja-JP"/>
        </w:rPr>
      </w:pPr>
      <w:r>
        <w:rPr/>
        <w:t>[</w:t>
      </w:r>
      <w:r>
        <w:rPr>
          <w:lang w:eastAsia="ja-JP"/>
        </w:rPr>
        <w:t>30</w:t>
      </w:r>
      <w:r>
        <w:rPr/>
        <w:t>]</w:t>
        <w:tab/>
        <w:t>3GPP T</w:t>
      </w:r>
      <w:r>
        <w:rPr>
          <w:lang w:eastAsia="ja-JP"/>
        </w:rPr>
        <w:t>S</w:t>
      </w:r>
      <w:r>
        <w:rPr/>
        <w:t> 2</w:t>
      </w:r>
      <w:r>
        <w:rPr>
          <w:lang w:eastAsia="ja-JP"/>
        </w:rPr>
        <w:t>5</w:t>
      </w:r>
      <w:r>
        <w:rPr/>
        <w:t>.</w:t>
      </w:r>
      <w:r>
        <w:rPr>
          <w:lang w:eastAsia="ja-JP"/>
        </w:rPr>
        <w:t>101</w:t>
      </w:r>
      <w:r>
        <w:rPr>
          <w:lang w:eastAsia="ja-JP"/>
        </w:rPr>
        <w:t>: "UE Radio Transmission and Reception (</w:t>
      </w:r>
      <w:r>
        <w:rPr>
          <w:lang w:eastAsia="ja-JP"/>
        </w:rPr>
        <w:t>F</w:t>
      </w:r>
      <w:r>
        <w:rPr>
          <w:lang w:eastAsia="ja-JP"/>
        </w:rPr>
        <w:t>DD)".</w:t>
      </w:r>
    </w:p>
    <w:p>
      <w:pPr>
        <w:pStyle w:val="EX"/>
        <w:rPr/>
      </w:pPr>
      <w:r>
        <w:rPr/>
        <w:t>[</w:t>
      </w:r>
      <w:r>
        <w:rPr>
          <w:lang w:eastAsia="ja-JP"/>
        </w:rPr>
        <w:t>31</w:t>
      </w:r>
      <w:r>
        <w:rPr/>
        <w:t>]</w:t>
        <w:tab/>
        <w:t>3GPP T</w:t>
      </w:r>
      <w:r>
        <w:rPr>
          <w:lang w:eastAsia="ja-JP"/>
        </w:rPr>
        <w:t>S</w:t>
      </w:r>
      <w:r>
        <w:rPr/>
        <w:t> 2</w:t>
      </w:r>
      <w:r>
        <w:rPr>
          <w:lang w:eastAsia="ja-JP"/>
        </w:rPr>
        <w:t>5</w:t>
      </w:r>
      <w:r>
        <w:rPr/>
        <w:t>.</w:t>
      </w:r>
      <w:r>
        <w:rPr>
          <w:lang w:eastAsia="ja-JP"/>
        </w:rPr>
        <w:t>102</w:t>
      </w:r>
      <w:r>
        <w:rPr>
          <w:lang w:eastAsia="ja-JP"/>
        </w:rPr>
        <w:t>: "UE Radio Transmission and Reception (</w:t>
      </w:r>
      <w:r>
        <w:rPr>
          <w:lang w:eastAsia="ja-JP"/>
        </w:rPr>
        <w:t>T</w:t>
      </w:r>
      <w:r>
        <w:rPr>
          <w:lang w:eastAsia="ja-JP"/>
        </w:rPr>
        <w:t>DD)".</w:t>
      </w:r>
    </w:p>
    <w:p>
      <w:pPr>
        <w:pStyle w:val="Heading1"/>
        <w:ind w:left="1134" w:hanging="1134"/>
        <w:rPr/>
      </w:pPr>
      <w:bookmarkStart w:id="10" w:name="__RefHeading___Toc517861517"/>
      <w:bookmarkEnd w:id="10"/>
      <w:r>
        <w:rPr/>
        <w:t>3</w:t>
        <w:tab/>
        <w:t>Definitions and abbreviations</w:t>
      </w:r>
    </w:p>
    <w:p>
      <w:pPr>
        <w:pStyle w:val="Heading2"/>
        <w:rPr/>
      </w:pPr>
      <w:bookmarkStart w:id="11" w:name="__RefHeading___Toc517861518"/>
      <w:bookmarkEnd w:id="11"/>
      <w:r>
        <w:rPr/>
        <w:t>3.1</w:t>
        <w:tab/>
        <w:t>Definitions</w:t>
      </w:r>
    </w:p>
    <w:p>
      <w:pPr>
        <w:pStyle w:val="Normal"/>
        <w:rPr/>
      </w:pPr>
      <w:r>
        <w:rPr/>
        <w:t>For the purposes of the present document, the terms and definitions given in [1] apply.</w:t>
      </w:r>
    </w:p>
    <w:p>
      <w:pPr>
        <w:pStyle w:val="Heading2"/>
        <w:rPr/>
      </w:pPr>
      <w:bookmarkStart w:id="12" w:name="__RefHeading___Toc517861519"/>
      <w:bookmarkEnd w:id="12"/>
      <w:r>
        <w:rPr/>
        <w:t>3.2</w:t>
        <w:tab/>
        <w:t>Abbreviations</w:t>
      </w:r>
    </w:p>
    <w:p>
      <w:pPr>
        <w:pStyle w:val="Normal"/>
        <w:rPr/>
      </w:pPr>
      <w:r>
        <w:rPr/>
        <w:t>For the purposes of the present document, the following abbreviations apply:</w:t>
      </w:r>
    </w:p>
    <w:p>
      <w:pPr>
        <w:pStyle w:val="EW"/>
        <w:rPr>
          <w:color w:val="000000"/>
        </w:rPr>
      </w:pPr>
      <w:r>
        <w:rPr>
          <w:color w:val="000000"/>
        </w:rPr>
        <w:t>FDD</w:t>
        <w:tab/>
        <w:t>Frequency Division Duplex</w:t>
      </w:r>
    </w:p>
    <w:p>
      <w:pPr>
        <w:pStyle w:val="EW"/>
        <w:rPr/>
      </w:pPr>
      <w:r>
        <w:rPr>
          <w:color w:val="000000"/>
        </w:rPr>
        <w:t>RRC</w:t>
        <w:tab/>
        <w:t>Radio Resource Control</w:t>
      </w:r>
    </w:p>
    <w:p>
      <w:pPr>
        <w:pStyle w:val="EW"/>
        <w:rPr>
          <w:color w:val="000000"/>
        </w:rPr>
      </w:pPr>
      <w:r>
        <w:rPr>
          <w:color w:val="000000"/>
        </w:rPr>
        <w:t>UE</w:t>
        <w:tab/>
        <w:t>User Equipment</w:t>
      </w:r>
    </w:p>
    <w:p>
      <w:pPr>
        <w:pStyle w:val="Heading1"/>
        <w:ind w:left="1134" w:hanging="1134"/>
        <w:rPr/>
      </w:pPr>
      <w:bookmarkStart w:id="13" w:name="__RefHeading___Toc517861520"/>
      <w:bookmarkEnd w:id="13"/>
      <w:r>
        <w:rPr>
          <w:lang w:eastAsia="ja-JP"/>
        </w:rPr>
        <w:t>3A</w:t>
      </w:r>
      <w:r>
        <w:rPr/>
        <w:tab/>
      </w:r>
      <w:r>
        <w:rPr>
          <w:lang w:eastAsia="ja-JP"/>
        </w:rPr>
        <w:t>General</w:t>
      </w:r>
    </w:p>
    <w:p>
      <w:pPr>
        <w:pStyle w:val="Normal"/>
        <w:rPr/>
      </w:pPr>
      <w:r>
        <w:rPr/>
        <w:t>TSG-RAN has agreed that the standardisation of new frequency bands may be independent of a release. However, in order to implement a UE that conforms to a particular release but supports a band of operation that is specified in a later release, it is necessary to specify some extra requirements.</w:t>
      </w:r>
    </w:p>
    <w:p>
      <w:pPr>
        <w:pStyle w:val="Normal"/>
        <w:rPr>
          <w:lang w:eastAsia="ja-JP"/>
        </w:rPr>
      </w:pPr>
      <w:r>
        <w:rPr/>
        <w:t xml:space="preserve">For example, </w:t>
      </w:r>
      <w:r>
        <w:rPr>
          <w:lang w:eastAsia="ja-JP"/>
        </w:rPr>
        <w:t>Band</w:t>
      </w:r>
      <w:r>
        <w:rPr>
          <w:lang w:val="en-US" w:eastAsia="ja-JP"/>
        </w:rPr>
        <w:t> </w:t>
      </w:r>
      <w:r>
        <w:rPr>
          <w:lang w:eastAsia="ja-JP"/>
        </w:rPr>
        <w:t>III</w:t>
      </w:r>
      <w:r>
        <w:rPr/>
        <w:t xml:space="preserve"> is contained in the Release</w:t>
      </w:r>
      <w:r>
        <w:rPr>
          <w:lang w:val="en-US"/>
        </w:rPr>
        <w:t> </w:t>
      </w:r>
      <w:r>
        <w:rPr/>
        <w:t>5 specifications. In order to implement a UE conforming to Release</w:t>
      </w:r>
      <w:r>
        <w:rPr>
          <w:lang w:val="en-US"/>
        </w:rPr>
        <w:t> </w:t>
      </w:r>
      <w:r>
        <w:rPr/>
        <w:t xml:space="preserve">'4 but supporting </w:t>
      </w:r>
      <w:r>
        <w:rPr>
          <w:lang w:eastAsia="ja-JP"/>
        </w:rPr>
        <w:t>Band</w:t>
      </w:r>
      <w:r>
        <w:rPr>
          <w:lang w:val="en-US" w:eastAsia="ja-JP"/>
        </w:rPr>
        <w:t> </w:t>
      </w:r>
      <w:r>
        <w:rPr>
          <w:lang w:eastAsia="ja-JP"/>
        </w:rPr>
        <w:t>III</w:t>
      </w:r>
      <w:r>
        <w:rPr/>
        <w:t>, it is necessary for the UE to additionally conform to some parts of the Release</w:t>
      </w:r>
      <w:r>
        <w:rPr>
          <w:lang w:val="en-US"/>
        </w:rPr>
        <w:t> </w:t>
      </w:r>
      <w:r>
        <w:rPr/>
        <w:t xml:space="preserve">5 specifications, such as the radio frequency requirements for the </w:t>
      </w:r>
      <w:r>
        <w:rPr>
          <w:lang w:eastAsia="ja-JP"/>
        </w:rPr>
        <w:t>Band III</w:t>
      </w:r>
      <w:r>
        <w:rPr/>
        <w:t xml:space="preserve"> and some signalling extensions relating to the UE radio access capabilities.</w:t>
      </w:r>
    </w:p>
    <w:p>
      <w:pPr>
        <w:pStyle w:val="EW"/>
        <w:rPr/>
      </w:pPr>
      <w:r>
        <w:rPr>
          <w:lang w:eastAsia="ja-JP"/>
        </w:rPr>
        <w:t>N</w:t>
      </w:r>
      <w:r>
        <w:rPr>
          <w:lang w:eastAsia="ja-JP"/>
        </w:rPr>
        <w:t>OTE</w:t>
      </w:r>
      <w:r>
        <w:rPr>
          <w:lang w:eastAsia="ja-JP"/>
        </w:rPr>
        <w:t xml:space="preserve">: </w:t>
      </w:r>
      <w:r>
        <w:rPr>
          <w:lang w:eastAsia="ja-JP"/>
        </w:rPr>
        <w:t>S</w:t>
      </w:r>
      <w:r>
        <w:rPr>
          <w:lang w:eastAsia="ja-JP"/>
        </w:rPr>
        <w:t xml:space="preserve">ee </w:t>
      </w:r>
      <w:r>
        <w:rPr>
          <w:lang w:eastAsia="ja-JP"/>
        </w:rPr>
        <w:t>NOTE</w:t>
      </w:r>
      <w:r>
        <w:rPr>
          <w:lang w:eastAsia="ja-JP"/>
        </w:rPr>
        <w:t xml:space="preserve"> in clause 4.4 </w:t>
      </w:r>
      <w:r>
        <w:rPr>
          <w:lang w:eastAsia="ja-JP"/>
        </w:rPr>
        <w:t>in</w:t>
      </w:r>
      <w:r>
        <w:rPr>
          <w:lang w:eastAsia="ja-JP"/>
        </w:rPr>
        <w:t xml:space="preserve"> [30] or [31].</w:t>
      </w:r>
    </w:p>
    <w:p>
      <w:pPr>
        <w:pStyle w:val="Heading1"/>
        <w:ind w:left="1134" w:hanging="1134"/>
        <w:rPr/>
      </w:pPr>
      <w:bookmarkStart w:id="14" w:name="__RefHeading___Toc517861521"/>
      <w:bookmarkEnd w:id="14"/>
      <w:r>
        <w:rPr/>
        <w:t>4</w:t>
        <w:tab/>
        <w:t>Void</w:t>
      </w:r>
    </w:p>
    <w:p>
      <w:pPr>
        <w:pStyle w:val="Normal"/>
        <w:rPr/>
      </w:pPr>
      <w:r>
        <w:rPr/>
      </w:r>
    </w:p>
    <w:p>
      <w:pPr>
        <w:pStyle w:val="Heading1"/>
        <w:ind w:left="1134" w:hanging="1134"/>
        <w:rPr/>
      </w:pPr>
      <w:bookmarkStart w:id="15" w:name="__RefHeading___Toc517861522"/>
      <w:bookmarkEnd w:id="15"/>
      <w:r>
        <w:rPr/>
        <w:t>5</w:t>
        <w:tab/>
        <w:t>Void</w:t>
      </w:r>
    </w:p>
    <w:p>
      <w:pPr>
        <w:pStyle w:val="Normal"/>
        <w:rPr/>
      </w:pPr>
      <w:r>
        <w:rPr/>
      </w:r>
    </w:p>
    <w:p>
      <w:pPr>
        <w:pStyle w:val="Heading1"/>
        <w:ind w:left="1134" w:hanging="1134"/>
        <w:rPr/>
      </w:pPr>
      <w:bookmarkStart w:id="16" w:name="__RefHeading___Toc517861523"/>
      <w:bookmarkEnd w:id="16"/>
      <w:r>
        <w:rPr/>
        <w:t>6</w:t>
        <w:tab/>
        <w:t>Void</w:t>
      </w:r>
    </w:p>
    <w:p>
      <w:pPr>
        <w:pStyle w:val="Normal"/>
        <w:rPr/>
      </w:pPr>
      <w:r>
        <w:rPr/>
      </w:r>
    </w:p>
    <w:p>
      <w:pPr>
        <w:pStyle w:val="Heading1"/>
        <w:ind w:left="1134" w:hanging="1134"/>
        <w:rPr/>
      </w:pPr>
      <w:bookmarkStart w:id="17" w:name="__RefHeading___Toc517861524"/>
      <w:bookmarkEnd w:id="17"/>
      <w:r>
        <w:rPr>
          <w:lang w:eastAsia="ja-JP"/>
        </w:rPr>
        <w:t>7</w:t>
      </w:r>
      <w:r>
        <w:rPr/>
        <w:tab/>
        <w:t>Void</w:t>
      </w:r>
    </w:p>
    <w:p>
      <w:pPr>
        <w:pStyle w:val="Normal"/>
        <w:rPr/>
      </w:pPr>
      <w:r>
        <w:rPr/>
      </w:r>
    </w:p>
    <w:p>
      <w:pPr>
        <w:pStyle w:val="Heading1"/>
        <w:ind w:left="1134" w:hanging="1134"/>
        <w:rPr/>
      </w:pPr>
      <w:bookmarkStart w:id="18" w:name="__RefHeading___Toc517861525"/>
      <w:bookmarkEnd w:id="18"/>
      <w:r>
        <w:rPr>
          <w:lang w:eastAsia="ja-JP"/>
        </w:rPr>
        <w:t>8</w:t>
      </w:r>
      <w:r>
        <w:rPr/>
        <w:tab/>
        <w:t>Void</w:t>
      </w:r>
    </w:p>
    <w:p>
      <w:pPr>
        <w:pStyle w:val="Normal"/>
        <w:rPr/>
      </w:pPr>
      <w:r>
        <w:rPr/>
      </w:r>
    </w:p>
    <w:p>
      <w:pPr>
        <w:pStyle w:val="Heading1"/>
        <w:tabs>
          <w:tab w:val="clear" w:pos="284"/>
          <w:tab w:val="left" w:pos="1134" w:leader="none"/>
        </w:tabs>
        <w:ind w:left="0" w:hanging="0"/>
        <w:rPr/>
      </w:pPr>
      <w:bookmarkStart w:id="19" w:name="__RefHeading___Toc517861526"/>
      <w:bookmarkEnd w:id="19"/>
      <w:r>
        <w:rPr/>
        <w:t>9</w:t>
      </w:r>
      <w:r>
        <w:rPr>
          <w:lang w:eastAsia="ja-JP"/>
        </w:rPr>
        <w:tab/>
        <w:t>Void</w:t>
      </w:r>
    </w:p>
    <w:p>
      <w:pPr>
        <w:pStyle w:val="Normal"/>
        <w:rPr>
          <w:rFonts w:ascii="Arial" w:hAnsi="Arial" w:eastAsia="SimSun;宋体" w:cs="Arial"/>
          <w:kern w:val="2"/>
          <w:lang w:eastAsia="ja-JP"/>
        </w:rPr>
      </w:pPr>
      <w:r>
        <w:rPr>
          <w:rFonts w:eastAsia="SimSun;宋体" w:cs="Arial" w:ascii="Arial" w:hAnsi="Arial"/>
          <w:kern w:val="2"/>
          <w:lang w:eastAsia="ja-JP"/>
        </w:rPr>
      </w:r>
    </w:p>
    <w:p>
      <w:pPr>
        <w:pStyle w:val="Heading1"/>
        <w:tabs>
          <w:tab w:val="clear" w:pos="284"/>
          <w:tab w:val="left" w:pos="1134" w:leader="none"/>
        </w:tabs>
        <w:ind w:left="0" w:hanging="0"/>
        <w:rPr/>
      </w:pPr>
      <w:bookmarkStart w:id="20" w:name="__RefHeading___Toc517861527"/>
      <w:bookmarkEnd w:id="20"/>
      <w:r>
        <w:rPr>
          <w:szCs w:val="36"/>
        </w:rPr>
        <w:t>10</w:t>
      </w:r>
      <w:r>
        <w:rPr>
          <w:szCs w:val="36"/>
          <w:lang w:eastAsia="ja-JP"/>
        </w:rPr>
        <w:tab/>
        <w:t>Void</w:t>
      </w:r>
    </w:p>
    <w:p>
      <w:pPr>
        <w:pStyle w:val="Normal"/>
        <w:rPr>
          <w:rFonts w:ascii="Arial" w:hAnsi="Arial" w:eastAsia="SimSun;宋体" w:cs="Arial"/>
          <w:kern w:val="2"/>
          <w:szCs w:val="36"/>
          <w:lang w:eastAsia="ja-JP"/>
        </w:rPr>
      </w:pPr>
      <w:r>
        <w:rPr>
          <w:rFonts w:eastAsia="SimSun;宋体" w:cs="Arial" w:ascii="Arial" w:hAnsi="Arial"/>
          <w:kern w:val="2"/>
          <w:szCs w:val="36"/>
          <w:lang w:eastAsia="ja-JP"/>
        </w:rPr>
      </w:r>
    </w:p>
    <w:p>
      <w:pPr>
        <w:pStyle w:val="Heading1"/>
        <w:tabs>
          <w:tab w:val="clear" w:pos="284"/>
          <w:tab w:val="left" w:pos="1134" w:leader="none"/>
        </w:tabs>
        <w:ind w:left="0" w:hanging="0"/>
        <w:rPr/>
      </w:pPr>
      <w:bookmarkStart w:id="21" w:name="__RefHeading___Toc517861528"/>
      <w:bookmarkEnd w:id="21"/>
      <w:r>
        <w:rPr>
          <w:szCs w:val="36"/>
        </w:rPr>
        <w:t>11</w:t>
      </w:r>
      <w:r>
        <w:rPr>
          <w:szCs w:val="36"/>
          <w:lang w:eastAsia="ja-JP"/>
        </w:rPr>
        <w:tab/>
        <w:t>Void</w:t>
      </w:r>
    </w:p>
    <w:p>
      <w:pPr>
        <w:pStyle w:val="Normal"/>
        <w:rPr>
          <w:rFonts w:ascii="Arial" w:hAnsi="Arial" w:eastAsia="SimSun;宋体" w:cs="Arial"/>
          <w:kern w:val="2"/>
          <w:szCs w:val="36"/>
          <w:lang w:eastAsia="ja-JP"/>
        </w:rPr>
      </w:pPr>
      <w:r>
        <w:rPr>
          <w:rFonts w:eastAsia="SimSun;宋体" w:cs="Arial" w:ascii="Arial" w:hAnsi="Arial"/>
          <w:kern w:val="2"/>
          <w:szCs w:val="36"/>
          <w:lang w:eastAsia="ja-JP"/>
        </w:rPr>
      </w:r>
    </w:p>
    <w:p>
      <w:pPr>
        <w:pStyle w:val="Heading1"/>
        <w:tabs>
          <w:tab w:val="clear" w:pos="284"/>
          <w:tab w:val="left" w:pos="1134" w:leader="none"/>
        </w:tabs>
        <w:ind w:left="0" w:hanging="0"/>
        <w:rPr>
          <w:szCs w:val="36"/>
          <w:lang w:eastAsia="ja-JP"/>
        </w:rPr>
      </w:pPr>
      <w:bookmarkStart w:id="22" w:name="__RefHeading___Toc517861529"/>
      <w:bookmarkEnd w:id="22"/>
      <w:r>
        <w:rPr>
          <w:szCs w:val="36"/>
          <w:lang w:eastAsia="ja-JP"/>
        </w:rPr>
        <w:t>12</w:t>
        <w:tab/>
        <w:t>Void</w:t>
      </w:r>
    </w:p>
    <w:p>
      <w:pPr>
        <w:pStyle w:val="Normal"/>
        <w:rPr>
          <w:rFonts w:ascii="Arial" w:hAnsi="Arial" w:eastAsia="SimSun;宋体" w:cs="Arial"/>
          <w:kern w:val="2"/>
          <w:szCs w:val="36"/>
          <w:lang w:eastAsia="ja-JP"/>
        </w:rPr>
      </w:pPr>
      <w:r>
        <w:rPr>
          <w:rFonts w:eastAsia="SimSun;宋体" w:cs="Arial" w:ascii="Arial" w:hAnsi="Arial"/>
          <w:kern w:val="2"/>
          <w:szCs w:val="36"/>
          <w:lang w:eastAsia="ja-JP"/>
        </w:rPr>
      </w:r>
    </w:p>
    <w:p>
      <w:pPr>
        <w:pStyle w:val="Heading1"/>
        <w:tabs>
          <w:tab w:val="clear" w:pos="284"/>
          <w:tab w:val="left" w:pos="1134" w:leader="none"/>
        </w:tabs>
        <w:ind w:left="0" w:hanging="0"/>
        <w:rPr/>
      </w:pPr>
      <w:bookmarkStart w:id="23" w:name="__RefHeading___Toc517861530"/>
      <w:bookmarkEnd w:id="23"/>
      <w:r>
        <w:rPr>
          <w:szCs w:val="36"/>
          <w:lang w:eastAsia="ja-JP"/>
        </w:rPr>
        <w:t>13</w:t>
        <w:tab/>
        <w:t>Void</w:t>
      </w:r>
    </w:p>
    <w:p>
      <w:pPr>
        <w:pStyle w:val="Normal"/>
        <w:rPr>
          <w:kern w:val="2"/>
          <w:szCs w:val="36"/>
          <w:lang w:eastAsia="ja-JP"/>
        </w:rPr>
      </w:pPr>
      <w:r>
        <w:rPr>
          <w:kern w:val="2"/>
          <w:szCs w:val="36"/>
          <w:lang w:eastAsia="ja-JP"/>
        </w:rPr>
      </w:r>
    </w:p>
    <w:p>
      <w:pPr>
        <w:pStyle w:val="Heading1"/>
        <w:tabs>
          <w:tab w:val="clear" w:pos="284"/>
          <w:tab w:val="left" w:pos="1134" w:leader="none"/>
        </w:tabs>
        <w:ind w:left="0" w:hanging="0"/>
        <w:rPr>
          <w:szCs w:val="36"/>
          <w:lang w:eastAsia="ja-JP"/>
        </w:rPr>
      </w:pPr>
      <w:bookmarkStart w:id="24" w:name="__RefHeading___Toc517861531"/>
      <w:bookmarkEnd w:id="24"/>
      <w:r>
        <w:rPr>
          <w:szCs w:val="36"/>
          <w:lang w:eastAsia="ja-JP"/>
        </w:rPr>
        <w:t>14</w:t>
        <w:tab/>
        <w:t>Void</w:t>
      </w:r>
    </w:p>
    <w:p>
      <w:pPr>
        <w:pStyle w:val="Normal"/>
        <w:rPr>
          <w:kern w:val="2"/>
          <w:szCs w:val="36"/>
          <w:lang w:eastAsia="ja-JP"/>
        </w:rPr>
      </w:pPr>
      <w:r>
        <w:rPr>
          <w:kern w:val="2"/>
          <w:szCs w:val="36"/>
          <w:lang w:eastAsia="ja-JP"/>
        </w:rPr>
      </w:r>
    </w:p>
    <w:p>
      <w:pPr>
        <w:pStyle w:val="Heading1"/>
        <w:tabs>
          <w:tab w:val="clear" w:pos="284"/>
          <w:tab w:val="left" w:pos="1134" w:leader="none"/>
        </w:tabs>
        <w:ind w:left="0" w:hanging="0"/>
        <w:rPr>
          <w:szCs w:val="36"/>
          <w:lang w:eastAsia="ja-JP"/>
        </w:rPr>
      </w:pPr>
      <w:bookmarkStart w:id="25" w:name="__RefHeading___Toc517861532"/>
      <w:bookmarkEnd w:id="25"/>
      <w:r>
        <w:rPr>
          <w:szCs w:val="36"/>
          <w:lang w:eastAsia="ja-JP"/>
        </w:rPr>
        <w:t>15</w:t>
        <w:tab/>
        <w:t>Void</w:t>
      </w:r>
    </w:p>
    <w:p>
      <w:pPr>
        <w:pStyle w:val="Normal"/>
        <w:rPr>
          <w:kern w:val="2"/>
          <w:szCs w:val="36"/>
          <w:lang w:eastAsia="ja-JP"/>
        </w:rPr>
      </w:pPr>
      <w:r>
        <w:rPr>
          <w:kern w:val="2"/>
          <w:szCs w:val="36"/>
          <w:lang w:eastAsia="ja-JP"/>
        </w:rPr>
      </w:r>
    </w:p>
    <w:p>
      <w:pPr>
        <w:pStyle w:val="Heading1"/>
        <w:tabs>
          <w:tab w:val="clear" w:pos="284"/>
          <w:tab w:val="left" w:pos="1134" w:leader="none"/>
        </w:tabs>
        <w:ind w:left="0" w:hanging="0"/>
        <w:rPr>
          <w:szCs w:val="36"/>
          <w:lang w:eastAsia="ja-JP"/>
        </w:rPr>
      </w:pPr>
      <w:bookmarkStart w:id="26" w:name="__RefHeading___Toc517861533"/>
      <w:bookmarkEnd w:id="26"/>
      <w:r>
        <w:rPr>
          <w:szCs w:val="36"/>
          <w:lang w:eastAsia="ja-JP"/>
        </w:rPr>
        <w:t>16</w:t>
        <w:tab/>
        <w:t>Void</w:t>
      </w:r>
    </w:p>
    <w:p>
      <w:pPr>
        <w:pStyle w:val="Normal"/>
        <w:rPr>
          <w:kern w:val="2"/>
          <w:szCs w:val="36"/>
          <w:lang w:eastAsia="ja-JP"/>
        </w:rPr>
      </w:pPr>
      <w:r>
        <w:rPr>
          <w:kern w:val="2"/>
          <w:szCs w:val="36"/>
          <w:lang w:eastAsia="ja-JP"/>
        </w:rPr>
      </w:r>
    </w:p>
    <w:p>
      <w:pPr>
        <w:pStyle w:val="Heading1"/>
        <w:tabs>
          <w:tab w:val="clear" w:pos="284"/>
          <w:tab w:val="left" w:pos="1134" w:leader="none"/>
        </w:tabs>
        <w:ind w:left="0" w:hanging="0"/>
        <w:rPr>
          <w:lang w:val="en-US" w:eastAsia="en-US"/>
        </w:rPr>
      </w:pPr>
      <w:bookmarkStart w:id="27" w:name="__RefHeading___Toc517861534"/>
      <w:bookmarkEnd w:id="27"/>
      <w:r>
        <w:rPr>
          <w:lang w:val="en-US" w:eastAsia="en-US"/>
        </w:rPr>
        <w:t>17</w:t>
        <w:tab/>
        <w:t>Void</w:t>
      </w:r>
    </w:p>
    <w:p>
      <w:pPr>
        <w:pStyle w:val="Normal"/>
        <w:rPr>
          <w:lang w:val="en-US" w:eastAsia="zh-CN"/>
        </w:rPr>
      </w:pPr>
      <w:r>
        <w:rPr>
          <w:lang w:val="en-US" w:eastAsia="zh-CN"/>
        </w:rPr>
      </w:r>
    </w:p>
    <w:p>
      <w:pPr>
        <w:pStyle w:val="Heading1"/>
        <w:tabs>
          <w:tab w:val="clear" w:pos="284"/>
          <w:tab w:val="left" w:pos="1134" w:leader="none"/>
        </w:tabs>
        <w:ind w:left="0" w:hanging="0"/>
        <w:rPr>
          <w:lang w:val="en-US" w:eastAsia="en-US"/>
        </w:rPr>
      </w:pPr>
      <w:bookmarkStart w:id="28" w:name="__RefHeading___Toc517861535"/>
      <w:bookmarkEnd w:id="28"/>
      <w:r>
        <w:rPr>
          <w:lang w:val="en-US" w:eastAsia="en-US"/>
        </w:rPr>
        <w:t>18</w:t>
        <w:tab/>
        <w:t>Void</w:t>
      </w:r>
    </w:p>
    <w:p>
      <w:pPr>
        <w:pStyle w:val="Normal"/>
        <w:rPr>
          <w:kern w:val="2"/>
          <w:lang w:val="en-US" w:eastAsia="ja-JP"/>
        </w:rPr>
      </w:pPr>
      <w:r>
        <w:rPr>
          <w:kern w:val="2"/>
          <w:lang w:val="en-US" w:eastAsia="ja-JP"/>
        </w:rPr>
      </w:r>
    </w:p>
    <w:p>
      <w:pPr>
        <w:pStyle w:val="Heading1"/>
        <w:tabs>
          <w:tab w:val="clear" w:pos="284"/>
          <w:tab w:val="left" w:pos="1134" w:leader="none"/>
        </w:tabs>
        <w:ind w:left="0" w:hanging="0"/>
        <w:rPr>
          <w:lang w:val="en-US" w:eastAsia="en-US"/>
        </w:rPr>
      </w:pPr>
      <w:bookmarkStart w:id="29" w:name="__RefHeading___Toc517861536"/>
      <w:bookmarkEnd w:id="29"/>
      <w:r>
        <w:rPr>
          <w:lang w:val="en-US" w:eastAsia="en-US"/>
        </w:rPr>
        <w:t>19</w:t>
        <w:tab/>
        <w:t>Void</w:t>
      </w:r>
    </w:p>
    <w:p>
      <w:pPr>
        <w:pStyle w:val="Normal"/>
        <w:rPr>
          <w:kern w:val="2"/>
          <w:lang w:val="en-US" w:eastAsia="ja-JP"/>
        </w:rPr>
      </w:pPr>
      <w:r>
        <w:rPr>
          <w:kern w:val="2"/>
          <w:lang w:val="en-US" w:eastAsia="ja-JP"/>
        </w:rPr>
      </w:r>
    </w:p>
    <w:p>
      <w:pPr>
        <w:pStyle w:val="Heading1"/>
        <w:tabs>
          <w:tab w:val="clear" w:pos="284"/>
          <w:tab w:val="left" w:pos="1134" w:leader="none"/>
        </w:tabs>
        <w:ind w:left="0" w:hanging="0"/>
        <w:rPr>
          <w:lang w:eastAsia="ja-JP"/>
        </w:rPr>
      </w:pPr>
      <w:bookmarkStart w:id="30" w:name="__RefHeading___Toc517861537"/>
      <w:bookmarkEnd w:id="30"/>
      <w:r>
        <w:rPr>
          <w:lang w:eastAsia="ja-JP"/>
        </w:rPr>
        <w:t>20</w:t>
        <w:tab/>
        <w:t>Void</w:t>
      </w:r>
    </w:p>
    <w:p>
      <w:pPr>
        <w:pStyle w:val="Normal"/>
        <w:rPr>
          <w:lang w:eastAsia="ja-JP"/>
        </w:rPr>
      </w:pPr>
      <w:r>
        <w:rPr>
          <w:lang w:eastAsia="ja-JP"/>
        </w:rPr>
      </w:r>
    </w:p>
    <w:p>
      <w:pPr>
        <w:pStyle w:val="Heading1"/>
        <w:tabs>
          <w:tab w:val="clear" w:pos="284"/>
          <w:tab w:val="left" w:pos="1134" w:leader="none"/>
        </w:tabs>
        <w:ind w:left="0" w:hanging="0"/>
        <w:rPr>
          <w:lang w:eastAsia="ja-JP"/>
        </w:rPr>
      </w:pPr>
      <w:bookmarkStart w:id="31" w:name="__RefHeading___Toc517861538"/>
      <w:bookmarkEnd w:id="31"/>
      <w:r>
        <w:rPr>
          <w:lang w:eastAsia="ja-JP"/>
        </w:rPr>
        <w:t>21</w:t>
        <w:tab/>
        <w:t>Void</w:t>
      </w:r>
    </w:p>
    <w:p>
      <w:pPr>
        <w:pStyle w:val="Normal"/>
        <w:rPr>
          <w:kern w:val="2"/>
          <w:lang w:eastAsia="ja-JP"/>
        </w:rPr>
      </w:pPr>
      <w:r>
        <w:rPr>
          <w:kern w:val="2"/>
          <w:lang w:eastAsia="ja-JP"/>
        </w:rPr>
      </w:r>
    </w:p>
    <w:p>
      <w:pPr>
        <w:pStyle w:val="Heading1"/>
        <w:tabs>
          <w:tab w:val="clear" w:pos="284"/>
          <w:tab w:val="left" w:pos="1134" w:leader="none"/>
        </w:tabs>
        <w:ind w:left="0" w:hanging="0"/>
        <w:rPr>
          <w:lang w:eastAsia="ja-JP"/>
        </w:rPr>
      </w:pPr>
      <w:bookmarkStart w:id="32" w:name="__RefHeading___Toc517861539"/>
      <w:bookmarkEnd w:id="32"/>
      <w:r>
        <w:rPr>
          <w:lang w:eastAsia="ja-JP"/>
        </w:rPr>
        <w:t>22</w:t>
        <w:tab/>
        <w:t>Void</w:t>
      </w:r>
    </w:p>
    <w:p>
      <w:pPr>
        <w:pStyle w:val="Normal"/>
        <w:rPr>
          <w:kern w:val="2"/>
          <w:lang w:eastAsia="ja-JP"/>
        </w:rPr>
      </w:pPr>
      <w:r>
        <w:rPr>
          <w:kern w:val="2"/>
          <w:lang w:eastAsia="ja-JP"/>
        </w:rPr>
      </w:r>
    </w:p>
    <w:p>
      <w:pPr>
        <w:pStyle w:val="Heading1"/>
        <w:ind w:left="1134" w:hanging="1134"/>
        <w:rPr>
          <w:lang w:eastAsia="ja-JP"/>
        </w:rPr>
      </w:pPr>
      <w:bookmarkStart w:id="33" w:name="__RefHeading___Toc517861540"/>
      <w:bookmarkEnd w:id="33"/>
      <w:r>
        <w:rPr>
          <w:lang w:eastAsia="ja-JP"/>
        </w:rPr>
        <w:t>23</w:t>
        <w:tab/>
        <w:t>Void</w:t>
      </w:r>
    </w:p>
    <w:p>
      <w:pPr>
        <w:pStyle w:val="Normal"/>
        <w:rPr>
          <w:kern w:val="2"/>
          <w:lang w:eastAsia="ja-JP"/>
        </w:rPr>
      </w:pPr>
      <w:r>
        <w:rPr>
          <w:kern w:val="2"/>
          <w:lang w:eastAsia="ja-JP"/>
        </w:rPr>
      </w:r>
    </w:p>
    <w:p>
      <w:pPr>
        <w:pStyle w:val="Heading1"/>
        <w:ind w:left="1134" w:hanging="1134"/>
        <w:rPr>
          <w:lang w:eastAsia="ja-JP"/>
        </w:rPr>
      </w:pPr>
      <w:bookmarkStart w:id="34" w:name="__RefHeading___Toc517861541"/>
      <w:bookmarkEnd w:id="34"/>
      <w:r>
        <w:rPr>
          <w:lang w:eastAsia="ja-JP"/>
        </w:rPr>
        <w:t>24</w:t>
        <w:tab/>
        <w:t>Void</w:t>
      </w:r>
    </w:p>
    <w:p>
      <w:pPr>
        <w:pStyle w:val="Normal"/>
        <w:rPr>
          <w:kern w:val="2"/>
          <w:lang w:eastAsia="ja-JP"/>
        </w:rPr>
      </w:pPr>
      <w:r>
        <w:rPr>
          <w:kern w:val="2"/>
          <w:lang w:eastAsia="ja-JP"/>
        </w:rPr>
      </w:r>
    </w:p>
    <w:p>
      <w:pPr>
        <w:pStyle w:val="Heading1"/>
        <w:ind w:left="1134" w:hanging="1134"/>
        <w:rPr/>
      </w:pPr>
      <w:bookmarkStart w:id="35" w:name="__RefHeading___Toc517861542"/>
      <w:bookmarkEnd w:id="35"/>
      <w:r>
        <w:rPr>
          <w:lang w:eastAsia="ja-JP"/>
        </w:rPr>
        <w:t>25</w:t>
        <w:tab/>
        <w:t>Void</w:t>
      </w:r>
    </w:p>
    <w:p>
      <w:pPr>
        <w:pStyle w:val="Normal"/>
        <w:rPr>
          <w:b/>
          <w:b/>
          <w:lang w:eastAsia="ja-JP"/>
        </w:rPr>
      </w:pPr>
      <w:r>
        <w:rPr>
          <w:b/>
          <w:lang w:eastAsia="ja-JP"/>
        </w:rPr>
      </w:r>
      <w:r>
        <w:br w:type="page"/>
      </w:r>
    </w:p>
    <w:p>
      <w:pPr>
        <w:pStyle w:val="Heading8"/>
        <w:ind w:left="0" w:hanging="0"/>
        <w:rPr/>
      </w:pPr>
      <w:bookmarkStart w:id="36" w:name="__RefHeading___Toc517861543"/>
      <w:bookmarkEnd w:id="36"/>
      <w:r>
        <w:rPr/>
        <w:t>Annex A (normative): Void</w:t>
      </w:r>
    </w:p>
    <w:p>
      <w:pPr>
        <w:pStyle w:val="Normal"/>
        <w:rPr>
          <w:rFonts w:ascii="Arial" w:hAnsi="Arial" w:eastAsia="SimSun;宋体" w:cs="Arial"/>
          <w:kern w:val="2"/>
          <w:lang w:val="en-US" w:eastAsia="zh-CN"/>
        </w:rPr>
      </w:pPr>
      <w:r>
        <w:rPr>
          <w:rFonts w:eastAsia="SimSun;宋体" w:cs="Arial" w:ascii="Arial" w:hAnsi="Arial"/>
          <w:kern w:val="2"/>
          <w:lang w:val="en-US" w:eastAsia="zh-CN"/>
        </w:rPr>
      </w:r>
    </w:p>
    <w:p>
      <w:pPr>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pStyle w:val="Normal"/>
        <w:rPr>
          <w:rFonts w:ascii="Arial" w:hAnsi="Arial" w:eastAsia="SimSun;宋体" w:cs="Arial"/>
          <w:kern w:val="2"/>
          <w:lang w:val="en-US" w:eastAsia="zh-CN"/>
        </w:rPr>
      </w:pPr>
      <w:r>
        <w:rPr>
          <w:rFonts w:eastAsia="SimSun;宋体" w:cs="Arial" w:ascii="Arial" w:hAnsi="Arial"/>
          <w:kern w:val="2"/>
          <w:lang w:val="en-US" w:eastAsia="zh-CN"/>
        </w:rPr>
      </w:r>
    </w:p>
    <w:p>
      <w:pPr>
        <w:pStyle w:val="Heading8"/>
        <w:ind w:left="0" w:hanging="0"/>
        <w:rPr/>
      </w:pPr>
      <w:bookmarkStart w:id="37" w:name="__RefHeading___Toc517861544"/>
      <w:bookmarkEnd w:id="37"/>
      <w:r>
        <w:rPr/>
        <w:t>Annex B (normative):</w:t>
        <w:br/>
        <w:t>Frequency arrangement for overlapping operating bands</w:t>
      </w:r>
    </w:p>
    <w:p>
      <w:pPr>
        <w:pStyle w:val="Normal"/>
        <w:rPr/>
      </w:pPr>
      <w:r>
        <w:rPr/>
        <w:t xml:space="preserve">The following information is provided in order to assist a UE to derive the DL UARFCN and UL UARFCN in a multi-band environment, in which multiple overlapping operating bands may be indicated in the </w:t>
      </w:r>
      <w:r>
        <w:rPr>
          <w:lang w:eastAsia="ja-JP"/>
        </w:rPr>
        <w:t xml:space="preserve">IE </w:t>
      </w:r>
      <w:r>
        <w:rPr>
          <w:lang w:eastAsia="ja-JP"/>
        </w:rPr>
        <w:t>"Multiple F</w:t>
      </w:r>
      <w:r>
        <w:rPr>
          <w:lang w:eastAsia="ja-JP"/>
        </w:rPr>
        <w:t xml:space="preserve">requency </w:t>
      </w:r>
      <w:r>
        <w:rPr>
          <w:lang w:eastAsia="ja-JP"/>
        </w:rPr>
        <w:t>B</w:t>
      </w:r>
      <w:r>
        <w:rPr>
          <w:lang w:eastAsia="ja-JP"/>
        </w:rPr>
        <w:t>and indicator</w:t>
      </w:r>
      <w:r>
        <w:rPr>
          <w:lang w:eastAsia="ja-JP"/>
        </w:rPr>
        <w:t xml:space="preserve"> list" </w:t>
      </w:r>
      <w:r>
        <w:rPr/>
        <w:t xml:space="preserve">(System Information Block type 5, System Information Block type 5bis and System Information Block type 6), or the </w:t>
      </w:r>
      <w:r>
        <w:rPr>
          <w:lang w:eastAsia="ja-JP"/>
        </w:rPr>
        <w:t xml:space="preserve">IE </w:t>
      </w:r>
      <w:r>
        <w:rPr>
          <w:lang w:eastAsia="ja-JP"/>
        </w:rPr>
        <w:t>"Multiple F</w:t>
      </w:r>
      <w:r>
        <w:rPr>
          <w:lang w:eastAsia="ja-JP"/>
        </w:rPr>
        <w:t xml:space="preserve">requency </w:t>
      </w:r>
      <w:r>
        <w:rPr>
          <w:lang w:eastAsia="ja-JP"/>
        </w:rPr>
        <w:t>Info List FDD" (</w:t>
      </w:r>
      <w:r>
        <w:rPr>
          <w:lang w:eastAsia="ja-JP"/>
        </w:rPr>
        <w:t xml:space="preserve">System Information Block type </w:t>
      </w:r>
      <w:r>
        <w:rPr>
          <w:lang w:eastAsia="ja-JP"/>
        </w:rPr>
        <w:t xml:space="preserve">11, </w:t>
      </w:r>
      <w:r>
        <w:rPr>
          <w:lang w:eastAsia="ja-JP"/>
        </w:rPr>
        <w:t xml:space="preserve">System Information Block type </w:t>
      </w:r>
      <w:r>
        <w:rPr>
          <w:lang w:eastAsia="ja-JP"/>
        </w:rPr>
        <w:t>11bis</w:t>
      </w:r>
      <w:r>
        <w:rPr>
          <w:lang w:eastAsia="ja-JP"/>
        </w:rPr>
        <w:t xml:space="preserve"> </w:t>
      </w:r>
      <w:r>
        <w:rPr>
          <w:lang w:eastAsia="ja-JP"/>
        </w:rPr>
        <w:t>and</w:t>
      </w:r>
      <w:r>
        <w:rPr>
          <w:lang w:eastAsia="ja-JP"/>
        </w:rPr>
        <w:t xml:space="preserve"> System Information Block type </w:t>
      </w:r>
      <w:r>
        <w:rPr>
          <w:lang w:eastAsia="ja-JP"/>
        </w:rPr>
        <w:t>12)</w:t>
      </w:r>
      <w:r>
        <w:rPr/>
        <w:t xml:space="preserve">. </w:t>
      </w:r>
    </w:p>
    <w:p>
      <w:pPr>
        <w:pStyle w:val="Normal"/>
        <w:rPr/>
      </w:pPr>
      <w:r>
        <w:rPr/>
        <w:t>The sets of bands (multi-band environment), independent of release, that may be indicated in a cell are shown in Table B-1. Subsets of these may also be indicated. The DL UARFCN and UL UARFCN are derived according to [25.101].</w:t>
      </w:r>
    </w:p>
    <w:p>
      <w:pPr>
        <w:pStyle w:val="TH"/>
        <w:rPr/>
      </w:pPr>
      <w:r>
        <w:rPr/>
        <w:t>Table B-1: Overlapping bands (multi-band environments) for each UTRA band</w:t>
      </w:r>
    </w:p>
    <w:tbl>
      <w:tblPr>
        <w:tblW w:w="5103" w:type="dxa"/>
        <w:jc w:val="center"/>
        <w:tblInd w:w="0" w:type="dxa"/>
        <w:tblLayout w:type="fixed"/>
        <w:tblCellMar>
          <w:top w:w="0" w:type="dxa"/>
          <w:left w:w="108" w:type="dxa"/>
          <w:bottom w:w="0" w:type="dxa"/>
          <w:right w:w="108" w:type="dxa"/>
        </w:tblCellMar>
      </w:tblPr>
      <w:tblGrid>
        <w:gridCol w:w="1072"/>
        <w:gridCol w:w="3131"/>
        <w:gridCol w:w="900"/>
      </w:tblGrid>
      <w:tr>
        <w:trPr/>
        <w:tc>
          <w:tcPr>
            <w:tcW w:w="1072" w:type="dxa"/>
            <w:tcBorders>
              <w:top w:val="single" w:sz="4" w:space="0" w:color="000000"/>
              <w:left w:val="single" w:sz="4" w:space="0" w:color="000000"/>
              <w:bottom w:val="single" w:sz="4" w:space="0" w:color="000000"/>
              <w:right w:val="single" w:sz="4" w:space="0" w:color="000000"/>
            </w:tcBorders>
          </w:tcPr>
          <w:p>
            <w:pPr>
              <w:pStyle w:val="TALCharChar"/>
              <w:rPr/>
            </w:pPr>
            <w:r>
              <w:rPr/>
              <w:t>UTRA Operating Band</w:t>
            </w:r>
          </w:p>
        </w:tc>
        <w:tc>
          <w:tcPr>
            <w:tcW w:w="3131" w:type="dxa"/>
            <w:tcBorders>
              <w:top w:val="single" w:sz="4" w:space="0" w:color="000000"/>
              <w:left w:val="single" w:sz="4" w:space="0" w:color="000000"/>
              <w:bottom w:val="single" w:sz="4" w:space="0" w:color="000000"/>
              <w:right w:val="single" w:sz="4" w:space="0" w:color="000000"/>
            </w:tcBorders>
          </w:tcPr>
          <w:p>
            <w:pPr>
              <w:pStyle w:val="TALCharChar"/>
              <w:rPr/>
            </w:pPr>
            <w:r>
              <w:rPr/>
              <w:t>Overlapping UTRA operating bands</w:t>
            </w:r>
          </w:p>
        </w:tc>
        <w:tc>
          <w:tcPr>
            <w:tcW w:w="900" w:type="dxa"/>
            <w:tcBorders>
              <w:top w:val="single" w:sz="4" w:space="0" w:color="000000"/>
              <w:left w:val="single" w:sz="4" w:space="0" w:color="000000"/>
              <w:bottom w:val="single" w:sz="4" w:space="0" w:color="000000"/>
              <w:right w:val="single" w:sz="4" w:space="0" w:color="000000"/>
            </w:tcBorders>
          </w:tcPr>
          <w:p>
            <w:pPr>
              <w:pStyle w:val="TALCharChar"/>
              <w:rPr/>
            </w:pPr>
            <w:r>
              <w:rPr/>
              <w:t>Duplex Mode</w:t>
            </w:r>
          </w:p>
        </w:tc>
      </w:tr>
      <w:tr>
        <w:trPr/>
        <w:tc>
          <w:tcPr>
            <w:tcW w:w="1072"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3131" w:type="dxa"/>
            <w:tcBorders>
              <w:top w:val="single" w:sz="4" w:space="0" w:color="000000"/>
              <w:left w:val="single" w:sz="4" w:space="0" w:color="000000"/>
              <w:bottom w:val="single" w:sz="4" w:space="0" w:color="000000"/>
              <w:right w:val="single" w:sz="4" w:space="0" w:color="000000"/>
            </w:tcBorders>
          </w:tcPr>
          <w:p>
            <w:pPr>
              <w:pStyle w:val="TAC"/>
              <w:rPr/>
            </w:pPr>
            <w:r>
              <w:rPr/>
              <w:t>25</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FDD</w:t>
            </w:r>
          </w:p>
        </w:tc>
      </w:tr>
      <w:tr>
        <w:trPr/>
        <w:tc>
          <w:tcPr>
            <w:tcW w:w="1072"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3131"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FDD</w:t>
            </w:r>
          </w:p>
        </w:tc>
      </w:tr>
      <w:tr>
        <w:trPr/>
        <w:tc>
          <w:tcPr>
            <w:tcW w:w="1072"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3131"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FDD</w:t>
            </w:r>
          </w:p>
        </w:tc>
      </w:tr>
      <w:tr>
        <w:trPr/>
        <w:tc>
          <w:tcPr>
            <w:tcW w:w="1072"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3131" w:type="dxa"/>
            <w:tcBorders>
              <w:top w:val="single" w:sz="4" w:space="0" w:color="000000"/>
              <w:left w:val="single" w:sz="4" w:space="0" w:color="000000"/>
              <w:bottom w:val="single" w:sz="4" w:space="0" w:color="000000"/>
              <w:right w:val="single" w:sz="4" w:space="0" w:color="000000"/>
            </w:tcBorders>
          </w:tcPr>
          <w:p>
            <w:pPr>
              <w:pStyle w:val="TAC"/>
              <w:rPr/>
            </w:pPr>
            <w:r>
              <w:rPr/>
              <w:t>18, 19, 26</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FDD</w:t>
            </w:r>
          </w:p>
        </w:tc>
      </w:tr>
      <w:tr>
        <w:trPr/>
        <w:tc>
          <w:tcPr>
            <w:tcW w:w="1072"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3131"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FDD</w:t>
            </w:r>
          </w:p>
        </w:tc>
      </w:tr>
      <w:tr>
        <w:trPr/>
        <w:tc>
          <w:tcPr>
            <w:tcW w:w="1072"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3131"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FDD</w:t>
            </w:r>
          </w:p>
        </w:tc>
      </w:tr>
      <w:tr>
        <w:trPr/>
        <w:tc>
          <w:tcPr>
            <w:tcW w:w="1072" w:type="dxa"/>
            <w:tcBorders>
              <w:top w:val="single" w:sz="4" w:space="0" w:color="000000"/>
              <w:left w:val="single" w:sz="4" w:space="0" w:color="000000"/>
              <w:bottom w:val="single" w:sz="4" w:space="0" w:color="000000"/>
              <w:right w:val="single" w:sz="4" w:space="0" w:color="000000"/>
            </w:tcBorders>
          </w:tcPr>
          <w:p>
            <w:pPr>
              <w:pStyle w:val="TAC"/>
              <w:rPr/>
            </w:pPr>
            <w:r>
              <w:rPr/>
              <w:t>18</w:t>
            </w:r>
          </w:p>
        </w:tc>
        <w:tc>
          <w:tcPr>
            <w:tcW w:w="3131" w:type="dxa"/>
            <w:tcBorders>
              <w:top w:val="single" w:sz="4" w:space="0" w:color="000000"/>
              <w:left w:val="single" w:sz="4" w:space="0" w:color="000000"/>
              <w:bottom w:val="single" w:sz="4" w:space="0" w:color="000000"/>
              <w:right w:val="single" w:sz="4" w:space="0" w:color="000000"/>
            </w:tcBorders>
          </w:tcPr>
          <w:p>
            <w:pPr>
              <w:pStyle w:val="TAC"/>
              <w:rPr/>
            </w:pPr>
            <w:r>
              <w:rPr/>
              <w:t>5, 26</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FDD</w:t>
            </w:r>
          </w:p>
        </w:tc>
      </w:tr>
      <w:tr>
        <w:trPr/>
        <w:tc>
          <w:tcPr>
            <w:tcW w:w="1072" w:type="dxa"/>
            <w:tcBorders>
              <w:top w:val="single" w:sz="4" w:space="0" w:color="000000"/>
              <w:left w:val="single" w:sz="4" w:space="0" w:color="000000"/>
              <w:bottom w:val="single" w:sz="4" w:space="0" w:color="000000"/>
              <w:right w:val="single" w:sz="4" w:space="0" w:color="000000"/>
            </w:tcBorders>
          </w:tcPr>
          <w:p>
            <w:pPr>
              <w:pStyle w:val="TAC"/>
              <w:rPr/>
            </w:pPr>
            <w:r>
              <w:rPr/>
              <w:t>19</w:t>
            </w:r>
          </w:p>
        </w:tc>
        <w:tc>
          <w:tcPr>
            <w:tcW w:w="3131" w:type="dxa"/>
            <w:tcBorders>
              <w:top w:val="single" w:sz="4" w:space="0" w:color="000000"/>
              <w:left w:val="single" w:sz="4" w:space="0" w:color="000000"/>
              <w:bottom w:val="single" w:sz="4" w:space="0" w:color="000000"/>
              <w:right w:val="single" w:sz="4" w:space="0" w:color="000000"/>
            </w:tcBorders>
          </w:tcPr>
          <w:p>
            <w:pPr>
              <w:pStyle w:val="TAC"/>
              <w:rPr/>
            </w:pPr>
            <w:r>
              <w:rPr/>
              <w:t>5, 26</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FDD</w:t>
            </w:r>
          </w:p>
        </w:tc>
      </w:tr>
      <w:tr>
        <w:trPr/>
        <w:tc>
          <w:tcPr>
            <w:tcW w:w="1072" w:type="dxa"/>
            <w:tcBorders>
              <w:top w:val="single" w:sz="4" w:space="0" w:color="000000"/>
              <w:left w:val="single" w:sz="4" w:space="0" w:color="000000"/>
              <w:bottom w:val="single" w:sz="4" w:space="0" w:color="000000"/>
              <w:right w:val="single" w:sz="4" w:space="0" w:color="000000"/>
            </w:tcBorders>
          </w:tcPr>
          <w:p>
            <w:pPr>
              <w:pStyle w:val="TAC"/>
              <w:rPr/>
            </w:pPr>
            <w:r>
              <w:rPr/>
              <w:t>25</w:t>
            </w:r>
          </w:p>
        </w:tc>
        <w:tc>
          <w:tcPr>
            <w:tcW w:w="3131"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FDD</w:t>
            </w:r>
          </w:p>
        </w:tc>
      </w:tr>
      <w:tr>
        <w:trPr/>
        <w:tc>
          <w:tcPr>
            <w:tcW w:w="1072" w:type="dxa"/>
            <w:tcBorders>
              <w:top w:val="single" w:sz="4" w:space="0" w:color="000000"/>
              <w:left w:val="single" w:sz="4" w:space="0" w:color="000000"/>
              <w:bottom w:val="single" w:sz="4" w:space="0" w:color="000000"/>
              <w:right w:val="single" w:sz="4" w:space="0" w:color="000000"/>
            </w:tcBorders>
          </w:tcPr>
          <w:p>
            <w:pPr>
              <w:pStyle w:val="TAC"/>
              <w:rPr/>
            </w:pPr>
            <w:r>
              <w:rPr/>
              <w:t>26</w:t>
            </w:r>
          </w:p>
        </w:tc>
        <w:tc>
          <w:tcPr>
            <w:tcW w:w="3131" w:type="dxa"/>
            <w:tcBorders>
              <w:top w:val="single" w:sz="4" w:space="0" w:color="000000"/>
              <w:left w:val="single" w:sz="4" w:space="0" w:color="000000"/>
              <w:bottom w:val="single" w:sz="4" w:space="0" w:color="000000"/>
              <w:right w:val="single" w:sz="4" w:space="0" w:color="000000"/>
            </w:tcBorders>
          </w:tcPr>
          <w:p>
            <w:pPr>
              <w:pStyle w:val="TAC"/>
              <w:rPr/>
            </w:pPr>
            <w:r>
              <w:rPr/>
              <w:t>5, 18, 19</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FDD</w:t>
            </w:r>
          </w:p>
        </w:tc>
      </w:tr>
    </w:tbl>
    <w:p>
      <w:pPr>
        <w:pStyle w:val="Normal"/>
        <w:rPr/>
      </w:pPr>
      <w:r>
        <w:rPr/>
      </w:r>
    </w:p>
    <w:p>
      <w:pPr>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r>
    </w:p>
    <w:p>
      <w:pPr>
        <w:pStyle w:val="Heading8"/>
        <w:ind w:left="0" w:hanging="0"/>
        <w:rPr/>
      </w:pPr>
      <w:bookmarkStart w:id="38" w:name="__RefHeading___Toc517861545"/>
      <w:bookmarkStart w:id="39" w:name="historyclause"/>
      <w:bookmarkEnd w:id="38"/>
      <w:bookmarkEnd w:id="39"/>
      <w:r>
        <w:rPr/>
        <w:t>Annex C (informative):</w:t>
        <w:br/>
        <w:t>Change history</w:t>
      </w:r>
    </w:p>
    <w:tbl>
      <w:tblPr>
        <w:tblW w:w="9781" w:type="dxa"/>
        <w:jc w:val="left"/>
        <w:tblInd w:w="-10" w:type="dxa"/>
        <w:tblLayout w:type="fixed"/>
        <w:tblCellMar>
          <w:top w:w="0" w:type="dxa"/>
          <w:left w:w="40" w:type="dxa"/>
          <w:bottom w:w="0" w:type="dxa"/>
          <w:right w:w="40" w:type="dxa"/>
        </w:tblCellMar>
      </w:tblPr>
      <w:tblGrid>
        <w:gridCol w:w="709"/>
        <w:gridCol w:w="709"/>
        <w:gridCol w:w="992"/>
        <w:gridCol w:w="567"/>
        <w:gridCol w:w="425"/>
        <w:gridCol w:w="426"/>
        <w:gridCol w:w="5244"/>
        <w:gridCol w:w="709"/>
      </w:tblGrid>
      <w:tr>
        <w:trPr>
          <w:cantSplit w:val="true"/>
        </w:trPr>
        <w:tc>
          <w:tcPr>
            <w:tcW w:w="9781" w:type="dxa"/>
            <w:gridSpan w:val="8"/>
            <w:tcBorders>
              <w:top w:val="single" w:sz="8" w:space="0" w:color="000000"/>
              <w:left w:val="single" w:sz="8" w:space="0" w:color="000000"/>
              <w:bottom w:val="single" w:sz="8" w:space="0" w:color="000000"/>
              <w:right w:val="single" w:sz="8" w:space="0" w:color="000000"/>
            </w:tcBorders>
            <w:shd w:fill="FFFFFF" w:val="clear"/>
          </w:tcPr>
          <w:p>
            <w:pPr>
              <w:pStyle w:val="TAL"/>
              <w:jc w:val="center"/>
              <w:rPr>
                <w:b/>
                <w:b/>
                <w:sz w:val="16"/>
              </w:rPr>
            </w:pPr>
            <w:r>
              <w:rPr>
                <w:b/>
              </w:rPr>
              <w:t>Change history</w:t>
            </w:r>
          </w:p>
        </w:tc>
      </w:tr>
      <w:tr>
        <w:trPr/>
        <w:tc>
          <w:tcPr>
            <w:tcW w:w="709"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Date</w:t>
            </w:r>
          </w:p>
        </w:tc>
        <w:tc>
          <w:tcPr>
            <w:tcW w:w="709"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TSG #</w:t>
            </w:r>
          </w:p>
        </w:tc>
        <w:tc>
          <w:tcPr>
            <w:tcW w:w="992"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TSG Doc.</w:t>
            </w:r>
          </w:p>
        </w:tc>
        <w:tc>
          <w:tcPr>
            <w:tcW w:w="567"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CR</w:t>
            </w:r>
          </w:p>
        </w:tc>
        <w:tc>
          <w:tcPr>
            <w:tcW w:w="425"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Rev</w:t>
            </w:r>
          </w:p>
        </w:tc>
        <w:tc>
          <w:tcPr>
            <w:tcW w:w="426"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Cat</w:t>
            </w:r>
          </w:p>
        </w:tc>
        <w:tc>
          <w:tcPr>
            <w:tcW w:w="5244"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Subject/Comment</w:t>
            </w:r>
          </w:p>
        </w:tc>
        <w:tc>
          <w:tcPr>
            <w:tcW w:w="709"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New</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RP-010557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Approved at TSG-RAN #13 and placed under Change Control</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RP-010558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Correction to create Release 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RP-010759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Inclusion of release independent RF related information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RP-020096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Creation of Rel-5 specification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RP-030630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lang w:val="en-US" w:eastAsia="en-US"/>
              </w:rPr>
              <w:t>Introduction of UMTS800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RP-040092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rPr>
              <w:t>Frequency band alignment with 25.101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RP-040090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ja-JP"/>
              </w:rPr>
            </w:pPr>
            <w:r>
              <w:rPr>
                <w:sz w:val="16"/>
                <w:lang w:eastAsia="ja-JP"/>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lang w:eastAsia="ja-JP"/>
              </w:rPr>
              <w:t>Introduction of UMTS1700/2100 (Band IV)</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RP-040091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eastAsia="ja-JP"/>
              </w:rPr>
            </w:pPr>
            <w:r>
              <w:rPr>
                <w:sz w:val="16"/>
                <w:lang w:eastAsia="ja-JP"/>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lang w:eastAsia="ja-JP"/>
              </w:rPr>
              <w:t>Introduction of UMTS850(Band V)</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RP-050467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0038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US" w:eastAsia="en-US"/>
              </w:rPr>
            </w:pPr>
            <w:r>
              <w:rPr>
                <w:sz w:val="16"/>
                <w:szCs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eastAsia="ja-JP"/>
              </w:rPr>
            </w:pPr>
            <w:r>
              <w:rPr>
                <w:sz w:val="16"/>
                <w:szCs w:val="16"/>
                <w:lang w:val="en-US" w:eastAsia="en-US"/>
              </w:rPr>
              <w:t>Introduction of UMTS2600 internal band, Band VII</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0042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US" w:eastAsia="en-US"/>
              </w:rPr>
            </w:pPr>
            <w:r>
              <w:rPr>
                <w:sz w:val="16"/>
                <w:szCs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Introduction of UMTS 900 (Band VIII)</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RP-050801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US" w:eastAsia="en-US"/>
              </w:rPr>
            </w:pPr>
            <w:r>
              <w:rPr>
                <w:sz w:val="16"/>
                <w:szCs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Introduction of UMTS1700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RP-060369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eastAsia="en-GB"/>
              </w:rPr>
            </w:pPr>
            <w:r>
              <w:rPr>
                <w:rFonts w:cs="Arial"/>
                <w:sz w:val="16"/>
                <w:szCs w:val="16"/>
                <w:lang w:eastAsia="en-GB"/>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rFonts w:cs="Arial"/>
                <w:sz w:val="16"/>
                <w:szCs w:val="16"/>
                <w:lang w:eastAsia="en-GB"/>
              </w:rPr>
              <w:t>Creation of release 7 version</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RP-060715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0057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Introduction of Band X (Extended UMTS 1.7/2.1 GHz) in 25.307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RP-070633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0066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Introduction of Band XI</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8.0.0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RP-080200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0072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Introduction of UMTS 700 MHz (Bands XII – XIV) in 25.307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8.1.0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09/2008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RP-41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RP-080676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0077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Introduction of UMTS Band d in 25.307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09/2008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RP-41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RP-080695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0082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UMTS Band e in 25.307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03/2009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RP-090146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0087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UMTS Band f in 25.307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09/2009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RP-090921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0089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Band XIX</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8.4.0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09/2009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RP-090921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0088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Band XIX</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12/2009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RP-091333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0094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Editorial corrections for Introduction of Band XIX</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RP-091335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0100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Introduction of band XXI - 25.307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03/2010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RP-100302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0106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Introduction of band XX (800 MHz)</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9.2.0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03/2011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Upgrade to Release 10 -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06/2011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RP-110844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0141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Add Expanded 1900 MHz Band for UTRA and LTE to TS25.307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09/2011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RP-111294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0161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Add Band XXII for LTE/UMTS 3500 (FDD)</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RP-120328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0168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Add Extending 850 MHz Upper Band (814 - 849 MHz) to TS25.307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10.3.0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06/2012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RP-120816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0170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Add Extending 850 MHz Upper Band (814 - 849 MHz) to TS25.307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12/2012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RP-121922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szCs w:val="16"/>
              </w:rPr>
              <w:t>0193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Multiple frequency band indicators per cell</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03/2014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RP-63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RP-140336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0207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Introducing 'General' clause with note referring to notes in clause 4.4 in TS25.101 and TS25.102, editorial modifications to Scope clause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09/2014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Upgrade to the Release 12 -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12/2015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Upgrade to the Release 13 -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13.0.0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03/2017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Upgrade to Release 14 -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14.0.0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06/2018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RP-80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Upgrade to Release 15 -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2020-07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RP-88e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rFonts w:cs="Arial"/>
                <w:sz w:val="16"/>
                <w:szCs w:val="16"/>
              </w:rPr>
              <w:t>Upgrade to Rel-16 version without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bCs/>
                <w:sz w:val="16"/>
              </w:rPr>
            </w:pPr>
            <w:r>
              <w:rPr>
                <w:bCs/>
                <w:sz w:val="16"/>
              </w:rPr>
              <w:t>16.0.0</w:t>
            </w:r>
          </w:p>
        </w:tc>
      </w:tr>
    </w:tbl>
    <w:p>
      <w:pPr>
        <w:pStyle w:val="Normal"/>
        <w:widowControl/>
        <w:bidi w:val="0"/>
        <w:spacing w:before="0" w:after="180"/>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charset w:val="02"/>
    <w:family w:val="decorative"/>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1864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25.307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25.307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5">
              <wp:simplePos x="0" y="0"/>
              <wp:positionH relativeFrom="margin">
                <wp:align>center</wp:align>
              </wp:positionH>
              <wp:positionV relativeFrom="paragraph">
                <wp:posOffset>635</wp:posOffset>
              </wp:positionV>
              <wp:extent cx="641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3">
              <wp:simplePos x="0" y="0"/>
              <wp:positionH relativeFrom="margin">
                <wp:align>right</wp:align>
              </wp:positionH>
              <wp:positionV relativeFrom="paragraph">
                <wp:posOffset>635</wp:posOffset>
              </wp:positionV>
              <wp:extent cx="1818640" cy="131445"/>
              <wp:effectExtent l="0" t="0" r="0" b="0"/>
              <wp:wrapSquare wrapText="largest"/>
              <wp:docPr id="15"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25.307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25.307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center</wp:align>
              </wp:positionH>
              <wp:positionV relativeFrom="paragraph">
                <wp:posOffset>635</wp:posOffset>
              </wp:positionV>
              <wp:extent cx="64135" cy="131445"/>
              <wp:effectExtent l="0" t="0" r="0" b="0"/>
              <wp:wrapSquare wrapText="largest"/>
              <wp:docPr id="16" name="Frame14"/>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5">
              <wp:simplePos x="0" y="0"/>
              <wp:positionH relativeFrom="margin">
                <wp:align>left</wp:align>
              </wp:positionH>
              <wp:positionV relativeFrom="paragraph">
                <wp:posOffset>635</wp:posOffset>
              </wp:positionV>
              <wp:extent cx="591820" cy="131445"/>
              <wp:effectExtent l="0" t="0" r="0" b="0"/>
              <wp:wrapSquare wrapText="largest"/>
              <wp:docPr id="17"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6">
              <wp:simplePos x="0" y="0"/>
              <wp:positionH relativeFrom="margin">
                <wp:align>right</wp:align>
              </wp:positionH>
              <wp:positionV relativeFrom="paragraph">
                <wp:posOffset>635</wp:posOffset>
              </wp:positionV>
              <wp:extent cx="1818640" cy="131445"/>
              <wp:effectExtent l="0" t="0" r="0" b="0"/>
              <wp:wrapSquare wrapText="largest"/>
              <wp:docPr id="18"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25.307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25.307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7">
              <wp:simplePos x="0" y="0"/>
              <wp:positionH relativeFrom="margin">
                <wp:align>center</wp:align>
              </wp:positionH>
              <wp:positionV relativeFrom="paragraph">
                <wp:posOffset>635</wp:posOffset>
              </wp:positionV>
              <wp:extent cx="127635" cy="131445"/>
              <wp:effectExtent l="0" t="0" r="0" b="0"/>
              <wp:wrapSquare wrapText="largest"/>
              <wp:docPr id="19"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left</wp:align>
              </wp:positionH>
              <wp:positionV relativeFrom="paragraph">
                <wp:posOffset>635</wp:posOffset>
              </wp:positionV>
              <wp:extent cx="591820" cy="131445"/>
              <wp:effectExtent l="0" t="0" r="0" b="0"/>
              <wp:wrapSquare wrapText="largest"/>
              <wp:docPr id="20"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S Mincho;ＭＳ 明朝"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MS Mincho;ＭＳ 明朝"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z w:val="16"/>
    </w:rPr>
  </w:style>
  <w:style w:type="character" w:styleId="WW8Num3z0">
    <w:name w:val="WW8Num3z0"/>
    <w:qFormat/>
    <w:rPr>
      <w:sz w:val="16"/>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rFonts w:ascii="Times New Roman" w:hAnsi="Times New Roman" w:eastAsia="MS PMincho" w:cs="Times New Roman"/>
    </w:rPr>
  </w:style>
  <w:style w:type="character" w:styleId="WW8Num8z1">
    <w:name w:val="WW8Num8z1"/>
    <w:qFormat/>
    <w:rPr>
      <w:rFonts w:ascii="Wingdings" w:hAnsi="Wingdings" w:cs="Wingdings"/>
    </w:rPr>
  </w:style>
  <w:style w:type="character" w:styleId="WW8Num9z0">
    <w:name w:val="WW8Num9z0"/>
    <w:qFormat/>
    <w:rPr>
      <w:sz w:val="16"/>
    </w:rPr>
  </w:style>
  <w:style w:type="character" w:styleId="WW8Num10z0">
    <w:name w:val="WW8Num10z0"/>
    <w:qFormat/>
    <w:rPr>
      <w:rFonts w:ascii="ZapfDingbats" w:hAnsi="ZapfDingbats" w:cs="ZapfDingbats"/>
      <w:b/>
      <w:i w:val="false"/>
      <w:color w:val="70CEF5"/>
      <w:sz w:val="20"/>
      <w:szCs w:val="2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rFonts w:ascii="Arial" w:hAnsi="Arial" w:eastAsia="SimSun;宋体" w:cs="Arial"/>
      <w:color w:val="0000FF"/>
      <w:kern w:val="2"/>
      <w:lang w:val="en-US" w:eastAsia="zh-CN" w:bidi="ar-SA"/>
    </w:rPr>
  </w:style>
  <w:style w:type="character" w:styleId="ZGSM">
    <w:name w:val="ZGSM"/>
    <w:qFormat/>
    <w:rPr/>
  </w:style>
  <w:style w:type="character" w:styleId="FootnoteCharacters">
    <w:name w:val="Footnote Characters"/>
    <w:qFormat/>
    <w:rPr>
      <w:rFonts w:ascii="Arial" w:hAnsi="Arial" w:eastAsia="SimSun;宋体" w:cs="Arial"/>
      <w:b/>
      <w:color w:val="0000FF"/>
      <w:kern w:val="2"/>
      <w:sz w:val="16"/>
      <w:vertAlign w:val="superscript"/>
      <w:lang w:val="en-US" w:eastAsia="zh-CN" w:bidi="ar-SA"/>
    </w:rPr>
  </w:style>
  <w:style w:type="character" w:styleId="InternetLink">
    <w:name w:val="Hyperlink"/>
    <w:rPr>
      <w:rFonts w:ascii="Arial" w:hAnsi="Arial" w:eastAsia="SimSun;宋体" w:cs="Arial"/>
      <w:color w:val="0000FF"/>
      <w:kern w:val="2"/>
      <w:u w:val="single"/>
      <w:lang w:val="en-US" w:eastAsia="zh-CN" w:bidi="ar-SA"/>
    </w:rPr>
  </w:style>
  <w:style w:type="character" w:styleId="VisitedInternetLink">
    <w:name w:val="FollowedHyperlink"/>
    <w:rPr>
      <w:rFonts w:ascii="Arial" w:hAnsi="Arial" w:eastAsia="SimSun;宋体" w:cs="Arial"/>
      <w:color w:val="0000FF"/>
      <w:kern w:val="2"/>
      <w:u w:val="single"/>
      <w:lang w:val="en-US" w:eastAsia="zh-CN" w:bidi="ar-SA"/>
    </w:rPr>
  </w:style>
  <w:style w:type="character" w:styleId="CommentReference">
    <w:name w:val="Comment Reference"/>
    <w:qFormat/>
    <w:rPr>
      <w:rFonts w:ascii="Arial" w:hAnsi="Arial" w:eastAsia="SimSun;宋体" w:cs="Arial"/>
      <w:color w:val="0000FF"/>
      <w:kern w:val="2"/>
      <w:sz w:val="16"/>
      <w:lang w:val="en-US" w:eastAsia="zh-CN" w:bidi="ar-SA"/>
    </w:rPr>
  </w:style>
  <w:style w:type="character" w:styleId="TACChar">
    <w:name w:val="TAC Char"/>
    <w:qFormat/>
    <w:rPr>
      <w:rFonts w:ascii="Arial" w:hAnsi="Arial" w:eastAsia="MS Mincho;ＭＳ 明朝" w:cs="Arial"/>
      <w:color w:val="0000FF"/>
      <w:kern w:val="2"/>
      <w:sz w:val="18"/>
      <w:lang w:val="en-GB" w:bidi="ar-SA"/>
    </w:rPr>
  </w:style>
  <w:style w:type="character" w:styleId="TAHCar">
    <w:name w:val="TAH Car"/>
    <w:qFormat/>
    <w:rPr>
      <w:rFonts w:ascii="Arial" w:hAnsi="Arial" w:eastAsia="MS Mincho;ＭＳ 明朝" w:cs="Arial"/>
      <w:b/>
      <w:color w:val="0000FF"/>
      <w:kern w:val="2"/>
      <w:sz w:val="18"/>
      <w:lang w:val="en-GB" w:bidi="ar-SA"/>
    </w:rPr>
  </w:style>
  <w:style w:type="character" w:styleId="THChar">
    <w:name w:val="TH Char"/>
    <w:qFormat/>
    <w:rPr>
      <w:rFonts w:ascii="Arial" w:hAnsi="Arial" w:eastAsia="MS Mincho;ＭＳ 明朝" w:cs="Arial"/>
      <w:b/>
      <w:color w:val="0000FF"/>
      <w:kern w:val="2"/>
      <w:lang w:val="en-GB" w:bidi="ar-SA"/>
    </w:rPr>
  </w:style>
  <w:style w:type="character" w:styleId="Heading1Char">
    <w:name w:val="Heading 1 Char"/>
    <w:qFormat/>
    <w:rPr>
      <w:rFonts w:ascii="Arial" w:hAnsi="Arial" w:cs="Arial"/>
      <w:sz w:val="36"/>
      <w:lang w:val="en-GB" w:bidi="ar-SA"/>
    </w:rPr>
  </w:style>
  <w:style w:type="character" w:styleId="BalloonTextChar">
    <w:name w:val="Balloon Text Char"/>
    <w:qFormat/>
    <w:rPr>
      <w:rFonts w:ascii="Tahoma" w:hAnsi="Tahoma" w:eastAsia="SimSun;宋体" w:cs="Tahoma"/>
      <w:color w:val="0000FF"/>
      <w:kern w:val="2"/>
      <w:sz w:val="16"/>
      <w:szCs w:val="16"/>
      <w:lang w:val="en-GB" w:eastAsia="zh-CN"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MS Mincho;ＭＳ 明朝"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MS Mincho;ＭＳ 明朝" w:cs="Arial"/>
      <w:b/>
      <w:color w:val="auto"/>
      <w:sz w:val="18"/>
      <w:szCs w:val="20"/>
      <w:lang w:val="en-GB" w:eastAsia="en-US" w:bidi="ar-SA"/>
    </w:rPr>
  </w:style>
  <w:style w:type="paragraph" w:styleId="ZD">
    <w:name w:val="ZD"/>
    <w:qFormat/>
    <w:pPr>
      <w:widowControl w:val="false"/>
      <w:bidi w:val="0"/>
    </w:pPr>
    <w:rPr>
      <w:rFonts w:ascii="Arial" w:hAnsi="Arial" w:eastAsia="MS Mincho;ＭＳ 明朝"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S Mincho;ＭＳ 明朝"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S Mincho;ＭＳ 明朝"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MS Mincho;ＭＳ 明朝"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MS Mincho;ＭＳ 明朝"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MS Mincho;ＭＳ 明朝"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MS Mincho;ＭＳ 明朝"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MS Mincho;ＭＳ 明朝"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MS Mincho;ＭＳ 明朝"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RCoverPage">
    <w:name w:val="CR Cover Page"/>
    <w:next w:val="Normal"/>
    <w:qFormat/>
    <w:pPr>
      <w:widowControl/>
      <w:bidi w:val="0"/>
      <w:spacing w:before="0" w:after="120"/>
    </w:pPr>
    <w:rPr>
      <w:rFonts w:ascii="Arial" w:hAnsi="Arial" w:eastAsia="MS Mincho;ＭＳ 明朝" w:cs="Arial"/>
      <w:color w:val="auto"/>
      <w:sz w:val="20"/>
      <w:szCs w:val="20"/>
      <w:lang w:val="en-GB" w:bidi="ar-SA" w:eastAsia="zh-CN"/>
    </w:rPr>
  </w:style>
  <w:style w:type="paragraph" w:styleId="Style5">
    <w:name w:val="吹き出し"/>
    <w:basedOn w:val="Normal"/>
    <w:qFormat/>
    <w:pPr/>
    <w:rPr>
      <w:rFonts w:ascii="Arial" w:hAnsi="Arial" w:eastAsia="MS Gothic;ＭＳ ゴシック" w:cs="Arial"/>
      <w:sz w:val="18"/>
      <w:szCs w:val="18"/>
    </w:rPr>
  </w:style>
  <w:style w:type="paragraph" w:styleId="TALCharChar">
    <w:name w:val="TAL Char Char"/>
    <w:basedOn w:val="Normal"/>
    <w:qFormat/>
    <w:pPr>
      <w:keepNext w:val="true"/>
      <w:keepLines/>
      <w:overflowPunct w:val="false"/>
      <w:autoSpaceDE w:val="false"/>
      <w:spacing w:before="0" w:after="0"/>
      <w:textAlignment w:val="baseline"/>
    </w:pPr>
    <w:rPr>
      <w:rFonts w:ascii="Arial" w:hAnsi="Arial" w:eastAsia="Times New Roman" w:cs="Arial"/>
      <w:sz w:val="18"/>
      <w:lang w:eastAsia="ja-JP"/>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yperlink" Target="http://www.3gpp.org/" TargetMode="External"/><Relationship Id="rId5" Type="http://schemas.openxmlformats.org/officeDocument/2006/relationships/hyperlink" Target="http://www.3gpp.org/"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2017-03-23T11:49:00Z</dcterms:created>
  <dc:creator>TSG RAN WG6</dc:creator>
  <dc:description/>
  <cp:keywords>UMTS radio</cp:keywords>
  <dc:language>en-US</dc:language>
  <cp:lastModifiedBy>x</cp:lastModifiedBy>
  <cp:lastPrinted>2004-03-04T10:53:00Z</cp:lastPrinted>
  <dcterms:modified xsi:type="dcterms:W3CDTF">2020-07-18T19:09:00Z</dcterms:modified>
  <cp:revision>8</cp:revision>
  <dc:subject>TS 25.307 Requirements on User Equipments (UEs) supporting a release-independent frequency band (Release 16)</dc:subject>
  <dc:title>3GPP TS 25.307 v. 15.0.0</dc:title>
</cp:coreProperties>
</file>