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25.327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25.327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High Speed Packet Access (HSPA); </w:t>
                            </w:r>
                          </w:p>
                          <w:p>
                            <w:pPr>
                              <w:pStyle w:val="ZT"/>
                              <w:rPr/>
                            </w:pPr>
                            <w:r>
                              <w:rPr/>
                              <w:t>Requirements on User Equipments (UEs)</w:t>
                            </w:r>
                          </w:p>
                          <w:p>
                            <w:pPr>
                              <w:pStyle w:val="ZT"/>
                              <w:rPr/>
                            </w:pPr>
                            <w:r>
                              <w:rPr/>
                              <w:t xml:space="preserve">supporting a release-independent frequency band and </w:t>
                            </w:r>
                          </w:p>
                          <w:p>
                            <w:pPr>
                              <w:pStyle w:val="ZT"/>
                              <w:rPr/>
                            </w:pPr>
                            <w:r>
                              <w:rPr/>
                              <w:t xml:space="preserve">multi-carrier configuration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High Speed Packet Access (HSPA); </w:t>
                      </w:r>
                    </w:p>
                    <w:p>
                      <w:pPr>
                        <w:pStyle w:val="ZT"/>
                        <w:rPr/>
                      </w:pPr>
                      <w:r>
                        <w:rPr/>
                        <w:t>Requirements on User Equipments (UEs)</w:t>
                      </w:r>
                    </w:p>
                    <w:p>
                      <w:pPr>
                        <w:pStyle w:val="ZT"/>
                        <w:rPr/>
                      </w:pPr>
                      <w:r>
                        <w:rPr/>
                        <w:t xml:space="preserve">supporting a release-independent frequency band and </w:t>
                      </w:r>
                    </w:p>
                    <w:p>
                      <w:pPr>
                        <w:pStyle w:val="ZT"/>
                        <w:rPr/>
                      </w:pPr>
                      <w:r>
                        <w:rPr/>
                        <w:t xml:space="preserve">multi-carrier configuration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drawing>
                                <wp:inline distT="0" distB="0" distL="0" distR="0">
                                  <wp:extent cx="1624965" cy="94996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drawing>
                          <wp:inline distT="0" distB="0" distL="0" distR="0">
                            <wp:extent cx="1624965" cy="949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color w:val="000000"/>
        </w:rPr>
      </w:pPr>
      <w:r>
        <w:rPr>
          <w:color w:val="000000"/>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color w:val="000000"/>
        </w:rPr>
      </w:pPr>
      <w:r>
        <w:rPr>
          <w:color w:val="000000"/>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88684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88684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88684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886848">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886849">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886850">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DB-DC-HSDPA configurations independent of release</w:t>
            <w:tab/>
          </w:r>
          <w:hyperlink w:anchor="__RefHeading___Toc517886851">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Void</w:t>
            <w:tab/>
          </w:r>
          <w:hyperlink w:anchor="__RefHeading___Toc517886852">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Void</w:t>
            <w:tab/>
          </w:r>
          <w:hyperlink w:anchor="__RefHeading___Toc517886853">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Void</w:t>
            <w:tab/>
          </w:r>
          <w:hyperlink w:anchor="__RefHeading___Toc51788685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4C-HSDPA configurations independent of release</w:t>
            <w:tab/>
          </w:r>
          <w:hyperlink w:anchor="__RefHeading___Toc517886855">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Single-band contiguous configurations</w:t>
            <w:tab/>
          </w:r>
          <w:hyperlink w:anchor="__RefHeading___Toc517886856">
            <w:r>
              <w:rPr>
                <w:rStyle w:val="IndexLink"/>
              </w:rPr>
              <w:t>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Void</w:t>
            <w:tab/>
          </w:r>
          <w:hyperlink w:anchor="__RefHeading___Toc517886857">
            <w:r>
              <w:rPr>
                <w:rStyle w:val="IndexLink"/>
              </w:rPr>
              <w:t>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Void</w:t>
            <w:tab/>
          </w:r>
          <w:hyperlink w:anchor="__RefHeading___Toc517886858">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Dual-band configurations</w:t>
            <w:tab/>
          </w:r>
          <w:hyperlink w:anchor="__RefHeading___Toc517886859">
            <w:r>
              <w:rPr>
                <w:rStyle w:val="IndexLink"/>
              </w:rPr>
              <w:t>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Void</w:t>
            <w:tab/>
          </w:r>
          <w:hyperlink w:anchor="__RefHeading___Toc517886860">
            <w:r>
              <w:rPr>
                <w:rStyle w:val="IndexLink"/>
              </w:rPr>
              <w:t>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Void</w:t>
            <w:tab/>
          </w:r>
          <w:hyperlink w:anchor="__RefHeading___Toc517886861">
            <w:r>
              <w:rPr>
                <w:rStyle w:val="IndexLink"/>
              </w:rPr>
              <w:t>6</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Void</w:t>
            <w:tab/>
          </w:r>
          <w:hyperlink w:anchor="__RefHeading___Toc517886862">
            <w:r>
              <w:rPr>
                <w:rStyle w:val="IndexLink"/>
              </w:rPr>
              <w:t>6</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Void</w:t>
            <w:tab/>
          </w:r>
          <w:hyperlink w:anchor="__RefHeading___Toc517886863">
            <w:r>
              <w:rPr>
                <w:rStyle w:val="IndexLink"/>
              </w:rPr>
              <w:t>6</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Void</w:t>
            <w:tab/>
          </w:r>
          <w:hyperlink w:anchor="__RefHeading___Toc517886864">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8C-HSDPA configurations independent of release</w:t>
            <w:tab/>
          </w:r>
          <w:hyperlink w:anchor="__RefHeading___Toc517886865">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517886866">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88684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886846"/>
      <w:bookmarkEnd w:id="7"/>
      <w:r>
        <w:rPr/>
        <w:t>1</w:t>
        <w:tab/>
        <w:t>Scope</w:t>
      </w:r>
    </w:p>
    <w:p>
      <w:pPr>
        <w:pStyle w:val="Normal"/>
        <w:rPr/>
      </w:pPr>
      <w:r>
        <w:rPr/>
        <w:t>The present document specifies requirements on UEs supporting a DB-DC-HSDPA, 4C-HSDPA, and 8C-HSDPA configuration that is independent of release. TSG-RAN has agreed that the standardisation of new configurations may be independent of a release. However, in order to implement a UE that conforms to a particular release but supports a configuration that is specified in a later release, it is necessary to specify some extra requirements.</w:t>
      </w:r>
    </w:p>
    <w:p>
      <w:pPr>
        <w:pStyle w:val="Normal"/>
        <w:rPr/>
      </w:pPr>
      <w:r>
        <w:rPr/>
        <w:t>For example, Band I-XI combination for DB-DC-HSDPA (referred to as DB-DC-HSDPA configuration 4 in [2]) is contained in the Release 10 specifications. In order to implement a UE conforming to Release 9 but supporting this configuration, it is necessary for the UE to additionally conform to some parts of the Release 10 specifications, such as the radio frequency and radio resource management requirements for the configuration.</w:t>
      </w:r>
    </w:p>
    <w:p>
      <w:pPr>
        <w:pStyle w:val="Normal"/>
        <w:rPr/>
      </w:pPr>
      <w:r>
        <w:rPr/>
        <w:t>Similarly, 4C-HSDPA configuration I-3 is contained in the Release 11 specification [3]. In order to implement a UE conforming to Release 10, but supporting this configuration, it is necessary for the UE to additionally conform to some parts of the Release 11 specifications.</w:t>
      </w:r>
    </w:p>
    <w:p>
      <w:pPr>
        <w:pStyle w:val="Heading1"/>
        <w:ind w:left="1134" w:hanging="1134"/>
        <w:rPr/>
      </w:pPr>
      <w:bookmarkStart w:id="8" w:name="__RefHeading___Toc51788684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ja-JP"/>
        </w:rPr>
      </w:pPr>
      <w:r>
        <w:rPr/>
        <w:t>[1]</w:t>
        <w:tab/>
        <w:t>3GPP TR 21.905: "Vocabulary for 3GPP Specifications".</w:t>
      </w:r>
    </w:p>
    <w:p>
      <w:pPr>
        <w:pStyle w:val="EX"/>
        <w:rPr>
          <w:lang w:val="en-US"/>
        </w:rPr>
      </w:pPr>
      <w:r>
        <w:rPr>
          <w:lang w:eastAsia="ja-JP"/>
        </w:rPr>
        <w:t>[2]</w:t>
        <w:tab/>
      </w:r>
      <w:r>
        <w:rPr/>
        <w:t>3GPP TS </w:t>
      </w:r>
      <w:r>
        <w:rPr>
          <w:lang w:eastAsia="ja-JP"/>
        </w:rPr>
        <w:t>25</w:t>
      </w:r>
      <w:r>
        <w:rPr/>
        <w:t xml:space="preserve">.101 </w:t>
      </w:r>
      <w:r>
        <w:rPr>
          <w:lang w:eastAsia="ja-JP"/>
        </w:rPr>
        <w:t xml:space="preserve">(Release </w:t>
      </w:r>
      <w:r>
        <w:rPr>
          <w:lang w:eastAsia="ja-JP"/>
        </w:rPr>
        <w:t>10</w:t>
      </w:r>
      <w:r>
        <w:rPr>
          <w:lang w:eastAsia="ja-JP"/>
        </w:rPr>
        <w:t>)</w:t>
      </w:r>
      <w:r>
        <w:rPr/>
        <w:t>: "</w:t>
      </w:r>
      <w:r>
        <w:rPr>
          <w:lang w:val="en-US"/>
        </w:rPr>
        <w:t>User Equipment (UE) radio transmission and reception (FDD)".</w:t>
      </w:r>
    </w:p>
    <w:p>
      <w:pPr>
        <w:pStyle w:val="EX"/>
        <w:rPr>
          <w:lang w:val="en-US"/>
        </w:rPr>
      </w:pPr>
      <w:r>
        <w:rPr>
          <w:lang w:val="en-US"/>
        </w:rPr>
        <w:t>[3]</w:t>
        <w:tab/>
        <w:t>3GPP TS 25.101 (Release 11): "User Equipment (UE) radio transmission and reception (FDD)".</w:t>
      </w:r>
    </w:p>
    <w:p>
      <w:pPr>
        <w:pStyle w:val="EX"/>
        <w:rPr>
          <w:lang w:val="en-US"/>
        </w:rPr>
      </w:pPr>
      <w:r>
        <w:rPr>
          <w:lang w:val="en-US"/>
        </w:rPr>
        <w:t>[4]</w:t>
        <w:tab/>
        <w:t>Void</w:t>
      </w:r>
    </w:p>
    <w:p>
      <w:pPr>
        <w:pStyle w:val="EX"/>
        <w:rPr>
          <w:lang w:val="en-US"/>
        </w:rPr>
      </w:pPr>
      <w:r>
        <w:rPr>
          <w:lang w:val="en-US"/>
        </w:rPr>
        <w:t>[5]</w:t>
        <w:tab/>
        <w:t>Void</w:t>
      </w:r>
    </w:p>
    <w:p>
      <w:pPr>
        <w:pStyle w:val="Heading1"/>
        <w:ind w:left="1134" w:hanging="1134"/>
        <w:rPr/>
      </w:pPr>
      <w:bookmarkStart w:id="9" w:name="__RefHeading___Toc517886848"/>
      <w:bookmarkEnd w:id="9"/>
      <w:r>
        <w:rPr/>
        <w:t>3</w:t>
        <w:tab/>
        <w:t>Definitions, symbols and abbreviations</w:t>
      </w:r>
    </w:p>
    <w:p>
      <w:pPr>
        <w:pStyle w:val="Heading2"/>
        <w:rPr/>
      </w:pPr>
      <w:bookmarkStart w:id="10" w:name="__RefHeading___Toc517886849"/>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1" w:name="__RefHeading___Toc517886850"/>
      <w:bookmarkEnd w:id="11"/>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DB-DC-HSDPA</w:t>
        <w:tab/>
        <w:t>Dual Band Dual Cell HSDPA</w:t>
      </w:r>
    </w:p>
    <w:p>
      <w:pPr>
        <w:pStyle w:val="EW"/>
        <w:rPr/>
      </w:pPr>
      <w:r>
        <w:rPr/>
        <w:t>4C-HSDPA</w:t>
        <w:tab/>
        <w:t>Four-carrier HSDPA</w:t>
      </w:r>
    </w:p>
    <w:p>
      <w:pPr>
        <w:pStyle w:val="EW"/>
        <w:rPr/>
      </w:pPr>
      <w:r>
        <w:rPr/>
        <w:t>8C-HSDPA</w:t>
        <w:tab/>
        <w:t>Eight-carrier HSDPA</w:t>
      </w:r>
    </w:p>
    <w:p>
      <w:pPr>
        <w:pStyle w:val="Heading1"/>
        <w:ind w:left="1134" w:hanging="1134"/>
        <w:rPr/>
      </w:pPr>
      <w:bookmarkStart w:id="12" w:name="__RefHeading___Toc517886851"/>
      <w:bookmarkEnd w:id="12"/>
      <w:r>
        <w:rPr/>
        <w:t>4</w:t>
        <w:tab/>
        <w:t>DB-DC-HSDPA configurations independent of release</w:t>
      </w:r>
    </w:p>
    <w:p>
      <w:pPr>
        <w:pStyle w:val="Heading2"/>
        <w:rPr/>
      </w:pPr>
      <w:bookmarkStart w:id="13" w:name="__RefHeading___Toc517886852"/>
      <w:bookmarkEnd w:id="13"/>
      <w:r>
        <w:rPr/>
        <w:t>4.1</w:t>
        <w:tab/>
        <w:t>Void</w:t>
      </w:r>
    </w:p>
    <w:p>
      <w:pPr>
        <w:pStyle w:val="Heading2"/>
        <w:rPr/>
      </w:pPr>
      <w:bookmarkStart w:id="14" w:name="__RefHeading___Toc517886853"/>
      <w:bookmarkEnd w:id="14"/>
      <w:r>
        <w:rPr/>
        <w:t>4.2</w:t>
        <w:tab/>
        <w:t>Void</w:t>
      </w:r>
    </w:p>
    <w:p>
      <w:pPr>
        <w:pStyle w:val="Heading2"/>
        <w:rPr/>
      </w:pPr>
      <w:bookmarkStart w:id="15" w:name="__RefHeading___Toc517886854"/>
      <w:bookmarkEnd w:id="15"/>
      <w:r>
        <w:rPr/>
        <w:t>4.3</w:t>
        <w:tab/>
        <w:t>Void</w:t>
      </w:r>
    </w:p>
    <w:p>
      <w:pPr>
        <w:pStyle w:val="Heading1"/>
        <w:ind w:left="1134" w:hanging="1134"/>
        <w:rPr>
          <w:lang w:eastAsia="ja-JP"/>
        </w:rPr>
      </w:pPr>
      <w:bookmarkStart w:id="16" w:name="__RefHeading___Toc517886855"/>
      <w:bookmarkEnd w:id="16"/>
      <w:r>
        <w:rPr>
          <w:lang w:eastAsia="ja-JP"/>
        </w:rPr>
        <w:t>5</w:t>
        <w:tab/>
      </w:r>
      <w:r>
        <w:rPr/>
        <w:t>4C-HSDPA configurations independent of release</w:t>
      </w:r>
    </w:p>
    <w:p>
      <w:pPr>
        <w:pStyle w:val="Heading2"/>
        <w:rPr/>
      </w:pPr>
      <w:bookmarkStart w:id="17" w:name="__RefHeading___Toc517886856"/>
      <w:bookmarkEnd w:id="17"/>
      <w:r>
        <w:rPr/>
        <w:t>5.1</w:t>
        <w:tab/>
        <w:t>Single-band contiguous configurations</w:t>
      </w:r>
    </w:p>
    <w:p>
      <w:pPr>
        <w:pStyle w:val="Heading3"/>
        <w:rPr/>
      </w:pPr>
      <w:bookmarkStart w:id="18" w:name="__RefHeading___Toc517886857"/>
      <w:bookmarkEnd w:id="18"/>
      <w:r>
        <w:rPr/>
        <w:t>5.1.1</w:t>
        <w:tab/>
        <w:t>Void</w:t>
      </w:r>
    </w:p>
    <w:p>
      <w:pPr>
        <w:pStyle w:val="Heading3"/>
        <w:rPr/>
      </w:pPr>
      <w:bookmarkStart w:id="19" w:name="__RefHeading___Toc517886858"/>
      <w:bookmarkEnd w:id="19"/>
      <w:r>
        <w:rPr/>
        <w:t>5.1.2</w:t>
        <w:tab/>
        <w:t>Void</w:t>
      </w:r>
    </w:p>
    <w:p>
      <w:pPr>
        <w:pStyle w:val="Heading2"/>
        <w:rPr/>
      </w:pPr>
      <w:bookmarkStart w:id="20" w:name="__RefHeading___Toc517886859"/>
      <w:bookmarkEnd w:id="20"/>
      <w:r>
        <w:rPr/>
        <w:t>5.2</w:t>
        <w:tab/>
        <w:t>Dual-band configurations</w:t>
      </w:r>
    </w:p>
    <w:p>
      <w:pPr>
        <w:pStyle w:val="Heading3"/>
        <w:rPr/>
      </w:pPr>
      <w:bookmarkStart w:id="21" w:name="__RefHeading___Toc517886860"/>
      <w:bookmarkEnd w:id="21"/>
      <w:r>
        <w:rPr/>
        <w:t>5.2.1</w:t>
        <w:tab/>
        <w:t>Void</w:t>
      </w:r>
    </w:p>
    <w:p>
      <w:pPr>
        <w:pStyle w:val="Heading3"/>
        <w:rPr/>
      </w:pPr>
      <w:bookmarkStart w:id="22" w:name="__RefHeading___Toc517886861"/>
      <w:bookmarkEnd w:id="22"/>
      <w:r>
        <w:rPr/>
        <w:t>5.2.2</w:t>
        <w:tab/>
        <w:t>Void</w:t>
      </w:r>
    </w:p>
    <w:p>
      <w:pPr>
        <w:pStyle w:val="Heading3"/>
        <w:rPr/>
      </w:pPr>
      <w:bookmarkStart w:id="23" w:name="__RefHeading___Toc517886862"/>
      <w:bookmarkEnd w:id="23"/>
      <w:r>
        <w:rPr/>
        <w:t>5.2.3</w:t>
        <w:tab/>
        <w:t>Void</w:t>
      </w:r>
    </w:p>
    <w:p>
      <w:pPr>
        <w:pStyle w:val="Heading3"/>
        <w:rPr/>
      </w:pPr>
      <w:bookmarkStart w:id="24" w:name="__RefHeading___Toc517886863"/>
      <w:bookmarkEnd w:id="24"/>
      <w:r>
        <w:rPr/>
        <w:t>5.2.4</w:t>
        <w:tab/>
        <w:t>Void</w:t>
      </w:r>
    </w:p>
    <w:p>
      <w:pPr>
        <w:pStyle w:val="Heading3"/>
        <w:rPr/>
      </w:pPr>
      <w:bookmarkStart w:id="25" w:name="__RefHeading___Toc517886864"/>
      <w:bookmarkEnd w:id="25"/>
      <w:r>
        <w:rPr/>
        <w:t>5.2.5</w:t>
        <w:tab/>
        <w:t>Void</w:t>
      </w:r>
    </w:p>
    <w:p>
      <w:pPr>
        <w:pStyle w:val="Heading1"/>
        <w:ind w:left="1134" w:hanging="1134"/>
        <w:rPr>
          <w:lang w:eastAsia="ja-JP"/>
        </w:rPr>
      </w:pPr>
      <w:bookmarkStart w:id="26" w:name="__RefHeading___Toc517886865"/>
      <w:bookmarkEnd w:id="26"/>
      <w:r>
        <w:rPr>
          <w:lang w:eastAsia="ja-JP"/>
        </w:rPr>
        <w:t>6</w:t>
        <w:tab/>
      </w:r>
      <w:r>
        <w:rPr/>
        <w:t>8C-HSDPA configurations independent of release</w:t>
      </w:r>
    </w:p>
    <w:p>
      <w:pPr>
        <w:pStyle w:val="Normal"/>
        <w:rPr>
          <w:lang w:eastAsia="ja-JP"/>
        </w:rPr>
      </w:pPr>
      <w:r>
        <w:rPr>
          <w:lang w:eastAsia="ja-JP"/>
        </w:rPr>
      </w:r>
    </w:p>
    <w:p>
      <w:pPr>
        <w:pStyle w:val="Normal"/>
        <w:rPr/>
      </w:pPr>
      <w:r>
        <w:rPr/>
      </w:r>
      <w:r>
        <w:br w:type="page"/>
      </w:r>
    </w:p>
    <w:p>
      <w:pPr>
        <w:pStyle w:val="Heading8"/>
        <w:ind w:left="0" w:hanging="0"/>
        <w:rPr/>
      </w:pPr>
      <w:bookmarkStart w:id="27" w:name="__RefHeading___Toc517886866"/>
      <w:bookmarkStart w:id="28" w:name="historyclause"/>
      <w:bookmarkEnd w:id="27"/>
      <w:bookmarkEnd w:id="28"/>
      <w:r>
        <w:rPr/>
        <w:t>Annex A (informative):</w:t>
        <w:br/>
        <w:t>Change history</w:t>
      </w:r>
    </w:p>
    <w:tbl>
      <w:tblPr>
        <w:tblW w:w="9781" w:type="dxa"/>
        <w:jc w:val="left"/>
        <w:tblInd w:w="-7"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524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2013-11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 xml:space="preserve">Skeleton report based on 25.317 contents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2013-12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RP-131629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TS 25.327 approved by RAN #62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RP-131980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TS 25.327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TS 25.327 REL-12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RP-140872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the new band combinations related to Band XXXII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the Release 13 -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Release 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Release 15 -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bCs/>
                <w:sz w:val="16"/>
                <w:szCs w:val="16"/>
              </w:rPr>
            </w:pPr>
            <w:r>
              <w:rPr>
                <w:rFonts w:cs="Arial" w:ascii="Arial" w:hAnsi="Arial"/>
                <w:bCs/>
                <w:sz w:val="16"/>
                <w:szCs w:val="16"/>
              </w:rPr>
              <w:t>16.0.0</w:t>
            </w:r>
          </w:p>
        </w:tc>
      </w:tr>
    </w:tbl>
    <w:p>
      <w:pPr>
        <w:pStyle w:val="Normal"/>
        <w:widowControl/>
        <w:bidi w:val="0"/>
        <w:spacing w:before="0" w:after="180"/>
        <w:rPr/>
      </w:pPr>
      <w:r>
        <w:rPr/>
      </w:r>
    </w:p>
    <w:sectPr>
      <w:headerReference w:type="default" r:id="rId4"/>
      <w:footerReference w:type="default" r:id="rId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80340"/>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25.327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25.327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
              <wp:simplePos x="0" y="0"/>
              <wp:positionH relativeFrom="margin">
                <wp:align>center</wp:align>
              </wp:positionH>
              <wp:positionV relativeFrom="paragraph">
                <wp:posOffset>4445</wp:posOffset>
              </wp:positionV>
              <wp:extent cx="64135" cy="180340"/>
              <wp:effectExtent l="0" t="0" r="0" b="0"/>
              <wp:wrapSquare wrapText="largest"/>
              <wp:docPr id="13"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left</wp:align>
              </wp:positionH>
              <wp:positionV relativeFrom="paragraph">
                <wp:posOffset>4445</wp:posOffset>
              </wp:positionV>
              <wp:extent cx="591820" cy="180340"/>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HChar">
    <w:name w:val="TH Char"/>
    <w:qFormat/>
    <w:rPr>
      <w:rFonts w:ascii="Arial" w:hAnsi="Arial" w:cs="Arial"/>
      <w:b/>
      <w:lang w:val="en-GB"/>
    </w:rPr>
  </w:style>
  <w:style w:type="character" w:styleId="TALCar">
    <w:name w:val="TAL Car"/>
    <w:qFormat/>
    <w:rPr>
      <w:rFonts w:ascii="Arial" w:hAnsi="Arial" w:cs="Arial"/>
      <w:sz w:val="18"/>
      <w:lang w:val="en-GB"/>
    </w:rPr>
  </w:style>
  <w:style w:type="character" w:styleId="NOChar">
    <w:name w:val="NO Char"/>
    <w:qFormat/>
    <w:rPr>
      <w:lang w:val="en-GB"/>
    </w:rPr>
  </w:style>
  <w:style w:type="character" w:styleId="DocumentMapChar">
    <w:name w:val="Document Map Char"/>
    <w:qFormat/>
    <w:rPr>
      <w:rFonts w:ascii="Tahoma" w:hAnsi="Tahoma" w:cs="Tahoma"/>
      <w:sz w:val="16"/>
      <w:szCs w:val="16"/>
      <w:lang w:val="en-GB"/>
    </w:rPr>
  </w:style>
  <w:style w:type="character" w:styleId="Heading2Char">
    <w:name w:val="Heading 2 Char"/>
    <w:qFormat/>
    <w:rPr>
      <w:rFonts w:ascii="Arial" w:hAnsi="Arial" w:cs="Arial"/>
      <w:sz w:val="32"/>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2017-03-23T12:28:00Z</dcterms:created>
  <dc:creator>TSG RAN WG6</dc:creator>
  <dc:description/>
  <cp:keywords>UMTS radio</cp:keywords>
  <dc:language>en-US</dc:language>
  <cp:lastModifiedBy>x</cp:lastModifiedBy>
  <dcterms:modified xsi:type="dcterms:W3CDTF">2020-07-18T19:41:00Z</dcterms:modified>
  <cp:revision>8</cp:revision>
  <dc:subject>TS 25.327 High Speed Packet Access (HSPA);  Requirements on User Equipments (UEs) supporting a release-independent frequency band and  multi-carrier configuration  (Release 16)</dc:subject>
  <dc:title>3GPP TS 25.327 v. 15.0.0</dc:title>
</cp:coreProperties>
</file>