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25.367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25.367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Mobility procedures for Home Node B (HNB);</w:t>
                              <w:br/>
                              <w:t>Overall description;</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Mobility procedures for Home Node B (HNB);</w:t>
                        <w:br/>
                        <w:t>Overall description;</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901072646" r:id="rId2"/>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058430008" r:id="rId4"/>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17615" cy="874395"/>
                <wp:effectExtent l="0" t="0" r="0" b="0"/>
                <wp:wrapTopAndBottom/>
                <wp:docPr id="5"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stage 2, radio, architecture, HNB, CSG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stage 2, radio, architecture, HNB, CSG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sz w:val="18"/>
                          <w:lang w:val="en-US" w:eastAsia="en-US"/>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6774167">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376774168">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376774169">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symbols and abbreviations</w:t>
            <w:tab/>
          </w:r>
          <w:hyperlink w:anchor="__RefHeading___Toc376774170">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376774171">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376774172">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Overview</w:t>
            <w:tab/>
          </w:r>
          <w:hyperlink w:anchor="__RefHeading___Toc376774173">
            <w:r>
              <w:rPr>
                <w:rStyle w:val="IndexLink"/>
              </w:rPr>
              <w:t>7</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CSG Identification</w:t>
            <w:tab/>
          </w:r>
          <w:hyperlink w:anchor="__RefHeading___Toc376774174">
            <w:r>
              <w:rPr>
                <w:rStyle w:val="IndexLink"/>
              </w:rPr>
              <w:t>8</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CSG Selection</w:t>
            <w:tab/>
          </w:r>
          <w:hyperlink w:anchor="__RefHeading___Toc376774175">
            <w:r>
              <w:rPr>
                <w:rStyle w:val="IndexLink"/>
              </w:rPr>
              <w:t>8</w:t>
            </w:r>
          </w:hyperlink>
        </w:p>
        <w:p>
          <w:pPr>
            <w:pStyle w:val="Contents2"/>
            <w:rPr>
              <w:rFonts w:eastAsia="MS Mincho;MS Mincho"/>
              <w:sz w:val="24"/>
              <w:szCs w:val="24"/>
              <w:lang w:val="en-US" w:eastAsia="en-US"/>
            </w:rPr>
          </w:pPr>
          <w:r>
            <w:rPr/>
            <w:t>6.1</w:t>
          </w:r>
          <w:r>
            <w:rPr>
              <w:rFonts w:eastAsia="MS Mincho;MS Mincho"/>
              <w:sz w:val="24"/>
              <w:szCs w:val="24"/>
              <w:lang w:val="en-US" w:eastAsia="en-US"/>
            </w:rPr>
            <w:tab/>
          </w:r>
          <w:r>
            <w:rPr/>
            <w:t>Manual CSG ID Selection</w:t>
            <w:tab/>
          </w:r>
          <w:hyperlink w:anchor="__RefHeading___Toc376774176">
            <w:r>
              <w:rPr>
                <w:rStyle w:val="IndexLink"/>
              </w:rPr>
              <w:t>8</w:t>
            </w:r>
          </w:hyperlink>
        </w:p>
        <w:p>
          <w:pPr>
            <w:pStyle w:val="Contents1"/>
            <w:rPr>
              <w:rFonts w:eastAsia="MS Mincho;MS Mincho"/>
              <w:sz w:val="24"/>
              <w:szCs w:val="24"/>
              <w:lang w:val="en-US" w:eastAsia="en-US"/>
            </w:rPr>
          </w:pPr>
          <w:r>
            <w:rPr/>
            <w:t>7</w:t>
          </w:r>
          <w:r>
            <w:rPr>
              <w:rFonts w:eastAsia="MS Mincho;MS Mincho"/>
              <w:sz w:val="24"/>
              <w:szCs w:val="24"/>
              <w:lang w:val="en-US" w:eastAsia="en-US"/>
            </w:rPr>
            <w:tab/>
          </w:r>
          <w:r>
            <w:rPr/>
            <w:t>CSG Cell Reselection</w:t>
            <w:tab/>
          </w:r>
          <w:hyperlink w:anchor="__RefHeading___Toc376774177">
            <w:r>
              <w:rPr>
                <w:rStyle w:val="IndexLink"/>
              </w:rPr>
              <w:t>9</w:t>
            </w:r>
          </w:hyperlink>
        </w:p>
        <w:p>
          <w:pPr>
            <w:pStyle w:val="Contents2"/>
            <w:rPr>
              <w:rFonts w:eastAsia="MS Mincho;MS Mincho"/>
              <w:sz w:val="24"/>
              <w:szCs w:val="24"/>
              <w:lang w:val="en-US" w:eastAsia="en-US"/>
            </w:rPr>
          </w:pPr>
          <w:r>
            <w:rPr/>
            <w:t>7.1</w:t>
          </w:r>
          <w:r>
            <w:rPr>
              <w:rFonts w:eastAsia="MS Mincho;MS Mincho"/>
              <w:sz w:val="24"/>
              <w:szCs w:val="24"/>
              <w:lang w:val="en-US" w:eastAsia="en-US"/>
            </w:rPr>
            <w:tab/>
          </w:r>
          <w:r>
            <w:rPr/>
            <w:t>Measurement Rules for CSG Cells</w:t>
            <w:tab/>
          </w:r>
          <w:hyperlink w:anchor="__RefHeading___Toc376774178">
            <w:r>
              <w:rPr>
                <w:rStyle w:val="IndexLink"/>
              </w:rPr>
              <w:t>9</w:t>
            </w:r>
          </w:hyperlink>
        </w:p>
        <w:p>
          <w:pPr>
            <w:pStyle w:val="Contents2"/>
            <w:rPr>
              <w:rFonts w:eastAsia="MS Mincho;MS Mincho"/>
              <w:sz w:val="24"/>
              <w:szCs w:val="24"/>
              <w:lang w:val="en-US" w:eastAsia="en-US"/>
            </w:rPr>
          </w:pPr>
          <w:r>
            <w:rPr/>
            <w:t>7.2</w:t>
          </w:r>
          <w:r>
            <w:rPr>
              <w:rFonts w:eastAsia="MS Mincho;MS Mincho"/>
              <w:sz w:val="24"/>
              <w:szCs w:val="24"/>
              <w:lang w:val="en-US" w:eastAsia="en-US"/>
            </w:rPr>
            <w:tab/>
          </w:r>
          <w:r>
            <w:rPr/>
            <w:t>Reselection to CSG Cell</w:t>
            <w:tab/>
          </w:r>
          <w:hyperlink w:anchor="__RefHeading___Toc376774179">
            <w:r>
              <w:rPr>
                <w:rStyle w:val="IndexLink"/>
              </w:rPr>
              <w:t>9</w:t>
            </w:r>
          </w:hyperlink>
        </w:p>
        <w:p>
          <w:pPr>
            <w:pStyle w:val="Contents3"/>
            <w:rPr>
              <w:rFonts w:eastAsia="MS Mincho;MS Mincho"/>
              <w:sz w:val="24"/>
              <w:szCs w:val="24"/>
              <w:lang w:val="en-US" w:eastAsia="en-US"/>
            </w:rPr>
          </w:pPr>
          <w:r>
            <w:rPr/>
            <w:t>7.2.1</w:t>
          </w:r>
          <w:r>
            <w:rPr>
              <w:rFonts w:eastAsia="MS Mincho;MS Mincho"/>
              <w:sz w:val="24"/>
              <w:szCs w:val="24"/>
              <w:lang w:val="en-US" w:eastAsia="en-US"/>
            </w:rPr>
            <w:tab/>
          </w:r>
          <w:r>
            <w:rPr/>
            <w:t>Criteria for Intra-frequency Cell Reselection</w:t>
            <w:tab/>
          </w:r>
          <w:hyperlink w:anchor="__RefHeading___Toc376774180">
            <w:r>
              <w:rPr>
                <w:rStyle w:val="IndexLink"/>
              </w:rPr>
              <w:t>9</w:t>
            </w:r>
          </w:hyperlink>
        </w:p>
        <w:p>
          <w:pPr>
            <w:pStyle w:val="Contents3"/>
            <w:rPr>
              <w:rFonts w:eastAsia="MS Mincho;MS Mincho"/>
              <w:sz w:val="24"/>
              <w:szCs w:val="24"/>
              <w:lang w:val="en-US" w:eastAsia="en-US"/>
            </w:rPr>
          </w:pPr>
          <w:r>
            <w:rPr/>
            <w:t>7.2.2</w:t>
          </w:r>
          <w:r>
            <w:rPr>
              <w:rFonts w:eastAsia="MS Mincho;MS Mincho"/>
              <w:sz w:val="24"/>
              <w:szCs w:val="24"/>
              <w:lang w:val="en-US" w:eastAsia="en-US"/>
            </w:rPr>
            <w:tab/>
          </w:r>
          <w:r>
            <w:rPr/>
            <w:t>Criteria for Inter-frequency Cell Reselection</w:t>
            <w:tab/>
          </w:r>
          <w:hyperlink w:anchor="__RefHeading___Toc376774181">
            <w:r>
              <w:rPr>
                <w:rStyle w:val="IndexLink"/>
              </w:rPr>
              <w:t>9</w:t>
            </w:r>
          </w:hyperlink>
        </w:p>
        <w:p>
          <w:pPr>
            <w:pStyle w:val="Contents3"/>
            <w:rPr>
              <w:rFonts w:eastAsia="MS Mincho;MS Mincho"/>
              <w:sz w:val="24"/>
              <w:szCs w:val="24"/>
              <w:lang w:val="en-US" w:eastAsia="en-US"/>
            </w:rPr>
          </w:pPr>
          <w:r>
            <w:rPr/>
            <w:t>7.2.3</w:t>
          </w:r>
          <w:r>
            <w:rPr>
              <w:rFonts w:eastAsia="MS Mincho;MS Mincho"/>
              <w:sz w:val="24"/>
              <w:szCs w:val="24"/>
              <w:lang w:val="en-US" w:eastAsia="en-US"/>
            </w:rPr>
            <w:tab/>
          </w:r>
          <w:r>
            <w:rPr/>
            <w:t>Criteria for Inter-RAT Cell Reselection</w:t>
            <w:tab/>
          </w:r>
          <w:hyperlink w:anchor="__RefHeading___Toc376774182">
            <w:r>
              <w:rPr>
                <w:rStyle w:val="IndexLink"/>
              </w:rPr>
              <w:t>9</w:t>
            </w:r>
          </w:hyperlink>
        </w:p>
        <w:p>
          <w:pPr>
            <w:pStyle w:val="Contents2"/>
            <w:rPr>
              <w:rFonts w:eastAsia="MS Mincho;MS Mincho"/>
              <w:sz w:val="24"/>
              <w:szCs w:val="24"/>
              <w:lang w:val="en-US" w:eastAsia="en-US"/>
            </w:rPr>
          </w:pPr>
          <w:r>
            <w:rPr/>
            <w:t>7.3</w:t>
          </w:r>
          <w:r>
            <w:rPr>
              <w:rFonts w:eastAsia="MS Mincho;MS Mincho"/>
              <w:sz w:val="24"/>
              <w:szCs w:val="24"/>
              <w:lang w:val="en-US" w:eastAsia="en-US"/>
            </w:rPr>
            <w:tab/>
          </w:r>
          <w:r>
            <w:rPr/>
            <w:t>Reselection from CSG Cell</w:t>
            <w:tab/>
          </w:r>
          <w:hyperlink w:anchor="__RefHeading___Toc376774183">
            <w:r>
              <w:rPr>
                <w:rStyle w:val="IndexLink"/>
              </w:rPr>
              <w:t>9</w:t>
            </w:r>
          </w:hyperlink>
        </w:p>
        <w:p>
          <w:pPr>
            <w:pStyle w:val="Contents3"/>
            <w:rPr>
              <w:rFonts w:eastAsia="MS Mincho;MS Mincho"/>
              <w:sz w:val="24"/>
              <w:szCs w:val="24"/>
              <w:lang w:val="en-US" w:eastAsia="en-US"/>
            </w:rPr>
          </w:pPr>
          <w:r>
            <w:rPr/>
            <w:t>7.3.1</w:t>
          </w:r>
          <w:r>
            <w:rPr>
              <w:rFonts w:eastAsia="MS Mincho;MS Mincho"/>
              <w:sz w:val="24"/>
              <w:szCs w:val="24"/>
              <w:lang w:val="en-US" w:eastAsia="en-US"/>
            </w:rPr>
            <w:tab/>
          </w:r>
          <w:r>
            <w:rPr/>
            <w:t>Criteria for Intra-frequency Cell Reselection</w:t>
            <w:tab/>
          </w:r>
          <w:hyperlink w:anchor="__RefHeading___Toc376774184">
            <w:r>
              <w:rPr>
                <w:rStyle w:val="IndexLink"/>
              </w:rPr>
              <w:t>9</w:t>
            </w:r>
          </w:hyperlink>
        </w:p>
        <w:p>
          <w:pPr>
            <w:pStyle w:val="Contents3"/>
            <w:rPr>
              <w:rFonts w:eastAsia="MS Mincho;MS Mincho"/>
              <w:sz w:val="24"/>
              <w:szCs w:val="24"/>
              <w:lang w:val="en-US" w:eastAsia="en-US"/>
            </w:rPr>
          </w:pPr>
          <w:r>
            <w:rPr/>
            <w:t>7.3.2</w:t>
          </w:r>
          <w:r>
            <w:rPr>
              <w:rFonts w:eastAsia="MS Mincho;MS Mincho"/>
              <w:sz w:val="24"/>
              <w:szCs w:val="24"/>
              <w:lang w:val="en-US" w:eastAsia="en-US"/>
            </w:rPr>
            <w:tab/>
          </w:r>
          <w:r>
            <w:rPr/>
            <w:t>Criteria for Inter-frequency Cell Reselection</w:t>
            <w:tab/>
          </w:r>
          <w:hyperlink w:anchor="__RefHeading___Toc376774185">
            <w:r>
              <w:rPr>
                <w:rStyle w:val="IndexLink"/>
              </w:rPr>
              <w:t>9</w:t>
            </w:r>
          </w:hyperlink>
        </w:p>
        <w:p>
          <w:pPr>
            <w:pStyle w:val="Contents3"/>
            <w:rPr>
              <w:rFonts w:eastAsia="MS Mincho;MS Mincho"/>
              <w:sz w:val="24"/>
              <w:szCs w:val="24"/>
              <w:lang w:val="en-US" w:eastAsia="en-US"/>
            </w:rPr>
          </w:pPr>
          <w:r>
            <w:rPr/>
            <w:t>7.3.3</w:t>
          </w:r>
          <w:r>
            <w:rPr>
              <w:rFonts w:eastAsia="MS Mincho;MS Mincho"/>
              <w:sz w:val="24"/>
              <w:szCs w:val="24"/>
              <w:lang w:val="en-US" w:eastAsia="en-US"/>
            </w:rPr>
            <w:tab/>
          </w:r>
          <w:r>
            <w:rPr/>
            <w:t>Criteria for Inter-RAT Cell Reselection</w:t>
            <w:tab/>
          </w:r>
          <w:hyperlink w:anchor="__RefHeading___Toc376774186">
            <w:r>
              <w:rPr>
                <w:rStyle w:val="IndexLink"/>
              </w:rPr>
              <w:t>9</w:t>
            </w:r>
          </w:hyperlink>
        </w:p>
        <w:p>
          <w:pPr>
            <w:pStyle w:val="Contents2"/>
            <w:rPr>
              <w:rFonts w:eastAsia="MS Mincho;MS Mincho"/>
              <w:sz w:val="24"/>
              <w:szCs w:val="24"/>
              <w:lang w:val="en-US" w:eastAsia="en-US"/>
            </w:rPr>
          </w:pPr>
          <w:r>
            <w:rPr/>
            <w:t>7.4</w:t>
          </w:r>
          <w:r>
            <w:rPr>
              <w:rFonts w:eastAsia="MS Mincho;MS Mincho"/>
              <w:sz w:val="24"/>
              <w:szCs w:val="24"/>
              <w:lang w:val="en-US" w:eastAsia="en-US"/>
            </w:rPr>
            <w:tab/>
          </w:r>
          <w:r>
            <w:rPr/>
            <w:t>Reselection from CSG Cell to CSG Cell</w:t>
            <w:tab/>
          </w:r>
          <w:hyperlink w:anchor="__RefHeading___Toc376774187">
            <w:r>
              <w:rPr>
                <w:rStyle w:val="IndexLink"/>
              </w:rPr>
              <w:t>10</w:t>
            </w:r>
          </w:hyperlink>
        </w:p>
        <w:p>
          <w:pPr>
            <w:pStyle w:val="Contents2"/>
            <w:rPr>
              <w:rFonts w:eastAsia="MS Mincho;MS Mincho"/>
              <w:sz w:val="24"/>
              <w:szCs w:val="24"/>
              <w:lang w:val="en-US" w:eastAsia="en-US"/>
            </w:rPr>
          </w:pPr>
          <w:r>
            <w:rPr/>
            <w:t>7.5</w:t>
          </w:r>
          <w:r>
            <w:rPr>
              <w:rFonts w:eastAsia="MS Mincho;MS Mincho"/>
              <w:sz w:val="24"/>
              <w:szCs w:val="24"/>
              <w:lang w:val="en-US" w:eastAsia="en-US"/>
            </w:rPr>
            <w:tab/>
          </w:r>
          <w:r>
            <w:rPr/>
            <w:t>Parameters for CSG Cell Reselection</w:t>
            <w:tab/>
          </w:r>
          <w:hyperlink w:anchor="__RefHeading___Toc376774188">
            <w:r>
              <w:rPr>
                <w:rStyle w:val="IndexLink"/>
              </w:rPr>
              <w:t>10</w:t>
            </w:r>
          </w:hyperlink>
        </w:p>
        <w:p>
          <w:pPr>
            <w:pStyle w:val="Contents1"/>
            <w:rPr>
              <w:rFonts w:eastAsia="MS Mincho;MS Mincho"/>
              <w:sz w:val="24"/>
              <w:szCs w:val="24"/>
              <w:lang w:val="en-US" w:eastAsia="en-US"/>
            </w:rPr>
          </w:pPr>
          <w:r>
            <w:rPr/>
            <w:t>8</w:t>
          </w:r>
          <w:r>
            <w:rPr>
              <w:rFonts w:eastAsia="MS Mincho;MS Mincho"/>
              <w:sz w:val="24"/>
              <w:szCs w:val="24"/>
              <w:lang w:val="en-US" w:eastAsia="en-US"/>
            </w:rPr>
            <w:tab/>
          </w:r>
          <w:r>
            <w:rPr/>
            <w:t>CSG and Hybrid Cell Handover</w:t>
            <w:tab/>
          </w:r>
          <w:hyperlink w:anchor="__RefHeading___Toc376774189">
            <w:r>
              <w:rPr>
                <w:rStyle w:val="IndexLink"/>
              </w:rPr>
              <w:t>10</w:t>
            </w:r>
          </w:hyperlink>
        </w:p>
        <w:p>
          <w:pPr>
            <w:pStyle w:val="Contents2"/>
            <w:rPr>
              <w:rFonts w:eastAsia="MS Mincho;MS Mincho"/>
              <w:sz w:val="24"/>
              <w:szCs w:val="24"/>
              <w:lang w:val="en-US" w:eastAsia="en-US"/>
            </w:rPr>
          </w:pPr>
          <w:r>
            <w:rPr/>
            <w:t>8.1</w:t>
          </w:r>
          <w:r>
            <w:rPr>
              <w:rFonts w:eastAsia="MS Mincho;MS Mincho"/>
              <w:sz w:val="24"/>
              <w:szCs w:val="24"/>
              <w:lang w:val="en-US" w:eastAsia="en-US"/>
            </w:rPr>
            <w:tab/>
          </w:r>
          <w:r>
            <w:rPr/>
            <w:t>Handover to CSG/Hybrid Cell</w:t>
            <w:tab/>
          </w:r>
          <w:hyperlink w:anchor="__RefHeading___Toc376774190">
            <w:r>
              <w:rPr>
                <w:rStyle w:val="IndexLink"/>
              </w:rPr>
              <w:t>10</w:t>
            </w:r>
          </w:hyperlink>
        </w:p>
        <w:p>
          <w:pPr>
            <w:pStyle w:val="Contents3"/>
            <w:rPr>
              <w:rFonts w:eastAsia="MS Mincho;MS Mincho"/>
              <w:sz w:val="24"/>
              <w:szCs w:val="24"/>
              <w:lang w:val="en-US" w:eastAsia="en-US"/>
            </w:rPr>
          </w:pPr>
          <w:r>
            <w:rPr/>
            <w:t>8.1.1</w:t>
          </w:r>
          <w:r>
            <w:rPr>
              <w:rFonts w:eastAsia="MS Mincho;MS Mincho"/>
              <w:sz w:val="24"/>
              <w:szCs w:val="24"/>
              <w:lang w:val="en-US" w:eastAsia="en-US"/>
            </w:rPr>
            <w:tab/>
          </w:r>
          <w:r>
            <w:rPr/>
            <w:t>CSG/Hybrid Cell Intra-frequency Measurement Procedure</w:t>
            <w:tab/>
          </w:r>
          <w:hyperlink w:anchor="__RefHeading___Toc376774191">
            <w:r>
              <w:rPr>
                <w:rStyle w:val="IndexLink"/>
              </w:rPr>
              <w:t>11</w:t>
            </w:r>
          </w:hyperlink>
        </w:p>
        <w:p>
          <w:pPr>
            <w:pStyle w:val="Contents3"/>
            <w:rPr>
              <w:rFonts w:eastAsia="MS Mincho;MS Mincho"/>
              <w:sz w:val="24"/>
              <w:szCs w:val="24"/>
              <w:lang w:val="en-US" w:eastAsia="en-US"/>
            </w:rPr>
          </w:pPr>
          <w:r>
            <w:rPr/>
            <w:t>8.1.2</w:t>
          </w:r>
          <w:r>
            <w:rPr>
              <w:rFonts w:eastAsia="MS Mincho;MS Mincho"/>
              <w:sz w:val="24"/>
              <w:szCs w:val="24"/>
              <w:lang w:val="en-US" w:eastAsia="en-US"/>
            </w:rPr>
            <w:tab/>
          </w:r>
          <w:r>
            <w:rPr/>
            <w:t>CSG/Hybrid Cell Inter-frequency/Inter-RAT Measurement Procedure</w:t>
            <w:tab/>
          </w:r>
          <w:hyperlink w:anchor="__RefHeading___Toc376774192">
            <w:r>
              <w:rPr>
                <w:rStyle w:val="IndexLink"/>
              </w:rPr>
              <w:t>12</w:t>
            </w:r>
          </w:hyperlink>
        </w:p>
        <w:p>
          <w:pPr>
            <w:pStyle w:val="Contents2"/>
            <w:rPr>
              <w:rFonts w:eastAsia="MS Mincho;MS Mincho"/>
              <w:sz w:val="24"/>
              <w:szCs w:val="24"/>
              <w:lang w:val="en-US" w:eastAsia="en-US"/>
            </w:rPr>
          </w:pPr>
          <w:r>
            <w:rPr/>
            <w:t>8.2</w:t>
          </w:r>
          <w:r>
            <w:rPr>
              <w:rFonts w:eastAsia="MS Mincho;MS Mincho"/>
              <w:sz w:val="24"/>
              <w:szCs w:val="24"/>
              <w:lang w:val="en-US" w:eastAsia="en-US"/>
            </w:rPr>
            <w:tab/>
          </w:r>
          <w:r>
            <w:rPr/>
            <w:t>Handover from CSG Cell</w:t>
            <w:tab/>
          </w:r>
          <w:hyperlink w:anchor="__RefHeading___Toc376774193">
            <w:r>
              <w:rPr>
                <w:rStyle w:val="IndexLink"/>
              </w:rPr>
              <w:t>13</w:t>
            </w:r>
          </w:hyperlink>
        </w:p>
        <w:p>
          <w:pPr>
            <w:pStyle w:val="Contents2"/>
            <w:rPr>
              <w:rFonts w:eastAsia="MS Mincho;MS Mincho"/>
              <w:sz w:val="24"/>
              <w:szCs w:val="24"/>
              <w:lang w:val="en-US" w:eastAsia="en-US"/>
            </w:rPr>
          </w:pPr>
          <w:r>
            <w:rPr/>
            <w:t>8.3</w:t>
          </w:r>
          <w:r>
            <w:rPr>
              <w:rFonts w:eastAsia="MS Mincho;MS Mincho"/>
              <w:sz w:val="24"/>
              <w:szCs w:val="24"/>
              <w:lang w:val="en-US" w:eastAsia="en-US"/>
            </w:rPr>
            <w:tab/>
          </w:r>
          <w:r>
            <w:rPr/>
            <w:t>Handover from CSG Cell to CSG Cell</w:t>
            <w:tab/>
          </w:r>
          <w:hyperlink w:anchor="__RefHeading___Toc376774194">
            <w:r>
              <w:rPr>
                <w:rStyle w:val="IndexLink"/>
              </w:rPr>
              <w:t>13</w:t>
            </w:r>
          </w:hyperlink>
        </w:p>
        <w:p>
          <w:pPr>
            <w:pStyle w:val="Contents1"/>
            <w:rPr>
              <w:rFonts w:eastAsia="MS Mincho;MS Mincho"/>
              <w:sz w:val="24"/>
              <w:szCs w:val="24"/>
              <w:lang w:val="en-US" w:eastAsia="en-US"/>
            </w:rPr>
          </w:pPr>
          <w:r>
            <w:rPr/>
            <w:t>9</w:t>
          </w:r>
          <w:r>
            <w:rPr>
              <w:rFonts w:eastAsia="MS Mincho;MS Mincho"/>
              <w:sz w:val="24"/>
              <w:szCs w:val="24"/>
              <w:lang w:val="en-US" w:eastAsia="en-US"/>
            </w:rPr>
            <w:tab/>
          </w:r>
          <w:r>
            <w:rPr/>
            <w:t>Support of Hybrid Cells</w:t>
            <w:tab/>
          </w:r>
          <w:hyperlink w:anchor="__RefHeading___Toc376774195">
            <w:r>
              <w:rPr>
                <w:rStyle w:val="IndexLink"/>
              </w:rPr>
              <w:t>13</w:t>
            </w:r>
          </w:hyperlink>
        </w:p>
        <w:p>
          <w:pPr>
            <w:pStyle w:val="Contents2"/>
            <w:rPr>
              <w:rFonts w:eastAsia="MS Mincho;MS Mincho"/>
              <w:sz w:val="24"/>
              <w:szCs w:val="24"/>
              <w:lang w:val="en-US" w:eastAsia="en-US"/>
            </w:rPr>
          </w:pPr>
          <w:r>
            <w:rPr/>
            <w:t>9.1</w:t>
          </w:r>
          <w:r>
            <w:rPr>
              <w:rFonts w:eastAsia="MS Mincho;MS Mincho"/>
              <w:sz w:val="24"/>
              <w:szCs w:val="24"/>
              <w:lang w:val="en-US" w:eastAsia="en-US"/>
            </w:rPr>
            <w:tab/>
          </w:r>
          <w:r>
            <w:rPr/>
            <w:t>Measurement Rules</w:t>
            <w:tab/>
          </w:r>
          <w:hyperlink w:anchor="__RefHeading___Toc376774196">
            <w:r>
              <w:rPr>
                <w:rStyle w:val="IndexLink"/>
              </w:rPr>
              <w:t>13</w:t>
            </w:r>
          </w:hyperlink>
        </w:p>
        <w:p>
          <w:pPr>
            <w:pStyle w:val="Contents2"/>
            <w:rPr>
              <w:rFonts w:eastAsia="MS Mincho;MS Mincho"/>
              <w:sz w:val="24"/>
              <w:szCs w:val="24"/>
              <w:lang w:val="en-US" w:eastAsia="en-US"/>
            </w:rPr>
          </w:pPr>
          <w:r>
            <w:rPr/>
            <w:t>9.2</w:t>
          </w:r>
          <w:r>
            <w:rPr>
              <w:rFonts w:eastAsia="MS Mincho;MS Mincho"/>
              <w:sz w:val="24"/>
              <w:szCs w:val="24"/>
              <w:lang w:val="en-US" w:eastAsia="en-US"/>
            </w:rPr>
            <w:tab/>
          </w:r>
          <w:r>
            <w:rPr/>
            <w:t>Reselection</w:t>
            <w:tab/>
          </w:r>
          <w:hyperlink w:anchor="__RefHeading___Toc376774197">
            <w:r>
              <w:rPr>
                <w:rStyle w:val="IndexLink"/>
              </w:rPr>
              <w:t>13</w:t>
            </w:r>
          </w:hyperlink>
        </w:p>
        <w:p>
          <w:pPr>
            <w:pStyle w:val="Contents8"/>
            <w:rPr>
              <w:rFonts w:eastAsia="MS Mincho;MS Mincho"/>
              <w:b w:val="false"/>
              <w:b w:val="false"/>
              <w:sz w:val="24"/>
              <w:szCs w:val="24"/>
              <w:lang w:val="en-US" w:eastAsia="en-US"/>
            </w:rPr>
          </w:pPr>
          <w:r>
            <w:rPr/>
            <w:t>Annex B (informative):</w:t>
            <w:tab/>
            <w:t>Void</w:t>
            <w:tab/>
          </w:r>
          <w:hyperlink w:anchor="__RefHeading___Toc376774198">
            <w:r>
              <w:rPr>
                <w:rStyle w:val="IndexLink"/>
              </w:rPr>
              <w:t>14</w:t>
            </w:r>
          </w:hyperlink>
        </w:p>
        <w:p>
          <w:pPr>
            <w:pStyle w:val="Contents8"/>
            <w:rPr>
              <w:rFonts w:eastAsia="MS Mincho;MS Mincho"/>
              <w:sz w:val="24"/>
              <w:szCs w:val="24"/>
              <w:lang w:val="en-US" w:eastAsia="en-US"/>
            </w:rPr>
          </w:pPr>
          <w:r>
            <w:rPr>
              <w:b w:val="false"/>
            </w:rPr>
            <w:t>Annex C (informative):</w:t>
            <w:tab/>
            <w:t>Change history</w:t>
            <w:tab/>
          </w:r>
          <w:hyperlink w:anchor="__RefHeading___Toc376774199">
            <w:r>
              <w:rPr>
                <w:rStyle w:val="IndexLink"/>
                <w:b w:val="false"/>
              </w:rPr>
              <w:t>14</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0" w:hanging="0"/>
        <w:rPr/>
      </w:pPr>
      <w:bookmarkStart w:id="8" w:name="__RefHeading___Toc37677416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76774168"/>
      <w:bookmarkEnd w:id="9"/>
      <w:r>
        <w:rPr/>
        <w:t>1</w:t>
        <w:tab/>
        <w:t>Scope</w:t>
      </w:r>
    </w:p>
    <w:p>
      <w:pPr>
        <w:pStyle w:val="Normal"/>
        <w:rPr/>
      </w:pPr>
      <w:r>
        <w:rPr>
          <w:color w:val="000000"/>
        </w:rPr>
        <w:t>This document provides a high level description of the mobility procedures applicable to Home NodeB support in the current Release. Where appropriate, the reasons behind the agreements are provided.  Throughout this document, unless otherwise stated, the UE is assumed to be a current Release UE that supports the Closed Subscriber Group (CSG) feature, whether it is actually a member of a CSG or not. A UE that does not support the CSG feature is not required to support any of the procedures stated in this document.</w:t>
      </w:r>
    </w:p>
    <w:p>
      <w:pPr>
        <w:pStyle w:val="Heading1"/>
        <w:ind w:left="1134" w:hanging="1134"/>
        <w:rPr/>
      </w:pPr>
      <w:bookmarkStart w:id="10" w:name="__RefHeading___Toc37677416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ind w:left="851" w:hanging="567"/>
        <w:rPr/>
      </w:pPr>
      <w:r>
        <w:rPr/>
        <w:t>[1]</w:t>
        <w:tab/>
        <w:t>3GPP TR 21.905: "Vocabulary for 3GPP Specifications".</w:t>
      </w:r>
    </w:p>
    <w:p>
      <w:pPr>
        <w:pStyle w:val="EX"/>
        <w:ind w:left="851" w:hanging="567"/>
        <w:rPr/>
      </w:pPr>
      <w:r>
        <w:rPr/>
        <w:t>[2]</w:t>
        <w:tab/>
        <w:t>3GPP TS 25.304: "UE procedures in idle mode and procedures for cell reselection in connected mode".</w:t>
      </w:r>
    </w:p>
    <w:p>
      <w:pPr>
        <w:pStyle w:val="EX"/>
        <w:ind w:left="851" w:hanging="567"/>
        <w:rPr/>
      </w:pPr>
      <w:r>
        <w:rPr/>
        <w:t>[3]</w:t>
        <w:tab/>
        <w:t>3GPP TS 25.331: "Radio Resource Control (RRC) protocol specification".</w:t>
      </w:r>
    </w:p>
    <w:p>
      <w:pPr>
        <w:pStyle w:val="EX"/>
        <w:ind w:left="851" w:hanging="567"/>
        <w:rPr/>
      </w:pPr>
      <w:r>
        <w:rPr/>
        <w:t>[4]</w:t>
        <w:tab/>
        <w:t>3GPP TS 23.011: "Service accessibility".</w:t>
      </w:r>
    </w:p>
    <w:p>
      <w:pPr>
        <w:pStyle w:val="EX"/>
        <w:ind w:left="851" w:hanging="567"/>
        <w:rPr/>
      </w:pPr>
      <w:r>
        <w:rPr/>
        <w:t>[5]</w:t>
        <w:tab/>
        <w:t>3GPP TS 22.220: "Service Requirements for Home NodeBs and Home eNodeBs".</w:t>
      </w:r>
    </w:p>
    <w:p>
      <w:pPr>
        <w:pStyle w:val="EX"/>
        <w:ind w:left="851" w:hanging="567"/>
        <w:rPr>
          <w:lang w:eastAsia="ja-JP"/>
        </w:rPr>
      </w:pPr>
      <w:r>
        <w:rPr>
          <w:lang w:eastAsia="ja-JP"/>
        </w:rPr>
        <w:t>[6]</w:t>
        <w:tab/>
        <w:t>3GPP TS 25.467: "UTRAN architecture for 3G Home Node B (HNB)".</w:t>
      </w:r>
    </w:p>
    <w:p>
      <w:pPr>
        <w:pStyle w:val="EX"/>
        <w:ind w:left="851" w:hanging="567"/>
        <w:rPr>
          <w:lang w:eastAsia="ja-JP"/>
        </w:rPr>
      </w:pPr>
      <w:r>
        <w:rPr>
          <w:lang w:eastAsia="ja-JP"/>
        </w:rPr>
        <w:t>[7]</w:t>
        <w:tab/>
        <w:t>3GPP TS 25.214: "Physical layer procedures (FDD)".</w:t>
      </w:r>
    </w:p>
    <w:p>
      <w:pPr>
        <w:pStyle w:val="Heading1"/>
        <w:ind w:left="1134" w:hanging="1134"/>
        <w:rPr/>
      </w:pPr>
      <w:bookmarkStart w:id="11" w:name="__RefHeading___Toc376774170"/>
      <w:bookmarkEnd w:id="11"/>
      <w:r>
        <w:rPr/>
        <w:t>3</w:t>
        <w:tab/>
        <w:t>Definitions, symbols and abbreviations</w:t>
      </w:r>
    </w:p>
    <w:p>
      <w:pPr>
        <w:pStyle w:val="Heading2"/>
        <w:rPr/>
      </w:pPr>
      <w:bookmarkStart w:id="12" w:name="__RefHeading___Toc376774171"/>
      <w:bookmarkEnd w:id="12"/>
      <w:r>
        <w:rPr/>
        <w:t>3.1</w:t>
        <w:tab/>
        <w:t>Definitions</w:t>
      </w:r>
    </w:p>
    <w:p>
      <w:pPr>
        <w:pStyle w:val="Normal"/>
        <w:rPr/>
      </w:pPr>
      <w:r>
        <w:rPr/>
        <w:t xml:space="preserve">For the purposes of the present document, the following terms and definitions apply. </w:t>
      </w:r>
    </w:p>
    <w:p>
      <w:pPr>
        <w:pStyle w:val="Normal"/>
        <w:rPr/>
      </w:pPr>
      <w:r>
        <w:rPr>
          <w:b/>
        </w:rPr>
        <w:t>Acceptable Cell:</w:t>
      </w:r>
      <w:r>
        <w:rPr/>
        <w:t xml:space="preserve"> A cell that satisfies certain conditions as specified [2]. A UE can always attempt emergency calls on an acceptable cell.</w:t>
      </w:r>
    </w:p>
    <w:p>
      <w:pPr>
        <w:pStyle w:val="Normal"/>
        <w:rPr/>
      </w:pPr>
      <w:r>
        <w:rPr>
          <w:b/>
        </w:rPr>
        <w:t>CSG whitelist</w:t>
      </w:r>
      <w:r>
        <w:rPr/>
        <w:t>: A list provided by NAS containing all the CSG Identities of the CSGs to which the subscriber belongs.</w:t>
      </w:r>
    </w:p>
    <w:p>
      <w:pPr>
        <w:pStyle w:val="NO"/>
        <w:rPr/>
      </w:pPr>
      <w:r>
        <w:rPr/>
        <w:t>NOTE:</w:t>
        <w:tab/>
        <w:t>This list is known as Allowed CSG List in Rel-8 Access Stratum specifications.</w:t>
      </w:r>
    </w:p>
    <w:p>
      <w:pPr>
        <w:pStyle w:val="Normal"/>
        <w:rPr>
          <w:lang w:eastAsia="ja-JP"/>
        </w:rPr>
      </w:pPr>
      <w:r>
        <w:rPr>
          <w:b/>
        </w:rPr>
        <w:t>Available PLMN:</w:t>
      </w:r>
      <w:r>
        <w:rPr/>
        <w:t xml:space="preserve"> A PLMN for which the UE has found at least one cell and read its PLMN identity.</w:t>
      </w:r>
    </w:p>
    <w:p>
      <w:pPr>
        <w:pStyle w:val="Normal"/>
        <w:rPr>
          <w:lang w:eastAsia="ja-JP"/>
        </w:rPr>
      </w:pPr>
      <w:r>
        <w:rPr>
          <w:b/>
        </w:rPr>
        <w:t>Barred Cell</w:t>
      </w:r>
      <w:r>
        <w:rPr/>
        <w:t>: A cell a UE is not allowed to camp on.</w:t>
      </w:r>
    </w:p>
    <w:p>
      <w:pPr>
        <w:pStyle w:val="Normal"/>
        <w:rPr>
          <w:lang w:eastAsia="ja-JP"/>
        </w:rPr>
      </w:pPr>
      <w:r>
        <w:rPr>
          <w:b/>
        </w:rPr>
        <w:t>Camped on a cell:</w:t>
      </w:r>
      <w:r>
        <w:rPr/>
        <w:t xml:space="preserve"> UE has completed the cell selection/reselection process and has chosen a cell. The UE monitors system information and (in most cases) paging information.</w:t>
      </w:r>
    </w:p>
    <w:p>
      <w:pPr>
        <w:pStyle w:val="Normal"/>
        <w:rPr>
          <w:lang w:eastAsia="ja-JP"/>
        </w:rPr>
      </w:pPr>
      <w:r>
        <w:rPr>
          <w:b/>
        </w:rPr>
        <w:t>Camped on any cell</w:t>
      </w:r>
      <w:r>
        <w:rPr/>
        <w:t>: UE is in idle mode and has completed the cell selection/reselection process and has chosen a cell irrespective of PLMN identity.</w:t>
      </w:r>
    </w:p>
    <w:p>
      <w:pPr>
        <w:pStyle w:val="Normal"/>
        <w:rPr/>
      </w:pPr>
      <w:r>
        <w:rPr>
          <w:b/>
          <w:bCs/>
        </w:rPr>
        <w:t>Closed Subscriber Group (CSG)</w:t>
      </w:r>
      <w:r>
        <w:rPr/>
        <w:t>: A Closed Subscriber Group identifies subscribers of an operator who are permitted to access one or more cells of the PLMN but which have restricted access (CSG cells).</w:t>
      </w:r>
    </w:p>
    <w:p>
      <w:pPr>
        <w:pStyle w:val="Normal"/>
        <w:rPr/>
      </w:pPr>
      <w:r>
        <w:rPr>
          <w:b/>
          <w:bCs/>
        </w:rPr>
        <w:t>CSG Cell</w:t>
      </w:r>
      <w:r>
        <w:rPr/>
        <w:t>: A cell, part of the PLMN, broadcasting a CSG Indicator that is set to TRUE and a specific CSG identity. A CSG cell is accessible by the members of the closed subscriber group for that CSG identity.</w:t>
      </w:r>
    </w:p>
    <w:p>
      <w:pPr>
        <w:pStyle w:val="Normal"/>
        <w:rPr/>
      </w:pPr>
      <w:r>
        <w:rPr>
          <w:b/>
          <w:bCs/>
        </w:rPr>
        <w:t>CSG Identity (CSG ID)</w:t>
      </w:r>
      <w:r>
        <w:rPr/>
        <w:t>: An identifier broadcast by a CSG/Hybrid cell or cells and used by the UE to facilitate access for authorised members of the associated Closed Subscriber Group.</w:t>
      </w:r>
    </w:p>
    <w:p>
      <w:pPr>
        <w:pStyle w:val="Normal"/>
        <w:rPr/>
      </w:pPr>
      <w:r>
        <w:rPr>
          <w:b/>
          <w:bCs/>
        </w:rPr>
        <w:t>CSG member cell</w:t>
      </w:r>
      <w:r>
        <w:rPr/>
        <w:t>: A cell broadcasting the identity of the selected PLMN, registered PLMN or equivalent PLMN and for which the CSG whitelist of the UE includes an entry comprising cell’s CSG ID and the respective PLMN identity.</w:t>
      </w:r>
    </w:p>
    <w:p>
      <w:pPr>
        <w:pStyle w:val="Normal"/>
        <w:rPr/>
      </w:pPr>
      <w:r>
        <w:rPr>
          <w:b/>
        </w:rPr>
        <w:t>DRX cycle:</w:t>
      </w:r>
      <w:r>
        <w:rPr/>
        <w:t xml:space="preserve"> Individual time interval between monitoring Paging Occasion for a specific UE.</w:t>
      </w:r>
    </w:p>
    <w:p>
      <w:pPr>
        <w:pStyle w:val="Normal"/>
        <w:rPr/>
      </w:pPr>
      <w:r>
        <w:rPr>
          <w:b/>
        </w:rPr>
        <w:t>Equivalent PLMN</w:t>
      </w:r>
      <w:r>
        <w:rPr>
          <w:b/>
          <w:lang w:eastAsia="ja-JP"/>
        </w:rPr>
        <w:t xml:space="preserve"> list</w:t>
      </w:r>
      <w:r>
        <w:rPr>
          <w:b/>
        </w:rPr>
        <w:t xml:space="preserve">: </w:t>
      </w:r>
      <w:r>
        <w:rPr>
          <w:lang w:eastAsia="ja-JP"/>
        </w:rPr>
        <w:t xml:space="preserve">List of </w:t>
      </w:r>
      <w:r>
        <w:rPr/>
        <w:t>PLMN</w:t>
      </w:r>
      <w:r>
        <w:rPr>
          <w:lang w:eastAsia="ja-JP"/>
        </w:rPr>
        <w:t>s</w:t>
      </w:r>
      <w:r>
        <w:rPr/>
        <w:t xml:space="preserve"> considered as equivalent by the UE for cell selection, cell reselection , MBSFN Cluster selection MBSFN Cluster reselection and handover according to the information provided </w:t>
      </w:r>
      <w:r>
        <w:rPr>
          <w:color w:val="000000"/>
        </w:rPr>
        <w:t>by the NAS</w:t>
      </w:r>
      <w:r>
        <w:rPr/>
        <w:t>.</w:t>
      </w:r>
    </w:p>
    <w:p>
      <w:pPr>
        <w:pStyle w:val="Normal"/>
        <w:rPr/>
      </w:pPr>
      <w:r>
        <w:rPr>
          <w:b/>
        </w:rPr>
        <w:t>Home NodeB (HNB)</w:t>
      </w:r>
      <w:r>
        <w:rPr/>
        <w:t>: A HNB is a customer-premises equipment that connects a 3GPP UE over UTRAN wireless air interface to a mobile operator’s network using broadband IP backhaul.</w:t>
      </w:r>
    </w:p>
    <w:p>
      <w:pPr>
        <w:pStyle w:val="Normal"/>
        <w:rPr/>
      </w:pPr>
      <w:r>
        <w:rPr>
          <w:b/>
        </w:rPr>
        <w:t>HNB Name</w:t>
      </w:r>
      <w:r>
        <w:rPr/>
        <w:t>: The Home NodeB Name is a broadcast string in free text format that provides a human readable name for the Home NodeB CSG identity.</w:t>
      </w:r>
    </w:p>
    <w:p>
      <w:pPr>
        <w:pStyle w:val="Normal"/>
        <w:rPr/>
      </w:pPr>
      <w:r>
        <w:rPr>
          <w:b/>
        </w:rPr>
        <w:t>Home PLMN:</w:t>
      </w:r>
      <w:r>
        <w:rPr/>
        <w:t xml:space="preserve"> A PLMN where the Mobile Country Code (MCC) and Mobile Network Code (MNC) of the PLMN identity are the same as the MCC and MNC of the IMSI.</w:t>
      </w:r>
    </w:p>
    <w:p>
      <w:pPr>
        <w:pStyle w:val="Normal"/>
        <w:rPr/>
      </w:pPr>
      <w:r>
        <w:rPr>
          <w:b/>
        </w:rPr>
        <w:t>Hybrid cell</w:t>
      </w:r>
      <w:r>
        <w:rPr/>
        <w:t>: A cell broadcasting a CSG identity which is accessible as a CSG cell by UEs which are members of the CSG and as a normal cell by all other UEs.</w:t>
      </w:r>
    </w:p>
    <w:p>
      <w:pPr>
        <w:pStyle w:val="Normal"/>
        <w:rPr/>
      </w:pPr>
      <w:r>
        <w:rPr>
          <w:b/>
          <w:bCs/>
        </w:rPr>
        <w:t>Non-CSG Cell</w:t>
      </w:r>
      <w:r>
        <w:rPr/>
        <w:t>: A cell that is not a CSG cell, e.g. a macro cell.</w:t>
      </w:r>
    </w:p>
    <w:p>
      <w:pPr>
        <w:pStyle w:val="Normal"/>
        <w:rPr>
          <w:b/>
          <w:b/>
        </w:rPr>
      </w:pPr>
      <w:r>
        <w:rPr>
          <w:b/>
        </w:rPr>
        <w:t xml:space="preserve">Process: </w:t>
      </w:r>
      <w:r>
        <w:rPr/>
        <w:t>A local action in the UE invoked by a RRC procedure or an Idle Mode procedure.</w:t>
      </w:r>
    </w:p>
    <w:p>
      <w:pPr>
        <w:pStyle w:val="Normal"/>
        <w:rPr/>
      </w:pPr>
      <w:r>
        <w:rPr>
          <w:b/>
        </w:rPr>
        <w:t>Radio Access Mode:</w:t>
      </w:r>
      <w:r>
        <w:rPr/>
        <w:t xml:space="preserve"> Radio access mode of the cell, FDD or TDD.</w:t>
      </w:r>
    </w:p>
    <w:p>
      <w:pPr>
        <w:pStyle w:val="Normal"/>
        <w:rPr/>
      </w:pPr>
      <w:r>
        <w:rPr>
          <w:b/>
        </w:rPr>
        <w:t>Radio Access Technology:</w:t>
      </w:r>
      <w:r>
        <w:rPr/>
        <w:t xml:space="preserve"> Type of technology used for radio access, for instance UTRA or GSM.</w:t>
      </w:r>
    </w:p>
    <w:p>
      <w:pPr>
        <w:pStyle w:val="Normal"/>
        <w:rPr/>
      </w:pPr>
      <w:r>
        <w:rPr>
          <w:b/>
        </w:rPr>
        <w:t>Registered PLMN:</w:t>
      </w:r>
      <w:r>
        <w:rPr/>
        <w:t xml:space="preserve"> This is the PLMN on which certain Location Registration outcomes have occurred.</w:t>
      </w:r>
    </w:p>
    <w:p>
      <w:pPr>
        <w:pStyle w:val="Normal"/>
        <w:rPr/>
      </w:pPr>
      <w:r>
        <w:rPr>
          <w:b/>
        </w:rPr>
        <w:t>Registration Area:</w:t>
      </w:r>
      <w:r>
        <w:rPr/>
        <w:t xml:space="preserve"> (NAS) registration area is an area in which the UE may roam without a need to perform location registration, which is a NAS procedure.</w:t>
      </w:r>
    </w:p>
    <w:p>
      <w:pPr>
        <w:pStyle w:val="Normal"/>
        <w:rPr/>
      </w:pPr>
      <w:r>
        <w:rPr>
          <w:b/>
        </w:rPr>
        <w:t>Reserved Cell</w:t>
      </w:r>
      <w:r>
        <w:rPr/>
        <w:t>: A cell on which camping is not allowed, except for particular UEs, if so indicated in the system information.</w:t>
      </w:r>
    </w:p>
    <w:p>
      <w:pPr>
        <w:pStyle w:val="Normal"/>
        <w:rPr>
          <w:lang w:eastAsia="ja-JP"/>
        </w:rPr>
      </w:pPr>
      <w:r>
        <w:rPr>
          <w:b/>
        </w:rPr>
        <w:t>Restricted Cell</w:t>
      </w:r>
      <w:r>
        <w:rPr/>
        <w:t>: A cell on which camping is allowed, but access attempts are disallowed for UEs whose access classes are indicated as barred.</w:t>
      </w:r>
    </w:p>
    <w:p>
      <w:pPr>
        <w:pStyle w:val="Normal"/>
        <w:rPr/>
      </w:pPr>
      <w:r>
        <w:rPr>
          <w:b/>
        </w:rPr>
        <w:t>Selected PLMN:</w:t>
      </w:r>
      <w:r>
        <w:rPr/>
        <w:t xml:space="preserve"> This is the PLMN that has been selected by the NAS, either manually or automatically.</w:t>
      </w:r>
    </w:p>
    <w:p>
      <w:pPr>
        <w:pStyle w:val="Normal"/>
        <w:rPr/>
      </w:pPr>
      <w:r>
        <w:rPr>
          <w:b/>
        </w:rPr>
        <w:t>Serving cell:</w:t>
      </w:r>
      <w:r>
        <w:rPr/>
        <w:t xml:space="preserve"> The cell on which the UE is camped.</w:t>
      </w:r>
    </w:p>
    <w:p>
      <w:pPr>
        <w:pStyle w:val="Normal"/>
        <w:rPr/>
      </w:pPr>
      <w:r>
        <w:rPr>
          <w:b/>
        </w:rPr>
        <w:t>Strongest cell:</w:t>
      </w:r>
      <w:r>
        <w:rPr/>
        <w:t xml:space="preserve"> The cell on a particular carrier that is considered strongest according to the layer 1 cell search procedure [7]. As the details of the layer 1 cell search are implementation dependent, the precise definition of 'strongest cell' is also implementation dependent.</w:t>
      </w:r>
    </w:p>
    <w:p>
      <w:pPr>
        <w:pStyle w:val="Normal"/>
        <w:rPr/>
      </w:pPr>
      <w:r>
        <w:rPr>
          <w:b/>
        </w:rPr>
        <w:t>Suitable Cell:</w:t>
      </w:r>
      <w:r>
        <w:rPr/>
        <w:t xml:space="preserve"> This is a cell on which an UE may camp.</w:t>
      </w:r>
    </w:p>
    <w:p>
      <w:pPr>
        <w:pStyle w:val="Heading2"/>
        <w:rPr/>
      </w:pPr>
      <w:bookmarkStart w:id="13" w:name="__RefHeading___Toc37677417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AS</w:t>
        <w:tab/>
        <w:t>Access Stratum</w:t>
      </w:r>
    </w:p>
    <w:p>
      <w:pPr>
        <w:pStyle w:val="EW"/>
        <w:rPr/>
      </w:pPr>
      <w:r>
        <w:rPr/>
        <w:t>BCCH</w:t>
        <w:tab/>
        <w:t>Broadcast Control Channel</w:t>
      </w:r>
    </w:p>
    <w:p>
      <w:pPr>
        <w:pStyle w:val="EW"/>
        <w:rPr/>
      </w:pPr>
      <w:r>
        <w:rPr/>
        <w:t>CM</w:t>
        <w:tab/>
        <w:t>Connection Management</w:t>
      </w:r>
    </w:p>
    <w:p>
      <w:pPr>
        <w:pStyle w:val="EW"/>
        <w:rPr/>
      </w:pPr>
      <w:r>
        <w:rPr/>
        <w:t>CN</w:t>
        <w:tab/>
        <w:t>Core Network</w:t>
      </w:r>
    </w:p>
    <w:p>
      <w:pPr>
        <w:pStyle w:val="EW"/>
        <w:rPr/>
      </w:pPr>
      <w:r>
        <w:rPr/>
        <w:t>CSG</w:t>
        <w:tab/>
        <w:t xml:space="preserve">Closed Subscriber Group </w:t>
      </w:r>
    </w:p>
    <w:p>
      <w:pPr>
        <w:pStyle w:val="EW"/>
        <w:rPr/>
      </w:pPr>
      <w:r>
        <w:rPr/>
        <w:t>DRX</w:t>
        <w:tab/>
        <w:t>Discontinuous Reception</w:t>
      </w:r>
    </w:p>
    <w:p>
      <w:pPr>
        <w:pStyle w:val="EW"/>
        <w:rPr/>
      </w:pPr>
      <w:r>
        <w:rPr/>
        <w:t>E-UTRA</w:t>
        <w:tab/>
        <w:t>Evolved UMTS Terrestrial Radio Access</w:t>
      </w:r>
    </w:p>
    <w:p>
      <w:pPr>
        <w:pStyle w:val="EW"/>
        <w:rPr/>
      </w:pPr>
      <w:r>
        <w:rPr/>
        <w:t>FDD</w:t>
        <w:tab/>
        <w:t>Frequency Division Duplex</w:t>
      </w:r>
    </w:p>
    <w:p>
      <w:pPr>
        <w:pStyle w:val="EW"/>
        <w:rPr/>
      </w:pPr>
      <w:r>
        <w:rPr/>
        <w:t>GPRS</w:t>
        <w:tab/>
        <w:t>General Packet Radio Service</w:t>
      </w:r>
    </w:p>
    <w:p>
      <w:pPr>
        <w:pStyle w:val="EW"/>
        <w:rPr/>
      </w:pPr>
      <w:r>
        <w:rPr/>
        <w:t>GSM</w:t>
        <w:tab/>
        <w:t>Global System for Mobile Communications</w:t>
      </w:r>
    </w:p>
    <w:p>
      <w:pPr>
        <w:pStyle w:val="EW"/>
        <w:rPr/>
      </w:pPr>
      <w:r>
        <w:rPr/>
        <w:t>HCS</w:t>
        <w:tab/>
        <w:t>Hierarchical Cell Structure</w:t>
      </w:r>
    </w:p>
    <w:p>
      <w:pPr>
        <w:pStyle w:val="EW"/>
        <w:rPr/>
      </w:pPr>
      <w:r>
        <w:rPr/>
        <w:t>HNB</w:t>
        <w:tab/>
        <w:t>Home NodeB</w:t>
      </w:r>
    </w:p>
    <w:p>
      <w:pPr>
        <w:pStyle w:val="EW"/>
        <w:rPr/>
      </w:pPr>
      <w:r>
        <w:rPr/>
        <w:t>IMSI</w:t>
        <w:tab/>
        <w:t xml:space="preserve">International Mobile Subscriber Identity </w:t>
      </w:r>
    </w:p>
    <w:p>
      <w:pPr>
        <w:pStyle w:val="EW"/>
        <w:rPr/>
      </w:pPr>
      <w:r>
        <w:rPr/>
        <w:t>MCC</w:t>
        <w:tab/>
        <w:t xml:space="preserve">Mobile Country Code </w:t>
      </w:r>
    </w:p>
    <w:p>
      <w:pPr>
        <w:pStyle w:val="EW"/>
        <w:rPr/>
      </w:pPr>
      <w:r>
        <w:rPr/>
        <w:t>MM</w:t>
        <w:tab/>
        <w:t>Mobility Management</w:t>
      </w:r>
    </w:p>
    <w:p>
      <w:pPr>
        <w:pStyle w:val="EW"/>
        <w:rPr/>
      </w:pPr>
      <w:r>
        <w:rPr/>
        <w:t>MNC</w:t>
        <w:tab/>
        <w:t xml:space="preserve">Mobile Network Code </w:t>
      </w:r>
    </w:p>
    <w:p>
      <w:pPr>
        <w:pStyle w:val="EW"/>
        <w:rPr/>
      </w:pPr>
      <w:r>
        <w:rPr/>
        <w:t>NAS</w:t>
        <w:tab/>
        <w:t xml:space="preserve">Non-Access Stratum </w:t>
      </w:r>
    </w:p>
    <w:p>
      <w:pPr>
        <w:pStyle w:val="EW"/>
        <w:rPr/>
      </w:pPr>
      <w:r>
        <w:rPr/>
        <w:t>PCH</w:t>
        <w:tab/>
        <w:t>Paging Channel</w:t>
      </w:r>
    </w:p>
    <w:p>
      <w:pPr>
        <w:pStyle w:val="EW"/>
        <w:rPr/>
      </w:pPr>
      <w:r>
        <w:rPr/>
        <w:t>PI</w:t>
        <w:tab/>
        <w:tab/>
        <w:t>Page Indicator</w:t>
      </w:r>
    </w:p>
    <w:p>
      <w:pPr>
        <w:pStyle w:val="EW"/>
        <w:rPr/>
      </w:pPr>
      <w:r>
        <w:rPr/>
        <w:t>PICH</w:t>
        <w:tab/>
        <w:t>Page Indication Channel</w:t>
      </w:r>
    </w:p>
    <w:p>
      <w:pPr>
        <w:pStyle w:val="EW"/>
        <w:rPr/>
      </w:pPr>
      <w:r>
        <w:rPr/>
        <w:t>PLMN</w:t>
        <w:tab/>
        <w:t>Public Land Mobile Network</w:t>
      </w:r>
    </w:p>
    <w:p>
      <w:pPr>
        <w:pStyle w:val="EW"/>
        <w:rPr/>
      </w:pPr>
      <w:r>
        <w:rPr/>
        <w:t>RAT</w:t>
        <w:tab/>
        <w:t>Radio Access Technology</w:t>
      </w:r>
    </w:p>
    <w:p>
      <w:pPr>
        <w:pStyle w:val="EW"/>
        <w:rPr/>
      </w:pPr>
      <w:r>
        <w:rPr/>
        <w:t>RRC</w:t>
        <w:tab/>
        <w:t>Radio Resource Control</w:t>
      </w:r>
    </w:p>
    <w:p>
      <w:pPr>
        <w:pStyle w:val="EW"/>
        <w:rPr/>
      </w:pPr>
      <w:r>
        <w:rPr/>
        <w:t>SAP</w:t>
        <w:tab/>
        <w:t>Service Access Point</w:t>
      </w:r>
    </w:p>
    <w:p>
      <w:pPr>
        <w:pStyle w:val="EW"/>
        <w:rPr/>
      </w:pPr>
      <w:r>
        <w:rPr/>
        <w:t>TDD</w:t>
        <w:tab/>
        <w:t xml:space="preserve">Time Division Duplex </w:t>
      </w:r>
    </w:p>
    <w:p>
      <w:pPr>
        <w:pStyle w:val="EW"/>
        <w:rPr/>
      </w:pPr>
      <w:r>
        <w:rPr/>
        <w:t>TMGI</w:t>
        <w:tab/>
        <w:t>Temporary Mobile Group Identity</w:t>
      </w:r>
    </w:p>
    <w:p>
      <w:pPr>
        <w:pStyle w:val="EW"/>
        <w:rPr/>
      </w:pPr>
      <w:r>
        <w:rPr/>
        <w:t>UE</w:t>
        <w:tab/>
        <w:t>User Equipment</w:t>
      </w:r>
    </w:p>
    <w:p>
      <w:pPr>
        <w:pStyle w:val="EW"/>
        <w:rPr/>
      </w:pPr>
      <w:r>
        <w:rPr/>
        <w:t>UMTS</w:t>
        <w:tab/>
        <w:t>Universal Mobile Telecommunications System</w:t>
      </w:r>
    </w:p>
    <w:p>
      <w:pPr>
        <w:pStyle w:val="EW"/>
        <w:rPr/>
      </w:pPr>
      <w:r>
        <w:rPr/>
        <w:t>UTRA</w:t>
        <w:tab/>
        <w:t>UMTS Terrestrial Radio Access</w:t>
      </w:r>
    </w:p>
    <w:p>
      <w:pPr>
        <w:pStyle w:val="EX"/>
        <w:rPr/>
      </w:pPr>
      <w:r>
        <w:rPr/>
        <w:t>UTRAN</w:t>
        <w:tab/>
        <w:t>UMTS Terrestrial Radio Access Network</w:t>
      </w:r>
    </w:p>
    <w:p>
      <w:pPr>
        <w:pStyle w:val="Heading1"/>
        <w:ind w:left="1134" w:hanging="1134"/>
        <w:rPr/>
      </w:pPr>
      <w:bookmarkStart w:id="14" w:name="__RefHeading___Toc376774173"/>
      <w:bookmarkEnd w:id="14"/>
      <w:r>
        <w:rPr/>
        <w:t>4</w:t>
        <w:tab/>
        <w:t>Overview</w:t>
      </w:r>
    </w:p>
    <w:p>
      <w:pPr>
        <w:pStyle w:val="Normal"/>
        <w:rPr/>
      </w:pPr>
      <w:r>
        <w:rPr/>
        <w:t>A Home NodeB may provide restricted access to only UEs belonging to a Closed Subscriber Group (CSG). One or more of such cells providing restricted access, known as CSG cells, are identified by a unique numeric identifier called CSG Identity. To facilitate access control, a UE with CSG subscription would have an CSG whitelist, which contains one or more CSG Identities associated with the CSG cells on which the UE is allowed access.  The UE uses the CSG whitelist along with the CSG Identity and associated PLMN ID broadcast by the CSG Cells in CSG cell selection and reselection.</w:t>
      </w:r>
    </w:p>
    <w:p>
      <w:pPr>
        <w:pStyle w:val="Normal"/>
        <w:rPr/>
      </w:pPr>
      <w:r>
        <w:rPr/>
        <w:t>A HNB can also be operated as a hybrid cell. A hybrid cell is accessed as a CSG cell by a UE whose CSG whitelist contains the cell’s CSG ID and associated PLMN ID and as a normal cell by all other UEs. Members of the CSG are expected to receive preferential access according to [5].</w:t>
      </w:r>
    </w:p>
    <w:p>
      <w:pPr>
        <w:pStyle w:val="NO"/>
        <w:rPr/>
      </w:pPr>
      <w:r>
        <w:rPr/>
        <w:t>NOTE:</w:t>
        <w:tab/>
        <w:t>Although pre-Rel-9 UEs are able to camp on hybrid cells (which would be regarded as normal cells for access) there is no possibility for these UEs to identify a hybrid cell as a CSG cell even though the cell’s CSG identity and associated PLMN ID are in the UE’s CSG whitelist.</w:t>
      </w:r>
    </w:p>
    <w:p>
      <w:pPr>
        <w:pStyle w:val="Normal"/>
        <w:rPr/>
      </w:pPr>
      <w:r>
        <w:rPr/>
        <w:t>In addition, manual selection of CSG Identity is introduced, which enables the human user to manually select a CSG Identity for UE to camp on.</w:t>
      </w:r>
    </w:p>
    <w:p>
      <w:pPr>
        <w:pStyle w:val="Normal"/>
        <w:rPr/>
      </w:pPr>
      <w:r>
        <w:rPr/>
        <w:t>This document provides high level descriptions and procedures of the mobility features to support CSG deployment in the current Release. The following areas will be covered in the subsequent chapters:</w:t>
      </w:r>
    </w:p>
    <w:p>
      <w:pPr>
        <w:pStyle w:val="Normal"/>
        <w:numPr>
          <w:ilvl w:val="0"/>
          <w:numId w:val="2"/>
        </w:numPr>
        <w:rPr/>
      </w:pPr>
      <w:r>
        <w:rPr/>
        <w:t>Identifiers associated with the CSG framework</w:t>
      </w:r>
    </w:p>
    <w:p>
      <w:pPr>
        <w:pStyle w:val="Normal"/>
        <w:numPr>
          <w:ilvl w:val="0"/>
          <w:numId w:val="2"/>
        </w:numPr>
        <w:rPr/>
      </w:pPr>
      <w:r>
        <w:rPr/>
        <w:t>Manual selection of CSG Identity</w:t>
      </w:r>
    </w:p>
    <w:p>
      <w:pPr>
        <w:pStyle w:val="Normal"/>
        <w:numPr>
          <w:ilvl w:val="0"/>
          <w:numId w:val="2"/>
        </w:numPr>
        <w:rPr/>
      </w:pPr>
      <w:r>
        <w:rPr/>
        <w:t>Measurement rules for CSG Cells</w:t>
      </w:r>
    </w:p>
    <w:p>
      <w:pPr>
        <w:pStyle w:val="Normal"/>
        <w:numPr>
          <w:ilvl w:val="0"/>
          <w:numId w:val="2"/>
        </w:numPr>
        <w:rPr/>
      </w:pPr>
      <w:r>
        <w:rPr/>
        <w:t>Cell reselection to a CSG cell, from a CSG cell, and between CSG cells</w:t>
      </w:r>
    </w:p>
    <w:p>
      <w:pPr>
        <w:pStyle w:val="Normal"/>
        <w:numPr>
          <w:ilvl w:val="0"/>
          <w:numId w:val="2"/>
        </w:numPr>
        <w:rPr/>
      </w:pPr>
      <w:r>
        <w:rPr/>
        <w:t>Handover to a CSG cell, from a CSG cell, and between CSG cells, where applicable</w:t>
      </w:r>
    </w:p>
    <w:p>
      <w:pPr>
        <w:pStyle w:val="Normal"/>
        <w:numPr>
          <w:ilvl w:val="0"/>
          <w:numId w:val="2"/>
        </w:numPr>
        <w:rPr/>
      </w:pPr>
      <w:r>
        <w:rPr/>
        <w:t>Measurement rules, (re)selection and handover procedures for hybrid cells.</w:t>
      </w:r>
    </w:p>
    <w:p>
      <w:pPr>
        <w:pStyle w:val="Heading1"/>
        <w:ind w:left="1134" w:hanging="1134"/>
        <w:rPr/>
      </w:pPr>
      <w:bookmarkStart w:id="15" w:name="__RefHeading___Toc376774174"/>
      <w:bookmarkEnd w:id="15"/>
      <w:r>
        <w:rPr/>
        <w:t>5</w:t>
        <w:tab/>
        <w:t>CSG Identification</w:t>
      </w:r>
    </w:p>
    <w:p>
      <w:pPr>
        <w:pStyle w:val="Normal"/>
        <w:rPr>
          <w:color w:val="000000"/>
        </w:rPr>
      </w:pPr>
      <w:r>
        <w:rPr>
          <w:color w:val="000000"/>
        </w:rPr>
        <w:t xml:space="preserve">One or more Closed Subscriber Group (CSG) cells are identified by a unique numeric identifier called CSG Identity or CSG ID. A UE belonging to a CSG has the corresponding CSG ID and associated PLMN ID in its </w:t>
      </w:r>
      <w:r>
        <w:rPr/>
        <w:t>CSG whitelist</w:t>
      </w:r>
      <w:r>
        <w:rPr>
          <w:color w:val="000000"/>
        </w:rPr>
        <w:t xml:space="preserve">. The </w:t>
      </w:r>
      <w:r>
        <w:rPr/>
        <w:t>CSG whitelist</w:t>
      </w:r>
      <w:r>
        <w:rPr>
          <w:color w:val="000000"/>
        </w:rPr>
        <w:t xml:space="preserve"> is maintained and provided by NAS.  The CSG ID is broadcast in system information by the CSG cell or hybrid cell, and used by the UE for cell (re)selection and handover purposes.</w:t>
      </w:r>
    </w:p>
    <w:p>
      <w:pPr>
        <w:pStyle w:val="Normal"/>
        <w:rPr>
          <w:color w:val="000000"/>
        </w:rPr>
      </w:pPr>
      <w:r>
        <w:rPr>
          <w:color w:val="000000"/>
        </w:rPr>
        <w:t>A cell may optionally broadcast the CSG Indicator, whose presence and value of TRUE indicates the cell is a CSG cell. The absence of the CSG indicator in a cell which broadcasts a CSG identity indicates that it is a hybrid cell.</w:t>
      </w:r>
    </w:p>
    <w:p>
      <w:pPr>
        <w:pStyle w:val="Normal"/>
        <w:rPr/>
      </w:pPr>
      <w:r>
        <w:rPr>
          <w:color w:val="000000"/>
        </w:rPr>
        <w:t>A CSG cell or hybrid cell may broadcast the HNB Name, a textual identifier, in system information. The HNB Name can be used to aid the human user in manual selection of a CSG ID.</w:t>
      </w:r>
    </w:p>
    <w:p>
      <w:pPr>
        <w:pStyle w:val="Normal"/>
        <w:rPr/>
      </w:pPr>
      <w:r>
        <w:rPr/>
        <w:t>At the physical layer, a CSG cell is identified by its carrier frequency (UARFCN) and Primary Scrambling Code (PSC). A set of PSCs could be reserved for CSG deployment and this reserved PSC range may be signalled in system information. The PSC of a CSG cell belongs to the reserved PSC range if broadcast.</w:t>
      </w:r>
    </w:p>
    <w:p>
      <w:pPr>
        <w:pStyle w:val="Normal"/>
        <w:rPr>
          <w:color w:val="000000"/>
        </w:rPr>
      </w:pPr>
      <w:r>
        <w:rPr>
          <w:color w:val="000000"/>
        </w:rPr>
        <w:t>On the mixed carrier frequency shared by both non-CSG cells (UMTS macro cells) and CSG cells, CSG cells broadcast in system information the PSC range reserved by the network for CSG cells. The non-CSG cells may also broadcast the reserved PSC range. The reserved PSC range is only applicable to the UARFCN within the PLMN where the UE received this information. The UE considers the last received reserved PSC range to be valid within the entire PLMN for the duration of 24 hours. The UE may use the reserved PSC information for CSG cell search and (re)selection purposes, according to UE’s implementation.</w:t>
      </w:r>
    </w:p>
    <w:p>
      <w:pPr>
        <w:pStyle w:val="NO"/>
        <w:rPr/>
      </w:pPr>
      <w:r>
        <w:rPr/>
        <w:t>NOTE:</w:t>
        <w:tab/>
        <w:t>In shared network scenario, aligned PSC ranges are beneficial in the shared carrier frequency across the involved PLMNs. Furthermore, in deployments where cells broadcast different primary PLMN (with or without multiple PLMN IDs), it is beneficial that CSG and non-CSG cells will broadcast same PSC ranges. Moreover, it is beneficial if a CSG cell, if listed in system information and associated with a PLMN, is associated with the primary PLMN of the serving cell.</w:t>
      </w:r>
    </w:p>
    <w:p>
      <w:pPr>
        <w:pStyle w:val="Normal"/>
        <w:rPr>
          <w:color w:val="000000"/>
        </w:rPr>
      </w:pPr>
      <w:r>
        <w:rPr>
          <w:color w:val="000000"/>
        </w:rPr>
        <w:t>Non-CSG cells and CSG cells may broadcast indications of one or more carrier frequencies used for dedicated CSG deployment. This information may be used by a UE to avoid unnecessary measurements on that frequency even when cell measurement rules would require measurements of this carrier frequency. Indications of which carrier frequencies are dedicated to CSG-only deployment may be signalled in system information and are applicable only in the cell where this information is broadcast.</w:t>
      </w:r>
    </w:p>
    <w:p>
      <w:pPr>
        <w:pStyle w:val="Heading1"/>
        <w:ind w:left="1134" w:hanging="1134"/>
        <w:rPr/>
      </w:pPr>
      <w:bookmarkStart w:id="16" w:name="__RefHeading___Toc376774175"/>
      <w:bookmarkEnd w:id="16"/>
      <w:r>
        <w:rPr/>
        <w:t>6</w:t>
        <w:tab/>
        <w:t>CSG Selection</w:t>
      </w:r>
    </w:p>
    <w:p>
      <w:pPr>
        <w:pStyle w:val="Heading2"/>
        <w:rPr/>
      </w:pPr>
      <w:bookmarkStart w:id="17" w:name="__RefHeading___Toc376774176"/>
      <w:bookmarkEnd w:id="17"/>
      <w:r>
        <w:rPr/>
        <w:t>6.1</w:t>
        <w:tab/>
        <w:t>Manual CSG ID Selection</w:t>
      </w:r>
    </w:p>
    <w:p>
      <w:pPr>
        <w:pStyle w:val="Normal"/>
        <w:rPr/>
      </w:pPr>
      <w:r>
        <w:rPr>
          <w:color w:val="000000"/>
        </w:rPr>
        <w:t xml:space="preserve">Manual CSG ID selection enables a human user to select a CSG ID. </w:t>
      </w:r>
      <w:r>
        <w:rPr/>
        <w:t>In manual CSG ID selection the UE may scan all frequencies in the supported frequency bands and display a list of found CSG IDs or the corresponding HNB Names if broadcast by the CSG cells or hybrid cells, and indications as to whether the found CSG IDs and associated PLMN IDs are contained in the UE’s CSG whitelist. When the user selects an entry in the list, the UE selects any CSG cell or hybrid cell among the ones with same CSG ID and PLMN ID. The UE may normally camp on the chosen cell if it is a CSG member cell or a hybrid cell.</w:t>
      </w:r>
    </w:p>
    <w:p>
      <w:pPr>
        <w:pStyle w:val="Normal"/>
        <w:rPr/>
      </w:pPr>
      <w:r>
        <w:rPr/>
        <w:t>During manual CSG ID selection a UE is allowed to perform Location Registration procedure on a CSG cell that is not a CSG member cell.</w:t>
      </w:r>
    </w:p>
    <w:p>
      <w:pPr>
        <w:pStyle w:val="Normal"/>
        <w:rPr/>
      </w:pPr>
      <w:r>
        <w:rPr/>
        <w:t>Based on the outcome of a Location Registration procedure initiated on a CSG cell, the UE’s CSG whitelist is updated.</w:t>
      </w:r>
    </w:p>
    <w:p>
      <w:pPr>
        <w:pStyle w:val="Normal"/>
        <w:rPr/>
      </w:pPr>
      <w:r>
        <w:rPr/>
        <w:t xml:space="preserve">The UE is allowed to </w:t>
      </w:r>
      <w:r>
        <w:rPr>
          <w:i/>
        </w:rPr>
        <w:t>not</w:t>
      </w:r>
      <w:r>
        <w:rPr/>
        <w:t xml:space="preserve"> support manual CSG ID selection in connected mode.</w:t>
      </w:r>
    </w:p>
    <w:p>
      <w:pPr>
        <w:pStyle w:val="Heading1"/>
        <w:ind w:left="1134" w:hanging="1134"/>
        <w:rPr/>
      </w:pPr>
      <w:bookmarkStart w:id="18" w:name="__RefHeading___Toc376774177"/>
      <w:bookmarkEnd w:id="18"/>
      <w:r>
        <w:rPr/>
        <w:t>7</w:t>
        <w:tab/>
        <w:t>CSG Cell Reselection</w:t>
      </w:r>
    </w:p>
    <w:p>
      <w:pPr>
        <w:pStyle w:val="Heading2"/>
        <w:rPr/>
      </w:pPr>
      <w:bookmarkStart w:id="19" w:name="__RefHeading___Toc376774178"/>
      <w:bookmarkEnd w:id="19"/>
      <w:r>
        <w:rPr/>
        <w:t>7.1</w:t>
        <w:tab/>
        <w:t>Measurement Rules for CSG Cells</w:t>
      </w:r>
    </w:p>
    <w:p>
      <w:pPr>
        <w:pStyle w:val="Normal"/>
        <w:rPr/>
      </w:pPr>
      <w:r>
        <w:rPr/>
        <w:t>To measure CSG member cell(s), a UE applies an autonomous search function, per UE implementation, regardless of which RAT the UE is camping on. The autonomous search function determines when and where to search for the CSG member cells.</w:t>
      </w:r>
    </w:p>
    <w:p>
      <w:pPr>
        <w:pStyle w:val="Normal"/>
        <w:rPr/>
      </w:pPr>
      <w:r>
        <w:rPr/>
        <w:t>Autonomous search procedure is disabled by the search function if UE’s CSG whitelist does not exist or is empty.</w:t>
      </w:r>
    </w:p>
    <w:p>
      <w:pPr>
        <w:pStyle w:val="Normal"/>
        <w:rPr/>
      </w:pPr>
      <w:r>
        <w:rPr/>
        <w:t>On a mixed carrier, a UE may avoid measurements of any CSG cells that are known by the UE not to be CSG member cells.</w:t>
      </w:r>
    </w:p>
    <w:p>
      <w:pPr>
        <w:pStyle w:val="Normal"/>
        <w:rPr/>
      </w:pPr>
      <w:r>
        <w:rPr/>
        <w:t xml:space="preserve">A UE may avoid measurements of any CSG cells that are known by the UE not to be CSG member cells on the carrier frequency dedicated to CSG deployment. </w:t>
      </w:r>
    </w:p>
    <w:p>
      <w:pPr>
        <w:pStyle w:val="Heading2"/>
        <w:rPr/>
      </w:pPr>
      <w:bookmarkStart w:id="20" w:name="__RefHeading___Toc376774179"/>
      <w:bookmarkStart w:id="21" w:name="_Ref212563763"/>
      <w:bookmarkStart w:id="22" w:name="_Ref212563705"/>
      <w:bookmarkStart w:id="23" w:name="_Ref212563703"/>
      <w:bookmarkEnd w:id="20"/>
      <w:r>
        <w:rPr/>
        <w:t>7.2</w:t>
        <w:tab/>
        <w:t>Reselection to CSG Cell</w:t>
      </w:r>
      <w:bookmarkEnd w:id="21"/>
      <w:bookmarkEnd w:id="22"/>
      <w:bookmarkEnd w:id="23"/>
    </w:p>
    <w:p>
      <w:pPr>
        <w:pStyle w:val="Normal"/>
        <w:rPr/>
      </w:pPr>
      <w:r>
        <w:rPr/>
        <w:t>The cell reselection criteria described in this section is applicable when the UE is in the following call states: Idle Mode, Cell_PCH, URA_PCH and Cell_FACH states, unless otherwise stated.</w:t>
      </w:r>
    </w:p>
    <w:p>
      <w:pPr>
        <w:pStyle w:val="Normal"/>
        <w:rPr/>
      </w:pPr>
      <w:r>
        <w:rPr/>
        <w:t>Inter-RAT and inter-frequency reselection in CELL_FACH state only needs to be performed when second DRX is used.</w:t>
      </w:r>
    </w:p>
    <w:p>
      <w:pPr>
        <w:pStyle w:val="Heading3"/>
        <w:rPr/>
      </w:pPr>
      <w:bookmarkStart w:id="24" w:name="__RefHeading___Toc376774180"/>
      <w:bookmarkEnd w:id="24"/>
      <w:r>
        <w:rPr/>
        <w:t>7.2.1</w:t>
        <w:tab/>
        <w:t>Criteria for Intra-frequency Cell Reselection</w:t>
      </w:r>
    </w:p>
    <w:p>
      <w:pPr>
        <w:pStyle w:val="Normal"/>
        <w:rPr/>
      </w:pPr>
      <w:r>
        <w:rPr/>
        <w:t>For intra-frequency reselection from a non-CSG cell to a CSG member cell, the UE follows the same cell ranking rules as those defined for the UTRA case in [2].  The UE may ignore not allowed CSG cells in the ranking.  The UE applies reselection parameters broadcast by the serving cell. A UE may normally camp on a CSG member cell.</w:t>
      </w:r>
    </w:p>
    <w:p>
      <w:pPr>
        <w:pStyle w:val="Heading3"/>
        <w:rPr/>
      </w:pPr>
      <w:bookmarkStart w:id="25" w:name="__RefHeading___Toc376774181"/>
      <w:bookmarkEnd w:id="25"/>
      <w:r>
        <w:rPr/>
        <w:t>7.2.2</w:t>
        <w:tab/>
        <w:t>Criteria for Inter-frequency Cell Reselection</w:t>
      </w:r>
    </w:p>
    <w:p>
      <w:pPr>
        <w:pStyle w:val="Normal"/>
        <w:rPr/>
      </w:pPr>
      <w:r>
        <w:rPr/>
        <w:t>For inter-frequency cell reselection, the UE considers the frequency where its CSG member cell is on to have the highest priority value, irrespective of network configured frequency priorities, as long as the CSG member cell remains best ranked on that frequency.</w:t>
      </w:r>
    </w:p>
    <w:p>
      <w:pPr>
        <w:pStyle w:val="Heading3"/>
        <w:rPr/>
      </w:pPr>
      <w:bookmarkStart w:id="26" w:name="__RefHeading___Toc376774182"/>
      <w:bookmarkEnd w:id="26"/>
      <w:r>
        <w:rPr/>
        <w:t>7.2.3</w:t>
        <w:tab/>
        <w:t>Criteria for Inter-RAT Cell Reselection</w:t>
      </w:r>
    </w:p>
    <w:p>
      <w:pPr>
        <w:pStyle w:val="Normal"/>
        <w:rPr/>
      </w:pPr>
      <w:r>
        <w:rPr/>
        <w:t>Inter-RAT reselection to a CSG member cell is supported when the UE is camped on another RAT.  The UE requirements are defined in the specifications of the concerned RAT.</w:t>
      </w:r>
    </w:p>
    <w:p>
      <w:pPr>
        <w:pStyle w:val="Heading2"/>
        <w:rPr/>
      </w:pPr>
      <w:bookmarkStart w:id="27" w:name="__RefHeading___Toc376774183"/>
      <w:bookmarkEnd w:id="27"/>
      <w:r>
        <w:rPr/>
        <w:t>7.3</w:t>
        <w:tab/>
        <w:t>Reselection from CSG Cell</w:t>
      </w:r>
    </w:p>
    <w:p>
      <w:pPr>
        <w:pStyle w:val="Heading3"/>
        <w:rPr/>
      </w:pPr>
      <w:bookmarkStart w:id="28" w:name="__RefHeading___Toc376774184"/>
      <w:bookmarkEnd w:id="28"/>
      <w:r>
        <w:rPr/>
        <w:t>7.3.1</w:t>
        <w:tab/>
        <w:t>Criteria for Intra-frequency Cell Reselection</w:t>
      </w:r>
    </w:p>
    <w:p>
      <w:pPr>
        <w:pStyle w:val="Normal"/>
        <w:rPr/>
      </w:pPr>
      <w:r>
        <w:rPr/>
        <w:t xml:space="preserve">For intra-frequency reselection from a CSG member cell to a non-CSG cell, the UE follows the same cell ranking rules as those defined for the UTRA case defined in [2].     </w:t>
      </w:r>
    </w:p>
    <w:p>
      <w:pPr>
        <w:pStyle w:val="Heading3"/>
        <w:rPr/>
      </w:pPr>
      <w:bookmarkStart w:id="29" w:name="__RefHeading___Toc376774185"/>
      <w:bookmarkEnd w:id="29"/>
      <w:r>
        <w:rPr/>
        <w:t>7.3.2</w:t>
        <w:tab/>
        <w:t>Criteria for Inter-frequency Cell Reselection</w:t>
      </w:r>
    </w:p>
    <w:p>
      <w:pPr>
        <w:pStyle w:val="Normal"/>
        <w:rPr/>
      </w:pPr>
      <w:r>
        <w:rPr/>
        <w:t>For inter-frequency reselection from a CSG member cell to a non-CSG cell, the UE follows the same cell ranking rules as those defined for the UTRA case defined in [2].</w:t>
      </w:r>
    </w:p>
    <w:p>
      <w:pPr>
        <w:pStyle w:val="Heading3"/>
        <w:rPr/>
      </w:pPr>
      <w:bookmarkStart w:id="30" w:name="__RefHeading___Toc376774186"/>
      <w:bookmarkEnd w:id="30"/>
      <w:r>
        <w:rPr/>
        <w:t>7.3.3</w:t>
        <w:tab/>
        <w:t>Criteria for Inter-RAT Cell Reselection</w:t>
      </w:r>
    </w:p>
    <w:p>
      <w:pPr>
        <w:pStyle w:val="Normal"/>
        <w:rPr/>
      </w:pPr>
      <w:r>
        <w:rPr/>
        <w:t>For reselection from a CSG cell to a GSM or E-UTRA cell, the UE follows the respective procedures defined in [2].</w:t>
      </w:r>
    </w:p>
    <w:p>
      <w:pPr>
        <w:pStyle w:val="Heading2"/>
        <w:rPr/>
      </w:pPr>
      <w:bookmarkStart w:id="31" w:name="__RefHeading___Toc376774187"/>
      <w:bookmarkEnd w:id="31"/>
      <w:r>
        <w:rPr/>
        <w:t>7.4</w:t>
        <w:tab/>
        <w:t>Reselection from CSG Cell to CSG Cell</w:t>
      </w:r>
    </w:p>
    <w:p>
      <w:pPr>
        <w:pStyle w:val="Normal"/>
        <w:rPr/>
      </w:pPr>
      <w:r>
        <w:rPr/>
        <w:t xml:space="preserve">For reselection between CSG member cells, the UE follows the same cell ranking rules as those defined for the UTRA case in [2].   </w:t>
      </w:r>
    </w:p>
    <w:p>
      <w:pPr>
        <w:pStyle w:val="Heading2"/>
        <w:rPr/>
      </w:pPr>
      <w:bookmarkStart w:id="32" w:name="__RefHeading___Toc376774188"/>
      <w:bookmarkEnd w:id="32"/>
      <w:r>
        <w:rPr/>
        <w:t>7.5</w:t>
        <w:tab/>
        <w:t>Parameters for CSG Cell Reselection</w:t>
      </w:r>
    </w:p>
    <w:p>
      <w:pPr>
        <w:pStyle w:val="Normal"/>
        <w:rPr/>
      </w:pPr>
      <w:r>
        <w:rPr/>
        <w:t>No new parameters are defined for CSG cell ranking.    The same cell reselection parameters defined for the UTRA case in [2] are used for CSG cell ranking purposes, if configured.  The operator may configure the cell reselection parameters, such as Qoffset and Qhyst, to bias the reselection of CSG cells.</w:t>
      </w:r>
    </w:p>
    <w:p>
      <w:pPr>
        <w:pStyle w:val="Heading1"/>
        <w:ind w:left="1134" w:hanging="1134"/>
        <w:rPr/>
      </w:pPr>
      <w:bookmarkStart w:id="33" w:name="__RefHeading___Toc376774189"/>
      <w:bookmarkStart w:id="34" w:name="_Ref214963220"/>
      <w:r>
        <w:rPr/>
        <w:t>8</w:t>
        <w:tab/>
        <w:t>CSG and Hybrid Cell Handover</w:t>
      </w:r>
      <w:bookmarkEnd w:id="33"/>
      <w:bookmarkEnd w:id="34"/>
      <w:r>
        <w:rPr/>
        <w:t xml:space="preserve"> </w:t>
      </w:r>
    </w:p>
    <w:p>
      <w:pPr>
        <w:pStyle w:val="Heading2"/>
        <w:rPr/>
      </w:pPr>
      <w:bookmarkStart w:id="35" w:name="__RefHeading___Toc376774190"/>
      <w:bookmarkEnd w:id="35"/>
      <w:r>
        <w:rPr/>
        <w:t>8.1</w:t>
        <w:tab/>
        <w:t>Handover to CSG/Hybrid Cell</w:t>
      </w:r>
    </w:p>
    <w:p>
      <w:pPr>
        <w:pStyle w:val="Normal"/>
        <w:rPr/>
      </w:pPr>
      <w:r>
        <w:rPr/>
        <w:t>Handover to a HNB/HeNB follows the framework as specified in [3], [6]. Handover to a HNB/HeNB is different from the normal handover procedure in four aspects:</w:t>
      </w:r>
    </w:p>
    <w:p>
      <w:pPr>
        <w:pStyle w:val="B1"/>
        <w:rPr/>
      </w:pPr>
      <w:r>
        <w:rPr/>
        <w:t>1.</w:t>
        <w:tab/>
      </w:r>
      <w:r>
        <w:rPr>
          <w:b/>
        </w:rPr>
        <w:t>Proximity Estimation</w:t>
      </w:r>
      <w:r>
        <w:rPr/>
        <w:t>: in case the UE is able to determine, based on UE implementation, that it is near a CSG member cell, the UE may provide to the SRNC an indication of proximity. The CSG proximity indication may be used as follows:</w:t>
      </w:r>
    </w:p>
    <w:p>
      <w:pPr>
        <w:pStyle w:val="B2"/>
        <w:rPr/>
      </w:pPr>
      <w:r>
        <w:rPr/>
        <w:t>a.</w:t>
        <w:tab/>
        <w:t>If a measurement configuration is not present for the concerned frequency/RAT, the SRNC may configure the UE to perform measurements and reporting for the concerned frequency/RAT.</w:t>
      </w:r>
    </w:p>
    <w:p>
      <w:pPr>
        <w:pStyle w:val="B2"/>
        <w:rPr/>
      </w:pPr>
      <w:r>
        <w:rPr/>
        <w:t>b.</w:t>
        <w:tab/>
        <w:t>The SRNC may determine whether to perform other actions related to handover to HNB/HeNBs based on having received a proximity indication (for example, the SRNC may not configure compressed mode gaps for the UE to detect the HNB/HeNB on a different frequency/RAT unless it has received a proximity indication).</w:t>
      </w:r>
    </w:p>
    <w:p>
      <w:pPr>
        <w:pStyle w:val="B1"/>
        <w:rPr/>
      </w:pPr>
      <w:r>
        <w:rPr/>
        <w:t>2.</w:t>
        <w:tab/>
      </w:r>
      <w:r>
        <w:rPr>
          <w:b/>
        </w:rPr>
        <w:t>PSC/PCI Confusion</w:t>
      </w:r>
      <w:r>
        <w:rPr/>
        <w:t>: due to the typical cell size of HNB/HeNBs being much smaller than macro cells, there can be multiple HNBs/HeNBs within the coverage of the SRNC that have the same PSC/PCI. This leads to a condition referred to as PSC/PCI confusion, wherein the SRNC is unable to determine the correct target cell for handover from the PSC/PCI included in the measurement reports from the UE. PSC/PCI confusion is solved by the UE reporting the cell identity of the target HNB/HeNB.</w:t>
      </w:r>
    </w:p>
    <w:p>
      <w:pPr>
        <w:pStyle w:val="B1"/>
        <w:rPr/>
      </w:pPr>
      <w:r>
        <w:rPr/>
        <w:t>3.</w:t>
        <w:tab/>
      </w:r>
      <w:r>
        <w:rPr>
          <w:b/>
        </w:rPr>
        <w:t>Access Control</w:t>
      </w:r>
      <w:r>
        <w:rPr/>
        <w:t>: If the target cell is a hybrid cell, prioritization of allocated resources may be performed based on the UE's membership status. Access control is done by a two step process, where first the UE reports whether the target cell is a CSG member cell based on the UE’s CSG whitelist, and then the network verifies the reported status.</w:t>
      </w:r>
    </w:p>
    <w:p>
      <w:pPr>
        <w:pStyle w:val="B1"/>
        <w:rPr/>
      </w:pPr>
      <w:r>
        <w:rPr/>
        <w:t>4.</w:t>
        <w:tab/>
      </w:r>
      <w:r>
        <w:rPr>
          <w:b/>
          <w:bCs/>
        </w:rPr>
        <w:t>PLMN Report</w:t>
      </w:r>
      <w:r>
        <w:rPr/>
        <w:t>: If the target cell is a shared CSG/hybrid cell, the UE reports the subset of the broadcasted PLMN identities that fulfil the CSG member cell definition.</w:t>
      </w:r>
    </w:p>
    <w:p>
      <w:pPr>
        <w:pStyle w:val="Normal"/>
        <w:rPr/>
      </w:pPr>
      <w:r>
        <w:rPr/>
        <w:t>Mobility from SRNC to a CSG/hybrid cell from network perspective is described in [6]. The following two sections describe the radio aspects. The SRNC in the call flows of these sections can be an RNC or a HNB.</w:t>
      </w:r>
    </w:p>
    <w:p>
      <w:pPr>
        <w:pStyle w:val="Heading3"/>
        <w:rPr/>
      </w:pPr>
      <w:bookmarkStart w:id="36" w:name="__RefHeading___Toc376774191"/>
      <w:r>
        <w:rPr/>
        <w:t>8.1.1</w:t>
        <w:tab/>
        <w:t>CSG/Hybrid Cell Intra-frequency Measurement Procedure</w:t>
      </w:r>
      <w:bookmarkEnd w:id="36"/>
      <w:r>
        <w:rPr/>
        <w:t xml:space="preserve"> </w:t>
      </w:r>
    </w:p>
    <w:p>
      <w:pPr>
        <w:pStyle w:val="TH"/>
        <w:rPr/>
      </w:pPr>
      <w:r>
        <w:rPr/>
        <w:object w:dxaOrig="7593" w:dyaOrig="515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79.7pt;height:257.9pt" filled="f" o:ole="">
            <v:imagedata r:id="rId7" o:title=""/>
          </v:shape>
          <o:OLEObject Type="Embed" ProgID="" ShapeID="ole_rId6" DrawAspect="Content" ObjectID="_180392317" r:id="rId6"/>
        </w:object>
      </w:r>
    </w:p>
    <w:p>
      <w:pPr>
        <w:pStyle w:val="TF"/>
        <w:rPr/>
      </w:pPr>
      <w:r>
        <w:rPr/>
        <w:t>Figure 8.1.1-1: Intra-frequency Measurement Procedure of CSG and Hybrid cells</w:t>
      </w:r>
    </w:p>
    <w:p>
      <w:pPr>
        <w:pStyle w:val="B1"/>
        <w:rPr>
          <w:lang w:eastAsia="zh-CN"/>
        </w:rPr>
      </w:pPr>
      <w:r>
        <w:rPr>
          <w:lang w:eastAsia="zh-CN"/>
        </w:rPr>
        <w:t>1)</w:t>
        <w:tab/>
      </w:r>
      <w:r>
        <w:rPr>
          <w:lang w:eastAsia="ja-JP"/>
        </w:rPr>
        <w:t xml:space="preserve">The </w:t>
      </w:r>
      <w:r>
        <w:rPr>
          <w:lang w:eastAsia="ja-JP"/>
        </w:rPr>
        <w:t xml:space="preserve">SRNC </w:t>
      </w:r>
      <w:r>
        <w:rPr>
          <w:lang w:eastAsia="zh-CN"/>
        </w:rPr>
        <w:t xml:space="preserve">configures </w:t>
      </w:r>
      <w:r>
        <w:rPr>
          <w:lang w:eastAsia="ja-JP"/>
        </w:rPr>
        <w:t xml:space="preserve">the </w:t>
      </w:r>
      <w:r>
        <w:rPr>
          <w:lang w:eastAsia="zh-CN"/>
        </w:rPr>
        <w:t>UE with a measurement having "CSG Proximity detection" as measurement type</w:t>
      </w:r>
      <w:r>
        <w:rPr>
          <w:lang w:eastAsia="ja-JP"/>
        </w:rPr>
        <w:t>.</w:t>
      </w:r>
    </w:p>
    <w:p>
      <w:pPr>
        <w:pStyle w:val="B1"/>
        <w:rPr>
          <w:lang w:eastAsia="ja-JP"/>
        </w:rPr>
      </w:pPr>
      <w:r>
        <w:rPr>
          <w:lang w:eastAsia="ja-JP"/>
        </w:rPr>
        <w:t>2</w:t>
      </w:r>
      <w:r>
        <w:rPr>
          <w:lang w:eastAsia="zh-CN"/>
        </w:rPr>
        <w:t>)</w:t>
      </w:r>
      <w:r>
        <w:rPr>
          <w:lang w:eastAsia="ja-JP"/>
        </w:rPr>
        <w:tab/>
        <w:t xml:space="preserve">The </w:t>
      </w:r>
      <w:r>
        <w:rPr>
          <w:lang w:eastAsia="zh-CN"/>
        </w:rPr>
        <w:t>UE sends an "entering" CSG proximity indication when it determines it may be near a CSG member cell (based on UE implementation).</w:t>
      </w:r>
    </w:p>
    <w:p>
      <w:pPr>
        <w:pStyle w:val="B1"/>
        <w:rPr>
          <w:lang w:eastAsia="zh-CN"/>
        </w:rPr>
      </w:pPr>
      <w:r>
        <w:rPr>
          <w:lang w:eastAsia="zh-CN"/>
        </w:rPr>
        <w:t>3)</w:t>
      </w:r>
      <w:r>
        <w:rPr>
          <w:lang w:eastAsia="ja-JP"/>
        </w:rPr>
        <w:tab/>
      </w:r>
      <w:r>
        <w:rPr>
          <w:lang w:eastAsia="ja-JP"/>
        </w:rPr>
        <w:t>If a measurement configuration for CSG/hybrid cells is not present, t</w:t>
      </w:r>
      <w:r>
        <w:rPr>
          <w:lang w:eastAsia="ja-JP"/>
        </w:rPr>
        <w:t xml:space="preserve">he </w:t>
      </w:r>
      <w:r>
        <w:rPr>
          <w:lang w:eastAsia="ja-JP"/>
        </w:rPr>
        <w:t>S</w:t>
      </w:r>
      <w:r>
        <w:rPr>
          <w:lang w:eastAsia="zh-CN"/>
        </w:rPr>
        <w:t xml:space="preserve">RNC configures </w:t>
      </w:r>
      <w:r>
        <w:rPr>
          <w:lang w:eastAsia="ja-JP"/>
        </w:rPr>
        <w:t xml:space="preserve">the </w:t>
      </w:r>
      <w:r>
        <w:rPr>
          <w:lang w:eastAsia="zh-CN"/>
        </w:rPr>
        <w:t xml:space="preserve">UE with relevant </w:t>
      </w:r>
      <w:r>
        <w:rPr>
          <w:lang w:eastAsia="ja-JP"/>
        </w:rPr>
        <w:t>measurement configuration</w:t>
      </w:r>
      <w:r>
        <w:rPr>
          <w:lang w:eastAsia="ja-JP"/>
        </w:rPr>
        <w:t xml:space="preserve"> which includes the </w:t>
      </w:r>
      <w:r>
        <w:rPr/>
        <w:t>PSCs that the UE must measure and the PSCs for which SI acquisition should be performed. T</w:t>
      </w:r>
      <w:r>
        <w:rPr>
          <w:lang w:eastAsia="zh-CN"/>
        </w:rPr>
        <w:t>he network may use the CSG proximity indication for intra-frequency case to minimize the time during which measurements for CSG/hybrid cells are configured.</w:t>
      </w:r>
    </w:p>
    <w:p>
      <w:pPr>
        <w:pStyle w:val="B1"/>
        <w:rPr/>
      </w:pPr>
      <w:r>
        <w:rPr>
          <w:lang w:eastAsia="zh-CN"/>
        </w:rPr>
        <w:t>4)</w:t>
      </w:r>
      <w:r>
        <w:rPr>
          <w:lang w:eastAsia="ja-JP"/>
        </w:rPr>
        <w:tab/>
        <w:t xml:space="preserve">The </w:t>
      </w:r>
      <w:r>
        <w:rPr>
          <w:lang w:eastAsia="zh-CN"/>
        </w:rPr>
        <w:t xml:space="preserve">UE sends </w:t>
      </w:r>
      <w:r>
        <w:rPr>
          <w:lang w:eastAsia="ja-JP"/>
        </w:rPr>
        <w:t xml:space="preserve">a </w:t>
      </w:r>
      <w:r>
        <w:rPr>
          <w:lang w:eastAsia="zh-CN"/>
        </w:rPr>
        <w:t xml:space="preserve">measurement report </w:t>
      </w:r>
      <w:r>
        <w:rPr>
          <w:lang w:eastAsia="ja-JP"/>
        </w:rPr>
        <w:t xml:space="preserve">including the </w:t>
      </w:r>
      <w:r>
        <w:rPr>
          <w:lang w:eastAsia="ja-JP"/>
        </w:rPr>
        <w:t xml:space="preserve">measured </w:t>
      </w:r>
      <w:r>
        <w:rPr>
          <w:lang w:eastAsia="ja-JP"/>
        </w:rPr>
        <w:t>P</w:t>
      </w:r>
      <w:r>
        <w:rPr>
          <w:lang w:eastAsia="ja-JP"/>
        </w:rPr>
        <w:t xml:space="preserve">SC, </w:t>
      </w:r>
      <w:r>
        <w:rPr>
          <w:lang w:eastAsia="zh-CN"/>
        </w:rPr>
        <w:t>Cell Identity, CSG ID and CSG membership indication</w:t>
      </w:r>
      <w:r>
        <w:rPr>
          <w:lang w:eastAsia="ja-JP"/>
        </w:rPr>
        <w:t xml:space="preserve"> of the target HNB to the SRNC (</w:t>
      </w:r>
      <w:r>
        <w:rPr>
          <w:lang w:eastAsia="zh-CN"/>
        </w:rPr>
        <w:t>e.g., due to a triggered intra-frequency event 1d). The UE can a</w:t>
      </w:r>
      <w:r>
        <w:rPr/>
        <w:t>cquire MIB and SIB3/SIB4 of intra-frequency target HNB cells in parallel with reception of the serving cell transmissions in CELL_DCH. No measurement gaps are required for reading MIB and SIB3/SIB4. If the target cell is a shared CSG/hybrid cell, the UE reports the subset of the broadcasted PLMN identities that fulfil the CSG member cell definition.</w:t>
      </w:r>
    </w:p>
    <w:p>
      <w:pPr>
        <w:pStyle w:val="B1"/>
        <w:rPr/>
      </w:pPr>
      <w:r>
        <w:rPr>
          <w:lang w:eastAsia="ja-JP"/>
        </w:rPr>
        <w:t>5</w:t>
      </w:r>
      <w:r>
        <w:rPr>
          <w:lang w:eastAsia="zh-CN"/>
        </w:rPr>
        <w:t>)</w:t>
      </w:r>
      <w:r>
        <w:rPr>
          <w:lang w:eastAsia="zh-CN"/>
        </w:rPr>
        <w:tab/>
        <w:t>SRNC can then proceeds with the handover processing as described in [6].</w:t>
      </w:r>
    </w:p>
    <w:p>
      <w:pPr>
        <w:pStyle w:val="Normal"/>
        <w:rPr/>
      </w:pPr>
      <w:r>
        <w:rPr/>
        <w:t xml:space="preserve">After </w:t>
      </w:r>
      <w:r>
        <w:rPr/>
        <w:t>sending an "entering" CSG proximity indication (</w:t>
      </w:r>
      <w:r>
        <w:rPr/>
        <w:t>step 2</w:t>
      </w:r>
      <w:r>
        <w:rPr/>
        <w:t>)</w:t>
      </w:r>
      <w:r>
        <w:rPr/>
        <w:t xml:space="preserve">, if the UE determines that </w:t>
      </w:r>
      <w:r>
        <w:rPr/>
        <w:t>it is no longer near any CSG member cell (on the reported proximate RAT and frequency)</w:t>
      </w:r>
      <w:r>
        <w:rPr/>
        <w:t xml:space="preserve">, the UE sends a </w:t>
      </w:r>
      <w:r>
        <w:rPr/>
        <w:t>“</w:t>
      </w:r>
      <w:r>
        <w:rPr/>
        <w:t>leaving</w:t>
      </w:r>
      <w:r>
        <w:rPr/>
        <w:t>”</w:t>
      </w:r>
      <w:r>
        <w:rPr/>
        <w:t xml:space="preserve"> </w:t>
      </w:r>
      <w:r>
        <w:rPr/>
        <w:t xml:space="preserve">CSG </w:t>
      </w:r>
      <w:r>
        <w:rPr/>
        <w:t xml:space="preserve">proximity indication to the </w:t>
      </w:r>
      <w:r>
        <w:rPr/>
        <w:t>SRNC</w:t>
      </w:r>
      <w:r>
        <w:rPr/>
        <w:t xml:space="preserve">. Upon reception of this indication, the </w:t>
      </w:r>
      <w:r>
        <w:rPr/>
        <w:t>SRNC</w:t>
      </w:r>
      <w:r>
        <w:rPr/>
        <w:t xml:space="preserve"> may reconfigure the UE to stop measurements</w:t>
      </w:r>
      <w:r>
        <w:rPr/>
        <w:t xml:space="preserve"> configured</w:t>
      </w:r>
      <w:r>
        <w:rPr/>
        <w:t>.</w:t>
      </w:r>
    </w:p>
    <w:p>
      <w:pPr>
        <w:pStyle w:val="Normal"/>
        <w:rPr/>
      </w:pPr>
      <w:r>
        <w:rPr/>
        <w:t>The P</w:t>
      </w:r>
      <w:r>
        <w:rPr/>
        <w:t>S</w:t>
      </w:r>
      <w:r>
        <w:rPr/>
        <w:t xml:space="preserve">C confusion is resolved by steps </w:t>
      </w:r>
      <w:r>
        <w:rPr/>
        <w:t>3</w:t>
      </w:r>
      <w:r>
        <w:rPr/>
        <w:t xml:space="preserve"> and </w:t>
      </w:r>
      <w:r>
        <w:rPr/>
        <w:t>4</w:t>
      </w:r>
      <w:r>
        <w:rPr/>
        <w:t xml:space="preserve">. The </w:t>
      </w:r>
      <w:r>
        <w:rPr/>
        <w:t>SRNC</w:t>
      </w:r>
      <w:r>
        <w:rPr/>
        <w:t xml:space="preserve"> can request SI acquisition and reporting for any P</w:t>
      </w:r>
      <w:r>
        <w:rPr/>
        <w:t>S</w:t>
      </w:r>
      <w:r>
        <w:rPr/>
        <w:t>C</w:t>
      </w:r>
      <w:r>
        <w:rPr/>
        <w:t>, not limited to PSCs of CSG or hybrid cells.</w:t>
      </w:r>
    </w:p>
    <w:p>
      <w:pPr>
        <w:pStyle w:val="Heading3"/>
        <w:rPr/>
      </w:pPr>
      <w:bookmarkStart w:id="37" w:name="__RefHeading___Toc376774192"/>
      <w:bookmarkEnd w:id="37"/>
      <w:r>
        <w:rPr/>
        <w:t>8.1.2</w:t>
        <w:tab/>
        <w:t>CSG/Hybrid Cell Inter-frequency/Inter-RAT Measurement Procedure</w:t>
      </w:r>
    </w:p>
    <w:p>
      <w:pPr>
        <w:pStyle w:val="Header"/>
        <w:jc w:val="center"/>
        <w:rPr>
          <w:rFonts w:ascii="Times New Roman" w:hAnsi="Times New Roman" w:cs="Times New Roman"/>
          <w:b w:val="false"/>
          <w:b w:val="false"/>
          <w:sz w:val="20"/>
          <w:lang w:val="en-GB" w:eastAsia="ja-JP"/>
        </w:rPr>
      </w:pPr>
      <w:r>
        <w:rPr/>
        <w:object w:dxaOrig="8218" w:dyaOrig="772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0.9pt;height:386.3pt" filled="f" o:ole="">
            <v:imagedata r:id="rId9" o:title=""/>
          </v:shape>
          <o:OLEObject Type="Embed" ProgID="" ShapeID="ole_rId8" DrawAspect="Content" ObjectID="_159589512" r:id="rId8"/>
        </w:object>
      </w:r>
    </w:p>
    <w:p>
      <w:pPr>
        <w:pStyle w:val="TH"/>
        <w:rPr/>
      </w:pPr>
      <w:r>
        <w:rPr/>
        <w:t>Figure 8.1.2-1: Inter-frequency Measurement Procedure of CSG and Hybrid cells.</w:t>
      </w:r>
    </w:p>
    <w:p>
      <w:pPr>
        <w:pStyle w:val="B1"/>
        <w:rPr>
          <w:lang w:eastAsia="zh-CN"/>
        </w:rPr>
      </w:pPr>
      <w:r>
        <w:rPr>
          <w:lang w:eastAsia="ja-JP"/>
        </w:rPr>
        <w:t>1</w:t>
      </w:r>
      <w:r>
        <w:rPr>
          <w:lang w:eastAsia="zh-CN"/>
        </w:rPr>
        <w:t>)</w:t>
      </w:r>
      <w:r>
        <w:rPr>
          <w:lang w:eastAsia="ja-JP"/>
        </w:rPr>
        <w:tab/>
        <w:t xml:space="preserve">The </w:t>
      </w:r>
      <w:r>
        <w:rPr>
          <w:lang w:eastAsia="ja-JP"/>
        </w:rPr>
        <w:t xml:space="preserve">SRNC configures </w:t>
      </w:r>
      <w:r>
        <w:rPr>
          <w:lang w:eastAsia="ja-JP"/>
        </w:rPr>
        <w:t xml:space="preserve">the </w:t>
      </w:r>
      <w:r>
        <w:rPr>
          <w:lang w:eastAsia="zh-CN"/>
        </w:rPr>
        <w:t>UE with a measurement having "CSG Proximity detection" as measurement type</w:t>
      </w:r>
      <w:r>
        <w:rPr>
          <w:lang w:eastAsia="ja-JP"/>
        </w:rPr>
        <w:t>.</w:t>
      </w:r>
    </w:p>
    <w:p>
      <w:pPr>
        <w:pStyle w:val="B1"/>
        <w:rPr>
          <w:lang w:eastAsia="ja-JP"/>
        </w:rPr>
      </w:pPr>
      <w:r>
        <w:rPr>
          <w:lang w:eastAsia="ja-JP"/>
        </w:rPr>
        <w:t>2</w:t>
      </w:r>
      <w:r>
        <w:rPr>
          <w:lang w:eastAsia="zh-CN"/>
        </w:rPr>
        <w:t>)</w:t>
      </w:r>
      <w:r>
        <w:rPr>
          <w:lang w:eastAsia="ja-JP"/>
        </w:rPr>
        <w:tab/>
        <w:t xml:space="preserve">The </w:t>
      </w:r>
      <w:r>
        <w:rPr>
          <w:lang w:eastAsia="zh-CN"/>
        </w:rPr>
        <w:t>UE sends an "entering" CSG proximity indication when it determines it may be near a CSG member cell (based on UE implementation). The CSG proximity indication includes the RAT and frequency of the cell.</w:t>
      </w:r>
    </w:p>
    <w:p>
      <w:pPr>
        <w:pStyle w:val="B1"/>
        <w:rPr>
          <w:lang w:eastAsia="zh-CN"/>
        </w:rPr>
      </w:pPr>
      <w:r>
        <w:rPr>
          <w:lang w:eastAsia="zh-CN"/>
        </w:rPr>
        <w:t>3)</w:t>
      </w:r>
      <w:r>
        <w:rPr>
          <w:lang w:eastAsia="ja-JP"/>
        </w:rPr>
        <w:tab/>
      </w:r>
      <w:r>
        <w:rPr>
          <w:lang w:eastAsia="ja-JP"/>
        </w:rPr>
        <w:t xml:space="preserve">The SRNC configures a measurement on the concerned frequency/RAT to measure CSG/hybrid cells. Compressed mode gaps, if required by the UE, are also activated to allow </w:t>
      </w:r>
      <w:r>
        <w:rPr>
          <w:lang w:eastAsia="ja-JP"/>
        </w:rPr>
        <w:t xml:space="preserve">UE </w:t>
      </w:r>
      <w:r>
        <w:rPr>
          <w:lang w:eastAsia="ja-JP"/>
        </w:rPr>
        <w:t xml:space="preserve">to </w:t>
      </w:r>
      <w:r>
        <w:rPr>
          <w:lang w:eastAsia="ja-JP"/>
        </w:rPr>
        <w:t>perform measurements on the reported RAT and frequency</w:t>
      </w:r>
      <w:r>
        <w:rPr>
          <w:lang w:eastAsia="zh-CN"/>
        </w:rPr>
        <w:t>. The network may also use the proximity indication to minimize the requesting of handover preparation information of CSG/hybrid cells by avoiding requesting such information when the UE is not in the geographical area where its CSG member cells are located.</w:t>
      </w:r>
    </w:p>
    <w:p>
      <w:pPr>
        <w:pStyle w:val="B1"/>
        <w:rPr/>
      </w:pPr>
      <w:r>
        <w:rPr>
          <w:lang w:eastAsia="ja-JP"/>
        </w:rPr>
        <w:t>4</w:t>
      </w:r>
      <w:r>
        <w:rPr>
          <w:lang w:eastAsia="zh-CN"/>
        </w:rPr>
        <w:t>)</w:t>
      </w:r>
      <w:r>
        <w:rPr>
          <w:lang w:eastAsia="ja-JP"/>
        </w:rPr>
        <w:tab/>
        <w:t xml:space="preserve">The </w:t>
      </w:r>
      <w:r>
        <w:rPr>
          <w:lang w:eastAsia="zh-CN"/>
        </w:rPr>
        <w:t xml:space="preserve">UE sends </w:t>
      </w:r>
      <w:r>
        <w:rPr>
          <w:lang w:eastAsia="ja-JP"/>
        </w:rPr>
        <w:t xml:space="preserve">a </w:t>
      </w:r>
      <w:r>
        <w:rPr>
          <w:lang w:eastAsia="zh-CN"/>
        </w:rPr>
        <w:t xml:space="preserve">measurement report </w:t>
      </w:r>
      <w:r>
        <w:rPr>
          <w:lang w:eastAsia="ja-JP"/>
        </w:rPr>
        <w:t xml:space="preserve">including the </w:t>
      </w:r>
      <w:r>
        <w:rPr>
          <w:lang w:eastAsia="ja-JP"/>
        </w:rPr>
        <w:t xml:space="preserve">measured </w:t>
      </w:r>
      <w:r>
        <w:rPr>
          <w:lang w:eastAsia="ja-JP"/>
        </w:rPr>
        <w:t>P</w:t>
      </w:r>
      <w:r>
        <w:rPr>
          <w:lang w:eastAsia="ja-JP"/>
        </w:rPr>
        <w:t>SCs/PCIs</w:t>
      </w:r>
      <w:r>
        <w:rPr>
          <w:lang w:eastAsia="zh-CN"/>
        </w:rPr>
        <w:t>.</w:t>
      </w:r>
    </w:p>
    <w:p>
      <w:pPr>
        <w:pStyle w:val="B1"/>
        <w:rPr/>
      </w:pPr>
      <w:r>
        <w:rPr>
          <w:lang w:eastAsia="ja-JP"/>
        </w:rPr>
        <w:t>5</w:t>
      </w:r>
      <w:r>
        <w:rPr>
          <w:lang w:eastAsia="zh-CN"/>
        </w:rPr>
        <w:t>)</w:t>
      </w:r>
      <w:r>
        <w:rPr>
          <w:lang w:eastAsia="ja-JP"/>
        </w:rPr>
        <w:tab/>
        <w:t xml:space="preserve">The </w:t>
      </w:r>
      <w:r>
        <w:rPr>
          <w:lang w:eastAsia="ja-JP"/>
        </w:rPr>
        <w:t>SRNC configures</w:t>
      </w:r>
      <w:r>
        <w:rPr>
          <w:lang w:eastAsia="zh-CN"/>
        </w:rPr>
        <w:t xml:space="preserve"> </w:t>
      </w:r>
      <w:r>
        <w:rPr>
          <w:lang w:eastAsia="ja-JP"/>
        </w:rPr>
        <w:t xml:space="preserve">the </w:t>
      </w:r>
      <w:r>
        <w:rPr>
          <w:lang w:eastAsia="zh-CN"/>
        </w:rPr>
        <w:t xml:space="preserve">UE to perform SI acquisition and reporting of a particular </w:t>
      </w:r>
      <w:r>
        <w:rPr>
          <w:lang w:eastAsia="ja-JP"/>
        </w:rPr>
        <w:t>P</w:t>
      </w:r>
      <w:r>
        <w:rPr>
          <w:lang w:eastAsia="ja-JP"/>
        </w:rPr>
        <w:t>SC/PCI</w:t>
      </w:r>
      <w:r>
        <w:rPr>
          <w:lang w:eastAsia="zh-CN"/>
        </w:rPr>
        <w:t xml:space="preserve">. </w:t>
      </w:r>
    </w:p>
    <w:p>
      <w:pPr>
        <w:pStyle w:val="B1"/>
        <w:rPr>
          <w:lang w:eastAsia="ja-JP"/>
        </w:rPr>
      </w:pPr>
      <w:r>
        <w:rPr>
          <w:lang w:eastAsia="ja-JP"/>
        </w:rPr>
        <w:t>6</w:t>
      </w:r>
      <w:r>
        <w:rPr>
          <w:lang w:eastAsia="zh-CN"/>
        </w:rPr>
        <w:t>)</w:t>
      </w:r>
      <w:r>
        <w:rPr>
          <w:lang w:eastAsia="ja-JP"/>
        </w:rPr>
        <w:tab/>
        <w:t xml:space="preserve">The </w:t>
      </w:r>
      <w:r>
        <w:rPr>
          <w:lang w:eastAsia="zh-CN"/>
        </w:rPr>
        <w:t>UE performs SI acquisition using autonomous gaps</w:t>
      </w:r>
      <w:r>
        <w:rPr>
          <w:lang w:eastAsia="ja-JP"/>
        </w:rPr>
        <w:t xml:space="preserve">, i.e., the UE may </w:t>
      </w:r>
      <w:r>
        <w:rPr>
          <w:lang w:eastAsia="ja-JP"/>
        </w:rPr>
        <w:t xml:space="preserve">suspend reception and transmission with </w:t>
      </w:r>
      <w:r>
        <w:rPr>
          <w:lang w:eastAsia="ja-JP"/>
        </w:rPr>
        <w:t xml:space="preserve">the </w:t>
      </w:r>
      <w:r>
        <w:rPr>
          <w:lang w:eastAsia="ja-JP"/>
        </w:rPr>
        <w:t xml:space="preserve">SRNC </w:t>
      </w:r>
      <w:r>
        <w:rPr>
          <w:lang w:eastAsia="ja-JP"/>
        </w:rPr>
        <w:t>to acquire the relevant system information from the target HNB</w:t>
      </w:r>
      <w:r>
        <w:rPr>
          <w:lang w:eastAsia="ja-JP"/>
        </w:rPr>
        <w:t>/HeNB</w:t>
      </w:r>
      <w:r>
        <w:rPr>
          <w:lang w:eastAsia="zh-CN"/>
        </w:rPr>
        <w:t>.</w:t>
      </w:r>
    </w:p>
    <w:p>
      <w:pPr>
        <w:pStyle w:val="B1"/>
        <w:rPr>
          <w:lang w:eastAsia="zh-CN"/>
        </w:rPr>
      </w:pPr>
      <w:r>
        <w:rPr>
          <w:lang w:eastAsia="ja-JP"/>
        </w:rPr>
        <w:t>7)</w:t>
        <w:tab/>
        <w:t xml:space="preserve">The </w:t>
      </w:r>
      <w:r>
        <w:rPr>
          <w:lang w:eastAsia="zh-CN"/>
        </w:rPr>
        <w:t xml:space="preserve">UE sends </w:t>
      </w:r>
      <w:r>
        <w:rPr>
          <w:lang w:eastAsia="ja-JP"/>
        </w:rPr>
        <w:t xml:space="preserve">a </w:t>
      </w:r>
      <w:r>
        <w:rPr>
          <w:lang w:eastAsia="zh-CN"/>
        </w:rPr>
        <w:t xml:space="preserve">measurement report </w:t>
      </w:r>
      <w:r>
        <w:rPr>
          <w:lang w:eastAsia="ja-JP"/>
        </w:rPr>
        <w:t>including</w:t>
      </w:r>
      <w:r>
        <w:rPr>
          <w:lang w:eastAsia="zh-CN"/>
        </w:rPr>
        <w:t xml:space="preserve"> Cell Identity, CSG ID and CSG membership indication. If the target cell is a shared CSG/hybrid cell, the UE reports the subset of the broadcasted PLMN identities that fulfil the CSG member cell definition.</w:t>
      </w:r>
    </w:p>
    <w:p>
      <w:pPr>
        <w:pStyle w:val="B1"/>
        <w:rPr/>
      </w:pPr>
      <w:r>
        <w:rPr>
          <w:lang w:eastAsia="ja-JP"/>
        </w:rPr>
        <w:t>8</w:t>
      </w:r>
      <w:r>
        <w:rPr>
          <w:lang w:eastAsia="zh-CN"/>
        </w:rPr>
        <w:t>)</w:t>
      </w:r>
      <w:r>
        <w:rPr>
          <w:lang w:eastAsia="zh-CN"/>
        </w:rPr>
        <w:tab/>
      </w:r>
      <w:r>
        <w:rPr>
          <w:lang w:eastAsia="ja-JP"/>
        </w:rPr>
        <w:t>SRNC can the</w:t>
      </w:r>
      <w:r>
        <w:rPr>
          <w:lang w:eastAsia="zh-CN"/>
        </w:rPr>
        <w:t>n proceed with the handover processing. The handover processing for inter-frequency handover to a CSG/Hybrid cell is described in [6].</w:t>
      </w:r>
    </w:p>
    <w:p>
      <w:pPr>
        <w:pStyle w:val="NO"/>
        <w:rPr/>
      </w:pPr>
      <w:r>
        <w:rPr>
          <w:lang w:eastAsia="ja-JP"/>
        </w:rPr>
        <w:t>NOTE:</w:t>
        <w:tab/>
        <w:t>The above steps also apply to inter-RAT mobility from UMTS cell to HeNB.</w:t>
      </w:r>
    </w:p>
    <w:p>
      <w:pPr>
        <w:pStyle w:val="Normal"/>
        <w:rPr>
          <w:lang w:eastAsia="ja-JP"/>
        </w:rPr>
      </w:pPr>
      <w:r>
        <w:rPr>
          <w:lang w:eastAsia="ja-JP"/>
        </w:rPr>
        <w:t xml:space="preserve">After </w:t>
      </w:r>
      <w:r>
        <w:rPr>
          <w:lang w:eastAsia="ja-JP"/>
        </w:rPr>
        <w:t>sending an "entering" CSG proximity indication (</w:t>
      </w:r>
      <w:r>
        <w:rPr>
          <w:lang w:eastAsia="ja-JP"/>
        </w:rPr>
        <w:t>step 2</w:t>
      </w:r>
      <w:r>
        <w:rPr>
          <w:lang w:eastAsia="ja-JP"/>
        </w:rPr>
        <w:t>)</w:t>
      </w:r>
      <w:r>
        <w:rPr>
          <w:lang w:eastAsia="ja-JP"/>
        </w:rPr>
        <w:t xml:space="preserve">, if the UE determines that </w:t>
      </w:r>
      <w:r>
        <w:rPr>
          <w:lang w:eastAsia="ja-JP"/>
        </w:rPr>
        <w:t xml:space="preserve">it is no longer near any CSG member cell </w:t>
      </w:r>
      <w:r>
        <w:rPr/>
        <w:t>(on the reported proximate RAT and frequency)</w:t>
      </w:r>
      <w:r>
        <w:rPr>
          <w:lang w:eastAsia="ja-JP"/>
        </w:rPr>
        <w:t xml:space="preserve">, the UE sends a </w:t>
      </w:r>
      <w:r>
        <w:rPr>
          <w:lang w:eastAsia="ja-JP"/>
        </w:rPr>
        <w:t>"</w:t>
      </w:r>
      <w:r>
        <w:rPr>
          <w:lang w:eastAsia="ja-JP"/>
        </w:rPr>
        <w:t>leaving</w:t>
      </w:r>
      <w:r>
        <w:rPr>
          <w:lang w:eastAsia="ja-JP"/>
        </w:rPr>
        <w:t>"</w:t>
      </w:r>
      <w:r>
        <w:rPr>
          <w:lang w:eastAsia="ja-JP"/>
        </w:rPr>
        <w:t xml:space="preserve"> </w:t>
      </w:r>
      <w:r>
        <w:rPr>
          <w:lang w:eastAsia="ja-JP"/>
        </w:rPr>
        <w:t xml:space="preserve">CSG </w:t>
      </w:r>
      <w:r>
        <w:rPr>
          <w:lang w:eastAsia="ja-JP"/>
        </w:rPr>
        <w:t xml:space="preserve">proximity indication to the </w:t>
      </w:r>
      <w:r>
        <w:rPr>
          <w:lang w:eastAsia="ja-JP"/>
        </w:rPr>
        <w:t>SRNC</w:t>
      </w:r>
      <w:r>
        <w:rPr>
          <w:lang w:eastAsia="ja-JP"/>
        </w:rPr>
        <w:t xml:space="preserve">. Upon reception of this indication, the </w:t>
      </w:r>
      <w:r>
        <w:rPr>
          <w:lang w:eastAsia="ja-JP"/>
        </w:rPr>
        <w:t>SRNC</w:t>
      </w:r>
      <w:r>
        <w:rPr>
          <w:lang w:eastAsia="ja-JP"/>
        </w:rPr>
        <w:t xml:space="preserve"> may reconfigure the UE to stop measurements on </w:t>
      </w:r>
      <w:r>
        <w:rPr/>
        <w:t>the reported RAT and frequency.</w:t>
      </w:r>
    </w:p>
    <w:p>
      <w:pPr>
        <w:pStyle w:val="Normal"/>
        <w:rPr>
          <w:lang w:eastAsia="ja-JP"/>
        </w:rPr>
      </w:pPr>
      <w:r>
        <w:rPr>
          <w:lang w:eastAsia="ja-JP"/>
        </w:rPr>
        <w:t>In the above procedure, step 2 may not be performed in case the UE has not previously visited the HNB, e.g., when the UE first visits a CSG/hybrid cell.</w:t>
      </w:r>
    </w:p>
    <w:p>
      <w:pPr>
        <w:pStyle w:val="Normal"/>
        <w:rPr/>
      </w:pPr>
      <w:r>
        <w:rPr>
          <w:lang w:eastAsia="ja-JP"/>
        </w:rPr>
        <w:t>The P</w:t>
      </w:r>
      <w:r>
        <w:rPr>
          <w:lang w:eastAsia="ja-JP"/>
        </w:rPr>
        <w:t>S</w:t>
      </w:r>
      <w:r>
        <w:rPr>
          <w:lang w:eastAsia="ja-JP"/>
        </w:rPr>
        <w:t>C</w:t>
      </w:r>
      <w:r>
        <w:rPr>
          <w:lang w:eastAsia="ja-JP"/>
        </w:rPr>
        <w:t>/PCI</w:t>
      </w:r>
      <w:r>
        <w:rPr>
          <w:lang w:eastAsia="ja-JP"/>
        </w:rPr>
        <w:t xml:space="preserve"> confusion is resolved by steps 5, 6 and 7. Th</w:t>
      </w:r>
      <w:r>
        <w:rPr/>
        <w:t xml:space="preserve">e </w:t>
      </w:r>
      <w:r>
        <w:rPr/>
        <w:t>SRNC</w:t>
      </w:r>
      <w:r>
        <w:rPr/>
        <w:t xml:space="preserve"> </w:t>
      </w:r>
      <w:r>
        <w:rPr>
          <w:lang w:eastAsia="ja-JP"/>
        </w:rPr>
        <w:t>can request SI acquisition and reporting for any P</w:t>
      </w:r>
      <w:r>
        <w:rPr>
          <w:lang w:eastAsia="ja-JP"/>
        </w:rPr>
        <w:t>S</w:t>
      </w:r>
      <w:r>
        <w:rPr>
          <w:lang w:eastAsia="ja-JP"/>
        </w:rPr>
        <w:t>C</w:t>
      </w:r>
      <w:r>
        <w:rPr>
          <w:lang w:eastAsia="ja-JP"/>
        </w:rPr>
        <w:t>/PCI, not limited to PSCs/PCIs of CSG or hybrid cells.</w:t>
      </w:r>
    </w:p>
    <w:p>
      <w:pPr>
        <w:pStyle w:val="Heading2"/>
        <w:rPr/>
      </w:pPr>
      <w:bookmarkStart w:id="38" w:name="__RefHeading___Toc376774193"/>
      <w:bookmarkEnd w:id="38"/>
      <w:r>
        <w:rPr/>
        <w:t>8.2</w:t>
        <w:tab/>
        <w:t>Handover from CSG Cell</w:t>
      </w:r>
    </w:p>
    <w:p>
      <w:pPr>
        <w:pStyle w:val="Normal"/>
        <w:rPr/>
      </w:pPr>
      <w:r>
        <w:rPr/>
        <w:t>In Cell_DCH state, the handover procedure from a CSG member cell to a non-CSG cell is expected to be the same as the procedure specified in [3].</w:t>
      </w:r>
    </w:p>
    <w:p>
      <w:pPr>
        <w:pStyle w:val="Heading2"/>
        <w:rPr/>
      </w:pPr>
      <w:bookmarkStart w:id="39" w:name="__RefHeading___Toc376774194"/>
      <w:bookmarkEnd w:id="39"/>
      <w:r>
        <w:rPr/>
        <w:t>8.3</w:t>
        <w:tab/>
        <w:t>Handover from CSG Cell to CSG Cell</w:t>
      </w:r>
    </w:p>
    <w:p>
      <w:pPr>
        <w:pStyle w:val="Normal"/>
        <w:rPr/>
      </w:pPr>
      <w:r>
        <w:rPr/>
        <w:t>In Cell_DCH state, handover between CSG member cells with the same CSG ID is expected to be the same as the procedure specified in Section 8.1.</w:t>
      </w:r>
    </w:p>
    <w:p>
      <w:pPr>
        <w:pStyle w:val="Normal"/>
        <w:rPr/>
      </w:pPr>
      <w:r>
        <w:rPr/>
        <w:t>In Cell_DCH state, handover between CSG member cells with different CSG IDs is expected to be the same as the procedure specified in Section 8.1.</w:t>
      </w:r>
    </w:p>
    <w:p>
      <w:pPr>
        <w:pStyle w:val="Heading1"/>
        <w:ind w:left="1134" w:hanging="1134"/>
        <w:rPr/>
      </w:pPr>
      <w:bookmarkStart w:id="40" w:name="__RefHeading___Toc376774195"/>
      <w:bookmarkEnd w:id="40"/>
      <w:r>
        <w:rPr/>
        <w:t>9</w:t>
        <w:tab/>
        <w:t>Support of Hybrid Cells</w:t>
      </w:r>
    </w:p>
    <w:p>
      <w:pPr>
        <w:pStyle w:val="Heading2"/>
        <w:rPr/>
      </w:pPr>
      <w:bookmarkStart w:id="41" w:name="__RefHeading___Toc376774196"/>
      <w:bookmarkEnd w:id="41"/>
      <w:r>
        <w:rPr/>
        <w:t>9.1</w:t>
        <w:tab/>
        <w:t>Measurement Rules</w:t>
      </w:r>
    </w:p>
    <w:p>
      <w:pPr>
        <w:pStyle w:val="Normal"/>
        <w:rPr/>
      </w:pPr>
      <w:r>
        <w:rPr/>
        <w:t>To measure for hybrid cells with a CSG Identity and its associated PLMN ID belonging to an entry in the UE’s CSG whitelist, measurement rules of Chapter 7.1 apply. Otherwise, normal measurement rules apply.</w:t>
      </w:r>
    </w:p>
    <w:p>
      <w:pPr>
        <w:pStyle w:val="NO"/>
        <w:rPr/>
      </w:pPr>
      <w:r>
        <w:rPr/>
        <w:t>NOTE:</w:t>
        <w:tab/>
        <w:t>The autonomous search for hybrid cells does not imply that UE need to constantly check the CSG ID of all cells it sees.</w:t>
      </w:r>
    </w:p>
    <w:p>
      <w:pPr>
        <w:pStyle w:val="Heading2"/>
        <w:rPr/>
      </w:pPr>
      <w:bookmarkStart w:id="42" w:name="__RefHeading___Toc376774197"/>
      <w:bookmarkEnd w:id="42"/>
      <w:r>
        <w:rPr/>
        <w:t>9.2</w:t>
        <w:tab/>
        <w:t>Reselection</w:t>
      </w:r>
    </w:p>
    <w:p>
      <w:pPr>
        <w:pStyle w:val="Normal"/>
        <w:rPr/>
      </w:pPr>
      <w:r>
        <w:rPr/>
        <w:t>In case the UE has CSG ID and its associated PLMN ID of the hybrid cell in its CSG whitelist, cell reselection procedures will be the same as for a CSG cell as described in Chapter 7.2.</w:t>
      </w:r>
    </w:p>
    <w:p>
      <w:pPr>
        <w:pStyle w:val="Normal"/>
        <w:rPr/>
      </w:pPr>
      <w:r>
        <w:rPr/>
        <w:t>For all other UEs, cell reselection procedures will utilise normal cell reselection rules.</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Arial" w:hAnsi="Arial" w:eastAsia="SimSun;宋体" w:cs="Arial"/>
          <w:kern w:val="2"/>
          <w:lang w:eastAsia="zh-CN"/>
        </w:rPr>
      </w:pPr>
      <w:r>
        <w:rPr>
          <w:rFonts w:eastAsia="SimSun;宋体" w:cs="Arial" w:ascii="Arial" w:hAnsi="Arial"/>
          <w:kern w:val="2"/>
          <w:lang w:eastAsia="zh-CN"/>
        </w:rPr>
      </w:r>
    </w:p>
    <w:p>
      <w:pPr>
        <w:pStyle w:val="Heading8"/>
        <w:ind w:left="0" w:hanging="0"/>
        <w:rPr/>
      </w:pPr>
      <w:bookmarkStart w:id="43" w:name="__RefHeading___Toc376774198"/>
      <w:bookmarkEnd w:id="43"/>
      <w:r>
        <w:rPr/>
        <w:t>Annex B (informative):</w:t>
        <w:br/>
        <w:t>Void</w:t>
      </w:r>
    </w:p>
    <w:p>
      <w:pPr>
        <w:pStyle w:val="B1"/>
        <w:rPr/>
      </w:pPr>
      <w:r>
        <w:rPr/>
      </w:r>
    </w:p>
    <w:p>
      <w:pPr>
        <w:pStyle w:val="Heading8"/>
        <w:ind w:left="0" w:hanging="0"/>
        <w:rPr/>
      </w:pPr>
      <w:bookmarkStart w:id="44" w:name="__RefHeading___Toc376774199"/>
      <w:bookmarkEnd w:id="44"/>
      <w:r>
        <w:rPr/>
        <w:t>Annex C (informative):</w:t>
        <w:br/>
        <w:t>Change history</w:t>
      </w:r>
    </w:p>
    <w:tbl>
      <w:tblPr>
        <w:tblW w:w="9781" w:type="dxa"/>
        <w:jc w:val="left"/>
        <w:tblInd w:w="-7"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6" w:space="0" w:color="000000"/>
              <w:left w:val="single" w:sz="6" w:space="0" w:color="000000"/>
              <w:bottom w:val="single" w:sz="8"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H"/>
              <w:rPr/>
            </w:pPr>
            <w:r>
              <w:rPr>
                <w:sz w:val="16"/>
                <w:szCs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H"/>
              <w:rPr>
                <w:sz w:val="16"/>
                <w:szCs w:val="16"/>
              </w:rPr>
            </w:pPr>
            <w:r>
              <w:rPr>
                <w:sz w:val="16"/>
                <w:szCs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2008-11-17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RAN2#64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Arial" w:cs="Arial"/>
                <w:sz w:val="16"/>
                <w:szCs w:val="16"/>
              </w:rPr>
            </w:pPr>
            <w:r>
              <w:rPr>
                <w:rFonts w:eastAsia="Arial" w:cs="Arial"/>
                <w:sz w:val="16"/>
                <w:szCs w:val="16"/>
              </w:rPr>
              <w:t xml:space="preserve">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Proposal for 25.367 TS structure and Text Proposals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2008-11-20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RAN2#64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eastAsia="Arial" w:cs="Arial" w:ascii="Arial" w:hAnsi="Arial"/>
                <w:sz w:val="16"/>
                <w:szCs w:val="16"/>
              </w:rPr>
              <w:t xml:space="preserve">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 xml:space="preserve">Revision based on discussion for email agreement.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0.0.1</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2008-11-21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RAN2#64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 xml:space="preserve">Final text proposals for email agreement.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sz w:val="16"/>
                <w:szCs w:val="16"/>
              </w:rPr>
              <w:t>0.0.2</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2008-11-25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RAN2#64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Revision based on email agreement.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2008-12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RP-080873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v1.0.0 was approved at RAN #42 as v8.0.0 and put under CR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2009-03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Corrections to manual CSG search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Allignement to latest stage 3 agreements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Idle mode requirements to support hybrid cells for HNB</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2009-09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capturing HNB inbound mobility agreements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manual CSG ID selection_25.367CR(R9)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2009-12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on Add Hybrid cell into the manual CSG ID selection in 25.367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Draft CR capturing HNB inbound mobility agreements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description related to small repetition of SIB3/4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Renaming Allowed CSG List (25.367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definition of CSG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RP-100306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CR capturing HNB inbound mobility agreements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Some corrections to 25.367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RP-101206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the limitation of SI acquisition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2011-03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eastAsia="MS Mincho;MS Mincho" w:cs="Arial" w:ascii="Arial" w:hAnsi="Arial"/>
                <w:color w:val="000000"/>
                <w:sz w:val="16"/>
                <w:szCs w:val="16"/>
              </w:rPr>
              <w:t>Upgrade to the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2012-06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PSC range note on RAN sharing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2013-03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on mobility to CSG and hybrid cells for UMTS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2013-12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inbound mobility to shared CSG/hybrid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RP-131998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CSG CELL_FACH mobility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2015-12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2017-03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2018-06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SA-80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16.0.0</w:t>
            </w:r>
          </w:p>
        </w:tc>
      </w:tr>
    </w:tbl>
    <w:p>
      <w:pPr>
        <w:pStyle w:val="CommentText"/>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25.367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25.367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1818640" cy="180340"/>
              <wp:effectExtent l="0" t="0" r="0" b="0"/>
              <wp:wrapSquare wrapText="largest"/>
              <wp:docPr id="13"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25.367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25.367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4445</wp:posOffset>
              </wp:positionV>
              <wp:extent cx="127635" cy="180340"/>
              <wp:effectExtent l="0" t="0" r="0" b="0"/>
              <wp:wrapSquare wrapText="largest"/>
              <wp:docPr id="14"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4445</wp:posOffset>
              </wp:positionV>
              <wp:extent cx="591820" cy="180340"/>
              <wp:effectExtent l="0" t="0" r="0" b="0"/>
              <wp:wrapSquare wrapText="largest"/>
              <wp:docPr id="15"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1">
    <w:name w:val="B1 Char1"/>
    <w:qFormat/>
    <w:rPr>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4"/>
      </w:numPr>
      <w:ind w:left="568" w:hanging="284"/>
    </w:pPr>
    <w:rPr>
      <w:rFonts w:eastAsia="MS Mincho;MS Mincho"/>
    </w:rPr>
  </w:style>
  <w:style w:type="paragraph" w:styleId="CommentText">
    <w:name w:val="Comment Text"/>
    <w:basedOn w:val="Normal"/>
    <w:qFormat/>
    <w:pPr/>
    <w:rPr>
      <w:rFonts w:eastAsia="MS Mincho;MS Minch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2017-03-23T12:59:00Z</dcterms:created>
  <dc:creator>MCC Support</dc:creator>
  <dc:description/>
  <cp:keywords>UMTS stage 2 radio architecture HNB CSG</cp:keywords>
  <dc:language>en-US</dc:language>
  <cp:lastModifiedBy>x</cp:lastModifiedBy>
  <dcterms:modified xsi:type="dcterms:W3CDTF">2020-07-18T19:50:00Z</dcterms:modified>
  <cp:revision>5</cp:revision>
  <dc:subject>Mobility procedures for Home Node B (HNB);Overall description;Stage 2 (Release 16)</dc:subject>
  <dc:title>3GPP TS 25.367</dc:title>
</cp:coreProperties>
</file>