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25.460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25.460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UTRAN Iuant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UTRAN Iuant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724535</wp:posOffset>
                </wp:positionH>
                <wp:positionV relativeFrom="page">
                  <wp:posOffset>1800860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radio,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8pt;mso-position-vertical-relative:page;margin-left:57.0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radio, antenna</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lang w:val="en-US" w:eastAsia="en-US"/>
        </w:rPr>
      </w:pPr>
      <w:r>
        <w:rPr>
          <w:lang w:val="en-US" w:eastAsia="en-US"/>
        </w:rPr>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56461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6564616">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6564617">
            <w:r>
              <w:rPr>
                <w:rStyle w:val="IndexLink"/>
              </w:rPr>
              <w:t>5</w:t>
            </w:r>
          </w:hyperlink>
        </w:p>
        <w:p>
          <w:pPr>
            <w:pStyle w:val="Contents1"/>
            <w:rPr>
              <w:rFonts w:ascii="Calibri" w:hAnsi="Calibri" w:cs="Calibri"/>
              <w:szCs w:val="22"/>
            </w:rPr>
          </w:pPr>
          <w:r>
            <w:rPr/>
            <w:t>3 to 6</w:t>
          </w:r>
          <w:r>
            <w:rPr>
              <w:rFonts w:cs="Calibri" w:ascii="Calibri" w:hAnsi="Calibri"/>
              <w:szCs w:val="22"/>
            </w:rPr>
            <w:tab/>
          </w:r>
          <w:r>
            <w:rPr/>
            <w:t>Void</w:t>
            <w:tab/>
          </w:r>
          <w:hyperlink w:anchor="__RefHeading___Toc6564618">
            <w:r>
              <w:rPr>
                <w:rStyle w:val="IndexLink"/>
              </w:rPr>
              <w:t>5</w:t>
            </w:r>
          </w:hyperlink>
        </w:p>
        <w:p>
          <w:pPr>
            <w:pStyle w:val="Contents1"/>
            <w:rPr>
              <w:rFonts w:ascii="Calibri" w:hAnsi="Calibri" w:cs="Calibri"/>
              <w:szCs w:val="22"/>
            </w:rPr>
          </w:pPr>
          <w:r>
            <w:rPr/>
            <w:t>7</w:t>
          </w:r>
          <w:r>
            <w:rPr>
              <w:rFonts w:cs="Calibri" w:ascii="Calibri" w:hAnsi="Calibri"/>
              <w:szCs w:val="22"/>
            </w:rPr>
            <w:tab/>
          </w:r>
          <w:r>
            <w:rPr/>
            <w:t>Iuant interface: General aspects and principles</w:t>
            <w:tab/>
          </w:r>
          <w:hyperlink w:anchor="__RefHeading___Toc6564619">
            <w:r>
              <w:rPr>
                <w:rStyle w:val="IndexLink"/>
              </w:rPr>
              <w:t>5</w:t>
            </w:r>
          </w:hyperlink>
        </w:p>
        <w:p>
          <w:pPr>
            <w:pStyle w:val="Contents9"/>
            <w:rPr>
              <w:rFonts w:ascii="Calibri" w:hAnsi="Calibri" w:cs="Calibri"/>
              <w:b w:val="false"/>
              <w:b w:val="false"/>
              <w:szCs w:val="22"/>
            </w:rPr>
          </w:pPr>
          <w:r>
            <w:rPr/>
            <w:t>Annex A:</w:t>
            <w:tab/>
            <w:t>Void</w:t>
            <w:tab/>
          </w:r>
          <w:hyperlink w:anchor="__RefHeading___Toc6564620">
            <w:r>
              <w:rPr>
                <w:rStyle w:val="IndexLink"/>
              </w:rPr>
              <w:t>6</w:t>
            </w:r>
          </w:hyperlink>
        </w:p>
        <w:p>
          <w:pPr>
            <w:pStyle w:val="Contents8"/>
            <w:rPr>
              <w:rFonts w:ascii="Calibri" w:hAnsi="Calibri" w:cs="Calibri"/>
              <w:szCs w:val="22"/>
            </w:rPr>
          </w:pPr>
          <w:r>
            <w:rPr>
              <w:b w:val="false"/>
            </w:rPr>
            <w:t>Annex B (informative):</w:t>
            <w:tab/>
            <w:t>Change History</w:t>
            <w:tab/>
          </w:r>
          <w:hyperlink w:anchor="__RefHeading___Toc6564621">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656461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6564616"/>
      <w:bookmarkEnd w:id="7"/>
      <w:r>
        <w:rPr/>
        <w:t>1</w:t>
        <w:tab/>
        <w:t>Scope</w:t>
      </w:r>
    </w:p>
    <w:p>
      <w:pPr>
        <w:pStyle w:val="Normal"/>
        <w:rPr/>
      </w:pPr>
      <w:r>
        <w:rPr/>
        <w:t>See TS 37.460 [8].</w:t>
      </w:r>
    </w:p>
    <w:p>
      <w:pPr>
        <w:pStyle w:val="Heading1"/>
        <w:ind w:left="1134" w:hanging="1134"/>
        <w:rPr/>
      </w:pPr>
      <w:bookmarkStart w:id="8" w:name="__RefHeading___Toc656461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[1]-[7]</w:t>
        <w:tab/>
        <w:t>Void</w:t>
      </w:r>
    </w:p>
    <w:p>
      <w:pPr>
        <w:pStyle w:val="EX"/>
        <w:rPr/>
      </w:pPr>
      <w:r>
        <w:rPr/>
        <w:t>[8]</w:t>
        <w:tab/>
        <w:t>3GPP TS 37.460: "Iuant interface: General aspects and principles".</w:t>
      </w:r>
    </w:p>
    <w:p>
      <w:pPr>
        <w:pStyle w:val="Heading1"/>
        <w:ind w:left="1134" w:hanging="1134"/>
        <w:rPr/>
      </w:pPr>
      <w:bookmarkStart w:id="9" w:name="__RefHeading___Toc6564618"/>
      <w:bookmarkEnd w:id="9"/>
      <w:r>
        <w:rPr/>
        <w:t>3 to 6</w:t>
        <w:tab/>
        <w:t>Void</w:t>
      </w:r>
    </w:p>
    <w:p>
      <w:pPr>
        <w:pStyle w:val="Normal"/>
        <w:rPr/>
      </w:pPr>
      <w:r>
        <w:rPr/>
      </w:r>
    </w:p>
    <w:p>
      <w:pPr>
        <w:pStyle w:val="Heading1"/>
        <w:ind w:left="1134" w:hanging="1134"/>
        <w:rPr/>
      </w:pPr>
      <w:bookmarkStart w:id="10" w:name="__RefHeading___Toc6564619"/>
      <w:bookmarkEnd w:id="10"/>
      <w:r>
        <w:rPr/>
        <w:t>7</w:t>
        <w:tab/>
        <w:t>Iuant interface: General aspects and principles</w:t>
      </w:r>
    </w:p>
    <w:p>
      <w:pPr>
        <w:pStyle w:val="Normal"/>
        <w:rPr/>
      </w:pPr>
      <w:r>
        <w:rPr/>
        <w:t>See TS 37.460 [8].</w:t>
      </w:r>
      <w:r>
        <w:br w:type="page"/>
      </w:r>
    </w:p>
    <w:p>
      <w:pPr>
        <w:pStyle w:val="Heading9"/>
        <w:rPr/>
      </w:pPr>
      <w:bookmarkStart w:id="11" w:name="__RefHeading___Toc6564620"/>
      <w:bookmarkEnd w:id="11"/>
      <w:r>
        <w:rPr/>
        <w:t>Annex A:</w:t>
        <w:br/>
        <w:t>Void</w:t>
      </w:r>
      <w:r>
        <w:br w:type="page"/>
      </w:r>
    </w:p>
    <w:p>
      <w:pPr>
        <w:pStyle w:val="Heading8"/>
        <w:ind w:left="0" w:hanging="0"/>
        <w:rPr/>
      </w:pPr>
      <w:bookmarkStart w:id="12" w:name="__RefHeading___Toc6564621"/>
      <w:bookmarkEnd w:id="12"/>
      <w:r>
        <w:rPr/>
        <w:t>Annex B (informative):</w:t>
        <w:br/>
        <w:t>Change History</w:t>
      </w:r>
    </w:p>
    <w:tbl>
      <w:tblPr>
        <w:tblW w:w="9072" w:type="dxa"/>
        <w:jc w:val="left"/>
        <w:tblInd w:w="-7" w:type="dxa"/>
        <w:tblLayout w:type="fixed"/>
        <w:tblCellMar>
          <w:top w:w="0" w:type="dxa"/>
          <w:left w:w="40" w:type="dxa"/>
          <w:bottom w:w="0" w:type="dxa"/>
          <w:right w:w="40" w:type="dxa"/>
        </w:tblCellMar>
      </w:tblPr>
      <w:tblGrid>
        <w:gridCol w:w="708"/>
        <w:gridCol w:w="1135"/>
        <w:gridCol w:w="567"/>
        <w:gridCol w:w="425"/>
        <w:gridCol w:w="5387"/>
        <w:gridCol w:w="850"/>
      </w:tblGrid>
      <w:tr>
        <w:trPr>
          <w:tblHeader w:val="true"/>
        </w:trPr>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lang w:val="de-DE"/>
              </w:rPr>
            </w:pPr>
            <w:r>
              <w:rPr>
                <w:lang w:val="de-DE"/>
              </w:rPr>
              <w:t>TSG #</w:t>
            </w:r>
          </w:p>
        </w:tc>
        <w:tc>
          <w:tcPr>
            <w:tcW w:w="1135" w:type="dxa"/>
            <w:tcBorders>
              <w:top w:val="single" w:sz="6" w:space="0" w:color="000000"/>
              <w:left w:val="single" w:sz="6" w:space="0" w:color="000000"/>
              <w:bottom w:val="single" w:sz="6" w:space="0" w:color="000000"/>
              <w:right w:val="single" w:sz="6" w:space="0" w:color="000000"/>
            </w:tcBorders>
            <w:shd w:fill="E5E5E5" w:val="clear"/>
          </w:tcPr>
          <w:p>
            <w:pPr>
              <w:pStyle w:val="TAH"/>
              <w:rPr>
                <w:lang w:val="de-DE"/>
              </w:rPr>
            </w:pPr>
            <w:r>
              <w:rPr>
                <w:lang w:val="de-DE"/>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538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06/2008</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Creation of Rel-8 version based on v7.1.0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8.0.0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RP-080309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rPr>
            </w:pPr>
            <w:r>
              <w:rPr>
                <w:sz w:val="16"/>
              </w:rPr>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figure 6.4.1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8.0.0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43</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RP-090085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RET and TMA support in LTE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8.1.0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12/2009</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Creation of Rel-9 version based on v8.1.0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9.0.0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01/2011</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Creation of Rel-10 version based on v9.0.0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10.0.0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03/2011</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Clarification on the use of References (TS 21.801 CR#0030)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10.0.1</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09/2012</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09/2014</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Rel-12 version (MCC)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12.0.0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11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538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Rel-13 version (MCC)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lang w:eastAsia="zh-CN"/>
              </w:rPr>
              <w:t>RAN#83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RP-190557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Transfer of Iuant interface specification from 25-series to 37-series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rPr/>
      </w:pPr>
      <w:r>
        <w:rPr/>
      </w:r>
    </w:p>
    <w:p>
      <w:pPr>
        <w:pStyle w:val="Normal"/>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HeaderChar">
    <w:name w:val="Header Char"/>
    <w:qFormat/>
    <w:rPr>
      <w:rFonts w:ascii="Arial" w:hAnsi="Arial" w:cs="Arial"/>
      <w:b/>
      <w:sz w:val="18"/>
      <w:lang w:val="en-US" w:eastAsia="en-US"/>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EditorsNote">
    <w:name w:val="Editor's Note"/>
    <w:basedOn w:val="NO"/>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2020-07-13T11:24:00Z</dcterms:created>
  <dc:creator>MCC Support</dc:creator>
  <dc:description/>
  <cp:keywords>UMTS radio antenna</cp:keywords>
  <dc:language>en-US</dc:language>
  <cp:lastModifiedBy>MCC</cp:lastModifiedBy>
  <dcterms:modified xsi:type="dcterms:W3CDTF">2020-07-13T19:42:00Z</dcterms:modified>
  <cp:revision>4</cp:revision>
  <dc:subject>UTRAN Iuant interface: General aspects and principles (Release 16)</dc:subject>
  <dc:title>3GPP TS 25.460</dc:title>
</cp:coreProperties>
</file>