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tabs>
                                <w:tab w:val="clear" w:pos="284"/>
                                <w:tab w:val="left" w:pos="709" w:leader="none"/>
                              </w:tabs>
                              <w:rPr>
                                <w:lang w:val="en-GB" w:eastAsia="en-GB"/>
                              </w:rPr>
                            </w:pPr>
                            <w:bookmarkStart w:id="0" w:name="page1"/>
                            <w:bookmarkEnd w:id="0"/>
                            <w:r>
                              <w:rPr>
                                <w:sz w:val="64"/>
                                <w:lang w:val="en-GB" w:eastAsia="en-GB"/>
                              </w:rPr>
                              <w:t xml:space="preserve">3GPP TS 25.461 </w:t>
                            </w:r>
                            <w:r>
                              <w:rPr>
                                <w:lang w:val="en-GB" w:eastAsia="en-GB"/>
                              </w:rPr>
                              <w:t xml:space="preserve">V16.0.0 </w:t>
                            </w:r>
                            <w:r>
                              <w:rPr>
                                <w:sz w:val="32"/>
                                <w:lang w:val="en-GB" w:eastAsia="en-GB"/>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tabs>
                          <w:tab w:val="clear" w:pos="284"/>
                          <w:tab w:val="left" w:pos="709" w:leader="none"/>
                        </w:tabs>
                        <w:rPr>
                          <w:lang w:val="en-GB" w:eastAsia="en-GB"/>
                        </w:rPr>
                      </w:pPr>
                      <w:bookmarkStart w:id="1" w:name="page1"/>
                      <w:bookmarkEnd w:id="1"/>
                      <w:r>
                        <w:rPr>
                          <w:sz w:val="64"/>
                          <w:lang w:val="en-GB" w:eastAsia="en-GB"/>
                        </w:rPr>
                        <w:t xml:space="preserve">3GPP TS 25.461 </w:t>
                      </w:r>
                      <w:r>
                        <w:rPr>
                          <w:lang w:val="en-GB" w:eastAsia="en-GB"/>
                        </w:rPr>
                        <w:t xml:space="preserve">V16.0.0 </w:t>
                      </w:r>
                      <w:r>
                        <w:rPr>
                          <w:sz w:val="32"/>
                          <w:lang w:val="en-GB" w:eastAsia="en-GB"/>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GB"/>
                              </w:rPr>
                            </w:pPr>
                            <w:r>
                              <w:rPr>
                                <w:lang w:val="en-GB" w:eastAsia="en-GB"/>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GB"/>
                        </w:rPr>
                      </w:pPr>
                      <w:r>
                        <w:rPr>
                          <w:lang w:val="en-GB" w:eastAsia="en-GB"/>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3"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rFonts w:cs="Arial"/>
                                <w:lang w:eastAsia="de-DE"/>
                              </w:rPr>
                              <w:t>UTRAN Iuant interface: Layer 1</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rFonts w:cs="Arial"/>
                          <w:lang w:eastAsia="de-DE"/>
                        </w:rPr>
                        <w:t>UTRAN Iuant interface: Layer 1</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GB"/>
                        </w:rPr>
                      </w:pPr>
                      <w:r>
                        <w:rPr>
                          <w:lang w:val="en-GB" w:eastAsia="en-GB"/>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page">
                  <wp:posOffset>724535</wp:posOffset>
                </wp:positionH>
                <wp:positionV relativeFrom="page">
                  <wp:posOffset>1800860</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LTE, UMTS, radio, EMC, power supply, antenna</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8pt;mso-position-vertical-relative:page;margin-left:57.05pt;mso-position-horizontal-relative:page">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LTE, UMTS, radio, EMC, power supply, antenna</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color w:val="000000"/>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color w:val="000000"/>
                            <w:sz w:val="18"/>
                          </w:rPr>
                          <w:t>http://www.3gpp.org</w:t>
                        </w:r>
                      </w:hyperlink>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656675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6566757">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6566758">
            <w:r>
              <w:rPr>
                <w:rStyle w:val="IndexLink"/>
              </w:rPr>
              <w:t>5</w:t>
            </w:r>
          </w:hyperlink>
        </w:p>
        <w:p>
          <w:pPr>
            <w:pStyle w:val="Contents1"/>
            <w:rPr>
              <w:rFonts w:ascii="Calibri" w:hAnsi="Calibri" w:cs="Calibri"/>
              <w:szCs w:val="22"/>
            </w:rPr>
          </w:pPr>
          <w:r>
            <w:rPr/>
            <w:t>3 to 4</w:t>
          </w:r>
          <w:r>
            <w:rPr>
              <w:rFonts w:cs="Calibri" w:ascii="Calibri" w:hAnsi="Calibri"/>
              <w:szCs w:val="22"/>
            </w:rPr>
            <w:tab/>
          </w:r>
          <w:r>
            <w:rPr/>
            <w:t>Void</w:t>
            <w:tab/>
          </w:r>
          <w:hyperlink w:anchor="__RefHeading___Toc6566759">
            <w:r>
              <w:rPr>
                <w:rStyle w:val="IndexLink"/>
              </w:rPr>
              <w:t>5</w:t>
            </w:r>
          </w:hyperlink>
        </w:p>
        <w:p>
          <w:pPr>
            <w:pStyle w:val="Contents1"/>
            <w:rPr>
              <w:rFonts w:ascii="Calibri" w:hAnsi="Calibri" w:cs="Calibri"/>
              <w:szCs w:val="22"/>
            </w:rPr>
          </w:pPr>
          <w:r>
            <w:rPr/>
            <w:t>5</w:t>
          </w:r>
          <w:r>
            <w:rPr>
              <w:rFonts w:cs="Calibri" w:ascii="Calibri" w:hAnsi="Calibri"/>
              <w:szCs w:val="22"/>
            </w:rPr>
            <w:tab/>
          </w:r>
          <w:r>
            <w:rPr/>
            <w:t>Iuant interface: Layer 1</w:t>
            <w:tab/>
          </w:r>
          <w:hyperlink w:anchor="__RefHeading___Toc6566760">
            <w:r>
              <w:rPr>
                <w:rStyle w:val="IndexLink"/>
              </w:rPr>
              <w:t>5</w:t>
            </w:r>
          </w:hyperlink>
        </w:p>
        <w:p>
          <w:pPr>
            <w:pStyle w:val="Contents9"/>
            <w:rPr>
              <w:rFonts w:ascii="Calibri" w:hAnsi="Calibri" w:cs="Calibri"/>
              <w:b w:val="false"/>
              <w:b w:val="false"/>
              <w:szCs w:val="22"/>
            </w:rPr>
          </w:pPr>
          <w:r>
            <w:rPr/>
            <w:t>Annex A:</w:t>
            <w:tab/>
            <w:t>Void</w:t>
            <w:tab/>
          </w:r>
          <w:hyperlink w:anchor="__RefHeading___Toc6566761">
            <w:r>
              <w:rPr>
                <w:rStyle w:val="IndexLink"/>
              </w:rPr>
              <w:t>6</w:t>
            </w:r>
          </w:hyperlink>
        </w:p>
        <w:p>
          <w:pPr>
            <w:pStyle w:val="Contents8"/>
            <w:rPr>
              <w:rFonts w:ascii="Calibri" w:hAnsi="Calibri" w:cs="Calibri"/>
              <w:szCs w:val="22"/>
            </w:rPr>
          </w:pPr>
          <w:r>
            <w:rPr>
              <w:b w:val="false"/>
            </w:rPr>
            <w:t>Annex B (informative):</w:t>
            <w:tab/>
            <w:t>Change history</w:t>
            <w:tab/>
          </w:r>
          <w:hyperlink w:anchor="__RefHeading___Toc6566762">
            <w:r>
              <w:rPr>
                <w:rStyle w:val="IndexLink"/>
                <w:b w:val="false"/>
              </w:rPr>
              <w:t>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6566756"/>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6566757"/>
      <w:bookmarkEnd w:id="7"/>
      <w:r>
        <w:rPr/>
        <w:t>1</w:t>
        <w:tab/>
        <w:t>Scope</w:t>
      </w:r>
    </w:p>
    <w:p>
      <w:pPr>
        <w:pStyle w:val="Normal"/>
        <w:jc w:val="both"/>
        <w:rPr/>
      </w:pPr>
      <w:r>
        <w:rPr/>
        <w:t>See TS 37.461 [7].</w:t>
      </w:r>
    </w:p>
    <w:p>
      <w:pPr>
        <w:pStyle w:val="Heading1"/>
        <w:ind w:left="1134" w:hanging="1134"/>
        <w:rPr/>
      </w:pPr>
      <w:bookmarkStart w:id="8" w:name="__RefHeading___Toc6566758"/>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[1]-[6]</w:t>
        <w:tab/>
        <w:t>Void.</w:t>
      </w:r>
    </w:p>
    <w:p>
      <w:pPr>
        <w:pStyle w:val="EX"/>
        <w:rPr/>
      </w:pPr>
      <w:r>
        <w:rPr/>
        <w:t>[7]</w:t>
        <w:tab/>
        <w:t>3GPP TS 37.461: "Iuant interface: Layer 1".</w:t>
      </w:r>
    </w:p>
    <w:p>
      <w:pPr>
        <w:pStyle w:val="EX"/>
        <w:rPr/>
      </w:pPr>
      <w:r>
        <w:rPr/>
      </w:r>
    </w:p>
    <w:p>
      <w:pPr>
        <w:pStyle w:val="Heading1"/>
        <w:ind w:left="1134" w:hanging="1134"/>
        <w:rPr/>
      </w:pPr>
      <w:bookmarkStart w:id="9" w:name="__RefHeading___Toc6566759"/>
      <w:bookmarkEnd w:id="9"/>
      <w:r>
        <w:rPr/>
        <w:t>3 to 4</w:t>
        <w:tab/>
        <w:t>Void</w:t>
      </w:r>
    </w:p>
    <w:p>
      <w:pPr>
        <w:pStyle w:val="Normal"/>
        <w:rPr/>
      </w:pPr>
      <w:r>
        <w:rPr/>
      </w:r>
    </w:p>
    <w:p>
      <w:pPr>
        <w:pStyle w:val="Heading1"/>
        <w:ind w:left="1134" w:hanging="1134"/>
        <w:rPr/>
      </w:pPr>
      <w:bookmarkStart w:id="10" w:name="__RefHeading___Toc6566760"/>
      <w:bookmarkEnd w:id="10"/>
      <w:r>
        <w:rPr/>
        <w:t>5</w:t>
        <w:tab/>
        <w:t>Iuant interface: Layer 1</w:t>
      </w:r>
    </w:p>
    <w:p>
      <w:pPr>
        <w:pStyle w:val="Normal"/>
        <w:rPr/>
      </w:pPr>
      <w:r>
        <w:rPr/>
        <w:t>See TS 37.461 [7].</w:t>
      </w:r>
      <w:r>
        <w:br w:type="page"/>
      </w:r>
    </w:p>
    <w:p>
      <w:pPr>
        <w:pStyle w:val="Heading9"/>
        <w:rPr/>
      </w:pPr>
      <w:bookmarkStart w:id="11" w:name="__RefHeading___Toc6566761"/>
      <w:bookmarkEnd w:id="11"/>
      <w:r>
        <w:rPr/>
        <w:t>Annex A:</w:t>
        <w:br/>
        <w:t>Void</w:t>
      </w:r>
      <w:r>
        <w:br w:type="page"/>
      </w:r>
    </w:p>
    <w:p>
      <w:pPr>
        <w:pStyle w:val="Heading8"/>
        <w:ind w:left="0" w:hanging="0"/>
        <w:rPr/>
      </w:pPr>
      <w:bookmarkStart w:id="12" w:name="__RefHeading___Toc6566762"/>
      <w:bookmarkStart w:id="13" w:name="historyclause"/>
      <w:bookmarkEnd w:id="12"/>
      <w:r>
        <w:rPr/>
        <w:t>Annex B (informative):</w:t>
        <w:br/>
        <w:t>Change history</w:t>
      </w:r>
      <w:bookmarkEnd w:id="13"/>
    </w:p>
    <w:p>
      <w:pPr>
        <w:pStyle w:val="TH"/>
        <w:rPr/>
      </w:pPr>
      <w:r>
        <w:rPr/>
      </w:r>
    </w:p>
    <w:tbl>
      <w:tblPr>
        <w:tblW w:w="7796" w:type="dxa"/>
        <w:jc w:val="left"/>
        <w:tblInd w:w="-7" w:type="dxa"/>
        <w:tblLayout w:type="fixed"/>
        <w:tblCellMar>
          <w:top w:w="0" w:type="dxa"/>
          <w:left w:w="40" w:type="dxa"/>
          <w:bottom w:w="0" w:type="dxa"/>
          <w:right w:w="40" w:type="dxa"/>
        </w:tblCellMar>
      </w:tblPr>
      <w:tblGrid>
        <w:gridCol w:w="708"/>
        <w:gridCol w:w="993"/>
        <w:gridCol w:w="425"/>
        <w:gridCol w:w="425"/>
        <w:gridCol w:w="4678"/>
        <w:gridCol w:w="567"/>
      </w:tblGrid>
      <w:tr>
        <w:trPr>
          <w:tblHeader w:val="true"/>
        </w:trPr>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Rev</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New</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TSG-RAN#25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RP-040344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_</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_</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presentation to TSG-RAN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1.0.0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TSG-RAN#25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RP-040344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_</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_</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approved at TSG-RAN#25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6.0.0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RP-040444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rPr>
            </w:pPr>
            <w:r>
              <w:rPr>
                <w:sz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DC power supply distribution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6.1.0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RP-040444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Improved demodulator characteristics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6.1.0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RP-040444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Requirements missing for when the RS485 bus shall not be driven by the secondary device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6.1.0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RP-040444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RET DC power consumption modes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6.1.0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RP-040444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Minor Corrections and editorial changes to 25.461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6.1.0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RP-050061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Minor Corrections and editorial changes to 25.461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6.2.0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RP-050061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Power consumption clarification of RET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6.2.0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RP-050061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Modem Operating Bands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6.2.0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RP-050061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Modem Return loss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6.2.0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RP-050061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Modem Time Delay and Accuracy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6.2.0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RP-050061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Modem Insertion Loss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6.2.0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RP-050237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DC power on sequence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6.3.0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RP-050237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BS Modem and RET Modem Filtering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6.3.0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RP-050237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BS Modem and RET modem spectrum emission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6.3.0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RP-050237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BS  modem and RET modem return loss at modem frequency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6.3.0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RP-050237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Time delay clarification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6.3.0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RP-050226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UMTS2600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7.0.0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RP-050438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Power-Up period clarifications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RP-050438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Insertion loss for RET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RP-050438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Testing for RET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RP-050438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Time delay for RET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RP-050438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Intermodulation attenuation for RET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RP-050438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BS and RET modem isolation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RP-050704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Introduction of UMTS 1700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7.2.0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RP-050703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UMTS 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7.2.0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RP-050689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Test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7.2.0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RP-050689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modem isolation and emission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7.2.0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RP-050689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referencing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7.2.0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RP-050689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RET Control Unit spurious emission simplified 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7.2.0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RP-060704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Introduction of Band X (Extended UMTS 1.7/2.1 GHz)</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7.3.0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RP-070058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DC Power Supply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7.4.0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RP-070058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Tower Mounted Amplifier amendment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7.4.0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RP-070323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Word alignment of station-device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7.5.0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RP-070576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Introduction of UMTS1500 requirement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8.0.0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RP-080082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UMTS 700 MHz (Bands XII  XIV)</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8.1.0</w:t>
            </w:r>
          </w:p>
        </w:tc>
      </w:tr>
      <w:tr>
        <w:trPr/>
        <w:tc>
          <w:tcPr>
            <w:tcW w:w="708"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RP-090822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E-UTRA operating bands</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sz w:val="16"/>
                <w:szCs w:val="16"/>
              </w:rPr>
            </w:pPr>
            <w:r>
              <w:rPr>
                <w:sz w:val="16"/>
                <w:szCs w:val="16"/>
              </w:rPr>
              <w:t>9.0.0</w:t>
            </w:r>
          </w:p>
        </w:tc>
      </w:tr>
      <w:tr>
        <w:trPr/>
        <w:tc>
          <w:tcPr>
            <w:tcW w:w="708"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RP-090826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the extended UMTS/LTE 800 MHz bands</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jc w:val="center"/>
              <w:rPr>
                <w:sz w:val="16"/>
                <w:szCs w:val="16"/>
              </w:rPr>
            </w:pPr>
            <w:r>
              <w:rPr>
                <w:sz w:val="16"/>
                <w:szCs w:val="16"/>
              </w:rPr>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RP-091185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bCs/>
                <w:sz w:val="16"/>
                <w:szCs w:val="16"/>
              </w:rPr>
              <w:t>Introduction of Extended UMTS/LTE1500 requirements for TS25.461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9.1.0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RP-100223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szCs w:val="16"/>
              </w:rPr>
            </w:pPr>
            <w:r>
              <w:rPr>
                <w:rFonts w:cs="Arial"/>
                <w:sz w:val="16"/>
                <w:szCs w:val="16"/>
              </w:rPr>
              <w:t>Introduction of UMTS/LTE in 800 MHz for Europe requirements in TS 25.461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9.2.0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RP-100912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Spectrum band definition additions for TDD 2600 MHz</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10.0.0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RP-101361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59a</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Introduction of L-band in TS 25.461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10.1.0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RP-101278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CR UMTS/LTE-3500 spectrum band definition additions for TDD Iuant interface to TS 25.461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10.1.0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RP-101334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Band XII channel arrangement correction on 25.461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10.1.0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SP-49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SP-100629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US" w:eastAsia="en-US"/>
              </w:rPr>
              <w:t>Clarification on the use of References (TS 21.801 CR#0030)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10.1.1</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RP-110699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 2 GHz band LTE for ATC of MSS in North America to TS25.461 (Rel-10)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10.2.0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RP-110696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 Expanded 1900 MHz Band for UTRA and LTE to TS25.461 (Rel-10)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10.2.0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RP-110685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Removal of unused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10.2.0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RP-111733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Removal of references to operating bands i) and 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10.3.0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Creation of Rel-11 version based on v. 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11.0.0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RP-120235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Addition of new Band 26 for E850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szCs w:val="16"/>
              </w:rPr>
              <w:t>11.0.0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RP-120749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E850_LB (Band 27) to TS 25.461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11.1.0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RP-120750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Band 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11.1.0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RP-120750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Band 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11.1.0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RP-121736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band 22 in TS 25.461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11.2.0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RP-121735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Band 29 into TS 25.461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11.2.0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RP-131903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LTE 450 MHZ</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12.0.0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RP-131904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Band 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12.0.0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RP-140900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Band 32, XXXII</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12.1.0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RP-152105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91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band 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szCs w:val="16"/>
              </w:rPr>
              <w:t>13.0.0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RP-152106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band 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13.0.0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RP-152104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band 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13.0.0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RP-152107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band 45 in 25.461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13.0.0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RP-160446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Band 68 into 25.461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13.1.0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RP-160450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Introduction of Band 46 in TS 25.461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13.1.0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Creation of Rel-14 version based on v. 13.1.0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14.0.0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RP-161040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band 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14.0.0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RP-161041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2.6GHz SDL band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14.0.0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RP-162335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band 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14.1.0</w:t>
            </w:r>
          </w:p>
        </w:tc>
      </w:tr>
    </w:tbl>
    <w:p>
      <w:pPr>
        <w:pStyle w:val="Normal"/>
        <w:rPr/>
      </w:pPr>
      <w:r>
        <w:rPr/>
      </w:r>
    </w:p>
    <w:p>
      <w:pPr>
        <w:pStyle w:val="TH"/>
        <w:rPr>
          <w:lang w:val="en-US" w:eastAsia="en-US"/>
        </w:rPr>
      </w:pPr>
      <w:r>
        <w:rPr>
          <w:lang w:val="en-US" w:eastAsia="en-US"/>
        </w:rPr>
      </w:r>
    </w:p>
    <w:tbl>
      <w:tblPr>
        <w:tblW w:w="9739" w:type="dxa"/>
        <w:jc w:val="left"/>
        <w:tblInd w:w="-7" w:type="dxa"/>
        <w:tblLayout w:type="fixed"/>
        <w:tblCellMar>
          <w:top w:w="0" w:type="dxa"/>
          <w:left w:w="40" w:type="dxa"/>
          <w:bottom w:w="0" w:type="dxa"/>
          <w:right w:w="40" w:type="dxa"/>
        </w:tblCellMar>
      </w:tblPr>
      <w:tblGrid>
        <w:gridCol w:w="800"/>
        <w:gridCol w:w="800"/>
        <w:gridCol w:w="1094"/>
        <w:gridCol w:w="525"/>
        <w:gridCol w:w="425"/>
        <w:gridCol w:w="425"/>
        <w:gridCol w:w="4962"/>
        <w:gridCol w:w="708"/>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RP-171976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Band 72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RP-171977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the FDD L-band (Band 74) into TS 25.461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RP-171978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the TDD L-band(Band 50 and Band 51)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RP-171980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 to 25.461: Introduction of Band 71 (600MHz FDD band for US)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RP-171979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 to 25.461: Introduction of B75 and B76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RP-172675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CR to 25.461: Introduction of Band 49 (3.5 GHz LAA in US)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RP-172711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Band 73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RP-180471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band 85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t>03/2018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t>RP-79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t>RP-180470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t>0110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t>Introduction of the TDD 3.3-3.4GHz band (Band 52)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12/2018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RP-82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RP-182450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Replace Band table with reference to RAN4 specifications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2019-04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lang w:eastAsia="zh-CN"/>
              </w:rPr>
              <w:t>RAN#83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RP-190557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Cs w:val="18"/>
              </w:rPr>
            </w:pPr>
            <w:r>
              <w:rPr>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Transfer of Iuant interface specification from 25-series to 37-series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zh-CN"/>
              </w:rPr>
            </w:pPr>
            <w:r>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Cs w:val="18"/>
              </w:rPr>
            </w:pPr>
            <w:r>
              <w:rPr>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Rel-16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Cs w:val="18"/>
              </w:rPr>
            </w:pPr>
            <w:r>
              <w:rPr>
                <w:bCs/>
                <w:szCs w:val="18"/>
              </w:rPr>
              <w:t>16.0.0</w:t>
            </w:r>
          </w:p>
        </w:tc>
      </w:tr>
    </w:tbl>
    <w:p>
      <w:pPr>
        <w:pStyle w:val="Normal"/>
        <w:spacing w:before="0" w:after="180"/>
        <w:rPr>
          <w:rFonts w:eastAsia="Malgun Gothic;맑은 고딕"/>
          <w:lang w:eastAsia="ko-KR"/>
        </w:rPr>
      </w:pPr>
      <w:r>
        <w:rPr>
          <w:rFonts w:eastAsia="Malgun Gothic;맑은 고딕"/>
          <w:lang w:eastAsia="ko-K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25.461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25.461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style>
  <w:style w:type="character" w:styleId="WW8Num11z0">
    <w:name w:val="WW8Num11z0"/>
    <w:qFormat/>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style>
  <w:style w:type="character" w:styleId="WW8Num20z0">
    <w:name w:val="WW8Num20z0"/>
    <w:qFormat/>
    <w:rPr/>
  </w:style>
  <w:style w:type="character" w:styleId="WW8Num22z0">
    <w:name w:val="WW8Num22z0"/>
    <w:qFormat/>
    <w:rPr/>
  </w:style>
  <w:style w:type="character" w:styleId="WW8Num23z0">
    <w:name w:val="WW8Num23z0"/>
    <w:qFormat/>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rPr>
  </w:style>
  <w:style w:type="character" w:styleId="TACChar">
    <w:name w:val="TAC Char"/>
    <w:qFormat/>
    <w:rPr>
      <w:rFonts w:ascii="Arial" w:hAnsi="Arial"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odyText2">
    <w:name w:val="Body Text 2"/>
    <w:basedOn w:val="Normal"/>
    <w:qFormat/>
    <w:pPr>
      <w:spacing w:before="0" w:after="120"/>
      <w:jc w:val="both"/>
    </w:pPr>
    <w:rPr/>
  </w:style>
  <w:style w:type="paragraph" w:styleId="NormalIndent">
    <w:name w:val="Normal Indent"/>
    <w:basedOn w:val="Normal"/>
    <w:qFormat/>
    <w:pPr>
      <w:ind w:left="708" w:hanging="0"/>
    </w:pPr>
    <w:rPr/>
  </w:style>
  <w:style w:type="paragraph" w:styleId="FL">
    <w:name w:val="FL"/>
    <w:basedOn w:val="Normal"/>
    <w:qFormat/>
    <w:pPr>
      <w:keepNext w:val="true"/>
      <w:keepLines/>
      <w:spacing w:before="60" w:after="180"/>
      <w:jc w:val="center"/>
    </w:pPr>
    <w:rPr>
      <w:rFonts w:ascii="Arial" w:hAnsi="Arial" w:cs="Arial"/>
      <w:b/>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2020-07-13T11:24:00Z</dcterms:created>
  <dc:creator>MCC Support</dc:creator>
  <dc:description/>
  <cp:keywords>LTE UMTS radio EMC power supply antenna</cp:keywords>
  <dc:language>en-US</dc:language>
  <cp:lastModifiedBy>MCC</cp:lastModifiedBy>
  <dcterms:modified xsi:type="dcterms:W3CDTF">2020-07-13T19:48:00Z</dcterms:modified>
  <cp:revision>3</cp:revision>
  <dc:subject>UTRAN Iuant interface: Layer 1 (Release 16)</dc:subject>
  <dc:title>3GPP TS 25.461</dc:title>
</cp:coreProperties>
</file>