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png" ContentType="image/png"/>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25</w:t>
                            </w:r>
                            <w:r>
                              <w:rPr>
                                <w:sz w:val="64"/>
                              </w:rPr>
                              <w:t>.</w:t>
                            </w:r>
                            <w:r>
                              <w:rPr>
                                <w:sz w:val="64"/>
                                <w:lang w:val="en-US" w:eastAsia="en-US"/>
                              </w:rPr>
                              <w:t>943</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25</w:t>
                      </w:r>
                      <w:r>
                        <w:rPr>
                          <w:sz w:val="64"/>
                        </w:rPr>
                        <w:t>.</w:t>
                      </w:r>
                      <w:r>
                        <w:rPr>
                          <w:sz w:val="64"/>
                          <w:lang w:val="en-US" w:eastAsia="en-US"/>
                        </w:rPr>
                        <w:t>943</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Deployment aspects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Deployment aspects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856740"/>
                <wp:effectExtent l="0" t="0" r="0" b="0"/>
                <wp:wrapTopAndBottom/>
                <wp:docPr id="9" name="Frame7"/>
                <a:graphic xmlns:a="http://schemas.openxmlformats.org/drawingml/2006/main">
                  <a:graphicData uri="http://schemas.microsoft.com/office/word/2010/wordprocessingShape">
                    <wps:wsp>
                      <wps:cNvSpPr txBox="1"/>
                      <wps:spPr>
                        <a:xfrm>
                          <a:off x="0" y="0"/>
                          <a:ext cx="6121400" cy="1856740"/>
                        </a:xfrm>
                        <a:prstGeom prst="rect"/>
                        <a:solidFill>
                          <a:srgbClr val="FFFFFF">
                            <a:alpha val="0"/>
                          </a:srgbClr>
                        </a:solidFill>
                      </wps:spPr>
                      <wps:txbx>
                        <w:txbxContent>
                          <w:p>
                            <w:pPr>
                              <w:pStyle w:val="FP"/>
                              <w:spacing w:before="0" w:after="240"/>
                              <w:ind w:left="2835" w:right="2835" w:hanging="0"/>
                              <w:jc w:val="center"/>
                              <w:rPr/>
                            </w:pPr>
                            <w:r>
                              <w:rPr/>
                              <w:t>3GPP</w:t>
                            </w:r>
                          </w:p>
                          <w:p>
                            <w:pPr>
                              <w:pStyle w:val="FP"/>
                              <w:pBdr>
                                <w:bottom w:val="single" w:sz="6" w:space="1" w:color="000000"/>
                              </w:pBdr>
                              <w:ind w:left="2835" w:right="2835" w:hanging="0"/>
                              <w:jc w:val="center"/>
                              <w:rPr/>
                            </w:pPr>
                            <w:r>
                              <w:rPr/>
                              <w:t>Postal address</w:t>
                            </w:r>
                          </w:p>
                          <w:p>
                            <w:pPr>
                              <w:pStyle w:val="FP"/>
                              <w:ind w:left="2835" w:right="2835" w:hanging="0"/>
                              <w:jc w:val="center"/>
                              <w:rPr/>
                            </w:pPr>
                            <w:r>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lang w:val="fr-FR"/>
                              </w:rPr>
                              <w:t>650 Route des Lucioles – Sophia Antipolis</w:t>
                            </w:r>
                          </w:p>
                          <w:p>
                            <w:pPr>
                              <w:pStyle w:val="FP"/>
                              <w:ind w:left="2835" w:right="2835" w:hanging="0"/>
                              <w:jc w:val="center"/>
                              <w:rPr/>
                            </w:pPr>
                            <w:r>
                              <w:rPr>
                                <w:lang w:val="fr-FR"/>
                              </w:rPr>
                              <w:t>Valbonne – FRANCE</w:t>
                            </w:r>
                          </w:p>
                          <w:p>
                            <w:pPr>
                              <w:pStyle w:val="FP"/>
                              <w:spacing w:before="0" w:after="20"/>
                              <w:ind w:left="2835" w:right="2835" w:hanging="0"/>
                              <w:jc w:val="center"/>
                              <w:rPr/>
                            </w:pPr>
                            <w: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4">
                              <w:r>
                                <w:rPr>
                                  <w:rStyle w:val="InternetLink"/>
                                </w:rPr>
                                <w:t>http://www.3gpp.org</w:t>
                              </w:r>
                            </w:hyperlink>
                          </w:p>
                        </w:txbxContent>
                      </wps:txbx>
                      <wps:bodyPr anchor="t" lIns="0" tIns="0" rIns="0" bIns="0">
                        <a:noAutofit/>
                      </wps:bodyPr>
                    </wps:wsp>
                  </a:graphicData>
                </a:graphic>
              </wp:anchor>
            </w:drawing>
          </mc:Choice>
          <mc:Fallback>
            <w:pict>
              <v:rect fillcolor="#FFFFFF" style="position:absolute;rotation:-0;width:482pt;height:146.2pt;mso-wrap-distance-left:0pt;mso-wrap-distance-right:0pt;mso-wrap-distance-top:0pt;mso-wrap-distance-bottom:0pt;margin-top:291.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pPr>
                      <w:r>
                        <w:rPr/>
                        <w:t>3GPP</w:t>
                      </w:r>
                    </w:p>
                    <w:p>
                      <w:pPr>
                        <w:pStyle w:val="FP"/>
                        <w:pBdr>
                          <w:bottom w:val="single" w:sz="6" w:space="1" w:color="000000"/>
                        </w:pBdr>
                        <w:ind w:left="2835" w:right="2835" w:hanging="0"/>
                        <w:jc w:val="center"/>
                        <w:rPr/>
                      </w:pPr>
                      <w:r>
                        <w:rPr/>
                        <w:t>Postal address</w:t>
                      </w:r>
                    </w:p>
                    <w:p>
                      <w:pPr>
                        <w:pStyle w:val="FP"/>
                        <w:ind w:left="2835" w:right="2835" w:hanging="0"/>
                        <w:jc w:val="center"/>
                        <w:rPr/>
                      </w:pPr>
                      <w:r>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lang w:val="fr-FR"/>
                        </w:rPr>
                        <w:t>650 Route des Lucioles – Sophia Antipolis</w:t>
                      </w:r>
                    </w:p>
                    <w:p>
                      <w:pPr>
                        <w:pStyle w:val="FP"/>
                        <w:ind w:left="2835" w:right="2835" w:hanging="0"/>
                        <w:jc w:val="center"/>
                        <w:rPr/>
                      </w:pPr>
                      <w:r>
                        <w:rPr>
                          <w:lang w:val="fr-FR"/>
                        </w:rPr>
                        <w:t>Valbonne – FRANCE</w:t>
                      </w:r>
                    </w:p>
                    <w:p>
                      <w:pPr>
                        <w:pStyle w:val="FP"/>
                        <w:spacing w:before="0" w:after="20"/>
                        <w:ind w:left="2835" w:right="2835" w:hanging="0"/>
                        <w:jc w:val="center"/>
                        <w:rPr/>
                      </w:pPr>
                      <w: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5">
                        <w:r>
                          <w:rPr>
                            <w:rStyle w:val="InternetLink"/>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518923364">
            <w:r>
              <w:rPr>
                <w:rStyle w:val="IndexLink"/>
                <w:rFonts w:eastAsia="Malgun Gothic"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92336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92336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892336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892336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8923369">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892337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8923371">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Channel model descriptions</w:t>
            <w:tab/>
          </w:r>
          <w:hyperlink w:anchor="__RefHeading___Toc518923372">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it-IT" w:eastAsia="en-US"/>
            </w:rPr>
            <w:t>Typical Urban channel model (Tux)</w:t>
          </w:r>
          <w:r>
            <w:rPr/>
            <w:tab/>
          </w:r>
          <w:hyperlink w:anchor="__RefHeading___Toc518923373">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Rural Area channel model (Rax)</w:t>
            <w:tab/>
          </w:r>
          <w:hyperlink w:anchor="__RefHeading___Toc518923374">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Hilly Terrain channel model (HTx)</w:t>
            <w:tab/>
          </w:r>
          <w:hyperlink w:anchor="__RefHeading___Toc518923375">
            <w:r>
              <w:rPr>
                <w:rStyle w:val="IndexLink"/>
              </w:rPr>
              <w:t>8</w:t>
            </w:r>
          </w:hyperlink>
        </w:p>
        <w:p>
          <w:pPr>
            <w:pStyle w:val="Contents9"/>
            <w:rPr>
              <w:rFonts w:ascii="Calibri" w:hAnsi="Calibri" w:cs="Calibri"/>
              <w:b w:val="false"/>
              <w:b w:val="false"/>
              <w:szCs w:val="22"/>
              <w:lang w:val="en-US" w:eastAsia="en-US"/>
            </w:rPr>
          </w:pPr>
          <w:r>
            <w:rPr/>
            <w:t>Annex A:</w:t>
            <w:tab/>
            <w:t>The COST 259 Channel Model</w:t>
            <w:tab/>
          </w:r>
          <w:hyperlink w:anchor="__RefHeading___Toc518923376">
            <w:r>
              <w:rPr>
                <w:rStyle w:val="IndexLink"/>
              </w:rPr>
              <w:t>9</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Background</w:t>
            <w:tab/>
          </w:r>
          <w:hyperlink w:anchor="__RefHeading___Toc518923377">
            <w:r>
              <w:rPr>
                <w:rStyle w:val="IndexLink"/>
              </w:rPr>
              <w:t>9</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Model descriptions</w:t>
            <w:tab/>
          </w:r>
          <w:hyperlink w:anchor="__RefHeading___Toc518923378">
            <w:r>
              <w:rPr>
                <w:rStyle w:val="IndexLink"/>
              </w:rPr>
              <w:t>9</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Reduced complexity models</w:t>
            <w:tab/>
          </w:r>
          <w:hyperlink w:anchor="__RefHeading___Toc518923379">
            <w:r>
              <w:rPr>
                <w:rStyle w:val="IndexLink"/>
              </w:rPr>
              <w:t>10</w:t>
            </w:r>
          </w:hyperlink>
        </w:p>
        <w:p>
          <w:pPr>
            <w:pStyle w:val="Contents9"/>
            <w:rPr>
              <w:rFonts w:ascii="Calibri" w:hAnsi="Calibri" w:cs="Calibri"/>
              <w:b w:val="false"/>
              <w:b w:val="false"/>
              <w:szCs w:val="22"/>
              <w:lang w:val="en-US" w:eastAsia="en-US"/>
            </w:rPr>
          </w:pPr>
          <w:r>
            <w:rPr/>
            <w:t>Annex B:</w:t>
            <w:tab/>
            <w:t>Example of simplified model using other time resolution</w:t>
            <w:tab/>
          </w:r>
          <w:hyperlink w:anchor="__RefHeading___Toc518923380">
            <w:r>
              <w:rPr>
                <w:rStyle w:val="IndexLink"/>
              </w:rPr>
              <w:t>12</w:t>
            </w:r>
          </w:hyperlink>
        </w:p>
        <w:p>
          <w:pPr>
            <w:pStyle w:val="Contents9"/>
            <w:rPr>
              <w:rFonts w:ascii="Calibri" w:hAnsi="Calibri" w:cs="Calibri"/>
              <w:szCs w:val="22"/>
              <w:lang w:val="en-US" w:eastAsia="en-US"/>
            </w:rPr>
          </w:pPr>
          <w:r>
            <w:rPr>
              <w:b w:val="false"/>
            </w:rPr>
            <w:t>Annex C:</w:t>
            <w:tab/>
            <w:t>Change history</w:t>
            <w:tab/>
          </w:r>
          <w:hyperlink w:anchor="__RefHeading___Toc518923381">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518923364"/>
      <w:bookmarkEnd w:id="4"/>
      <w:r>
        <w:rPr/>
        <w:t>Foreword</w:t>
      </w:r>
    </w:p>
    <w:p>
      <w:pPr>
        <w:pStyle w:val="Normal"/>
        <w:rPr/>
      </w:pPr>
      <w:r>
        <w:rPr/>
        <w:t>This Technical Report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518923365"/>
      <w:bookmarkEnd w:id="5"/>
      <w:r>
        <w:rPr/>
        <w:t>1</w:t>
        <w:tab/>
        <w:t>Scope</w:t>
      </w:r>
    </w:p>
    <w:p>
      <w:pPr>
        <w:pStyle w:val="Normal"/>
        <w:rPr/>
      </w:pPr>
      <w:r>
        <w:rPr/>
        <w:t xml:space="preserve">The present document establishes channel models to be used for deployment evaluation. </w:t>
      </w:r>
    </w:p>
    <w:p>
      <w:pPr>
        <w:pStyle w:val="Heading1"/>
        <w:ind w:left="1134" w:hanging="1134"/>
        <w:rPr/>
      </w:pPr>
      <w:bookmarkStart w:id="6" w:name="__RefHeading___Toc518923366"/>
      <w:bookmarkEnd w:id="6"/>
      <w:r>
        <w:rPr>
          <w:lang w:eastAsia="ko-KR"/>
        </w:rPr>
        <w:t>2</w:t>
        <w:tab/>
      </w:r>
      <w:r>
        <w:rPr/>
        <w:t>References</w:t>
      </w:r>
    </w:p>
    <w:p>
      <w:pPr>
        <w:pStyle w:val="Normal"/>
        <w:rPr/>
      </w:pPr>
      <w:r>
        <w:rPr/>
        <w:t>The following documents contain provisions which, through reference in this text, constitute provisions of the present document.</w:t>
      </w:r>
    </w:p>
    <w:p>
      <w:pPr>
        <w:pStyle w:val="B1"/>
        <w:rPr/>
      </w:pPr>
      <w:r>
        <w:rPr>
          <w:lang w:eastAsia="ko-KR"/>
        </w:rPr>
        <w:t>-</w:t>
        <w:tab/>
      </w:r>
      <w:r>
        <w:rPr/>
        <w:t>References are either specific (identified by date of publication, edition number, version number, etc.) or non</w:t>
        <w:noBreakHyphen/>
        <w:t>specific.</w:t>
      </w:r>
    </w:p>
    <w:p>
      <w:pPr>
        <w:pStyle w:val="B1"/>
        <w:rPr/>
      </w:pPr>
      <w:r>
        <w:rPr>
          <w:lang w:eastAsia="ko-KR"/>
        </w:rPr>
        <w:t>-</w:t>
        <w:tab/>
      </w:r>
      <w:r>
        <w:rPr/>
        <w:t>For a specific reference, subsequent revisions do not apply.</w:t>
      </w:r>
    </w:p>
    <w:p>
      <w:pPr>
        <w:pStyle w:val="B1"/>
        <w:rPr/>
      </w:pPr>
      <w:r>
        <w:rPr>
          <w:lang w:eastAsia="ko-KR"/>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L.M. Correia, ed., Wireless flexible personalized communications – COST 259: European co-operation in mobile radio research, John Wiley &amp; Sons 2001.</w:t>
      </w:r>
    </w:p>
    <w:p>
      <w:pPr>
        <w:pStyle w:val="EX"/>
        <w:rPr/>
      </w:pPr>
      <w:r>
        <w:rPr/>
        <w:t>[2]</w:t>
        <w:tab/>
        <w:t>GSM 05.05, “Digital cellular telecommunications system (Phase 2+); Radio transmission and reception”</w:t>
      </w:r>
    </w:p>
    <w:p>
      <w:pPr>
        <w:pStyle w:val="Heading1"/>
        <w:ind w:left="1134" w:hanging="1134"/>
        <w:rPr/>
      </w:pPr>
      <w:bookmarkStart w:id="7" w:name="__RefHeading___Toc518923367"/>
      <w:bookmarkEnd w:id="7"/>
      <w:r>
        <w:rPr/>
        <w:t>3</w:t>
        <w:tab/>
        <w:t>Definitions, symbols and abbreviations</w:t>
      </w:r>
    </w:p>
    <w:p>
      <w:pPr>
        <w:pStyle w:val="Heading2"/>
        <w:rPr/>
      </w:pPr>
      <w:bookmarkStart w:id="8" w:name="__RefHeading___Toc518923368"/>
      <w:bookmarkEnd w:id="8"/>
      <w:r>
        <w:rPr/>
        <w:t>3.1</w:t>
        <w:tab/>
        <w:t>Definitions</w:t>
      </w:r>
    </w:p>
    <w:p>
      <w:pPr>
        <w:pStyle w:val="Normal"/>
        <w:rPr>
          <w:lang w:eastAsia="ko-KR"/>
        </w:rPr>
      </w:pPr>
      <w:r>
        <w:rPr>
          <w:lang w:eastAsia="ko-KR"/>
        </w:rPr>
        <w:t>(</w:t>
      </w:r>
      <w:r>
        <w:rPr/>
        <w:t>void</w:t>
      </w:r>
      <w:r>
        <w:rPr>
          <w:lang w:eastAsia="ko-KR"/>
        </w:rPr>
        <w:t>)</w:t>
      </w:r>
    </w:p>
    <w:p>
      <w:pPr>
        <w:pStyle w:val="Heading2"/>
        <w:rPr/>
      </w:pPr>
      <w:bookmarkStart w:id="9" w:name="__RefHeading___Toc518923369"/>
      <w:bookmarkEnd w:id="9"/>
      <w:r>
        <w:rPr>
          <w:lang w:eastAsia="ko-KR"/>
        </w:rPr>
        <w:t>3.2</w:t>
        <w:tab/>
      </w:r>
      <w:r>
        <w:rPr/>
        <w:t>Symbols</w:t>
      </w:r>
    </w:p>
    <w:p>
      <w:pPr>
        <w:pStyle w:val="Normal"/>
        <w:keepNext w:val="true"/>
        <w:rPr/>
      </w:pPr>
      <w:r>
        <w:rPr/>
        <w:t>For the purposes of the present document, the following symbols apply:</w:t>
      </w:r>
    </w:p>
    <w:p>
      <w:pPr>
        <w:pStyle w:val="EW"/>
        <w:rPr/>
      </w:pPr>
      <w:r>
        <w:rPr>
          <w:rFonts w:cs="Symbol" w:ascii="Symbol" w:hAnsi="Symbol"/>
          <w:i/>
          <w:iCs/>
          <w:color w:val="000000"/>
          <w:sz w:val="22"/>
          <w:szCs w:val="22"/>
          <w:lang w:val="en-US"/>
        </w:rPr>
        <w:t></w:t>
      </w:r>
      <w:r>
        <w:rPr>
          <w:rFonts w:cs="Symbol" w:ascii="Symbol" w:hAnsi="Symbol"/>
          <w:i/>
          <w:iCs/>
          <w:color w:val="000000"/>
          <w:sz w:val="12"/>
          <w:szCs w:val="12"/>
          <w:lang w:val="en-US"/>
        </w:rPr>
        <w:t></w:t>
      </w:r>
      <w:r>
        <w:rPr>
          <w:rFonts w:eastAsia="Times New Roman"/>
          <w:i/>
          <w:iCs/>
          <w:color w:val="000000"/>
          <w:lang w:val="en-US"/>
        </w:rPr>
        <w:t xml:space="preserve"> </w:t>
      </w:r>
      <w:r>
        <w:rPr>
          <w:rFonts w:eastAsia="Times New Roman"/>
        </w:rPr>
        <w:t xml:space="preserve"> </w:t>
      </w:r>
      <w:r>
        <w:rPr/>
        <w:tab/>
        <w:t>R.M.S. delay spread.</w:t>
      </w:r>
    </w:p>
    <w:p>
      <w:pPr>
        <w:pStyle w:val="EW"/>
        <w:rPr/>
      </w:pPr>
      <w:r>
        <w:rPr/>
        <w:t>Fd</w:t>
        <w:tab/>
        <w:t>Maximum Doppler shift</w:t>
      </w:r>
    </w:p>
    <w:p>
      <w:pPr>
        <w:pStyle w:val="EW"/>
        <w:rPr/>
      </w:pPr>
      <w:r>
        <w:rPr/>
        <w:t>fs</w:t>
        <w:tab/>
        <w:t>Doppler frequency of the direct path, given by its direction relative to the mobile direction of movement</w:t>
      </w:r>
    </w:p>
    <w:p>
      <w:pPr>
        <w:pStyle w:val="Heading2"/>
        <w:rPr/>
      </w:pPr>
      <w:bookmarkStart w:id="10" w:name="__RefHeading___Toc518923370"/>
      <w:bookmarkEnd w:id="10"/>
      <w:r>
        <w:rPr>
          <w:lang w:eastAsia="ko-KR"/>
        </w:rPr>
        <w:t>3.3</w:t>
        <w:tab/>
      </w:r>
      <w:r>
        <w:rPr/>
        <w:t>Abbreviations</w:t>
      </w:r>
    </w:p>
    <w:p>
      <w:pPr>
        <w:pStyle w:val="Normal"/>
        <w:keepNext w:val="true"/>
        <w:rPr/>
      </w:pPr>
      <w:r>
        <w:rPr/>
        <w:t>For the purposes of the present document, the following abbreviations apply:</w:t>
      </w:r>
    </w:p>
    <w:p>
      <w:pPr>
        <w:pStyle w:val="EW"/>
        <w:rPr/>
      </w:pPr>
      <w:r>
        <w:rPr/>
        <w:t>COST</w:t>
        <w:tab/>
        <w:tab/>
        <w:t>European Co-operation in the field of Scientific and Technical research</w:t>
      </w:r>
    </w:p>
    <w:p>
      <w:pPr>
        <w:pStyle w:val="EW"/>
        <w:rPr/>
      </w:pPr>
      <w:r>
        <w:rPr/>
        <w:t>GSM</w:t>
        <w:tab/>
        <w:tab/>
        <w:t>Global System for Mobile communications</w:t>
      </w:r>
    </w:p>
    <w:p>
      <w:pPr>
        <w:pStyle w:val="EW"/>
        <w:rPr/>
      </w:pPr>
      <w:r>
        <w:rPr/>
        <w:t>HT</w:t>
        <w:tab/>
        <w:t>Hilly Terrain</w:t>
      </w:r>
    </w:p>
    <w:p>
      <w:pPr>
        <w:pStyle w:val="EW"/>
        <w:rPr/>
      </w:pPr>
      <w:r>
        <w:rPr/>
        <w:t>RA</w:t>
        <w:tab/>
        <w:t>Rural Area</w:t>
      </w:r>
    </w:p>
    <w:p>
      <w:pPr>
        <w:pStyle w:val="EW"/>
        <w:rPr/>
      </w:pPr>
      <w:r>
        <w:rPr/>
        <w:t>TU</w:t>
        <w:tab/>
        <w:t>Typical Urban</w:t>
      </w:r>
    </w:p>
    <w:p>
      <w:pPr>
        <w:pStyle w:val="EW"/>
        <w:rPr/>
      </w:pPr>
      <w:r>
        <w:rPr/>
        <w:t>UMTS</w:t>
        <w:tab/>
        <w:t>Universal Mobile Telecommunications System</w:t>
      </w:r>
    </w:p>
    <w:p>
      <w:pPr>
        <w:pStyle w:val="Heading1"/>
        <w:ind w:left="1134" w:hanging="1134"/>
        <w:rPr/>
      </w:pPr>
      <w:bookmarkStart w:id="11" w:name="__RefHeading___Toc518923371"/>
      <w:bookmarkEnd w:id="11"/>
      <w:r>
        <w:rPr/>
        <w:t>4</w:t>
        <w:tab/>
        <w:t>General</w:t>
      </w:r>
    </w:p>
    <w:p>
      <w:pPr>
        <w:pStyle w:val="Normal"/>
        <w:rPr/>
      </w:pPr>
      <w:r>
        <w:rPr/>
        <w:t>The channel models have been chosen as simplifications, or typical realisations of the COST 259 model [1] that is described in more detail in Annex A.</w:t>
      </w:r>
    </w:p>
    <w:p>
      <w:pPr>
        <w:pStyle w:val="Normal"/>
        <w:rPr/>
      </w:pPr>
      <w:r>
        <w:rPr/>
        <w:t xml:space="preserve">A large number of paths (20) in each model ensure that the correlation properties in the frequency domain are realistic. Path powers follow the exponential channel shapes in the COST 259 model. The delay spreads for each model are close to expected medians when applying the COST 259 model in reasonably sized macrocells. In the rural model a direct path is present, resulting in Rice-type fading when filtered to wideband channels. The hilly terrain model consists of two clusters, a typical situation in these environments. </w:t>
      </w:r>
    </w:p>
    <w:p>
      <w:pPr>
        <w:pStyle w:val="Normal"/>
        <w:rPr/>
      </w:pPr>
      <w:r>
        <w:rPr/>
        <w:t>With the chosen parameters the models will be quite similar to the GSM channel models [2], after filtering to the GSM bandwidth.</w:t>
      </w:r>
    </w:p>
    <w:p>
      <w:pPr>
        <w:pStyle w:val="Normal"/>
        <w:rPr/>
      </w:pPr>
      <w:r>
        <w:rPr/>
        <w:t xml:space="preserve">In Section 5, the channel models are specified explicitly. The tap delays have been determined by generating 20 independent identically distributed values from a uniform distribution in the interval </w:t>
      </w:r>
      <w:r>
        <w:rPr>
          <w:lang w:val="en-US" w:eastAsia="en-US"/>
        </w:rPr>
        <mc:AlternateContent>
          <mc:Choice Requires="wpg">
            <w:drawing>
              <wp:inline distT="0" distB="0" distL="0" distR="0">
                <wp:extent cx="505460" cy="347980"/>
                <wp:effectExtent l="0" t="0" r="0" b="0"/>
                <wp:docPr id="11" name=""/>
                <a:graphic xmlns:a="http://schemas.openxmlformats.org/drawingml/2006/main">
                  <a:graphicData uri="http://schemas.microsoft.com/office/word/2010/wordprocessingGroup">
                    <wpg:wgp>
                      <wpg:cNvGrpSpPr/>
                      <wpg:grpSpPr>
                        <a:xfrm>
                          <a:off x="0" y="0"/>
                          <a:ext cx="505440" cy="348120"/>
                          <a:chOff x="0" y="0"/>
                          <a:chExt cx="505440" cy="348120"/>
                        </a:xfrm>
                      </wpg:grpSpPr>
                      <wps:wsp>
                        <wps:cNvSpPr/>
                        <wps:nvSpPr>
                          <wps:cNvPr id="0" name=""/>
                          <wps:cNvSpPr/>
                        </wps:nvSpPr>
                        <wps:spPr>
                          <a:xfrm>
                            <a:off x="0" y="720"/>
                            <a:ext cx="505440" cy="347400"/>
                          </a:xfrm>
                          <a:prstGeom prst="rect">
                            <a:avLst/>
                          </a:prstGeom>
                          <a:noFill/>
                          <a:ln w="0">
                            <a:noFill/>
                          </a:ln>
                        </wps:spPr>
                        <wps:bodyPr/>
                      </wps:wsp>
                      <wps:wsp>
                        <wps:cNvSpPr txBox="1"/>
                        <wps:spPr>
                          <a:xfrm>
                            <a:off x="14760" y="0"/>
                            <a:ext cx="59760" cy="332280"/>
                          </a:xfrm>
                          <a:prstGeom prst="rect">
                            <a:avLst/>
                          </a:prstGeom>
                          <a:noFill/>
                          <a:ln w="0">
                            <a:noFill/>
                          </a:ln>
                        </wps:spPr>
                        <wps:txbx>
                          <w:txbxContent>
                            <w:p>
                              <w:pPr>
                                <w:overflowPunct w:val="false"/>
                                <w:autoSpaceDE w:val="false"/>
                                <w:bidi w:val="0"/>
                                <w:spacing w:before="0" w:after="180"/>
                                <w:rPr/>
                              </w:pPr>
                              <w:r>
                                <w:rPr>
                                  <w:kern w:val="2"/>
                                  <w:sz w:val="28"/>
                                  <w:szCs w:val="28"/>
                                  <w:rFonts w:ascii="Symbol" w:hAnsi="Symbol" w:eastAsia="Malgun Gothic" w:cs="Symbol"/>
                                  <w:color w:val="000000"/>
                                  <w:lang w:val="en-US" w:bidi="ar-SA"/>
                                </w:rPr>
                                <w:t></w:t>
                              </w:r>
                            </w:p>
                          </w:txbxContent>
                        </wps:txbx>
                        <wps:bodyPr wrap="square" lIns="0" rIns="0" tIns="0" bIns="0" anchor="t">
                          <a:noAutofit/>
                        </wps:bodyPr>
                      </wps:wsp>
                      <wps:wsp>
                        <wps:cNvSpPr txBox="1"/>
                        <wps:spPr>
                          <a:xfrm>
                            <a:off x="445680" y="0"/>
                            <a:ext cx="59760" cy="332280"/>
                          </a:xfrm>
                          <a:prstGeom prst="rect">
                            <a:avLst/>
                          </a:prstGeom>
                          <a:noFill/>
                          <a:ln w="0">
                            <a:noFill/>
                          </a:ln>
                        </wps:spPr>
                        <wps:txbx>
                          <w:txbxContent>
                            <w:p>
                              <w:pPr>
                                <w:overflowPunct w:val="false"/>
                                <w:autoSpaceDE w:val="false"/>
                                <w:bidi w:val="0"/>
                                <w:spacing w:before="0" w:after="180"/>
                                <w:rPr/>
                              </w:pPr>
                              <w:r>
                                <w:rPr>
                                  <w:kern w:val="2"/>
                                  <w:sz w:val="28"/>
                                  <w:szCs w:val="28"/>
                                  <w:rFonts w:ascii="Symbol" w:hAnsi="Symbol" w:eastAsia="Malgun Gothic" w:cs="Symbol"/>
                                  <w:color w:val="000000"/>
                                  <w:lang w:val="en-US" w:bidi="ar-SA"/>
                                </w:rPr>
                                <w:t></w:t>
                              </w:r>
                            </w:p>
                          </w:txbxContent>
                        </wps:txbx>
                        <wps:bodyPr wrap="square" lIns="0" rIns="0" tIns="0" bIns="0" anchor="t">
                          <a:noAutofit/>
                        </wps:bodyPr>
                      </wps:wsp>
                      <wps:wsp>
                        <wps:cNvSpPr txBox="1"/>
                        <wps:spPr>
                          <a:xfrm>
                            <a:off x="377280" y="139680"/>
                            <a:ext cx="34920" cy="207720"/>
                          </a:xfrm>
                          <a:prstGeom prst="rect">
                            <a:avLst/>
                          </a:prstGeom>
                          <a:noFill/>
                          <a:ln w="0">
                            <a:noFill/>
                          </a:ln>
                        </wps:spPr>
                        <wps:txbx>
                          <w:txbxContent>
                            <w:p>
                              <w:pPr>
                                <w:overflowPunct w:val="false"/>
                                <w:autoSpaceDE w:val="false"/>
                                <w:bidi w:val="0"/>
                                <w:spacing w:before="0" w:after="180"/>
                                <w:rPr/>
                              </w:pPr>
                              <w:r>
                                <w:rPr>
                                  <w:kern w:val="2"/>
                                  <w:sz w:val="12"/>
                                  <w:i/>
                                  <w:szCs w:val="12"/>
                                  <w:iCs/>
                                  <w:rFonts w:ascii="Symbol" w:hAnsi="Symbol" w:eastAsia="Malgun Gothic" w:cs="Symbol"/>
                                  <w:color w:val="000000"/>
                                  <w:lang w:val="en-US" w:bidi="ar-SA"/>
                                </w:rPr>
                                <w:t></w:t>
                              </w:r>
                            </w:p>
                          </w:txbxContent>
                        </wps:txbx>
                        <wps:bodyPr wrap="square" lIns="0" rIns="0" tIns="0" bIns="0" anchor="t">
                          <a:noAutofit/>
                        </wps:bodyPr>
                      </wps:wsp>
                      <wps:wsp>
                        <wps:cNvSpPr txBox="1"/>
                        <wps:spPr>
                          <a:xfrm>
                            <a:off x="281160" y="50040"/>
                            <a:ext cx="85680" cy="285120"/>
                          </a:xfrm>
                          <a:prstGeom prst="rect">
                            <a:avLst/>
                          </a:prstGeom>
                          <a:noFill/>
                          <a:ln w="0">
                            <a:noFill/>
                          </a:ln>
                        </wps:spPr>
                        <wps:txbx>
                          <w:txbxContent>
                            <w:p>
                              <w:pPr>
                                <w:overflowPunct w:val="false"/>
                                <w:autoSpaceDE w:val="false"/>
                                <w:bidi w:val="0"/>
                                <w:spacing w:before="0" w:after="180"/>
                                <w:rPr/>
                              </w:pPr>
                              <w:r>
                                <w:rPr>
                                  <w:kern w:val="2"/>
                                  <w:sz w:val="22"/>
                                  <w:i/>
                                  <w:szCs w:val="22"/>
                                  <w:iCs/>
                                  <w:rFonts w:ascii="Symbol" w:hAnsi="Symbol" w:eastAsia="Malgun Gothic" w:cs="Symbol"/>
                                  <w:color w:val="000000"/>
                                  <w:lang w:val="en-US" w:bidi="ar-SA"/>
                                </w:rPr>
                                <w:t></w:t>
                              </w:r>
                            </w:p>
                          </w:txbxContent>
                        </wps:txbx>
                        <wps:bodyPr wrap="square" lIns="0" rIns="0" tIns="0" bIns="0" anchor="t">
                          <a:noAutofit/>
                        </wps:bodyPr>
                      </wps:wsp>
                      <wps:wsp>
                        <wps:cNvSpPr txBox="1"/>
                        <wps:spPr>
                          <a:xfrm>
                            <a:off x="215280" y="50760"/>
                            <a:ext cx="82080" cy="285840"/>
                          </a:xfrm>
                          <a:prstGeom prst="rect">
                            <a:avLst/>
                          </a:prstGeom>
                          <a:noFill/>
                          <a:ln w="0">
                            <a:noFill/>
                          </a:ln>
                        </wps:spPr>
                        <wps:txbx>
                          <w:txbxContent>
                            <w:p>
                              <w:pPr>
                                <w:overflowPunct w:val="false"/>
                                <w:autoSpaceDE w:val="false"/>
                                <w:bidi w:val="0"/>
                                <w:spacing w:before="0" w:after="180"/>
                                <w:rPr/>
                              </w:pPr>
                              <w:r>
                                <w:rPr>
                                  <w:kern w:val="2"/>
                                  <w:sz w:val="22"/>
                                  <w:szCs w:val="22"/>
                                  <w:rFonts w:ascii="Symbol" w:hAnsi="Symbol" w:eastAsia="Malgun Gothic" w:cs="Symbol"/>
                                  <w:color w:val="000000"/>
                                  <w:lang w:val="en-US" w:bidi="ar-SA"/>
                                </w:rPr>
                                <w:t></w:t>
                              </w:r>
                            </w:p>
                          </w:txbxContent>
                        </wps:txbx>
                        <wps:bodyPr wrap="square" lIns="0" rIns="0" tIns="0" bIns="0" anchor="t">
                          <a:noAutofit/>
                        </wps:bodyPr>
                      </wps:wsp>
                      <wps:wsp>
                        <wps:cNvSpPr txBox="1"/>
                        <wps:spPr>
                          <a:xfrm>
                            <a:off x="151200" y="65520"/>
                            <a:ext cx="71280" cy="275040"/>
                          </a:xfrm>
                          <a:prstGeom prst="rect">
                            <a:avLst/>
                          </a:prstGeom>
                          <a:noFill/>
                          <a:ln w="0">
                            <a:noFill/>
                          </a:ln>
                        </wps:spPr>
                        <wps:txbx>
                          <w:txbxContent>
                            <w:p>
                              <w:pPr>
                                <w:overflowPunct w:val="false"/>
                                <w:autoSpaceDE w:val="false"/>
                                <w:bidi w:val="0"/>
                                <w:spacing w:before="0" w:after="180"/>
                                <w:rPr/>
                              </w:pPr>
                              <w:r>
                                <w:rPr>
                                  <w:kern w:val="2"/>
                                  <w:sz w:val="22"/>
                                  <w:szCs w:val="22"/>
                                  <w:rFonts w:ascii="Times New Roman" w:hAnsi="Times New Roman" w:eastAsia="Malgun Gothic" w:cs="Times New Roman"/>
                                  <w:color w:val="000000"/>
                                  <w:lang w:val="en-US" w:bidi="ar-SA"/>
                                </w:rPr>
                                <w:t>4</w:t>
                              </w:r>
                            </w:p>
                          </w:txbxContent>
                        </wps:txbx>
                        <wps:bodyPr wrap="square" lIns="0" rIns="0" tIns="0" bIns="0" anchor="t">
                          <a:noAutofit/>
                        </wps:bodyPr>
                      </wps:wsp>
                      <wps:wsp>
                        <wps:cNvSpPr txBox="1"/>
                        <wps:spPr>
                          <a:xfrm>
                            <a:off x="115560" y="65520"/>
                            <a:ext cx="36360" cy="275040"/>
                          </a:xfrm>
                          <a:prstGeom prst="rect">
                            <a:avLst/>
                          </a:prstGeom>
                          <a:noFill/>
                          <a:ln w="0">
                            <a:noFill/>
                          </a:ln>
                        </wps:spPr>
                        <wps:txbx>
                          <w:txbxContent>
                            <w:p>
                              <w:pPr>
                                <w:overflowPunct w:val="false"/>
                                <w:autoSpaceDE w:val="false"/>
                                <w:bidi w:val="0"/>
                                <w:spacing w:before="0" w:after="180"/>
                                <w:rPr/>
                              </w:pPr>
                              <w:r>
                                <w:rPr>
                                  <w:kern w:val="2"/>
                                  <w:sz w:val="22"/>
                                  <w:szCs w:val="22"/>
                                  <w:rFonts w:ascii="Times New Roman" w:hAnsi="Times New Roman" w:eastAsia="Malgun Gothic" w:cs="Times New Roman"/>
                                  <w:color w:val="000000"/>
                                  <w:lang w:val="en-US" w:bidi="ar-SA"/>
                                </w:rPr>
                                <w:t>,</w:t>
                              </w:r>
                            </w:p>
                          </w:txbxContent>
                        </wps:txbx>
                        <wps:bodyPr wrap="square" lIns="0" rIns="0" tIns="0" bIns="0" anchor="t">
                          <a:noAutofit/>
                        </wps:bodyPr>
                      </wps:wsp>
                      <wps:wsp>
                        <wps:cNvSpPr txBox="1"/>
                        <wps:spPr>
                          <a:xfrm>
                            <a:off x="49680" y="65520"/>
                            <a:ext cx="71280" cy="275040"/>
                          </a:xfrm>
                          <a:prstGeom prst="rect">
                            <a:avLst/>
                          </a:prstGeom>
                          <a:noFill/>
                          <a:ln w="0">
                            <a:noFill/>
                          </a:ln>
                        </wps:spPr>
                        <wps:txbx>
                          <w:txbxContent>
                            <w:p>
                              <w:pPr>
                                <w:overflowPunct w:val="false"/>
                                <w:autoSpaceDE w:val="false"/>
                                <w:bidi w:val="0"/>
                                <w:spacing w:before="0" w:after="180"/>
                                <w:rPr/>
                              </w:pPr>
                              <w:r>
                                <w:rPr>
                                  <w:kern w:val="2"/>
                                  <w:sz w:val="22"/>
                                  <w:szCs w:val="22"/>
                                  <w:rFonts w:ascii="Times New Roman" w:hAnsi="Times New Roman" w:eastAsia="Malgun Gothic" w:cs="Times New Roman"/>
                                  <w:color w:val="000000"/>
                                  <w:lang w:val="en-US" w:bidi="ar-SA"/>
                                </w:rPr>
                                <w:t>0</w:t>
                              </w:r>
                            </w:p>
                          </w:txbxContent>
                        </wps:txbx>
                        <wps:bodyPr wrap="square" lIns="0" rIns="0" tIns="0" bIns="0" anchor="t">
                          <a:noAutofit/>
                        </wps:bodyPr>
                      </wps:wsp>
                    </wpg:wgp>
                  </a:graphicData>
                </a:graphic>
              </wp:inline>
            </w:drawing>
          </mc:Choice>
          <mc:Fallback>
            <w:pict>
              <v:group id="shape_0" style="position:absolute;margin-left:0pt;margin-top:0pt;width:39.8pt;height:27.4pt" coordorigin="0,0" coordsize="796,548">
                <v:rect id="shape_0" stroked="f" o:allowincell="f" style="position:absolute;left:0;top:1;width:795;height:546;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23;top:0;width:93;height:522;mso-wrap-style:none;v-text-anchor:top;mso-position-horizontal-relative:char" type="_x0000_t202">
                  <v:textbox>
                    <w:txbxContent>
                      <w:p>
                        <w:pPr>
                          <w:overflowPunct w:val="false"/>
                          <w:autoSpaceDE w:val="false"/>
                          <w:bidi w:val="0"/>
                          <w:spacing w:before="0" w:after="180"/>
                          <w:rPr/>
                        </w:pPr>
                        <w:r>
                          <w:rPr>
                            <w:kern w:val="2"/>
                            <w:sz w:val="28"/>
                            <w:szCs w:val="28"/>
                            <w:rFonts w:ascii="Symbol" w:hAnsi="Symbol" w:eastAsia="Malgun Gothic" w:cs="Symbol"/>
                            <w:color w:val="000000"/>
                            <w:lang w:val="en-US" w:bidi="ar-SA"/>
                          </w:rPr>
                          <w:t></w:t>
                        </w:r>
                      </w:p>
                    </w:txbxContent>
                  </v:textbox>
                  <v:fill o:detectmouseclick="t" on="false"/>
                  <v:stroke color="#3465a4" joinstyle="round" endcap="flat"/>
                  <w10:wrap type="none"/>
                </v:shape>
                <v:shape id="shape_0" stroked="f" o:allowincell="f" style="position:absolute;left:702;top:0;width:93;height:522;mso-wrap-style:none;v-text-anchor:top;mso-position-horizontal-relative:char" type="_x0000_t202">
                  <v:textbox>
                    <w:txbxContent>
                      <w:p>
                        <w:pPr>
                          <w:overflowPunct w:val="false"/>
                          <w:autoSpaceDE w:val="false"/>
                          <w:bidi w:val="0"/>
                          <w:spacing w:before="0" w:after="180"/>
                          <w:rPr/>
                        </w:pPr>
                        <w:r>
                          <w:rPr>
                            <w:kern w:val="2"/>
                            <w:sz w:val="28"/>
                            <w:szCs w:val="28"/>
                            <w:rFonts w:ascii="Symbol" w:hAnsi="Symbol" w:eastAsia="Malgun Gothic" w:cs="Symbol"/>
                            <w:color w:val="000000"/>
                            <w:lang w:val="en-US" w:bidi="ar-SA"/>
                          </w:rPr>
                          <w:t></w:t>
                        </w:r>
                      </w:p>
                    </w:txbxContent>
                  </v:textbox>
                  <v:fill o:detectmouseclick="t" on="false"/>
                  <v:stroke color="#3465a4" joinstyle="round" endcap="flat"/>
                  <w10:wrap type="none"/>
                </v:shape>
                <v:shape id="shape_0" stroked="f" o:allowincell="f" style="position:absolute;left:594;top:220;width:54;height:326;mso-wrap-style:none;v-text-anchor:top;mso-position-horizontal-relative:char" type="_x0000_t202">
                  <v:textbox>
                    <w:txbxContent>
                      <w:p>
                        <w:pPr>
                          <w:overflowPunct w:val="false"/>
                          <w:autoSpaceDE w:val="false"/>
                          <w:bidi w:val="0"/>
                          <w:spacing w:before="0" w:after="180"/>
                          <w:rPr/>
                        </w:pPr>
                        <w:r>
                          <w:rPr>
                            <w:kern w:val="2"/>
                            <w:sz w:val="12"/>
                            <w:i/>
                            <w:szCs w:val="12"/>
                            <w:iCs/>
                            <w:rFonts w:ascii="Symbol" w:hAnsi="Symbol" w:eastAsia="Malgun Gothic" w:cs="Symbol"/>
                            <w:color w:val="000000"/>
                            <w:lang w:val="en-US" w:bidi="ar-SA"/>
                          </w:rPr>
                          <w:t></w:t>
                        </w:r>
                      </w:p>
                    </w:txbxContent>
                  </v:textbox>
                  <v:fill o:detectmouseclick="t" on="false"/>
                  <v:stroke color="#3465a4" joinstyle="round" endcap="flat"/>
                  <w10:wrap type="none"/>
                </v:shape>
                <v:shape id="shape_0" stroked="f" o:allowincell="f" style="position:absolute;left:443;top:79;width:134;height:448;mso-wrap-style:none;v-text-anchor:top;mso-position-horizontal-relative:char" type="_x0000_t202">
                  <v:textbox>
                    <w:txbxContent>
                      <w:p>
                        <w:pPr>
                          <w:overflowPunct w:val="false"/>
                          <w:autoSpaceDE w:val="false"/>
                          <w:bidi w:val="0"/>
                          <w:spacing w:before="0" w:after="180"/>
                          <w:rPr/>
                        </w:pPr>
                        <w:r>
                          <w:rPr>
                            <w:kern w:val="2"/>
                            <w:sz w:val="22"/>
                            <w:i/>
                            <w:szCs w:val="22"/>
                            <w:iCs/>
                            <w:rFonts w:ascii="Symbol" w:hAnsi="Symbol" w:eastAsia="Malgun Gothic" w:cs="Symbol"/>
                            <w:color w:val="000000"/>
                            <w:lang w:val="en-US" w:bidi="ar-SA"/>
                          </w:rPr>
                          <w:t></w:t>
                        </w:r>
                      </w:p>
                    </w:txbxContent>
                  </v:textbox>
                  <v:fill o:detectmouseclick="t" on="false"/>
                  <v:stroke color="#3465a4" joinstyle="round" endcap="flat"/>
                  <w10:wrap type="none"/>
                </v:shape>
                <v:shape id="shape_0" stroked="f" o:allowincell="f" style="position:absolute;left:339;top:80;width:128;height:449;mso-wrap-style:none;v-text-anchor:top;mso-position-horizontal-relative:char" type="_x0000_t202">
                  <v:textbox>
                    <w:txbxContent>
                      <w:p>
                        <w:pPr>
                          <w:overflowPunct w:val="false"/>
                          <w:autoSpaceDE w:val="false"/>
                          <w:bidi w:val="0"/>
                          <w:spacing w:before="0" w:after="180"/>
                          <w:rPr/>
                        </w:pPr>
                        <w:r>
                          <w:rPr>
                            <w:kern w:val="2"/>
                            <w:sz w:val="22"/>
                            <w:szCs w:val="22"/>
                            <w:rFonts w:ascii="Symbol" w:hAnsi="Symbol" w:eastAsia="Malgun Gothic" w:cs="Symbol"/>
                            <w:color w:val="000000"/>
                            <w:lang w:val="en-US" w:bidi="ar-SA"/>
                          </w:rPr>
                          <w:t></w:t>
                        </w:r>
                      </w:p>
                    </w:txbxContent>
                  </v:textbox>
                  <v:fill o:detectmouseclick="t" on="false"/>
                  <v:stroke color="#3465a4" joinstyle="round" endcap="flat"/>
                  <w10:wrap type="none"/>
                </v:shape>
                <v:shape id="shape_0" stroked="f" o:allowincell="f" style="position:absolute;left:238;top:103;width:111;height:432;mso-wrap-style:none;v-text-anchor:top;mso-position-horizontal-relative:char" type="_x0000_t202">
                  <v:textbox>
                    <w:txbxContent>
                      <w:p>
                        <w:pPr>
                          <w:overflowPunct w:val="false"/>
                          <w:autoSpaceDE w:val="false"/>
                          <w:bidi w:val="0"/>
                          <w:spacing w:before="0" w:after="180"/>
                          <w:rPr/>
                        </w:pPr>
                        <w:r>
                          <w:rPr>
                            <w:kern w:val="2"/>
                            <w:sz w:val="22"/>
                            <w:szCs w:val="22"/>
                            <w:rFonts w:ascii="Times New Roman" w:hAnsi="Times New Roman" w:eastAsia="Malgun Gothic" w:cs="Times New Roman"/>
                            <w:color w:val="000000"/>
                            <w:lang w:val="en-US" w:bidi="ar-SA"/>
                          </w:rPr>
                          <w:t>4</w:t>
                        </w:r>
                      </w:p>
                    </w:txbxContent>
                  </v:textbox>
                  <v:fill o:detectmouseclick="t" on="false"/>
                  <v:stroke color="#3465a4" joinstyle="round" endcap="flat"/>
                  <w10:wrap type="none"/>
                </v:shape>
                <v:shape id="shape_0" stroked="f" o:allowincell="f" style="position:absolute;left:182;top:103;width:56;height:432;mso-wrap-style:none;v-text-anchor:top;mso-position-horizontal-relative:char" type="_x0000_t202">
                  <v:textbox>
                    <w:txbxContent>
                      <w:p>
                        <w:pPr>
                          <w:overflowPunct w:val="false"/>
                          <w:autoSpaceDE w:val="false"/>
                          <w:bidi w:val="0"/>
                          <w:spacing w:before="0" w:after="180"/>
                          <w:rPr/>
                        </w:pPr>
                        <w:r>
                          <w:rPr>
                            <w:kern w:val="2"/>
                            <w:sz w:val="22"/>
                            <w:szCs w:val="22"/>
                            <w:rFonts w:ascii="Times New Roman" w:hAnsi="Times New Roman" w:eastAsia="Malgun Gothic" w:cs="Times New Roman"/>
                            <w:color w:val="000000"/>
                            <w:lang w:val="en-US" w:bidi="ar-SA"/>
                          </w:rPr>
                          <w:t>,</w:t>
                        </w:r>
                      </w:p>
                    </w:txbxContent>
                  </v:textbox>
                  <v:fill o:detectmouseclick="t" on="false"/>
                  <v:stroke color="#3465a4" joinstyle="round" endcap="flat"/>
                  <w10:wrap type="none"/>
                </v:shape>
                <v:shape id="shape_0" stroked="f" o:allowincell="f" style="position:absolute;left:78;top:103;width:111;height:432;mso-wrap-style:none;v-text-anchor:top;mso-position-horizontal-relative:char" type="_x0000_t202">
                  <v:textbox>
                    <w:txbxContent>
                      <w:p>
                        <w:pPr>
                          <w:overflowPunct w:val="false"/>
                          <w:autoSpaceDE w:val="false"/>
                          <w:bidi w:val="0"/>
                          <w:spacing w:before="0" w:after="180"/>
                          <w:rPr/>
                        </w:pPr>
                        <w:r>
                          <w:rPr>
                            <w:kern w:val="2"/>
                            <w:sz w:val="22"/>
                            <w:szCs w:val="22"/>
                            <w:rFonts w:ascii="Times New Roman" w:hAnsi="Times New Roman" w:eastAsia="Malgun Gothic" w:cs="Times New Roman"/>
                            <w:color w:val="000000"/>
                            <w:lang w:val="en-US" w:bidi="ar-SA"/>
                          </w:rPr>
                          <w:t>0</w:t>
                        </w:r>
                      </w:p>
                    </w:txbxContent>
                  </v:textbox>
                  <v:fill o:detectmouseclick="t" on="false"/>
                  <v:stroke color="#3465a4" joinstyle="round" endcap="flat"/>
                  <w10:wrap type="none"/>
                </v:shape>
              </v:group>
            </w:pict>
          </mc:Fallback>
        </mc:AlternateContent>
      </w:r>
      <w:r>
        <w:rPr/>
        <w:t xml:space="preserve">, where </w:t>
      </w:r>
      <w:r>
        <w:rPr>
          <w:rFonts w:cs="Symbol" w:ascii="Symbol" w:hAnsi="Symbol"/>
          <w:i/>
          <w:iCs/>
          <w:color w:val="000000"/>
          <w:sz w:val="22"/>
          <w:szCs w:val="22"/>
          <w:lang w:val="en-US"/>
        </w:rPr>
        <w:t></w:t>
      </w:r>
      <w:r>
        <w:rPr>
          <w:rFonts w:cs="Symbol" w:ascii="Symbol" w:hAnsi="Symbol"/>
          <w:i/>
          <w:iCs/>
          <w:color w:val="000000"/>
          <w:sz w:val="12"/>
          <w:szCs w:val="12"/>
          <w:lang w:val="en-US"/>
        </w:rPr>
        <w:t></w:t>
      </w:r>
      <w:r>
        <w:rPr>
          <w:i/>
          <w:iCs/>
          <w:color w:val="000000"/>
          <w:lang w:val="en-US"/>
        </w:rPr>
        <w:t xml:space="preserve"> </w:t>
      </w:r>
      <w:r>
        <w:rPr/>
        <w:t xml:space="preserve"> is the rms delay spread. For the Hilly Terrain channel 10 paths have been generated for each cluster and for the Rural Area model there is a total of 10 taps. Relative powers have then been calculated using the channel shapes in Annex A, Table A.3. The channels have been normalised so that the total power in each channel is equal to one.</w:t>
      </w:r>
    </w:p>
    <w:p>
      <w:pPr>
        <w:pStyle w:val="Heading1"/>
        <w:ind w:left="1134" w:hanging="1134"/>
        <w:rPr/>
      </w:pPr>
      <w:bookmarkStart w:id="12" w:name="__RefHeading___Toc518923372"/>
      <w:bookmarkEnd w:id="12"/>
      <w:r>
        <w:rPr>
          <w:lang w:eastAsia="ko-KR"/>
        </w:rPr>
        <w:t>5</w:t>
        <w:tab/>
      </w:r>
      <w:r>
        <w:rPr/>
        <w:t>Channel model descriptions</w:t>
      </w:r>
    </w:p>
    <w:p>
      <w:pPr>
        <w:pStyle w:val="Normal"/>
        <w:rPr/>
      </w:pPr>
      <w:r>
        <w:rPr/>
        <w:t>Radio wave propagation in the mobile environment can be described by multiple paths which arise due to reflection and scattering in the mobile environment. Approximating these paths as a finite number of N distinct paths, the impulse response for the radio channel may be written as:</w:t>
      </w:r>
    </w:p>
    <w:p>
      <w:pPr>
        <w:pStyle w:val="EQ"/>
        <w:rPr/>
      </w:pPr>
      <w:r>
        <w:rPr/>
        <w:tab/>
      </w:r>
      <w:r>
        <w:rPr/>
        <w:drawing>
          <wp:inline distT="0" distB="0" distL="0" distR="0">
            <wp:extent cx="1091565" cy="4318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rcRect l="-33" t="-83" r="-33" b="-83"/>
                    <a:stretch>
                      <a:fillRect/>
                    </a:stretch>
                  </pic:blipFill>
                  <pic:spPr bwMode="auto">
                    <a:xfrm>
                      <a:off x="0" y="0"/>
                      <a:ext cx="1091565" cy="431800"/>
                    </a:xfrm>
                    <a:prstGeom prst="rect">
                      <a:avLst/>
                    </a:prstGeom>
                  </pic:spPr>
                </pic:pic>
              </a:graphicData>
            </a:graphic>
          </wp:inline>
        </w:drawing>
      </w:r>
    </w:p>
    <w:p>
      <w:pPr>
        <w:pStyle w:val="Normal"/>
        <w:rPr/>
      </w:pPr>
      <w:r>
        <w:rPr/>
        <w:t xml:space="preserve">which is the well known tapped-delay line model. Due to scattering of each wave in the vicinity of a moving mobile, each path </w:t>
      </w:r>
      <w:r>
        <w:rPr/>
        <w:drawing>
          <wp:inline distT="0" distB="0" distL="0" distR="0">
            <wp:extent cx="152400" cy="2286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
                    <a:srcRect l="-236" t="-157" r="-236" b="-157"/>
                    <a:stretch>
                      <a:fillRect/>
                    </a:stretch>
                  </pic:blipFill>
                  <pic:spPr bwMode="auto">
                    <a:xfrm>
                      <a:off x="0" y="0"/>
                      <a:ext cx="152400" cy="228600"/>
                    </a:xfrm>
                    <a:prstGeom prst="rect">
                      <a:avLst/>
                    </a:prstGeom>
                  </pic:spPr>
                </pic:pic>
              </a:graphicData>
            </a:graphic>
          </wp:inline>
        </w:drawing>
      </w:r>
      <w:r>
        <w:rPr/>
        <w:t xml:space="preserve"> will be the superposition of a large number of scattered waves with approximately the same delay. This superposition gives rise to time-varying fading of the path amplitudes </w:t>
      </w:r>
      <w:r>
        <w:rPr/>
        <w:drawing>
          <wp:inline distT="0" distB="0" distL="0" distR="0">
            <wp:extent cx="152400" cy="228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8"/>
                    <a:srcRect l="-236" t="-157" r="-236" b="-157"/>
                    <a:stretch>
                      <a:fillRect/>
                    </a:stretch>
                  </pic:blipFill>
                  <pic:spPr bwMode="auto">
                    <a:xfrm>
                      <a:off x="0" y="0"/>
                      <a:ext cx="152400" cy="228600"/>
                    </a:xfrm>
                    <a:prstGeom prst="rect">
                      <a:avLst/>
                    </a:prstGeom>
                  </pic:spPr>
                </pic:pic>
              </a:graphicData>
            </a:graphic>
          </wp:inline>
        </w:drawing>
      </w:r>
      <w:r>
        <w:rPr/>
        <w:t>, a fading which is well described by Rayleigh distributed amplitudes varying according to a classical Doppler spectrum:</w:t>
      </w:r>
    </w:p>
    <w:p>
      <w:pPr>
        <w:pStyle w:val="EQ"/>
        <w:rPr/>
      </w:pPr>
      <w:r>
        <w:rPr/>
        <w:tab/>
      </w:r>
      <w:r>
        <w:rPr/>
        <w:drawing>
          <wp:inline distT="0" distB="0" distL="0" distR="0">
            <wp:extent cx="1625600" cy="2286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9"/>
                    <a:srcRect l="-22" t="-157" r="-22" b="-157"/>
                    <a:stretch>
                      <a:fillRect/>
                    </a:stretch>
                  </pic:blipFill>
                  <pic:spPr bwMode="auto">
                    <a:xfrm>
                      <a:off x="0" y="0"/>
                      <a:ext cx="1625600" cy="228600"/>
                    </a:xfrm>
                    <a:prstGeom prst="rect">
                      <a:avLst/>
                    </a:prstGeom>
                  </pic:spPr>
                </pic:pic>
              </a:graphicData>
            </a:graphic>
          </wp:inline>
        </w:drawing>
      </w:r>
    </w:p>
    <w:p>
      <w:pPr>
        <w:pStyle w:val="Normal"/>
        <w:rPr/>
      </w:pPr>
      <w:r>
        <w:rPr/>
        <w:t xml:space="preserve">where </w:t>
      </w:r>
      <w:r>
        <w:rPr/>
        <w:drawing>
          <wp:inline distT="0" distB="0" distL="0" distR="0">
            <wp:extent cx="634365" cy="21590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0"/>
                    <a:srcRect l="-57" t="-167" r="-57" b="-167"/>
                    <a:stretch>
                      <a:fillRect/>
                    </a:stretch>
                  </pic:blipFill>
                  <pic:spPr bwMode="auto">
                    <a:xfrm>
                      <a:off x="0" y="0"/>
                      <a:ext cx="634365" cy="215900"/>
                    </a:xfrm>
                    <a:prstGeom prst="rect">
                      <a:avLst/>
                    </a:prstGeom>
                  </pic:spPr>
                </pic:pic>
              </a:graphicData>
            </a:graphic>
          </wp:inline>
        </w:drawing>
      </w:r>
      <w:r>
        <w:rPr/>
        <w:t xml:space="preserve"> is the maximum Doppler shift, a function of the mobile speed </w:t>
      </w:r>
      <w:r>
        <w:rPr/>
        <w:drawing>
          <wp:inline distT="0" distB="0" distL="0" distR="0">
            <wp:extent cx="114300" cy="1397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1"/>
                    <a:srcRect l="-314" t="-258" r="-314" b="-258"/>
                    <a:stretch>
                      <a:fillRect/>
                    </a:stretch>
                  </pic:blipFill>
                  <pic:spPr bwMode="auto">
                    <a:xfrm>
                      <a:off x="0" y="0"/>
                      <a:ext cx="114300" cy="139700"/>
                    </a:xfrm>
                    <a:prstGeom prst="rect">
                      <a:avLst/>
                    </a:prstGeom>
                  </pic:spPr>
                </pic:pic>
              </a:graphicData>
            </a:graphic>
          </wp:inline>
        </w:drawing>
      </w:r>
      <w:r>
        <w:rPr/>
        <w:t xml:space="preserve"> and the wavelength</w:t>
      </w:r>
      <w:r>
        <w:rPr/>
        <w:drawing>
          <wp:inline distT="0" distB="0" distL="0" distR="0">
            <wp:extent cx="139700" cy="17716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2"/>
                    <a:srcRect l="-258" t="-203" r="-258" b="-203"/>
                    <a:stretch>
                      <a:fillRect/>
                    </a:stretch>
                  </pic:blipFill>
                  <pic:spPr bwMode="auto">
                    <a:xfrm>
                      <a:off x="0" y="0"/>
                      <a:ext cx="139700" cy="177165"/>
                    </a:xfrm>
                    <a:prstGeom prst="rect">
                      <a:avLst/>
                    </a:prstGeom>
                  </pic:spPr>
                </pic:pic>
              </a:graphicData>
            </a:graphic>
          </wp:inline>
        </w:drawing>
      </w:r>
      <w:r>
        <w:rPr/>
        <w:t>. In some cases a strong direct wave or specular reflection exists which gives rise to a non-fading path, then the Doppler spectrum is:</w:t>
      </w:r>
    </w:p>
    <w:p>
      <w:pPr>
        <w:pStyle w:val="EQ"/>
        <w:rPr/>
      </w:pPr>
      <w:r>
        <w:rPr/>
        <w:tab/>
      </w:r>
      <w:r>
        <w:rPr/>
        <w:drawing>
          <wp:inline distT="0" distB="0" distL="0" distR="0">
            <wp:extent cx="862965" cy="2286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3"/>
                    <a:srcRect l="-42" t="-157" r="-42" b="-157"/>
                    <a:stretch>
                      <a:fillRect/>
                    </a:stretch>
                  </pic:blipFill>
                  <pic:spPr bwMode="auto">
                    <a:xfrm>
                      <a:off x="0" y="0"/>
                      <a:ext cx="862965" cy="228600"/>
                    </a:xfrm>
                    <a:prstGeom prst="rect">
                      <a:avLst/>
                    </a:prstGeom>
                  </pic:spPr>
                </pic:pic>
              </a:graphicData>
            </a:graphic>
          </wp:inline>
        </w:drawing>
      </w:r>
    </w:p>
    <w:p>
      <w:pPr>
        <w:pStyle w:val="Normal"/>
        <w:rPr/>
      </w:pPr>
      <w:r>
        <w:rPr/>
        <w:t xml:space="preserve">where </w:t>
      </w:r>
      <w:r>
        <w:rPr/>
        <w:drawing>
          <wp:inline distT="0" distB="0" distL="0" distR="0">
            <wp:extent cx="177165" cy="2286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4"/>
                    <a:srcRect l="-203" t="-157" r="-203" b="-157"/>
                    <a:stretch>
                      <a:fillRect/>
                    </a:stretch>
                  </pic:blipFill>
                  <pic:spPr bwMode="auto">
                    <a:xfrm>
                      <a:off x="0" y="0"/>
                      <a:ext cx="177165" cy="228600"/>
                    </a:xfrm>
                    <a:prstGeom prst="rect">
                      <a:avLst/>
                    </a:prstGeom>
                  </pic:spPr>
                </pic:pic>
              </a:graphicData>
            </a:graphic>
          </wp:inline>
        </w:drawing>
      </w:r>
      <w:r>
        <w:rPr/>
        <w:t xml:space="preserve"> is the Doppler frequency of the direct path, given by its direction relative to the mobile direction of movement.</w:t>
      </w:r>
    </w:p>
    <w:p>
      <w:pPr>
        <w:pStyle w:val="Normal"/>
        <w:rPr/>
      </w:pPr>
      <w:r>
        <w:rPr/>
        <w:t xml:space="preserve">The channel models presented here will be described by a number of paths, having average powers </w:t>
      </w:r>
      <w:r>
        <w:rPr/>
        <w:drawing>
          <wp:inline distT="0" distB="0" distL="0" distR="0">
            <wp:extent cx="279400" cy="2794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5"/>
                    <a:srcRect l="-129" t="-129" r="-129" b="-129"/>
                    <a:stretch>
                      <a:fillRect/>
                    </a:stretch>
                  </pic:blipFill>
                  <pic:spPr bwMode="auto">
                    <a:xfrm>
                      <a:off x="0" y="0"/>
                      <a:ext cx="279400" cy="279400"/>
                    </a:xfrm>
                    <a:prstGeom prst="rect">
                      <a:avLst/>
                    </a:prstGeom>
                  </pic:spPr>
                </pic:pic>
              </a:graphicData>
            </a:graphic>
          </wp:inline>
        </w:drawing>
      </w:r>
      <w:r>
        <w:rPr/>
        <w:t xml:space="preserve"> and relative delays </w:t>
      </w:r>
      <w:r>
        <w:rPr/>
        <w:drawing>
          <wp:inline distT="0" distB="0" distL="0" distR="0">
            <wp:extent cx="152400" cy="22860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16"/>
                    <a:srcRect l="-236" t="-157" r="-236" b="-157"/>
                    <a:stretch>
                      <a:fillRect/>
                    </a:stretch>
                  </pic:blipFill>
                  <pic:spPr bwMode="auto">
                    <a:xfrm>
                      <a:off x="0" y="0"/>
                      <a:ext cx="152400" cy="228600"/>
                    </a:xfrm>
                    <a:prstGeom prst="rect">
                      <a:avLst/>
                    </a:prstGeom>
                  </pic:spPr>
                </pic:pic>
              </a:graphicData>
            </a:graphic>
          </wp:inline>
        </w:drawing>
      </w:r>
      <w:r>
        <w:rPr/>
        <w:t xml:space="preserve">, along with their Doppler spectrum which is either classical or a direct path. The models are named Tux, Rax and HTx, where x is the mobile speed in km/h. Default mobile speeds for the models are according to Table 5.1. The relative position of the taps is for each model listed with a 0.001 </w:t>
      </w:r>
      <w:r>
        <w:rPr>
          <w:rFonts w:eastAsia="Symbol" w:cs="Symbol" w:ascii="Symbol" w:hAnsi="Symbol"/>
        </w:rPr>
        <w:t></w:t>
      </w:r>
      <w:r>
        <w:rPr/>
        <w:t>s resolution.</w:t>
      </w:r>
    </w:p>
    <w:p>
      <w:pPr>
        <w:pStyle w:val="TH"/>
        <w:rPr/>
      </w:pPr>
      <w:r>
        <w:rPr/>
        <w:t>Table 5.1: Default mobile speeds for the channel models.</w:t>
      </w:r>
    </w:p>
    <w:tbl>
      <w:tblPr>
        <w:tblW w:w="3544" w:type="dxa"/>
        <w:jc w:val="left"/>
        <w:tblInd w:w="3537" w:type="dxa"/>
        <w:tblLayout w:type="fixed"/>
        <w:tblCellMar>
          <w:top w:w="0" w:type="dxa"/>
          <w:left w:w="108" w:type="dxa"/>
          <w:bottom w:w="0" w:type="dxa"/>
          <w:right w:w="108" w:type="dxa"/>
        </w:tblCellMar>
      </w:tblPr>
      <w:tblGrid>
        <w:gridCol w:w="1701"/>
        <w:gridCol w:w="1843"/>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Channel model</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Mobile speed</w:t>
            </w:r>
          </w:p>
        </w:tc>
      </w:tr>
      <w:tr>
        <w:trPr>
          <w:trHeight w:val="137" w:hRule="atLeast"/>
          <w:cantSplit w:val="true"/>
        </w:trPr>
        <w:tc>
          <w:tcPr>
            <w:tcW w:w="1701" w:type="dxa"/>
            <w:vMerge w:val="restart"/>
            <w:tcBorders>
              <w:top w:val="single" w:sz="6" w:space="0" w:color="000000"/>
              <w:left w:val="single" w:sz="6" w:space="0" w:color="000000"/>
              <w:bottom w:val="single" w:sz="6" w:space="0" w:color="000000"/>
              <w:right w:val="single" w:sz="6" w:space="0" w:color="000000"/>
            </w:tcBorders>
          </w:tcPr>
          <w:p>
            <w:pPr>
              <w:pStyle w:val="TAC"/>
              <w:rPr/>
            </w:pPr>
            <w:r>
              <w:rPr/>
              <w:t>Tux</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3 km/h</w:t>
            </w:r>
          </w:p>
        </w:tc>
      </w:tr>
      <w:tr>
        <w:trPr>
          <w:trHeight w:val="137" w:hRule="atLeast"/>
          <w:cantSplit w:val="true"/>
        </w:trPr>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50 km/h</w:t>
            </w:r>
          </w:p>
        </w:tc>
      </w:tr>
      <w:tr>
        <w:trPr>
          <w:trHeight w:val="137" w:hRule="atLeast"/>
          <w:cantSplit w:val="true"/>
        </w:trPr>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120 km/h</w:t>
            </w:r>
          </w:p>
        </w:tc>
      </w:tr>
      <w:tr>
        <w:trPr>
          <w:trHeight w:val="206" w:hRule="atLeast"/>
          <w:cantSplit w:val="true"/>
        </w:trPr>
        <w:tc>
          <w:tcPr>
            <w:tcW w:w="1701" w:type="dxa"/>
            <w:vMerge w:val="restart"/>
            <w:tcBorders>
              <w:top w:val="single" w:sz="6" w:space="0" w:color="000000"/>
              <w:left w:val="single" w:sz="6" w:space="0" w:color="000000"/>
              <w:bottom w:val="single" w:sz="6" w:space="0" w:color="000000"/>
              <w:right w:val="single" w:sz="6" w:space="0" w:color="000000"/>
            </w:tcBorders>
          </w:tcPr>
          <w:p>
            <w:pPr>
              <w:pStyle w:val="TAC"/>
              <w:rPr/>
            </w:pPr>
            <w:r>
              <w:rPr/>
              <w:t>Rax</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120 km/h</w:t>
            </w:r>
          </w:p>
        </w:tc>
      </w:tr>
      <w:tr>
        <w:trPr>
          <w:trHeight w:val="205" w:hRule="atLeast"/>
          <w:cantSplit w:val="true"/>
        </w:trPr>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250 km/h</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HTx</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120 km/h</w:t>
            </w:r>
          </w:p>
        </w:tc>
      </w:tr>
    </w:tbl>
    <w:p>
      <w:pPr>
        <w:pStyle w:val="Normal"/>
        <w:rPr/>
      </w:pPr>
      <w:r>
        <w:rPr/>
      </w:r>
    </w:p>
    <w:p>
      <w:pPr>
        <w:pStyle w:val="Normal"/>
        <w:rPr/>
      </w:pPr>
      <w:r>
        <w:rPr/>
        <w:t xml:space="preserve">The models may in certain cases be simplified to a specific application to allow for less complex simulations and testing.  The simplification should be done with a specific time resolution </w:t>
      </w:r>
      <w:r>
        <w:rPr>
          <w:rFonts w:cs="Symbol" w:ascii="Symbol" w:hAnsi="Symbol"/>
        </w:rPr>
        <w:t></w:t>
      </w:r>
      <w:r>
        <w:rPr/>
        <w:t>T, which should be stated to avoid confusion: e.g. Rax(</w:t>
      </w:r>
      <w:r>
        <w:rPr>
          <w:rFonts w:cs="Symbol" w:ascii="Symbol" w:hAnsi="Symbol"/>
        </w:rPr>
        <w:t></w:t>
      </w:r>
      <w:r>
        <w:rPr/>
        <w:t>T=0.1</w:t>
      </w:r>
      <w:r>
        <w:rPr>
          <w:rFonts w:cs="Symbol" w:ascii="Symbol" w:hAnsi="Symbol"/>
        </w:rPr>
        <w:t></w:t>
      </w:r>
      <w:r>
        <w:rPr/>
        <w:t>s).  An example of such a simplified model is shown in Annex B.</w:t>
      </w:r>
    </w:p>
    <w:p>
      <w:pPr>
        <w:pStyle w:val="Heading2"/>
        <w:rPr/>
      </w:pPr>
      <w:bookmarkStart w:id="13" w:name="__RefHeading___Toc518923373"/>
      <w:bookmarkEnd w:id="13"/>
      <w:r>
        <w:rPr>
          <w:lang w:val="it-IT" w:eastAsia="ko-KR"/>
        </w:rPr>
        <w:t>5.1</w:t>
        <w:tab/>
      </w:r>
      <w:r>
        <w:rPr>
          <w:lang w:val="it-IT"/>
        </w:rPr>
        <w:t>Typical Urban channel model (Tux)</w:t>
      </w:r>
    </w:p>
    <w:p>
      <w:pPr>
        <w:pStyle w:val="TH"/>
        <w:rPr/>
      </w:pPr>
      <w:r>
        <w:rPr/>
        <w:t>Table 5.2: Channel for urban area</w:t>
      </w:r>
    </w:p>
    <w:tbl>
      <w:tblPr>
        <w:tblW w:w="10064" w:type="dxa"/>
        <w:jc w:val="center"/>
        <w:tblInd w:w="0" w:type="dxa"/>
        <w:tblLayout w:type="fixed"/>
        <w:tblCellMar>
          <w:top w:w="0" w:type="dxa"/>
          <w:left w:w="108" w:type="dxa"/>
          <w:bottom w:w="0" w:type="dxa"/>
          <w:right w:w="108" w:type="dxa"/>
        </w:tblCellMar>
      </w:tblPr>
      <w:tblGrid>
        <w:gridCol w:w="2126"/>
        <w:gridCol w:w="2693"/>
        <w:gridCol w:w="2552"/>
        <w:gridCol w:w="2693"/>
      </w:tblGrid>
      <w:tr>
        <w:trPr/>
        <w:tc>
          <w:tcPr>
            <w:tcW w:w="2126" w:type="dxa"/>
            <w:tcBorders>
              <w:top w:val="single" w:sz="6" w:space="0" w:color="000000"/>
              <w:left w:val="single" w:sz="6" w:space="0" w:color="000000"/>
              <w:bottom w:val="single" w:sz="6" w:space="0" w:color="000000"/>
              <w:right w:val="single" w:sz="6" w:space="0" w:color="000000"/>
            </w:tcBorders>
          </w:tcPr>
          <w:p>
            <w:pPr>
              <w:pStyle w:val="TAH"/>
              <w:rPr/>
            </w:pPr>
            <w:r>
              <w:rPr/>
              <w:t>Tap number</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t>Relative time (</w:t>
            </w:r>
            <w:r>
              <w:rPr>
                <w:rFonts w:eastAsia="Symbol" w:cs="Symbol" w:ascii="Symbol" w:hAnsi="Symbol"/>
              </w:rPr>
              <w:t></w:t>
            </w:r>
            <w:r>
              <w:rPr/>
              <w:t>s)</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average relative power (dB)</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fldChar w:fldCharType="begin"/>
            </w:r>
            <w:r>
              <w:rPr/>
              <w:instrText xml:space="preserve"> PAGE \* ARABIC </w:instrText>
            </w:r>
            <w:r>
              <w:rPr/>
              <w:fldChar w:fldCharType="separate"/>
            </w:r>
            <w:r>
              <w:rPr/>
              <w:t>7</w:t>
            </w:r>
            <w:r>
              <w:rPr/>
              <w:fldChar w:fldCharType="end"/>
            </w:r>
            <w:r>
              <w:rPr/>
              <w:t>oppler spectrum</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-5.7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0.217</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0.512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0.514</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0.517</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0.674</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-11.5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0.882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-13.4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1.230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-16.3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1.287</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-16.9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1.311</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-17.1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1.349</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-17.4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1.533</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-19.0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1.535</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-19.0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1.622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-19.8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1.818</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-21.5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1.836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-21.6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1.884</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-22.1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1.943</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-22.6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2.048</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-23.5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2.140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-24.3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bl>
    <w:p>
      <w:pPr>
        <w:pStyle w:val="Normal"/>
        <w:rPr/>
      </w:pPr>
      <w:r>
        <w:rPr/>
      </w:r>
    </w:p>
    <w:p>
      <w:pPr>
        <w:pStyle w:val="Heading2"/>
        <w:rPr/>
      </w:pPr>
      <w:bookmarkStart w:id="14" w:name="__RefHeading___Toc518923374"/>
      <w:bookmarkEnd w:id="14"/>
      <w:r>
        <w:rPr>
          <w:lang w:eastAsia="ko-KR"/>
        </w:rPr>
        <w:t>5.2</w:t>
        <w:tab/>
      </w:r>
      <w:r>
        <w:rPr/>
        <w:t>Rural Area channel model (Rax)</w:t>
      </w:r>
    </w:p>
    <w:p>
      <w:pPr>
        <w:pStyle w:val="TH"/>
        <w:rPr/>
      </w:pPr>
      <w:r>
        <w:rPr/>
        <w:t>Table 5.3: Channel for rural area</w:t>
      </w:r>
    </w:p>
    <w:tbl>
      <w:tblPr>
        <w:tblW w:w="10064" w:type="dxa"/>
        <w:jc w:val="center"/>
        <w:tblInd w:w="0" w:type="dxa"/>
        <w:tblLayout w:type="fixed"/>
        <w:tblCellMar>
          <w:top w:w="0" w:type="dxa"/>
          <w:left w:w="108" w:type="dxa"/>
          <w:bottom w:w="0" w:type="dxa"/>
          <w:right w:w="108" w:type="dxa"/>
        </w:tblCellMar>
      </w:tblPr>
      <w:tblGrid>
        <w:gridCol w:w="2126"/>
        <w:gridCol w:w="2693"/>
        <w:gridCol w:w="2552"/>
        <w:gridCol w:w="2693"/>
      </w:tblGrid>
      <w:tr>
        <w:trPr/>
        <w:tc>
          <w:tcPr>
            <w:tcW w:w="2126" w:type="dxa"/>
            <w:tcBorders>
              <w:top w:val="single" w:sz="6" w:space="0" w:color="000000"/>
              <w:left w:val="single" w:sz="6" w:space="0" w:color="000000"/>
              <w:bottom w:val="single" w:sz="6" w:space="0" w:color="000000"/>
              <w:right w:val="single" w:sz="6" w:space="0" w:color="000000"/>
            </w:tcBorders>
          </w:tcPr>
          <w:p>
            <w:pPr>
              <w:pStyle w:val="TAH"/>
              <w:rPr/>
            </w:pPr>
            <w:r>
              <w:rPr/>
              <w:t>Tap number</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t>Relative time (</w:t>
            </w:r>
            <w:r>
              <w:rPr>
                <w:rFonts w:eastAsia="Symbol" w:cs="Symbol" w:ascii="Symbol" w:hAnsi="Symbol"/>
              </w:rPr>
              <w:t></w:t>
            </w:r>
            <w:r>
              <w:rPr/>
              <w:t>s)</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average relative power (dB)</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fldChar w:fldCharType="begin"/>
            </w:r>
            <w:r>
              <w:rPr/>
              <w:instrText xml:space="preserve"> PAGE \* ARABIC </w:instrText>
            </w:r>
            <w:r>
              <w:rPr/>
              <w:fldChar w:fldCharType="separate"/>
            </w:r>
            <w:r>
              <w:rPr/>
              <w:t>7</w:t>
            </w:r>
            <w:r>
              <w:rPr/>
              <w:fldChar w:fldCharType="end"/>
            </w:r>
            <w:r>
              <w:rPr/>
              <w:t>oppler spectrum</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-5.2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 xml:space="preserve">Direct path, </w:t>
            </w:r>
            <w:r>
              <w:rPr/>
              <w:drawing>
                <wp:inline distT="0" distB="0" distL="0" distR="0">
                  <wp:extent cx="787400" cy="22860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7"/>
                          <a:srcRect l="-46" t="-157" r="-46" b="-157"/>
                          <a:stretch>
                            <a:fillRect/>
                          </a:stretch>
                        </pic:blipFill>
                        <pic:spPr bwMode="auto">
                          <a:xfrm>
                            <a:off x="0" y="0"/>
                            <a:ext cx="787400" cy="228600"/>
                          </a:xfrm>
                          <a:prstGeom prst="rect">
                            <a:avLst/>
                          </a:prstGeom>
                        </pic:spPr>
                      </pic:pic>
                    </a:graphicData>
                  </a:graphic>
                </wp:inline>
              </w:drawing>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0.042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-6.4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0.101</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-8.4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0.129</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-9.3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0.149</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-10.0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0.245</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-13.1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0.312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-15.3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0.410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-18.5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0.469</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-20.4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0.528</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-22.4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bl>
    <w:p>
      <w:pPr>
        <w:pStyle w:val="Normal"/>
        <w:rPr/>
      </w:pPr>
      <w:r>
        <w:rPr/>
      </w:r>
    </w:p>
    <w:p>
      <w:pPr>
        <w:pStyle w:val="Heading2"/>
        <w:rPr/>
      </w:pPr>
      <w:bookmarkStart w:id="15" w:name="__RefHeading___Toc518923375"/>
      <w:bookmarkEnd w:id="15"/>
      <w:r>
        <w:rPr>
          <w:lang w:eastAsia="ko-KR"/>
        </w:rPr>
        <w:t>5.3</w:t>
        <w:tab/>
      </w:r>
      <w:r>
        <w:rPr/>
        <w:t>Hilly Terrain channel model (HTx)</w:t>
      </w:r>
    </w:p>
    <w:p>
      <w:pPr>
        <w:pStyle w:val="TH"/>
        <w:rPr/>
      </w:pPr>
      <w:r>
        <w:rPr/>
        <w:t>Table 5.4: Channel for hilly terrain area</w:t>
      </w:r>
    </w:p>
    <w:tbl>
      <w:tblPr>
        <w:tblW w:w="10064" w:type="dxa"/>
        <w:jc w:val="center"/>
        <w:tblInd w:w="0" w:type="dxa"/>
        <w:tblLayout w:type="fixed"/>
        <w:tblCellMar>
          <w:top w:w="0" w:type="dxa"/>
          <w:left w:w="108" w:type="dxa"/>
          <w:bottom w:w="0" w:type="dxa"/>
          <w:right w:w="108" w:type="dxa"/>
        </w:tblCellMar>
      </w:tblPr>
      <w:tblGrid>
        <w:gridCol w:w="2126"/>
        <w:gridCol w:w="2693"/>
        <w:gridCol w:w="2552"/>
        <w:gridCol w:w="2693"/>
      </w:tblGrid>
      <w:tr>
        <w:trPr/>
        <w:tc>
          <w:tcPr>
            <w:tcW w:w="2126" w:type="dxa"/>
            <w:tcBorders>
              <w:top w:val="single" w:sz="6" w:space="0" w:color="000000"/>
              <w:left w:val="single" w:sz="6" w:space="0" w:color="000000"/>
              <w:bottom w:val="single" w:sz="6" w:space="0" w:color="000000"/>
              <w:right w:val="single" w:sz="6" w:space="0" w:color="000000"/>
            </w:tcBorders>
          </w:tcPr>
          <w:p>
            <w:pPr>
              <w:pStyle w:val="TAH"/>
              <w:rPr/>
            </w:pPr>
            <w:r>
              <w:rPr/>
              <w:t>Tap number</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t>Relative time (</w:t>
            </w:r>
            <w:r>
              <w:rPr>
                <w:rFonts w:eastAsia="Symbol" w:cs="Symbol" w:ascii="Symbol" w:hAnsi="Symbol"/>
              </w:rPr>
              <w:t></w:t>
            </w:r>
            <w:r>
              <w:rPr/>
              <w:t>s)</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average relative power (dB)</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fldChar w:fldCharType="begin"/>
            </w:r>
            <w:r>
              <w:rPr/>
              <w:instrText xml:space="preserve"> PAGE \* ARABIC </w:instrText>
            </w:r>
            <w:r>
              <w:rPr/>
              <w:fldChar w:fldCharType="separate"/>
            </w:r>
            <w:r>
              <w:rPr/>
              <w:t>8</w:t>
            </w:r>
            <w:r>
              <w:rPr/>
              <w:fldChar w:fldCharType="end"/>
            </w:r>
            <w:r>
              <w:rPr/>
              <w:t>oppler spectrum</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-3.6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0.356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-8.9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0.441</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0.528</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-11.5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0.546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-11.8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0.609</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-12.7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0.625</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-13.0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0.842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-16.2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0.916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-17.3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0.941</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-17.7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15.000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-17.6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16.172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-22.7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16.492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-24.1</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16.876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-25.8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16.882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-25.8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16.978</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-26.2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17.615</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-29.0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18</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17.827</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-29.9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19</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17.849</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-30.0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18.016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-30.7</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bl>
    <w:p>
      <w:pPr>
        <w:pStyle w:val="Normal"/>
        <w:rPr/>
      </w:pPr>
      <w:r>
        <w:rPr/>
      </w:r>
      <w:r>
        <w:br w:type="page"/>
      </w:r>
    </w:p>
    <w:p>
      <w:pPr>
        <w:pStyle w:val="Heading9"/>
        <w:rPr/>
      </w:pPr>
      <w:bookmarkStart w:id="16" w:name="__RefHeading___Toc518923376"/>
      <w:bookmarkEnd w:id="16"/>
      <w:r>
        <w:rPr/>
        <w:t>Annex A:</w:t>
        <w:br/>
        <w:t>The COST 259 Channel Model</w:t>
      </w:r>
    </w:p>
    <w:p>
      <w:pPr>
        <w:pStyle w:val="Heading2"/>
        <w:rPr/>
      </w:pPr>
      <w:bookmarkStart w:id="17" w:name="__RefHeading___Toc518923377"/>
      <w:bookmarkEnd w:id="17"/>
      <w:r>
        <w:rPr/>
        <w:t>A.1</w:t>
        <w:tab/>
        <w:t>Background</w:t>
      </w:r>
    </w:p>
    <w:p>
      <w:pPr>
        <w:pStyle w:val="Normal"/>
        <w:rPr/>
      </w:pPr>
      <w:r>
        <w:rPr/>
        <w:t>COST 259 [1] is a research forum funded by the EU, in which there are participants from manufacturers, operators and universities. This forum is the second successor of COST 207, who did the work on which the channel models used in GSM standardization were based. One of the work items identified in COST 259 is to propose a new set of channel models which overcome the limitations in the GSM channel models, while aiming at the same general acceptance. The models are aimed at UMTS and HIPERLAN, with particular emphasis on adaptive antennas and directional channels.</w:t>
      </w:r>
    </w:p>
    <w:p>
      <w:pPr>
        <w:pStyle w:val="Heading2"/>
        <w:rPr/>
      </w:pPr>
      <w:bookmarkStart w:id="18" w:name="__RefHeading___Toc518923378"/>
      <w:bookmarkEnd w:id="18"/>
      <w:r>
        <w:rPr/>
        <w:t>A.2</w:t>
        <w:tab/>
        <w:t>Model descriptions</w:t>
      </w:r>
    </w:p>
    <w:p>
      <w:pPr>
        <w:pStyle w:val="Normal"/>
        <w:rPr/>
      </w:pPr>
      <w:r>
        <w:rPr/>
        <w:t>The main difference between the COST 259 model and previous models is that it tries to describe the complex range of conditions found in the real world by distributions of channels rather than a few “typical” cases. The probability densities for the occurrence of different channels are functions of mainly two parameters:</w:t>
      </w:r>
    </w:p>
    <w:p>
      <w:pPr>
        <w:pStyle w:val="B1"/>
        <w:rPr/>
      </w:pPr>
      <w:r>
        <w:rPr/>
        <w:t>1)</w:t>
        <w:tab/>
        <w:t>Environment</w:t>
      </w:r>
    </w:p>
    <w:p>
      <w:pPr>
        <w:pStyle w:val="B1"/>
        <w:rPr/>
      </w:pPr>
      <w:r>
        <w:rPr/>
        <w:t>2)</w:t>
        <w:tab/>
        <w:t>Distance</w:t>
      </w:r>
    </w:p>
    <w:p>
      <w:pPr>
        <w:pStyle w:val="Normal"/>
        <w:rPr/>
      </w:pPr>
      <w:r>
        <w:rPr/>
        <w:t>Given a certain environment (e.g. Urban Macrocell) and a certain distance (or distance range/cell radius), the parameters describing the distribution functions for this particular case can be extracted. Performing a sufficient number of channel realizations will give a distribution of channels which give a much better representation of reality than what would be possible using only one channel.</w:t>
      </w:r>
    </w:p>
    <w:p>
      <w:pPr>
        <w:pStyle w:val="Normal"/>
        <w:rPr/>
      </w:pPr>
      <w:r>
        <w:rPr/>
        <w:t>The environments identified so far in COST 259 are given in Table A.1, although these are by no means written in stone. The macrocellular environments have the same names as the GSM models. (It is being discussed if there should be a distinction between indoor and outdoor mobiles for the macrocellular environments.)</w:t>
      </w:r>
    </w:p>
    <w:p>
      <w:pPr>
        <w:pStyle w:val="TH"/>
        <w:rPr/>
      </w:pPr>
      <w:bookmarkStart w:id="19" w:name="_Ref468758811"/>
      <w:r>
        <w:rPr/>
        <w:t>Table</w:t>
      </w:r>
      <w:bookmarkEnd w:id="19"/>
      <w:r>
        <w:rPr/>
        <w:t xml:space="preserve"> A.1: Preliminary environments identified by COST 259.</w:t>
      </w:r>
    </w:p>
    <w:tbl>
      <w:tblPr>
        <w:tblW w:w="7318" w:type="dxa"/>
        <w:jc w:val="center"/>
        <w:tblInd w:w="0" w:type="dxa"/>
        <w:tblLayout w:type="fixed"/>
        <w:tblCellMar>
          <w:top w:w="0" w:type="dxa"/>
          <w:left w:w="108" w:type="dxa"/>
          <w:bottom w:w="0" w:type="dxa"/>
          <w:right w:w="108" w:type="dxa"/>
        </w:tblCellMar>
      </w:tblPr>
      <w:tblGrid>
        <w:gridCol w:w="2284"/>
        <w:gridCol w:w="2202"/>
        <w:gridCol w:w="2832"/>
      </w:tblGrid>
      <w:tr>
        <w:trPr/>
        <w:tc>
          <w:tcPr>
            <w:tcW w:w="2284" w:type="dxa"/>
            <w:tcBorders>
              <w:top w:val="single" w:sz="6" w:space="0" w:color="000000"/>
              <w:left w:val="single" w:sz="6" w:space="0" w:color="000000"/>
              <w:bottom w:val="single" w:sz="6" w:space="0" w:color="000000"/>
              <w:right w:val="single" w:sz="6" w:space="0" w:color="000000"/>
            </w:tcBorders>
          </w:tcPr>
          <w:p>
            <w:pPr>
              <w:pStyle w:val="TAH"/>
              <w:rPr/>
            </w:pPr>
            <w:r>
              <w:rPr/>
              <w:t>Macrocell</w:t>
            </w:r>
          </w:p>
        </w:tc>
        <w:tc>
          <w:tcPr>
            <w:tcW w:w="2202" w:type="dxa"/>
            <w:tcBorders>
              <w:top w:val="single" w:sz="6" w:space="0" w:color="000000"/>
              <w:left w:val="single" w:sz="6" w:space="0" w:color="000000"/>
              <w:bottom w:val="single" w:sz="6" w:space="0" w:color="000000"/>
              <w:right w:val="single" w:sz="6" w:space="0" w:color="000000"/>
            </w:tcBorders>
          </w:tcPr>
          <w:p>
            <w:pPr>
              <w:pStyle w:val="TAH"/>
              <w:rPr/>
            </w:pPr>
            <w:r>
              <w:rPr/>
              <w:t>Microcell</w:t>
            </w:r>
          </w:p>
        </w:tc>
        <w:tc>
          <w:tcPr>
            <w:tcW w:w="2832" w:type="dxa"/>
            <w:tcBorders>
              <w:top w:val="single" w:sz="6" w:space="0" w:color="000000"/>
              <w:left w:val="single" w:sz="6" w:space="0" w:color="000000"/>
              <w:bottom w:val="single" w:sz="6" w:space="0" w:color="000000"/>
              <w:right w:val="single" w:sz="6" w:space="0" w:color="000000"/>
            </w:tcBorders>
          </w:tcPr>
          <w:p>
            <w:pPr>
              <w:pStyle w:val="TAH"/>
              <w:rPr/>
            </w:pPr>
            <w:r>
              <w:rPr/>
              <w:t>Picocell</w:t>
            </w:r>
          </w:p>
        </w:tc>
      </w:tr>
      <w:tr>
        <w:trPr/>
        <w:tc>
          <w:tcPr>
            <w:tcW w:w="2284" w:type="dxa"/>
            <w:tcBorders>
              <w:top w:val="single" w:sz="6" w:space="0" w:color="000000"/>
              <w:left w:val="single" w:sz="6" w:space="0" w:color="000000"/>
              <w:bottom w:val="single" w:sz="6" w:space="0" w:color="000000"/>
              <w:right w:val="single" w:sz="6" w:space="0" w:color="000000"/>
            </w:tcBorders>
          </w:tcPr>
          <w:p>
            <w:pPr>
              <w:pStyle w:val="TAL"/>
              <w:rPr/>
            </w:pPr>
            <w:r>
              <w:rPr/>
              <w:t>Typical Urban</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(Street Canyons)</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(Tunnel/Corridor)</w:t>
            </w:r>
          </w:p>
        </w:tc>
      </w:tr>
      <w:tr>
        <w:trPr/>
        <w:tc>
          <w:tcPr>
            <w:tcW w:w="2284" w:type="dxa"/>
            <w:tcBorders>
              <w:top w:val="single" w:sz="6" w:space="0" w:color="000000"/>
              <w:left w:val="single" w:sz="6" w:space="0" w:color="000000"/>
              <w:bottom w:val="single" w:sz="6" w:space="0" w:color="000000"/>
              <w:right w:val="single" w:sz="6" w:space="0" w:color="000000"/>
            </w:tcBorders>
          </w:tcPr>
          <w:p>
            <w:pPr>
              <w:pStyle w:val="TAL"/>
              <w:rPr/>
            </w:pPr>
            <w:r>
              <w:rPr/>
              <w:t>Bad Urban</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(Open Places)</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(Factory)</w:t>
            </w:r>
          </w:p>
        </w:tc>
      </w:tr>
      <w:tr>
        <w:trPr/>
        <w:tc>
          <w:tcPr>
            <w:tcW w:w="2284" w:type="dxa"/>
            <w:tcBorders>
              <w:top w:val="single" w:sz="6" w:space="0" w:color="000000"/>
              <w:left w:val="single" w:sz="6" w:space="0" w:color="000000"/>
              <w:bottom w:val="single" w:sz="6" w:space="0" w:color="000000"/>
              <w:right w:val="single" w:sz="6" w:space="0" w:color="000000"/>
            </w:tcBorders>
          </w:tcPr>
          <w:p>
            <w:pPr>
              <w:pStyle w:val="TAL"/>
              <w:rPr/>
            </w:pPr>
            <w:r>
              <w:rPr/>
              <w:t>Rural Area</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(Tunnels)</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(Office/Residential Home)</w:t>
            </w:r>
          </w:p>
        </w:tc>
      </w:tr>
      <w:tr>
        <w:trPr/>
        <w:tc>
          <w:tcPr>
            <w:tcW w:w="2284" w:type="dxa"/>
            <w:tcBorders>
              <w:top w:val="single" w:sz="6" w:space="0" w:color="000000"/>
              <w:left w:val="single" w:sz="6" w:space="0" w:color="000000"/>
              <w:bottom w:val="single" w:sz="6" w:space="0" w:color="000000"/>
              <w:right w:val="single" w:sz="6" w:space="0" w:color="000000"/>
            </w:tcBorders>
          </w:tcPr>
          <w:p>
            <w:pPr>
              <w:pStyle w:val="TAL"/>
              <w:rPr/>
            </w:pPr>
            <w:r>
              <w:rPr/>
              <w:t>Hilly Terrain</w:t>
            </w:r>
          </w:p>
        </w:tc>
        <w:tc>
          <w:tcPr>
            <w:tcW w:w="2202" w:type="dxa"/>
            <w:tcBorders>
              <w:top w:val="single" w:sz="6" w:space="0" w:color="000000"/>
              <w:left w:val="single" w:sz="6" w:space="0" w:color="000000"/>
              <w:bottom w:val="single" w:sz="6" w:space="0" w:color="000000"/>
              <w:right w:val="single" w:sz="6" w:space="0" w:color="000000"/>
            </w:tcBorders>
          </w:tcPr>
          <w:p>
            <w:pPr>
              <w:pStyle w:val="TAL"/>
              <w:rPr/>
            </w:pPr>
            <w:r>
              <w:rPr/>
              <w:t>(Street Crossings)</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(Open Lounge)</w:t>
            </w:r>
          </w:p>
        </w:tc>
      </w:tr>
    </w:tbl>
    <w:p>
      <w:pPr>
        <w:pStyle w:val="Normal"/>
        <w:rPr/>
      </w:pPr>
      <w:r>
        <w:rPr/>
      </w:r>
    </w:p>
    <w:p>
      <w:pPr>
        <w:pStyle w:val="Normal"/>
        <w:rPr/>
      </w:pPr>
      <w:r>
        <w:rPr/>
        <w:t>In COST 259, a number of properties of the propagation channel has been considered in the model work. The full proposal will include all of these properties, but it is quite simple and straightforward to implement the model in a modular structure, so that each of the properties (listed in Table A.2) can be switched on or off individually depending on the application. Inherent in the model is also correlations between the properties, e.g. time dispersion and shadow fading are modelled as being partially correlated.</w:t>
      </w:r>
    </w:p>
    <w:p>
      <w:pPr>
        <w:pStyle w:val="TH"/>
        <w:rPr/>
      </w:pPr>
      <w:bookmarkStart w:id="20" w:name="_Ref468758970"/>
      <w:r>
        <w:rPr/>
        <w:t>Table</w:t>
      </w:r>
      <w:bookmarkEnd w:id="20"/>
      <w:r>
        <w:rPr/>
        <w:t xml:space="preserve"> A.2: Propagation properties considered in the COST 259 model</w:t>
      </w:r>
    </w:p>
    <w:tbl>
      <w:tblPr>
        <w:tblW w:w="4820" w:type="dxa"/>
        <w:jc w:val="center"/>
        <w:tblInd w:w="0" w:type="dxa"/>
        <w:tblLayout w:type="fixed"/>
        <w:tblCellMar>
          <w:top w:w="0" w:type="dxa"/>
          <w:left w:w="108" w:type="dxa"/>
          <w:bottom w:w="0" w:type="dxa"/>
          <w:right w:w="108" w:type="dxa"/>
        </w:tblCellMar>
      </w:tblPr>
      <w:tblGrid>
        <w:gridCol w:w="709"/>
        <w:gridCol w:w="4111"/>
      </w:tblGrid>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Path Loss</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Shadow Fading</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Fast Fading</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Time Dispersion</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Angular dispersion (azimuth and/or elevation at BS)</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Polarization</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Multiple Clusters</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4111" w:type="dxa"/>
            <w:tcBorders>
              <w:top w:val="single" w:sz="6" w:space="0" w:color="000000"/>
              <w:left w:val="single" w:sz="6" w:space="0" w:color="000000"/>
              <w:bottom w:val="single" w:sz="6" w:space="0" w:color="000000"/>
              <w:right w:val="single" w:sz="6" w:space="0" w:color="000000"/>
            </w:tcBorders>
          </w:tcPr>
          <w:p>
            <w:pPr>
              <w:pStyle w:val="TAL"/>
              <w:rPr/>
            </w:pPr>
            <w:r>
              <w:rPr/>
              <w:t>Dynamic channel variations (variations in 1-7)</w:t>
            </w:r>
          </w:p>
        </w:tc>
      </w:tr>
    </w:tbl>
    <w:p>
      <w:pPr>
        <w:pStyle w:val="Normal"/>
        <w:rPr/>
      </w:pPr>
      <w:r>
        <w:rPr/>
      </w:r>
    </w:p>
    <w:p>
      <w:pPr>
        <w:pStyle w:val="Normal"/>
        <w:rPr/>
      </w:pPr>
      <w:r>
        <w:rPr/>
        <w:t>The shape of the channel is given by one or several clusters, where each cluster is exponentially decreasing in delay and Laplacian (double-sided exponential) in azimuth. Each cluster consists of a number of Rayleigh-fading paths, plus a possible non-fading path to get Rice fading.</w:t>
      </w:r>
    </w:p>
    <w:p>
      <w:pPr>
        <w:pStyle w:val="Normal"/>
        <w:rPr/>
      </w:pPr>
      <w:r>
        <w:rPr/>
        <w:t>Of interest here are mainly the properties 4 and 7 in Table A.2. For this case, a full description of the channel is given by specifying the parameter set (Figure A.1):</w:t>
      </w:r>
    </w:p>
    <w:p>
      <w:pPr>
        <w:pStyle w:val="EQ"/>
        <w:rPr/>
      </w:pPr>
      <w:r>
        <w:rPr/>
        <w:tab/>
      </w:r>
      <w:r>
        <w:rPr/>
        <w:drawing>
          <wp:inline distT="0" distB="0" distL="0" distR="0">
            <wp:extent cx="1041400" cy="26670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8"/>
                    <a:srcRect l="-35" t="-135" r="-35" b="-135"/>
                    <a:stretch>
                      <a:fillRect/>
                    </a:stretch>
                  </pic:blipFill>
                  <pic:spPr bwMode="auto">
                    <a:xfrm>
                      <a:off x="0" y="0"/>
                      <a:ext cx="1041400" cy="266700"/>
                    </a:xfrm>
                    <a:prstGeom prst="rect">
                      <a:avLst/>
                    </a:prstGeom>
                  </pic:spPr>
                </pic:pic>
              </a:graphicData>
            </a:graphic>
          </wp:inline>
        </w:drawing>
      </w:r>
    </w:p>
    <w:p>
      <w:pPr>
        <w:pStyle w:val="Normal"/>
        <w:rPr/>
      </w:pPr>
      <w:r>
        <w:rPr/>
        <w:t xml:space="preserve">The i:th cluster is described by its total power Pi, the delay of the first path </w:t>
      </w:r>
      <w:r>
        <w:rPr>
          <w:rFonts w:eastAsia="Symbol" w:cs="Symbol" w:ascii="Symbol" w:hAnsi="Symbol"/>
        </w:rPr>
        <w:t></w:t>
      </w:r>
      <w:r>
        <w:rPr/>
        <w:t xml:space="preserve">I and the cluster delay spread </w:t>
      </w:r>
      <w:r>
        <w:rPr>
          <w:rFonts w:eastAsia="Symbol" w:cs="Symbol" w:ascii="Symbol" w:hAnsi="Symbol"/>
        </w:rPr>
        <w:t></w:t>
      </w:r>
      <w:r>
        <w:rPr/>
        <w:t>,i. The last parameter describes the slope of the exponentially decaying power in the cluster. The number of clusters present is given by NC,.</w:t>
      </w:r>
    </w:p>
    <w:p>
      <w:pPr>
        <w:pStyle w:val="TH"/>
        <w:rPr/>
      </w:pPr>
      <w:r>
        <w:rPr/>
        <w:drawing>
          <wp:inline distT="0" distB="0" distL="0" distR="0">
            <wp:extent cx="3429000" cy="191452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9"/>
                    <a:srcRect l="-10" t="-19" r="-10" b="-19"/>
                    <a:stretch>
                      <a:fillRect/>
                    </a:stretch>
                  </pic:blipFill>
                  <pic:spPr bwMode="auto">
                    <a:xfrm>
                      <a:off x="0" y="0"/>
                      <a:ext cx="3429000" cy="1914525"/>
                    </a:xfrm>
                    <a:prstGeom prst="rect">
                      <a:avLst/>
                    </a:prstGeom>
                  </pic:spPr>
                </pic:pic>
              </a:graphicData>
            </a:graphic>
          </wp:inline>
        </w:drawing>
      </w:r>
    </w:p>
    <w:p>
      <w:pPr>
        <w:pStyle w:val="TF"/>
        <w:rPr/>
      </w:pPr>
      <w:bookmarkStart w:id="21" w:name="_Ref468759825"/>
      <w:r>
        <w:rPr/>
        <w:t>Figure A.1</w:t>
      </w:r>
      <w:bookmarkEnd w:id="21"/>
      <w:r>
        <w:rPr/>
        <w:t>: Channel shape (power delay profile) with multiple clusters.</w:t>
      </w:r>
    </w:p>
    <w:p>
      <w:pPr>
        <w:pStyle w:val="Heading2"/>
        <w:rPr/>
      </w:pPr>
      <w:bookmarkStart w:id="22" w:name="__RefHeading___Toc518923379"/>
      <w:bookmarkEnd w:id="22"/>
      <w:r>
        <w:rPr/>
        <w:t>A.3</w:t>
        <w:tab/>
        <w:t>Reduced complexity models</w:t>
      </w:r>
    </w:p>
    <w:p>
      <w:pPr>
        <w:pStyle w:val="Normal"/>
        <w:rPr/>
      </w:pPr>
      <w:r>
        <w:rPr/>
        <w:t>It is possible to reduce the complexity of the COST 259 model by approximating the continuous distributions with a small number of cases, selected to be typical representations of the channel in common environments. We propose a set of models with fixed parameters as shown in Table A.3. The selected parameters correspond to the COST 207/GSM models with one important difference namely the delay spread value for the Typical Urban channel. This has been reduced to better correspond to typical measurement results.</w:t>
      </w:r>
    </w:p>
    <w:p>
      <w:pPr>
        <w:pStyle w:val="Normal"/>
        <w:rPr/>
      </w:pPr>
      <w:r>
        <w:rPr/>
        <w:t>A cluster in the models outlined here is represented by a number NP independent Rayleigh-fading paths with Classical Doppler spectrum, randomly distributed in the interval [</w:t>
      </w:r>
      <w:r>
        <w:rPr>
          <w:rFonts w:eastAsia="Symbol" w:cs="Symbol" w:ascii="Symbol" w:hAnsi="Symbol"/>
        </w:rPr>
        <w:t></w:t>
      </w:r>
      <w:r>
        <w:rPr/>
        <w:t xml:space="preserve">I , </w:t>
      </w:r>
      <w:r>
        <w:rPr>
          <w:rFonts w:eastAsia="Symbol" w:cs="Symbol" w:ascii="Symbol" w:hAnsi="Symbol"/>
        </w:rPr>
        <w:t></w:t>
      </w:r>
      <w:r>
        <w:rPr/>
        <w:t xml:space="preserve">I + k </w:t>
      </w:r>
      <w:r>
        <w:rPr>
          <w:rFonts w:eastAsia="Symbol" w:cs="Symbol" w:ascii="Symbol" w:hAnsi="Symbol"/>
        </w:rPr>
        <w:t></w:t>
      </w:r>
      <w:r>
        <w:rPr/>
        <w:t>,i]. Preliminary assignments are NP = 20 and k = 4.</w:t>
      </w:r>
    </w:p>
    <w:p>
      <w:pPr>
        <w:pStyle w:val="Normal"/>
        <w:rPr/>
      </w:pPr>
      <w:r>
        <w:rPr/>
        <w:t>The fast fading (property 3 in Table A.2) should be included in the model as a Doppler frequency</w:t>
      </w:r>
    </w:p>
    <w:p>
      <w:pPr>
        <w:pStyle w:val="TH"/>
        <w:rPr/>
      </w:pPr>
      <w:r>
        <w:rPr/>
        <w:t>Table A.3: Reduced complexity channel model parameters</w:t>
      </w:r>
    </w:p>
    <w:tbl>
      <w:tblPr>
        <w:tblW w:w="10064" w:type="dxa"/>
        <w:jc w:val="left"/>
        <w:tblInd w:w="277" w:type="dxa"/>
        <w:tblLayout w:type="fixed"/>
        <w:tblCellMar>
          <w:top w:w="0" w:type="dxa"/>
          <w:left w:w="108" w:type="dxa"/>
          <w:bottom w:w="0" w:type="dxa"/>
          <w:right w:w="108" w:type="dxa"/>
        </w:tblCellMar>
      </w:tblPr>
      <w:tblGrid>
        <w:gridCol w:w="2126"/>
        <w:gridCol w:w="2693"/>
        <w:gridCol w:w="2552"/>
        <w:gridCol w:w="2693"/>
      </w:tblGrid>
      <w:tr>
        <w:trPr/>
        <w:tc>
          <w:tcPr>
            <w:tcW w:w="2126" w:type="dxa"/>
            <w:tcBorders>
              <w:top w:val="single" w:sz="6" w:space="0" w:color="000000"/>
              <w:left w:val="single" w:sz="6" w:space="0" w:color="000000"/>
              <w:bottom w:val="single" w:sz="6" w:space="0" w:color="000000"/>
              <w:right w:val="single" w:sz="6" w:space="0" w:color="000000"/>
            </w:tcBorders>
          </w:tcPr>
          <w:p>
            <w:pPr>
              <w:pStyle w:val="TAH"/>
              <w:rPr/>
            </w:pPr>
            <w:r>
              <w:rPr/>
              <w:t>Environment</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t>Channel shape</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Channel parameters</w:t>
            </w:r>
          </w:p>
        </w:tc>
        <w:tc>
          <w:tcPr>
            <w:tcW w:w="2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L"/>
              <w:rPr/>
            </w:pPr>
            <w:r>
              <w:rPr/>
              <w:t>Typical Urban</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One exponential cluster consisting of NP Rayleigh-fading paths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NC = 1</w:t>
            </w:r>
          </w:p>
          <w:p>
            <w:pPr>
              <w:pStyle w:val="TAL"/>
              <w:rPr/>
            </w:pPr>
            <w:r>
              <w:rPr/>
              <w:t>P1 = 1</w:t>
            </w:r>
          </w:p>
          <w:p>
            <w:pPr>
              <w:pStyle w:val="TAL"/>
              <w:rPr/>
            </w:pPr>
            <w:r>
              <w:rPr>
                <w:rFonts w:eastAsia="Symbol" w:cs="Symbol" w:ascii="Symbol" w:hAnsi="Symbol"/>
              </w:rPr>
              <w:t></w:t>
            </w:r>
            <w:r>
              <w:rPr/>
              <w:t xml:space="preserve">1 = 0 </w:t>
            </w:r>
            <w:r>
              <w:rPr>
                <w:rFonts w:eastAsia="Symbol" w:cs="Symbol" w:ascii="Symbol" w:hAnsi="Symbol"/>
              </w:rPr>
              <w:t></w:t>
            </w:r>
            <w:r>
              <w:rPr/>
              <w:t>s</w:t>
            </w:r>
          </w:p>
          <w:p>
            <w:pPr>
              <w:pStyle w:val="TAL"/>
              <w:rPr/>
            </w:pPr>
            <w:r>
              <w:rPr>
                <w:rFonts w:eastAsia="Symbol" w:cs="Symbol" w:ascii="Symbol" w:hAnsi="Symbol"/>
              </w:rPr>
              <w:t></w:t>
            </w:r>
            <w:r>
              <w:rPr/>
              <w:t xml:space="preserve">,1 = 0.5 </w:t>
            </w:r>
            <w:r>
              <w:rPr>
                <w:rFonts w:eastAsia="Symbol" w:cs="Symbol" w:ascii="Symbol" w:hAnsi="Symbol"/>
              </w:rPr>
              <w:t></w:t>
            </w:r>
            <w:r>
              <w:rPr/>
              <w:t>s</w:t>
            </w:r>
          </w:p>
          <w:p>
            <w:pPr>
              <w:pStyle w:val="TAL"/>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drawing>
                <wp:inline distT="0" distB="0" distL="0" distR="0">
                  <wp:extent cx="1572260" cy="84582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0"/>
                          <a:srcRect l="-21" t="-43" r="-21" b="-43"/>
                          <a:stretch>
                            <a:fillRect/>
                          </a:stretch>
                        </pic:blipFill>
                        <pic:spPr bwMode="auto">
                          <a:xfrm>
                            <a:off x="0" y="0"/>
                            <a:ext cx="1572260" cy="845820"/>
                          </a:xfrm>
                          <a:prstGeom prst="rect">
                            <a:avLst/>
                          </a:prstGeom>
                        </pic:spPr>
                      </pic:pic>
                    </a:graphicData>
                  </a:graphic>
                </wp:inline>
              </w:drawing>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L"/>
              <w:rPr/>
            </w:pPr>
            <w:r>
              <w:rPr/>
              <w:t>Rural Area</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One exponential cluster consisting of NP-1Rayleigh-fading paths and 1 non-fading path.</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NC = 1</w:t>
            </w:r>
          </w:p>
          <w:p>
            <w:pPr>
              <w:pStyle w:val="TAL"/>
              <w:rPr/>
            </w:pPr>
            <w:r>
              <w:rPr/>
              <w:t>P1 = 1</w:t>
            </w:r>
          </w:p>
          <w:p>
            <w:pPr>
              <w:pStyle w:val="TAL"/>
              <w:rPr/>
            </w:pPr>
            <w:r>
              <w:rPr>
                <w:rFonts w:eastAsia="Symbol" w:cs="Symbol" w:ascii="Symbol" w:hAnsi="Symbol"/>
              </w:rPr>
              <w:t></w:t>
            </w:r>
            <w:r>
              <w:rPr/>
              <w:t xml:space="preserve">1 = 0 </w:t>
            </w:r>
            <w:r>
              <w:rPr>
                <w:rFonts w:eastAsia="Symbol" w:cs="Symbol" w:ascii="Symbol" w:hAnsi="Symbol"/>
              </w:rPr>
              <w:t></w:t>
            </w:r>
            <w:r>
              <w:rPr/>
              <w:t>s</w:t>
            </w:r>
          </w:p>
          <w:p>
            <w:pPr>
              <w:pStyle w:val="TAL"/>
              <w:rPr/>
            </w:pPr>
            <w:r>
              <w:rPr>
                <w:rFonts w:eastAsia="Symbol" w:cs="Symbol" w:ascii="Symbol" w:hAnsi="Symbol"/>
              </w:rPr>
              <w:t></w:t>
            </w:r>
            <w:r>
              <w:rPr/>
              <w:t xml:space="preserve">,1 = 0.14 </w:t>
            </w:r>
            <w:r>
              <w:rPr>
                <w:rFonts w:eastAsia="Symbol" w:cs="Symbol" w:ascii="Symbol" w:hAnsi="Symbol"/>
              </w:rPr>
              <w:t></w:t>
            </w:r>
            <w:r>
              <w:rPr/>
              <w:t>s</w:t>
            </w:r>
          </w:p>
          <w:p>
            <w:pPr>
              <w:pStyle w:val="TAL"/>
              <w:rPr/>
            </w:pPr>
            <w:r>
              <w:rPr/>
              <w:t>Add one deterministic (non-fading) path with:</w:t>
            </w:r>
          </w:p>
          <w:p>
            <w:pPr>
              <w:pStyle w:val="TAL"/>
              <w:rPr/>
            </w:pPr>
            <w:r>
              <w:rPr>
                <w:rFonts w:eastAsia="Arial"/>
              </w:rPr>
              <w:t xml:space="preserve"> </w:t>
            </w:r>
            <w:r>
              <w:rPr/>
              <w:t>fD = 0.7</w:t>
            </w:r>
            <w:r>
              <w:rPr>
                <w:rFonts w:eastAsia="Symbol" w:cs="Symbol" w:ascii="Symbol" w:hAnsi="Symbol"/>
              </w:rPr>
              <w:t></w:t>
            </w:r>
            <w:r>
              <w:rPr/>
              <w:t xml:space="preserve"> fMax</w:t>
            </w:r>
          </w:p>
          <w:p>
            <w:pPr>
              <w:pStyle w:val="TAL"/>
              <w:rPr/>
            </w:pPr>
            <w:r>
              <w:rPr>
                <w:rFonts w:eastAsia="Arial"/>
              </w:rPr>
              <w:t xml:space="preserve"> </w:t>
            </w:r>
            <w:r>
              <w:rPr/>
              <w:t>P2 = 0.43</w:t>
            </w:r>
          </w:p>
          <w:p>
            <w:pPr>
              <w:pStyle w:val="TAL"/>
              <w:rPr/>
            </w:pPr>
            <w:r>
              <w:rPr>
                <w:rFonts w:eastAsia="Arial"/>
              </w:rPr>
              <w:t xml:space="preserve"> </w:t>
            </w:r>
            <w:r>
              <w:rPr>
                <w:rFonts w:eastAsia="Symbol" w:cs="Symbol" w:ascii="Symbol" w:hAnsi="Symbol"/>
              </w:rPr>
              <w:t></w:t>
            </w:r>
            <w:r>
              <w:rPr/>
              <w:t>2  = 0</w:t>
            </w:r>
          </w:p>
          <w:p>
            <w:pPr>
              <w:pStyle w:val="TAL"/>
              <w:rPr/>
            </w:pPr>
            <w:r>
              <w:rPr/>
              <w:t>in order to get Ricean fading</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drawing>
                <wp:inline distT="0" distB="0" distL="0" distR="0">
                  <wp:extent cx="1570990" cy="90043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1"/>
                          <a:srcRect l="-20" t="-39" r="-20" b="-39"/>
                          <a:stretch>
                            <a:fillRect/>
                          </a:stretch>
                        </pic:blipFill>
                        <pic:spPr bwMode="auto">
                          <a:xfrm>
                            <a:off x="0" y="0"/>
                            <a:ext cx="1570990" cy="900430"/>
                          </a:xfrm>
                          <a:prstGeom prst="rect">
                            <a:avLst/>
                          </a:prstGeom>
                        </pic:spPr>
                      </pic:pic>
                    </a:graphicData>
                  </a:graphic>
                </wp:inline>
              </w:drawing>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L"/>
              <w:rPr/>
            </w:pPr>
            <w:r>
              <w:rPr/>
              <w:t>Hilly Terrain</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Two exponential clusters each consisting of NP/2 Rayleigh-fading paths each</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NC = 2</w:t>
            </w:r>
          </w:p>
          <w:p>
            <w:pPr>
              <w:pStyle w:val="TAL"/>
              <w:rPr/>
            </w:pPr>
            <w:r>
              <w:rPr/>
              <w:t>P1 = 1</w:t>
            </w:r>
          </w:p>
          <w:p>
            <w:pPr>
              <w:pStyle w:val="TAL"/>
              <w:rPr/>
            </w:pPr>
            <w:r>
              <w:rPr>
                <w:rFonts w:eastAsia="Symbol" w:cs="Symbol" w:ascii="Symbol" w:hAnsi="Symbol"/>
              </w:rPr>
              <w:t></w:t>
            </w:r>
            <w:r>
              <w:rPr/>
              <w:t xml:space="preserve">1 = 0 </w:t>
            </w:r>
            <w:r>
              <w:rPr>
                <w:rFonts w:eastAsia="Symbol" w:cs="Symbol" w:ascii="Symbol" w:hAnsi="Symbol"/>
              </w:rPr>
              <w:t></w:t>
            </w:r>
            <w:r>
              <w:rPr/>
              <w:t>s</w:t>
            </w:r>
          </w:p>
          <w:p>
            <w:pPr>
              <w:pStyle w:val="TAL"/>
              <w:rPr/>
            </w:pPr>
            <w:r>
              <w:rPr>
                <w:rFonts w:eastAsia="Symbol" w:cs="Symbol" w:ascii="Symbol" w:hAnsi="Symbol"/>
              </w:rPr>
              <w:t></w:t>
            </w:r>
            <w:r>
              <w:rPr/>
              <w:t xml:space="preserve">,1 = 0.29 </w:t>
            </w:r>
            <w:r>
              <w:rPr>
                <w:rFonts w:eastAsia="Symbol" w:cs="Symbol" w:ascii="Symbol" w:hAnsi="Symbol"/>
              </w:rPr>
              <w:t></w:t>
            </w:r>
            <w:r>
              <w:rPr/>
              <w:t>s</w:t>
            </w:r>
          </w:p>
          <w:p>
            <w:pPr>
              <w:pStyle w:val="TAL"/>
              <w:rPr/>
            </w:pPr>
            <w:r>
              <w:rPr/>
              <w:t>P2 = 0.04</w:t>
            </w:r>
          </w:p>
          <w:p>
            <w:pPr>
              <w:pStyle w:val="TAL"/>
              <w:rPr/>
            </w:pPr>
            <w:r>
              <w:rPr>
                <w:rFonts w:eastAsia="Symbol" w:cs="Symbol" w:ascii="Symbol" w:hAnsi="Symbol"/>
              </w:rPr>
              <w:t></w:t>
            </w:r>
            <w:r>
              <w:rPr/>
              <w:t xml:space="preserve">2 = 15 </w:t>
            </w:r>
            <w:r>
              <w:rPr>
                <w:rFonts w:eastAsia="Symbol" w:cs="Symbol" w:ascii="Symbol" w:hAnsi="Symbol"/>
              </w:rPr>
              <w:t></w:t>
            </w:r>
            <w:r>
              <w:rPr/>
              <w:t>s</w:t>
            </w:r>
          </w:p>
          <w:p>
            <w:pPr>
              <w:pStyle w:val="TAL"/>
              <w:rPr/>
            </w:pPr>
            <w:r>
              <w:rPr>
                <w:rFonts w:eastAsia="Symbol" w:cs="Symbol" w:ascii="Symbol" w:hAnsi="Symbol"/>
              </w:rPr>
              <w:t></w:t>
            </w:r>
            <w:r>
              <w:rPr/>
              <w:t xml:space="preserve">,2 = 1 </w:t>
            </w:r>
            <w:r>
              <w:rPr>
                <w:rFonts w:eastAsia="Symbol" w:cs="Symbol" w:ascii="Symbol" w:hAnsi="Symbol"/>
              </w:rPr>
              <w:t></w:t>
            </w:r>
            <w:r>
              <w:rPr/>
              <w:t>s</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drawing>
                <wp:inline distT="0" distB="0" distL="0" distR="0">
                  <wp:extent cx="1572260" cy="1028065"/>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2"/>
                          <a:srcRect l="-21" t="-35" r="-21" b="-35"/>
                          <a:stretch>
                            <a:fillRect/>
                          </a:stretch>
                        </pic:blipFill>
                        <pic:spPr bwMode="auto">
                          <a:xfrm>
                            <a:off x="0" y="0"/>
                            <a:ext cx="1572260" cy="1028065"/>
                          </a:xfrm>
                          <a:prstGeom prst="rect">
                            <a:avLst/>
                          </a:prstGeom>
                        </pic:spPr>
                      </pic:pic>
                    </a:graphicData>
                  </a:graphic>
                </wp:inline>
              </w:drawing>
            </w:r>
          </w:p>
        </w:tc>
      </w:tr>
    </w:tbl>
    <w:p>
      <w:pPr>
        <w:pStyle w:val="Normal"/>
        <w:rPr/>
      </w:pPr>
      <w:r>
        <w:rPr/>
      </w:r>
      <w:r>
        <w:br w:type="page"/>
      </w:r>
    </w:p>
    <w:p>
      <w:pPr>
        <w:pStyle w:val="Heading9"/>
        <w:rPr/>
      </w:pPr>
      <w:bookmarkStart w:id="23" w:name="__RefHeading___Toc518923380"/>
      <w:bookmarkEnd w:id="23"/>
      <w:r>
        <w:rPr/>
        <w:t>Annex B:</w:t>
        <w:br/>
        <w:t>Example of simplified model using other time resolution</w:t>
      </w:r>
    </w:p>
    <w:p>
      <w:pPr>
        <w:pStyle w:val="Normal"/>
        <w:rPr/>
      </w:pPr>
      <w:r>
        <w:rPr/>
        <w:t xml:space="preserve">The models can be simplified to a specific application to allow for more efficient and less complex simulations and testing.  The simplification should be done with a specific time resolution </w:t>
      </w:r>
      <w:r>
        <w:rPr>
          <w:rFonts w:cs="Symbol" w:ascii="Symbol" w:hAnsi="Symbol"/>
        </w:rPr>
        <w:t></w:t>
      </w:r>
      <w:r>
        <w:rPr/>
        <w:t>T, which should be stated to avoid confusion: e.g. Rax(</w:t>
      </w:r>
      <w:r>
        <w:rPr>
          <w:rFonts w:cs="Symbol" w:ascii="Symbol" w:hAnsi="Symbol"/>
        </w:rPr>
        <w:t></w:t>
      </w:r>
      <w:r>
        <w:rPr/>
        <w:t>T=0.1</w:t>
      </w:r>
      <w:r>
        <w:rPr>
          <w:rFonts w:cs="Symbol" w:ascii="Symbol" w:hAnsi="Symbol"/>
        </w:rPr>
        <w:t></w:t>
      </w:r>
      <w:r>
        <w:rPr/>
        <w:t>s). The simplified application specific model is obtained by sampling the channel profiles in Tables 5.2, 5.3 and 5.4 at delays {0,</w:t>
      </w:r>
      <w:r>
        <w:rPr>
          <w:rFonts w:cs="Symbol" w:ascii="Symbol" w:hAnsi="Symbol"/>
        </w:rPr>
        <w:t></w:t>
      </w:r>
      <w:r>
        <w:rPr/>
        <w:t>T , 2</w:t>
      </w:r>
      <w:r>
        <w:rPr>
          <w:rFonts w:cs="Symbol" w:ascii="Symbol" w:hAnsi="Symbol"/>
        </w:rPr>
        <w:t></w:t>
      </w:r>
      <w:r>
        <w:rPr/>
        <w:t>T , 3</w:t>
      </w:r>
      <w:r>
        <w:rPr>
          <w:rFonts w:cs="Symbol" w:ascii="Symbol" w:hAnsi="Symbol"/>
        </w:rPr>
        <w:t></w:t>
      </w:r>
      <w:r>
        <w:rPr/>
        <w:t>T, ... } as described in the example below. Only taps where the power is within 25 dB of the strongest tap need to be retained.  Tap powers should be normalized so that the sum of all tap powers is equal to 1. All taps should have a classical Doppler spectrum, with the exception of the first tap in the simplified Rax channel which will be a superposition of a classical and a direct path Doppler spectrum (resulting in Ricean fading).</w:t>
      </w:r>
    </w:p>
    <w:p>
      <w:pPr>
        <w:pStyle w:val="Normal"/>
        <w:rPr/>
      </w:pPr>
      <w:r>
        <w:rPr/>
        <w:t xml:space="preserve">For a CDMA type system like UTRA, a typical </w:t>
      </w:r>
      <w:r>
        <w:rPr>
          <w:rFonts w:cs="Symbol" w:ascii="Symbol" w:hAnsi="Symbol"/>
        </w:rPr>
        <w:t></w:t>
      </w:r>
      <w:r>
        <w:rPr/>
        <w:t>T used in simulations considered here may be ¼,  ½ or 1 chip time.</w:t>
      </w:r>
    </w:p>
    <w:p>
      <w:pPr>
        <w:pStyle w:val="Normal"/>
        <w:rPr/>
      </w:pPr>
      <w:r>
        <w:rPr/>
        <w:t xml:space="preserve">For a Frequency Hopping or multicarrier system the </w:t>
      </w:r>
      <w:r>
        <w:rPr>
          <w:rFonts w:cs="Symbol" w:ascii="Symbol" w:hAnsi="Symbol"/>
        </w:rPr>
        <w:t></w:t>
      </w:r>
      <w:r>
        <w:rPr/>
        <w:t xml:space="preserve">T should be set to consider the total system bandwidth to take the frequency correlation of the channel model into account. </w:t>
      </w:r>
    </w:p>
    <w:p>
      <w:pPr>
        <w:pStyle w:val="Normal"/>
        <w:rPr/>
      </w:pPr>
      <w:r>
        <w:rPr/>
        <w:t xml:space="preserve">An example of a simplified model is shown in Table B.1 for UTRA FDD.  In the example, </w:t>
      </w:r>
      <w:r>
        <w:rPr>
          <w:rFonts w:cs="Symbol" w:ascii="Symbol" w:hAnsi="Symbol"/>
        </w:rPr>
        <w:t></w:t>
      </w:r>
      <w:r>
        <w:rPr/>
        <w:t>T is ½ of the chip time of UTRA FDD.</w:t>
      </w:r>
    </w:p>
    <w:p>
      <w:pPr>
        <w:pStyle w:val="TH"/>
        <w:rPr/>
      </w:pPr>
      <w:r>
        <w:rPr/>
        <w:t>Table B.1: Example of a UTRA FDD channel model for rural area, Rax(</w:t>
      </w:r>
      <w:r>
        <w:rPr>
          <w:rFonts w:cs="Symbol" w:ascii="Symbol" w:hAnsi="Symbol"/>
        </w:rPr>
        <w:t></w:t>
      </w:r>
      <w:r>
        <w:rPr/>
        <w:t>T=130.2 ns)</w:t>
      </w:r>
    </w:p>
    <w:tbl>
      <w:tblPr>
        <w:tblW w:w="8913" w:type="dxa"/>
        <w:jc w:val="center"/>
        <w:tblInd w:w="0" w:type="dxa"/>
        <w:tblLayout w:type="fixed"/>
        <w:tblCellMar>
          <w:top w:w="0" w:type="dxa"/>
          <w:left w:w="108" w:type="dxa"/>
          <w:bottom w:w="0" w:type="dxa"/>
          <w:right w:w="108" w:type="dxa"/>
        </w:tblCellMar>
      </w:tblPr>
      <w:tblGrid>
        <w:gridCol w:w="1701"/>
        <w:gridCol w:w="1967"/>
        <w:gridCol w:w="2552"/>
        <w:gridCol w:w="2693"/>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Tap number</w:t>
            </w:r>
          </w:p>
        </w:tc>
        <w:tc>
          <w:tcPr>
            <w:tcW w:w="1967" w:type="dxa"/>
            <w:tcBorders>
              <w:top w:val="single" w:sz="6" w:space="0" w:color="000000"/>
              <w:left w:val="single" w:sz="6" w:space="0" w:color="000000"/>
              <w:bottom w:val="single" w:sz="6" w:space="0" w:color="000000"/>
              <w:right w:val="single" w:sz="6" w:space="0" w:color="000000"/>
            </w:tcBorders>
          </w:tcPr>
          <w:p>
            <w:pPr>
              <w:pStyle w:val="TAH"/>
              <w:rPr/>
            </w:pPr>
            <w:r>
              <w:rPr/>
              <w:t>Relative time (ns)</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Average relative power (dB)</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t>Doppler spectrum</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9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-2.748 composed of:</w:t>
            </w:r>
          </w:p>
          <w:p>
            <w:pPr>
              <w:pStyle w:val="TAC"/>
              <w:rPr/>
            </w:pPr>
            <w:r>
              <w:rPr/>
              <w:t>-6.4 (Class)</w:t>
            </w:r>
          </w:p>
          <w:p>
            <w:pPr>
              <w:pStyle w:val="TAC"/>
              <w:rPr/>
            </w:pPr>
            <w:r>
              <w:rPr/>
              <w:t>-5.2 (Direct path)</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p>
            <w:pPr>
              <w:pStyle w:val="TAC"/>
              <w:rPr/>
            </w:pPr>
            <w:r>
              <w:rPr/>
              <w:t>+</w:t>
            </w:r>
          </w:p>
          <w:p>
            <w:pPr>
              <w:pStyle w:val="TAC"/>
              <w:rPr/>
            </w:pPr>
            <w:r>
              <w:rPr/>
              <w:t xml:space="preserve">Direct path, </w:t>
            </w:r>
            <w:r>
              <w:rPr/>
              <w:drawing>
                <wp:inline distT="0" distB="0" distL="0" distR="0">
                  <wp:extent cx="787400" cy="228600"/>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23"/>
                          <a:srcRect l="-46" t="-157" r="-46" b="-157"/>
                          <a:stretch>
                            <a:fillRect/>
                          </a:stretch>
                        </pic:blipFill>
                        <pic:spPr bwMode="auto">
                          <a:xfrm>
                            <a:off x="0" y="0"/>
                            <a:ext cx="787400" cy="228600"/>
                          </a:xfrm>
                          <a:prstGeom prst="rect">
                            <a:avLst/>
                          </a:prstGeom>
                        </pic:spPr>
                      </pic:pic>
                    </a:graphicData>
                  </a:graphic>
                </wp:inline>
              </w:drawing>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967" w:type="dxa"/>
            <w:tcBorders>
              <w:top w:val="single" w:sz="6" w:space="0" w:color="000000"/>
              <w:left w:val="single" w:sz="6" w:space="0" w:color="000000"/>
              <w:bottom w:val="single" w:sz="6" w:space="0" w:color="000000"/>
              <w:right w:val="single" w:sz="6" w:space="0" w:color="000000"/>
            </w:tcBorders>
          </w:tcPr>
          <w:p>
            <w:pPr>
              <w:pStyle w:val="TAC"/>
              <w:rPr/>
            </w:pPr>
            <w:r>
              <w:rPr/>
              <w:t>130.2</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-4.413</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67" w:type="dxa"/>
            <w:tcBorders>
              <w:top w:val="single" w:sz="6" w:space="0" w:color="000000"/>
              <w:left w:val="single" w:sz="6" w:space="0" w:color="000000"/>
              <w:bottom w:val="single" w:sz="6" w:space="0" w:color="000000"/>
              <w:right w:val="single" w:sz="6" w:space="0" w:color="000000"/>
            </w:tcBorders>
          </w:tcPr>
          <w:p>
            <w:pPr>
              <w:pStyle w:val="TAC"/>
              <w:rPr/>
            </w:pPr>
            <w:r>
              <w:rPr/>
              <w:t>260.4</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-11.052</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967" w:type="dxa"/>
            <w:tcBorders>
              <w:top w:val="single" w:sz="6" w:space="0" w:color="000000"/>
              <w:left w:val="single" w:sz="6" w:space="0" w:color="000000"/>
              <w:bottom w:val="single" w:sz="6" w:space="0" w:color="000000"/>
              <w:right w:val="single" w:sz="6" w:space="0" w:color="000000"/>
            </w:tcBorders>
          </w:tcPr>
          <w:p>
            <w:pPr>
              <w:pStyle w:val="TAC"/>
              <w:rPr/>
            </w:pPr>
            <w:r>
              <w:rPr/>
              <w:t>390.6</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-18.500</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967" w:type="dxa"/>
            <w:tcBorders>
              <w:top w:val="single" w:sz="6" w:space="0" w:color="000000"/>
              <w:left w:val="single" w:sz="6" w:space="0" w:color="000000"/>
              <w:bottom w:val="single" w:sz="6" w:space="0" w:color="000000"/>
              <w:right w:val="single" w:sz="6" w:space="0" w:color="000000"/>
            </w:tcBorders>
          </w:tcPr>
          <w:p>
            <w:pPr>
              <w:pStyle w:val="TAC"/>
              <w:rPr/>
            </w:pPr>
            <w:r>
              <w:rPr/>
              <w:t>520.8</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-18.276</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Class</w:t>
            </w:r>
          </w:p>
        </w:tc>
      </w:tr>
    </w:tbl>
    <w:p>
      <w:pPr>
        <w:pStyle w:val="Normal"/>
        <w:rPr/>
      </w:pPr>
      <w:r>
        <w:rPr/>
      </w:r>
    </w:p>
    <w:p>
      <w:pPr>
        <w:pStyle w:val="Normal"/>
        <w:rPr/>
      </w:pPr>
      <w:r>
        <w:rPr/>
        <w:t xml:space="preserve">The simplified channel model is sampled from the channel models listed in tables 5.2, 5.3 and 5.4.  This sampling is accomplished by rounding the taps into the sample bins based on the value of </w:t>
      </w:r>
      <w:r>
        <w:rPr>
          <w:rFonts w:eastAsia="Symbol" w:cs="Symbol" w:ascii="Symbol" w:hAnsi="Symbol"/>
        </w:rPr>
        <w:t></w:t>
      </w:r>
      <w:r>
        <w:rPr/>
        <w:t>T. All taps from (i-1/2)</w:t>
      </w:r>
      <w:r>
        <w:rPr>
          <w:rFonts w:eastAsia="Symbol" w:cs="Symbol" w:ascii="Symbol" w:hAnsi="Symbol"/>
        </w:rPr>
        <w:t></w:t>
      </w:r>
      <w:r>
        <w:rPr/>
        <w:t>T to and including (i+1/2)</w:t>
      </w:r>
      <w:r>
        <w:rPr>
          <w:rFonts w:eastAsia="Symbol" w:cs="Symbol" w:ascii="Symbol" w:hAnsi="Symbol"/>
        </w:rPr>
        <w:t></w:t>
      </w:r>
      <w:r>
        <w:rPr/>
        <w:t>T would be sampled into the tap positioned at delay i</w:t>
      </w:r>
      <w:r>
        <w:rPr>
          <w:rFonts w:eastAsia="Symbol" w:cs="Symbol" w:ascii="Symbol" w:hAnsi="Symbol"/>
        </w:rPr>
        <w:t></w:t>
      </w:r>
      <w:r>
        <w:rPr/>
        <w:t>T for all non-negative integers i.</w:t>
      </w:r>
    </w:p>
    <w:p>
      <w:pPr>
        <w:pStyle w:val="Normal"/>
        <w:rPr/>
      </w:pPr>
      <w:r>
        <w:rPr/>
        <w:t>For additional clarification, the computation of Table B.1 is demonstrated in the worksheet in Table B.2.</w:t>
      </w:r>
    </w:p>
    <w:p>
      <w:pPr>
        <w:pStyle w:val="TH"/>
        <w:rPr/>
      </w:pPr>
      <w:r>
        <w:rPr/>
        <w:t>Table B.2: Detailed worksheet to compute the simplified channel model in Table B.1</w:t>
      </w:r>
    </w:p>
    <w:tbl>
      <w:tblPr>
        <w:tblW w:w="9857" w:type="dxa"/>
        <w:jc w:val="center"/>
        <w:tblInd w:w="0" w:type="dxa"/>
        <w:tblLayout w:type="fixed"/>
        <w:tblCellMar>
          <w:top w:w="0" w:type="dxa"/>
          <w:left w:w="108" w:type="dxa"/>
          <w:bottom w:w="0" w:type="dxa"/>
          <w:right w:w="108" w:type="dxa"/>
        </w:tblCellMar>
      </w:tblPr>
      <w:tblGrid>
        <w:gridCol w:w="1642"/>
        <w:gridCol w:w="1643"/>
        <w:gridCol w:w="1643"/>
        <w:gridCol w:w="1643"/>
        <w:gridCol w:w="1643"/>
        <w:gridCol w:w="1643"/>
      </w:tblGrid>
      <w:tr>
        <w:trPr/>
        <w:tc>
          <w:tcPr>
            <w:tcW w:w="16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rPr>
            </w:pPr>
            <w:r>
              <w:rPr>
                <w:rFonts w:cs="Arial" w:ascii="Arial" w:hAnsi="Arial"/>
                <w:b/>
                <w:bCs/>
                <w:sz w:val="18"/>
              </w:rPr>
              <w:t>Tap number (from Table B.1)</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bCs/>
                <w:sz w:val="18"/>
              </w:rPr>
              <w:t>Tap Relative time (from Table B.1 in ns)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rPr>
            </w:pPr>
            <w:r>
              <w:rPr>
                <w:rFonts w:cs="Arial" w:ascii="Arial" w:hAnsi="Arial"/>
                <w:b/>
                <w:bCs/>
                <w:sz w:val="18"/>
              </w:rPr>
              <w:t>Relative time sampling range (from above sampling formula in ns)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rPr>
            </w:pPr>
            <w:r>
              <w:rPr>
                <w:rFonts w:cs="Arial" w:ascii="Arial" w:hAnsi="Arial"/>
                <w:b/>
                <w:bCs/>
                <w:sz w:val="18"/>
              </w:rPr>
              <w:t>Tap numbers from Table 5.3 sampled into this delay bin</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rPr>
            </w:pPr>
            <w:r>
              <w:rPr>
                <w:rFonts w:cs="Arial" w:ascii="Arial" w:hAnsi="Arial"/>
                <w:b/>
                <w:bCs/>
                <w:sz w:val="18"/>
              </w:rPr>
              <w:t>Tap powers from Table 5.3 sampled into this delay bin (dB)</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bCs/>
                <w:sz w:val="18"/>
              </w:rPr>
            </w:pPr>
            <w:r>
              <w:rPr>
                <w:rFonts w:cs="Arial" w:ascii="Arial" w:hAnsi="Arial"/>
                <w:b/>
                <w:bCs/>
                <w:sz w:val="18"/>
              </w:rPr>
              <w:t>Total average relative power sampled into this delay bin (dB)</w:t>
            </w:r>
          </w:p>
        </w:tc>
      </w:tr>
      <w:tr>
        <w:trPr/>
        <w:tc>
          <w:tcPr>
            <w:tcW w:w="16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rPr>
              <w:t>0.0</w:t>
            </w:r>
          </w:p>
        </w:tc>
        <w:tc>
          <w:tcPr>
            <w:tcW w:w="1643"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jc w:val="center"/>
              <w:rPr>
                <w:rFonts w:ascii="Arial" w:hAnsi="Arial" w:cs="Arial"/>
                <w:sz w:val="18"/>
                <w:lang w:val="en-GB" w:eastAsia="en-US"/>
              </w:rPr>
            </w:pPr>
            <w:r>
              <w:rPr>
                <w:rFonts w:cs="Arial" w:ascii="Arial" w:hAnsi="Arial"/>
                <w:sz w:val="18"/>
                <w:lang w:val="en-GB" w:eastAsia="en-US"/>
              </w:rPr>
              <w:t>0.0 to 65.1</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1, 2</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-5.2 (direct path), -6.4 (Class)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-2.748</w:t>
            </w:r>
          </w:p>
          <w:p>
            <w:pPr>
              <w:pStyle w:val="Normal"/>
              <w:spacing w:before="0" w:after="0"/>
              <w:jc w:val="center"/>
              <w:rPr>
                <w:rFonts w:ascii="Arial" w:hAnsi="Arial" w:cs="Arial"/>
                <w:sz w:val="18"/>
              </w:rPr>
            </w:pPr>
            <w:r>
              <w:rPr>
                <w:rFonts w:cs="Arial" w:ascii="Arial" w:hAnsi="Arial"/>
                <w:sz w:val="18"/>
              </w:rPr>
              <w:t>(-5.2 Direct path, -6.4 Class)</w:t>
            </w:r>
          </w:p>
        </w:tc>
      </w:tr>
      <w:tr>
        <w:trPr/>
        <w:tc>
          <w:tcPr>
            <w:tcW w:w="16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130.2</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65.1 to 195.3</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3, 4, 5</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-8.4, -9.3, -10.0 (all Class)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-4.413</w:t>
            </w:r>
          </w:p>
        </w:tc>
      </w:tr>
      <w:tr>
        <w:trPr/>
        <w:tc>
          <w:tcPr>
            <w:tcW w:w="16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3</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260.4</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195.3 to 325.5</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6, 7</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-13.1, -15.3 (all Class)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-11.052</w:t>
            </w:r>
          </w:p>
        </w:tc>
      </w:tr>
      <w:tr>
        <w:trPr/>
        <w:tc>
          <w:tcPr>
            <w:tcW w:w="16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4</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390.6</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325.5 to 455.7</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8</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rPr>
              <w:t>-18.5 (Class)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-18.500</w:t>
            </w:r>
          </w:p>
        </w:tc>
      </w:tr>
      <w:tr>
        <w:trPr/>
        <w:tc>
          <w:tcPr>
            <w:tcW w:w="16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5</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520.8</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455.7 to 585.9</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9, 10</w:t>
            </w:r>
          </w:p>
        </w:tc>
        <w:tc>
          <w:tcPr>
            <w:tcW w:w="16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-20.4, -22.4 (all Class)</w:t>
            </w:r>
          </w:p>
        </w:tc>
        <w:tc>
          <w:tcPr>
            <w:tcW w:w="16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-18.276</w:t>
            </w:r>
          </w:p>
        </w:tc>
      </w:tr>
    </w:tbl>
    <w:p>
      <w:pPr>
        <w:pStyle w:val="Normal"/>
        <w:rPr>
          <w:highlight w:val="yellow"/>
        </w:rPr>
      </w:pPr>
      <w:r>
        <w:rPr>
          <w:highlight w:val="yellow"/>
        </w:rPr>
      </w:r>
      <w:r>
        <w:br w:type="page"/>
      </w:r>
    </w:p>
    <w:p>
      <w:pPr>
        <w:pStyle w:val="Heading9"/>
        <w:rPr/>
      </w:pPr>
      <w:bookmarkStart w:id="24" w:name="__RefHeading___Toc518923381"/>
      <w:bookmarkEnd w:id="24"/>
      <w:r>
        <w:rPr/>
        <w:t>Annex C:</w:t>
        <w:br/>
        <w:t>Change history</w:t>
      </w:r>
    </w:p>
    <w:p>
      <w:pPr>
        <w:pStyle w:val="TH"/>
        <w:rPr/>
      </w:pPr>
      <w:r>
        <w:rPr/>
        <w:t>Table C.1: Document History</w:t>
      </w:r>
    </w:p>
    <w:tbl>
      <w:tblPr>
        <w:tblW w:w="9587" w:type="dxa"/>
        <w:jc w:val="center"/>
        <w:tblInd w:w="0" w:type="dxa"/>
        <w:tblLayout w:type="fixed"/>
        <w:tblCellMar>
          <w:top w:w="0" w:type="dxa"/>
          <w:left w:w="40" w:type="dxa"/>
          <w:bottom w:w="0" w:type="dxa"/>
          <w:right w:w="40" w:type="dxa"/>
        </w:tblCellMar>
      </w:tblPr>
      <w:tblGrid>
        <w:gridCol w:w="868"/>
        <w:gridCol w:w="6167"/>
        <w:gridCol w:w="850"/>
        <w:gridCol w:w="851"/>
        <w:gridCol w:w="851"/>
      </w:tblGrid>
      <w:tr>
        <w:trPr/>
        <w:tc>
          <w:tcPr>
            <w:tcW w:w="868" w:type="dxa"/>
            <w:tcBorders>
              <w:top w:val="single" w:sz="6" w:space="0" w:color="000000"/>
              <w:left w:val="single" w:sz="6" w:space="0" w:color="000000"/>
              <w:bottom w:val="single" w:sz="6" w:space="0" w:color="000000"/>
              <w:right w:val="single" w:sz="6" w:space="0" w:color="000000"/>
            </w:tcBorders>
            <w:shd w:fill="C0C0C0" w:val="clear"/>
          </w:tcPr>
          <w:p>
            <w:pPr>
              <w:pStyle w:val="TAH"/>
              <w:rPr>
                <w:rFonts w:cs="v4.2.0;Times New Roman"/>
                <w:lang w:val="en-US"/>
              </w:rPr>
            </w:pPr>
            <w:r>
              <w:rPr>
                <w:rFonts w:cs="v4.2.0;Times New Roman"/>
                <w:lang w:val="en-US"/>
              </w:rPr>
              <w:t>Time</w:t>
            </w:r>
          </w:p>
        </w:tc>
        <w:tc>
          <w:tcPr>
            <w:tcW w:w="6167" w:type="dxa"/>
            <w:tcBorders>
              <w:top w:val="single" w:sz="6" w:space="0" w:color="000000"/>
              <w:left w:val="single" w:sz="6" w:space="0" w:color="000000"/>
              <w:bottom w:val="single" w:sz="6" w:space="0" w:color="000000"/>
              <w:right w:val="single" w:sz="6" w:space="0" w:color="000000"/>
            </w:tcBorders>
            <w:shd w:fill="C0C0C0" w:val="clear"/>
          </w:tcPr>
          <w:p>
            <w:pPr>
              <w:pStyle w:val="TAH"/>
              <w:rPr>
                <w:rFonts w:cs="v4.2.0;Times New Roman"/>
                <w:lang w:val="en-US"/>
              </w:rPr>
            </w:pPr>
            <w:r>
              <w:rPr>
                <w:rFonts w:cs="v4.2.0;Times New Roman"/>
                <w:lang w:val="en-US"/>
              </w:rPr>
              <w:t>Title</w:t>
            </w:r>
          </w:p>
        </w:tc>
        <w:tc>
          <w:tcPr>
            <w:tcW w:w="850" w:type="dxa"/>
            <w:tcBorders>
              <w:top w:val="single" w:sz="6" w:space="0" w:color="000000"/>
              <w:left w:val="single" w:sz="6" w:space="0" w:color="000000"/>
              <w:bottom w:val="single" w:sz="6" w:space="0" w:color="000000"/>
              <w:right w:val="single" w:sz="6" w:space="0" w:color="000000"/>
            </w:tcBorders>
            <w:shd w:fill="C0C0C0" w:val="clear"/>
          </w:tcPr>
          <w:p>
            <w:pPr>
              <w:pStyle w:val="TAH"/>
              <w:rPr>
                <w:rFonts w:cs="v4.2.0;Times New Roman"/>
                <w:lang w:val="en-US"/>
              </w:rPr>
            </w:pPr>
            <w:r>
              <w:rPr>
                <w:rFonts w:cs="v4.2.0;Times New Roman"/>
                <w:lang w:val="en-US"/>
              </w:rPr>
              <w:t>Curr</w:t>
            </w:r>
          </w:p>
        </w:tc>
        <w:tc>
          <w:tcPr>
            <w:tcW w:w="851" w:type="dxa"/>
            <w:tcBorders>
              <w:top w:val="single" w:sz="6" w:space="0" w:color="000000"/>
              <w:left w:val="single" w:sz="6" w:space="0" w:color="000000"/>
              <w:bottom w:val="single" w:sz="6" w:space="0" w:color="000000"/>
              <w:right w:val="single" w:sz="6" w:space="0" w:color="000000"/>
            </w:tcBorders>
            <w:shd w:fill="C0C0C0" w:val="clear"/>
          </w:tcPr>
          <w:p>
            <w:pPr>
              <w:pStyle w:val="TAH"/>
              <w:rPr>
                <w:rFonts w:cs="v4.2.0;Times New Roman"/>
                <w:lang w:val="en-US"/>
              </w:rPr>
            </w:pPr>
            <w:r>
              <w:rPr>
                <w:rFonts w:cs="v4.2.0;Times New Roman"/>
                <w:lang w:val="en-US"/>
              </w:rPr>
              <w:t>New</w:t>
            </w:r>
          </w:p>
        </w:tc>
        <w:tc>
          <w:tcPr>
            <w:tcW w:w="851" w:type="dxa"/>
            <w:tcBorders>
              <w:top w:val="single" w:sz="6" w:space="0" w:color="000000"/>
              <w:left w:val="single" w:sz="6" w:space="0" w:color="000000"/>
              <w:bottom w:val="single" w:sz="6" w:space="0" w:color="000000"/>
              <w:right w:val="single" w:sz="6" w:space="0" w:color="000000"/>
            </w:tcBorders>
            <w:shd w:fill="C0C0C0" w:val="clear"/>
          </w:tcPr>
          <w:p>
            <w:pPr>
              <w:pStyle w:val="TAH"/>
              <w:rPr>
                <w:rFonts w:cs="v4.2.0;Times New Roman"/>
                <w:lang w:val="en-US"/>
              </w:rPr>
            </w:pPr>
            <w:r>
              <w:rPr>
                <w:rFonts w:cs="v4.2.0;Times New Roman"/>
                <w:lang w:val="en-US"/>
              </w:rPr>
              <w:t>WI</w:t>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rFonts w:cs="v4.2.0;Times New Roman"/>
                <w:lang w:val="en-US"/>
              </w:rPr>
            </w:pPr>
            <w:r>
              <w:rPr>
                <w:rFonts w:cs="v4.2.0;Times New Roman"/>
                <w:lang w:val="en-US"/>
              </w:rPr>
              <w:t>RP-36</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v4.2.0;Times New Roman"/>
                <w:lang w:val="en-US"/>
              </w:rPr>
            </w:pPr>
            <w:r>
              <w:rPr>
                <w:rFonts w:cs="v4.2.0;Times New Roman"/>
                <w:lang w:val="en-US"/>
              </w:rPr>
              <w:t xml:space="preserve">Rel-7 version created based on v6.0.0. </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C"/>
              <w:rPr>
                <w:rFonts w:cs="v4.2.0;Times New Roman"/>
                <w:lang w:val="en-US"/>
              </w:rPr>
            </w:pPr>
            <w:r>
              <w:rPr>
                <w:rFonts w:cs="v4.2.0;Times New Roman"/>
                <w:lang w:val="en-US"/>
              </w:rPr>
              <w:t>6.0.0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C"/>
              <w:rPr>
                <w:rFonts w:cs="v4.2.0;Times New Roman"/>
                <w:lang w:val="en-US"/>
              </w:rPr>
            </w:pPr>
            <w:r>
              <w:rPr>
                <w:rFonts w:cs="v4.2.0;Times New Roman"/>
                <w:lang w:val="en-US"/>
              </w:rPr>
              <w:t>7.0.0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C"/>
              <w:rPr>
                <w:rFonts w:cs="v4.2.0;Times New Roman"/>
                <w:lang w:val="en-US"/>
              </w:rPr>
            </w:pPr>
            <w:r>
              <w:rPr>
                <w:rFonts w:cs="v4.2.0;Times New Roman"/>
                <w:lang w:val="en-US"/>
              </w:rPr>
              <w:t>-</w:t>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lang w:val="en-US"/>
              </w:rPr>
            </w:pPr>
            <w:r>
              <w:rPr>
                <w:lang w:val="en-US"/>
              </w:rPr>
              <w:t>SP-</w:t>
            </w:r>
            <w:r>
              <w:rPr/>
              <w:t>42</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Upgraded unchanged from Rel 7</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rPr>
            </w:pPr>
            <w:r>
              <w:rPr>
                <w:lang w:val="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US"/>
              </w:rPr>
              <w:t>8.0.0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rPr>
            </w:pPr>
            <w:r>
              <w:rPr>
                <w:lang w:val="en-US"/>
              </w:rPr>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lang w:val="en-US"/>
              </w:rPr>
            </w:pPr>
            <w:r>
              <w:rPr>
                <w:lang w:val="en-US"/>
              </w:rPr>
              <w:t>SP-</w:t>
            </w:r>
            <w:r>
              <w:rPr/>
              <w:t>46</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szCs w:val="18"/>
                <w:lang w:val="en-US"/>
              </w:rPr>
            </w:pPr>
            <w:r>
              <w:rPr>
                <w:szCs w:val="18"/>
                <w:lang w:val="en-US"/>
              </w:rPr>
              <w:t>Upgraded unchanged from Rel 8</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szCs w:val="18"/>
                <w:lang w:val="en-US"/>
              </w:rPr>
            </w:pPr>
            <w:r>
              <w:rPr>
                <w:szCs w:val="18"/>
                <w:lang w:val="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9.0.0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rPr>
            </w:pPr>
            <w:r>
              <w:rPr>
                <w:lang w:val="en-US"/>
              </w:rPr>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rFonts w:cs="Arial"/>
                <w:lang w:val="en-US"/>
              </w:rPr>
            </w:pPr>
            <w:r>
              <w:rPr>
                <w:lang w:val="en-US"/>
              </w:rPr>
              <w:t>SP-51</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szCs w:val="18"/>
                <w:lang w:val="en-US"/>
              </w:rPr>
            </w:pPr>
            <w:r>
              <w:rPr>
                <w:color w:val="000000"/>
                <w:szCs w:val="18"/>
                <w:lang w:val="en-AU"/>
              </w:rPr>
              <w:t>Upgraded unchanged from Rel-9</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9.0.0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10.0.0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rPr>
            </w:pPr>
            <w:r>
              <w:rPr>
                <w:lang w:val="en-US"/>
              </w:rPr>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lang w:val="en-US"/>
              </w:rPr>
            </w:pPr>
            <w:r>
              <w:rPr>
                <w:lang w:val="en-US"/>
              </w:rPr>
              <w:t>SP-57</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lang w:val="en-US"/>
              </w:rPr>
              <w:t>Update to Rel-11 version (MCC)</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10.0.0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11.0.0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rPr>
            </w:pPr>
            <w:r>
              <w:rPr>
                <w:lang w:val="en-US"/>
              </w:rPr>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lang w:val="en-US"/>
              </w:rPr>
            </w:pPr>
            <w:r>
              <w:rPr>
                <w:lang w:val="en-US"/>
              </w:rPr>
              <w:t>SP-65</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Update to Rel-12 version (MCC)</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11.0.0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12.0.0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szCs w:val="18"/>
                <w:lang w:val="en-AU"/>
              </w:rPr>
            </w:pPr>
            <w:r>
              <w:rPr>
                <w:color w:val="000000"/>
                <w:szCs w:val="18"/>
                <w:lang w:val="en-AU"/>
              </w:rPr>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lang w:val="en-US"/>
              </w:rPr>
            </w:pPr>
            <w:r>
              <w:rPr>
                <w:lang w:val="en-US"/>
              </w:rPr>
              <w:t>SP-70</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rPr>
            </w:pPr>
            <w:r>
              <w:rPr>
                <w:lang w:val="en-US"/>
              </w:rPr>
              <w:t>Update to Rel-13 version (MCC)</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12.0.0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color w:val="000000"/>
                <w:szCs w:val="18"/>
                <w:lang w:val="en-AU"/>
              </w:rPr>
              <w:t>13.0.0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b/>
                <w:b/>
                <w:color w:val="000000"/>
                <w:szCs w:val="18"/>
                <w:lang w:val="en-AU"/>
              </w:rPr>
            </w:pPr>
            <w:r>
              <w:rPr>
                <w:b/>
                <w:color w:val="000000"/>
                <w:szCs w:val="18"/>
                <w:lang w:val="en-AU"/>
              </w:rPr>
            </w:r>
          </w:p>
        </w:tc>
      </w:tr>
      <w:tr>
        <w:trPr/>
        <w:tc>
          <w:tcPr>
            <w:tcW w:w="868" w:type="dxa"/>
            <w:tcBorders>
              <w:top w:val="single" w:sz="6" w:space="0" w:color="C0C0C0"/>
              <w:left w:val="single" w:sz="6" w:space="0" w:color="C0C0C0"/>
              <w:bottom w:val="single" w:sz="6" w:space="0" w:color="C0C0C0"/>
              <w:right w:val="single" w:sz="6" w:space="0" w:color="C0C0C0"/>
            </w:tcBorders>
            <w:shd w:fill="FFFFFF" w:val="clear"/>
          </w:tcPr>
          <w:p>
            <w:pPr>
              <w:pStyle w:val="TAC"/>
              <w:rPr>
                <w:lang w:val="en-US" w:eastAsia="ko-KR"/>
              </w:rPr>
            </w:pPr>
            <w:r>
              <w:rPr>
                <w:lang w:val="en-US" w:eastAsia="ko-KR"/>
              </w:rPr>
              <w:t>RP-75</w:t>
            </w:r>
          </w:p>
        </w:tc>
        <w:tc>
          <w:tcPr>
            <w:tcW w:w="61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ko-KR"/>
              </w:rPr>
            </w:pPr>
            <w:r>
              <w:rPr>
                <w:color w:val="000000"/>
                <w:szCs w:val="18"/>
                <w:lang w:val="en-AU"/>
              </w:rPr>
              <w:t>Update to Rel-14 version (MCC)</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13.0.0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szCs w:val="18"/>
                <w:lang w:val="en-AU"/>
              </w:rPr>
            </w:pPr>
            <w:r>
              <w:rPr>
                <w:color w:val="000000"/>
                <w:szCs w:val="18"/>
                <w:lang w:val="en-AU"/>
              </w:rPr>
              <w:t>14.0.0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szCs w:val="18"/>
                <w:lang w:val="en-AU"/>
              </w:rPr>
            </w:pPr>
            <w:r>
              <w:rPr>
                <w:color w:val="000000"/>
                <w:szCs w:val="18"/>
                <w:lang w:val="en-AU"/>
              </w:rPr>
            </w:r>
          </w:p>
        </w:tc>
      </w:tr>
    </w:tbl>
    <w:p>
      <w:pPr>
        <w:pStyle w:val="Normal"/>
        <w:rPr>
          <w:lang w:eastAsia="ko-KR"/>
        </w:rPr>
      </w:pPr>
      <w:r>
        <w:rPr>
          <w:lang w:eastAsia="ko-KR"/>
        </w:rPr>
      </w:r>
    </w:p>
    <w:p>
      <w:pPr>
        <w:pStyle w:val="TH"/>
        <w:rPr>
          <w:lang w:eastAsia="ko-KR"/>
        </w:rPr>
      </w:pPr>
      <w:r>
        <w:rPr>
          <w:lang w:eastAsia="ko-K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w:t>
            </w:r>
            <w:r>
              <w:rPr>
                <w:sz w:val="16"/>
                <w:szCs w:val="16"/>
              </w:rPr>
              <w:t>8</w:t>
            </w:r>
            <w:r>
              <w:rPr>
                <w:sz w:val="16"/>
                <w:szCs w:val="16"/>
              </w:rPr>
              <w:t>-0</w:t>
            </w:r>
            <w:r>
              <w:rPr>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w:t>
            </w:r>
            <w:r>
              <w:rPr>
                <w:sz w:val="16"/>
                <w:szCs w:val="16"/>
              </w:rPr>
              <w:t>5</w:t>
            </w:r>
            <w:r>
              <w:rPr>
                <w:sz w:val="16"/>
                <w:szCs w:val="16"/>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w:t>
            </w:r>
            <w:r>
              <w:rPr>
                <w:sz w:val="16"/>
                <w:szCs w:val="16"/>
              </w:rPr>
              <w:t>5</w:t>
            </w:r>
            <w:r>
              <w:rPr>
                <w:sz w:val="16"/>
                <w:szCs w:val="16"/>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eastAsia="ko-KR"/>
        </w:rPr>
      </w:pPr>
      <w:r>
        <w:rPr>
          <w:lang w:eastAsia="ko-KR"/>
        </w:rPr>
      </w:r>
    </w:p>
    <w:sectPr>
      <w:headerReference w:type="default" r:id="rId24"/>
      <w:footerReference w:type="default" r:id="rId25"/>
      <w:type w:val="nextPage"/>
      <w:pgSz w:w="11906" w:h="16838"/>
      <w:pgMar w:left="1133" w:right="1133" w:gutter="0" w:header="850" w:top="1134"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Palatino">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24990" cy="131445"/>
              <wp:effectExtent l="0" t="0" r="0" b="0"/>
              <wp:wrapSquare wrapText="largest"/>
              <wp:docPr id="30"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25.943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25.943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3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cs="v4.2.0;Times New Roman"/>
      <w:sz w:val="18"/>
    </w:rPr>
  </w:style>
  <w:style w:type="character" w:styleId="WW8Num3z0">
    <w:name w:val="WW8Num3z0"/>
    <w:qFormat/>
    <w:rPr/>
  </w:style>
  <w:style w:type="character" w:styleId="WW8Num4z0">
    <w:name w:val="WW8Num4z0"/>
    <w:qFormat/>
    <w:rPr>
      <w:rFonts w:cs="v4.2.0;Times New Roman"/>
      <w:sz w:val="18"/>
    </w:rPr>
  </w:style>
  <w:style w:type="character" w:styleId="WW8Num5z0">
    <w:name w:val="WW8Num5z0"/>
    <w:qFormat/>
    <w:rPr>
      <w:rFonts w:cs="v4.2.0;Times New Roman"/>
      <w:sz w:val="18"/>
    </w:rPr>
  </w:style>
  <w:style w:type="character" w:styleId="WW8Num6z0">
    <w:name w:val="WW8Num6z0"/>
    <w:qFormat/>
    <w:rPr>
      <w:sz w:val="18"/>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z w:val="18"/>
    </w:rPr>
  </w:style>
  <w:style w:type="character" w:styleId="WW8Num11z0">
    <w:name w:val="WW8Num11z0"/>
    <w:qFormat/>
    <w:rPr>
      <w:sz w:val="18"/>
    </w:rPr>
  </w:style>
  <w:style w:type="character" w:styleId="WW8Num12z0">
    <w:name w:val="WW8Num12z0"/>
    <w:qFormat/>
    <w:rPr/>
  </w:style>
  <w:style w:type="character" w:styleId="WW8Num13z0">
    <w:name w:val="WW8Num13z0"/>
    <w:qFormat/>
    <w:rPr>
      <w:rFonts w:cs="v4.2.0;Times New Roman"/>
      <w:sz w:val="18"/>
    </w:rPr>
  </w:style>
  <w:style w:type="character" w:styleId="WW8Num14z0">
    <w:name w:val="WW8Num14z0"/>
    <w:qFormat/>
    <w:rPr>
      <w:sz w:val="18"/>
    </w:rPr>
  </w:style>
  <w:style w:type="character" w:styleId="WW8Num15z0">
    <w:name w:val="WW8Num15z0"/>
    <w:qFormat/>
    <w:rPr>
      <w:rFonts w:cs="v4.2.0;Times New Roman"/>
      <w:sz w:val="18"/>
    </w:rPr>
  </w:style>
  <w:style w:type="character" w:styleId="WW8Num16z0">
    <w:name w:val="WW8Num16z0"/>
    <w:qFormat/>
    <w:rPr/>
  </w:style>
  <w:style w:type="character" w:styleId="WW8Num17z0">
    <w:name w:val="WW8Num17z0"/>
    <w:qFormat/>
    <w:rPr>
      <w:rFonts w:ascii="Symbol" w:hAnsi="Symbol" w:cs="Symbol"/>
    </w:rPr>
  </w:style>
  <w:style w:type="character" w:styleId="WW8Num18z0">
    <w:name w:val="WW8Num18z0"/>
    <w:qFormat/>
    <w:rPr/>
  </w:style>
  <w:style w:type="character" w:styleId="WW8Num19z0">
    <w:name w:val="WW8Num19z0"/>
    <w:qFormat/>
    <w:rPr>
      <w:sz w:val="18"/>
    </w:rPr>
  </w:style>
  <w:style w:type="character" w:styleId="WW8Num20z0">
    <w:name w:val="WW8Num20z0"/>
    <w:qFormat/>
    <w:rPr>
      <w:rFonts w:ascii="Symbol" w:hAnsi="Symbol" w:cs="Symbol"/>
    </w:rPr>
  </w:style>
  <w:style w:type="character" w:styleId="WW8Num21z0">
    <w:name w:val="WW8Num21z0"/>
    <w:qFormat/>
    <w:rPr>
      <w:sz w:val="18"/>
    </w:rPr>
  </w:style>
  <w:style w:type="character" w:styleId="WW8Num23z0">
    <w:name w:val="WW8Num23z0"/>
    <w:qFormat/>
    <w:rPr>
      <w:rFonts w:cs="v4.2.0;Times New Roman"/>
      <w:sz w:val="18"/>
    </w:rPr>
  </w:style>
  <w:style w:type="character" w:styleId="WW8Num24z0">
    <w:name w:val="WW8Num24z0"/>
    <w:qFormat/>
    <w:rPr/>
  </w:style>
  <w:style w:type="character" w:styleId="WW8Num25z0">
    <w:name w:val="WW8Num25z0"/>
    <w:qFormat/>
    <w:rPr>
      <w:rFonts w:cs="v4.2.0;Times New Roman"/>
      <w:sz w:val="18"/>
    </w:rPr>
  </w:style>
  <w:style w:type="character" w:styleId="WW8Num26z0">
    <w:name w:val="WW8Num26z0"/>
    <w:qFormat/>
    <w:rPr>
      <w:sz w:val="18"/>
    </w:rPr>
  </w:style>
  <w:style w:type="character" w:styleId="WW8Num27z0">
    <w:name w:val="WW8Num2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TALChar">
    <w:name w:val="TAL Char"/>
    <w:qFormat/>
    <w:rPr>
      <w:rFonts w:ascii="Arial" w:hAnsi="Arial" w:cs="Arial"/>
      <w:sz w:val="18"/>
      <w:lang w:val="en-GB" w:bidi="ar-SA"/>
    </w:rPr>
  </w:style>
  <w:style w:type="character" w:styleId="TACChar">
    <w:name w:val="TAC Char"/>
    <w:basedOn w:val="TALChar"/>
    <w:qFormat/>
    <w:rPr/>
  </w:style>
  <w:style w:type="character" w:styleId="THChar">
    <w:name w:val="TH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algun Gothic"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algun Gothic"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TableBody">
    <w:name w:val="TableBody"/>
    <w:basedOn w:val="Normal"/>
    <w:qFormat/>
    <w:pPr>
      <w:widowControl w:val="false"/>
      <w:spacing w:before="0" w:after="0"/>
    </w:pPr>
    <w:rPr>
      <w:rFonts w:ascii="Palatino" w:hAnsi="Palatino" w:cs="Palatino"/>
      <w:sz w:val="24"/>
      <w:lang w:val="en-AU"/>
    </w:rPr>
  </w:style>
  <w:style w:type="paragraph" w:styleId="TableHead">
    <w:name w:val="TableHead"/>
    <w:basedOn w:val="Normal"/>
    <w:qFormat/>
    <w:pPr>
      <w:widowControl w:val="false"/>
      <w:tabs>
        <w:tab w:val="clear" w:pos="284"/>
        <w:tab w:val="left" w:pos="1872" w:leader="none"/>
      </w:tabs>
      <w:spacing w:before="0" w:after="0"/>
      <w:jc w:val="center"/>
    </w:pPr>
    <w:rPr>
      <w:rFonts w:ascii="Palatino" w:hAnsi="Palatino" w:cs="Palatino"/>
      <w:sz w:val="24"/>
      <w:lang w:val="en-AU"/>
    </w:rPr>
  </w:style>
  <w:style w:type="paragraph" w:styleId="AdmInfo">
    <w:name w:val="AdmInfo"/>
    <w:basedOn w:val="Normal"/>
    <w:qFormat/>
    <w:pPr>
      <w:widowControl w:val="false"/>
      <w:spacing w:before="0" w:after="0"/>
    </w:pPr>
    <w:rPr>
      <w:rFonts w:ascii="Palatino" w:hAnsi="Palatino" w:cs="Palatino"/>
      <w:sz w:val="24"/>
      <w:lang w:val="en-AU"/>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3.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2020-07-16T14:45:00Z</dcterms:created>
  <dc:creator>MCC Support</dc:creator>
  <dc:description/>
  <cp:keywords/>
  <dc:language>en-US</dc:language>
  <cp:lastModifiedBy>MCC</cp:lastModifiedBy>
  <cp:lastPrinted>2001-06-11T17:52:00Z</cp:lastPrinted>
  <dcterms:modified xsi:type="dcterms:W3CDTF">2020-07-16T17:35:00Z</dcterms:modified>
  <cp:revision>3</cp:revision>
  <dc:subject>Deployment aspects (Release 16)</dc:subject>
  <dc:title>3GPP TR 25.943</dc:title>
</cp:coreProperties>
</file>