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historyclause"/>
                            <w:bookmarkStart w:id="2" w:name="pages12"/>
                            <w:bookmarkEnd w:id="0"/>
                            <w:bookmarkEnd w:id="1"/>
                            <w:bookmarkEnd w:id="2"/>
                            <w:r>
                              <w:rPr>
                                <w:sz w:val="64"/>
                              </w:rPr>
                              <w:t>3GPP TS 26.177</w:t>
                            </w:r>
                            <w:r>
                              <w:rPr>
                                <w:sz w:val="64"/>
                                <w:lang w:val="en-GB" w:eastAsia="en-US"/>
                              </w:rPr>
                              <w:t xml:space="preserve"> </w:t>
                            </w:r>
                            <w:r>
                              <w:rPr>
                                <w:lang w:val="en-GB" w:eastAsia="en-US"/>
                              </w:rPr>
                              <w:t>V16.0.0</w:t>
                            </w:r>
                            <w:r>
                              <w:rPr/>
                              <w:t xml:space="preserve">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3" w:name="page1"/>
                      <w:bookmarkStart w:id="4" w:name="historyclause"/>
                      <w:bookmarkStart w:id="5" w:name="pages12"/>
                      <w:bookmarkEnd w:id="3"/>
                      <w:bookmarkEnd w:id="4"/>
                      <w:bookmarkEnd w:id="5"/>
                      <w:r>
                        <w:rPr>
                          <w:sz w:val="64"/>
                        </w:rPr>
                        <w:t>3GPP TS 26.177</w:t>
                      </w:r>
                      <w:r>
                        <w:rPr>
                          <w:sz w:val="64"/>
                          <w:lang w:val="en-GB" w:eastAsia="en-US"/>
                        </w:rPr>
                        <w:t xml:space="preserve"> </w:t>
                      </w:r>
                      <w:r>
                        <w:rPr>
                          <w:lang w:val="en-GB" w:eastAsia="en-US"/>
                        </w:rPr>
                        <w:t>V16.0.0</w:t>
                      </w:r>
                      <w:r>
                        <w:rPr/>
                        <w:t xml:space="preserve">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spacing w:lineRule="auto" w:line="240"/>
                              <w:rPr/>
                            </w:pPr>
                            <w:r>
                              <w:rPr/>
                              <w:t>Technical Specification Group Services and System Aspects;</w:t>
                            </w:r>
                          </w:p>
                          <w:p>
                            <w:pPr>
                              <w:pStyle w:val="ZT"/>
                              <w:rPr/>
                            </w:pPr>
                            <w:r>
                              <w:rPr/>
                              <w:t xml:space="preserve">Speech Enabled Services (SES); </w:t>
                            </w:r>
                          </w:p>
                          <w:p>
                            <w:pPr>
                              <w:pStyle w:val="ZT"/>
                              <w:rPr/>
                            </w:pPr>
                            <w:r>
                              <w:rPr/>
                              <w:t>Distributed Speech Recognition (DSR) extended advanced front-end test sequences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spacing w:lineRule="auto" w:line="240"/>
                        <w:rPr/>
                      </w:pPr>
                      <w:r>
                        <w:rPr/>
                        <w:t>Technical Specification Group Services and System Aspects;</w:t>
                      </w:r>
                    </w:p>
                    <w:p>
                      <w:pPr>
                        <w:pStyle w:val="ZT"/>
                        <w:rPr/>
                      </w:pPr>
                      <w:r>
                        <w:rPr/>
                        <w:t xml:space="preserve">Speech Enabled Services (SES); </w:t>
                      </w:r>
                    </w:p>
                    <w:p>
                      <w:pPr>
                        <w:pStyle w:val="ZT"/>
                        <w:rPr/>
                      </w:pPr>
                      <w:r>
                        <w:rPr/>
                        <w:t>Distributed Speech Recognition (DSR) extended advanced front-end test sequences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355600"/>
                <wp:effectExtent l="0" t="0" r="0" b="0"/>
                <wp:wrapTopAndBottom/>
                <wp:docPr id="10" name="Frame6"/>
                <a:graphic xmlns:a="http://schemas.openxmlformats.org/drawingml/2006/main">
                  <a:graphicData uri="http://schemas.microsoft.com/office/word/2010/wordprocessingShape">
                    <wps:wsp>
                      <wps:cNvSpPr txBox="1"/>
                      <wps:spPr>
                        <a:xfrm>
                          <a:off x="0" y="0"/>
                          <a:ext cx="6480810" cy="355600"/>
                        </a:xfrm>
                        <a:prstGeom prst="rect"/>
                        <a:solidFill>
                          <a:srgbClr val="FFFFFF">
                            <a:alpha val="0"/>
                          </a:srgbClr>
                        </a:solidFill>
                      </wps:spPr>
                      <wps:txbx>
                        <w:txbxContent>
                          <w:p>
                            <w:pPr>
                              <w:pStyle w:val="ZV"/>
                              <w:rPr/>
                            </w:pPr>
                            <w:r>
                              <w:rPr/>
                            </w:r>
                          </w:p>
                          <w:p>
                            <w:pPr>
                              <w:pStyle w:val="ZV"/>
                              <w:rPr/>
                            </w:pPr>
                            <w:r>
                              <w:rPr/>
                            </w:r>
                          </w:p>
                        </w:txbxContent>
                      </wps:txbx>
                      <wps:bodyPr anchor="t" lIns="0" tIns="12700" rIns="0" bIns="0">
                        <a:noAutofit/>
                      </wps:bodyPr>
                    </wps:wsp>
                  </a:graphicData>
                </a:graphic>
              </wp:anchor>
            </w:drawing>
          </mc:Choice>
          <mc:Fallback>
            <w:pict>
              <v:rect fillcolor="#FFFFFF" style="position:absolute;rotation:-0;width:510.3pt;height:2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1797050</wp:posOffset>
                </wp:positionV>
                <wp:extent cx="6115050" cy="452755"/>
                <wp:effectExtent l="0" t="0" r="0" b="0"/>
                <wp:wrapTopAndBottom/>
                <wp:docPr id="11" name="Frame7"/>
                <a:graphic xmlns:a="http://schemas.openxmlformats.org/drawingml/2006/main">
                  <a:graphicData uri="http://schemas.microsoft.com/office/word/2010/wordprocessingShape">
                    <wps:wsp>
                      <wps:cNvSpPr txBox="1"/>
                      <wps:spPr>
                        <a:xfrm>
                          <a:off x="0" y="0"/>
                          <a:ext cx="6115050" cy="452755"/>
                        </a:xfrm>
                        <a:prstGeom prst="rect"/>
                        <a:solidFill>
                          <a:srgbClr val="FFFFFF">
                            <a:alpha val="0"/>
                          </a:srgbClr>
                        </a:solidFill>
                      </wps:spPr>
                      <wps:txbx>
                        <w:txbxContent>
                          <w:p>
                            <w:pPr>
                              <w:pStyle w:val="FP"/>
                              <w:spacing w:before="240" w:after="0"/>
                              <w:ind w:left="2835" w:right="2835" w:hanging="0"/>
                              <w:jc w:val="center"/>
                              <w:rPr/>
                            </w:pPr>
                            <w:bookmarkStart w:id="6" w:name="page2"/>
                            <w:bookmarkEnd w:id="6"/>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wps:txbx>
                      <wps:bodyPr anchor="t" lIns="0" tIns="0" rIns="0" bIns="12700">
                        <a:noAutofit/>
                      </wps:bodyPr>
                    </wps:wsp>
                  </a:graphicData>
                </a:graphic>
              </wp:anchor>
            </w:drawing>
          </mc:Choice>
          <mc:Fallback>
            <w:pict>
              <v:rect fillcolor="#FFFFFF" style="position:absolute;rotation:-0;width:481.5pt;height:35.65pt;mso-wrap-distance-left:0pt;mso-wrap-distance-right:0pt;mso-wrap-distance-top:0pt;mso-wrap-distance-bottom:0pt;margin-top:141.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7" w:name="page2"/>
                      <w:bookmarkEnd w:id="7"/>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15050" cy="1779905"/>
                <wp:effectExtent l="0" t="0" r="0" b="0"/>
                <wp:wrapTopAndBottom/>
                <wp:docPr id="12" name="Frame8"/>
                <a:graphic xmlns:a="http://schemas.openxmlformats.org/drawingml/2006/main">
                  <a:graphicData uri="http://schemas.microsoft.com/office/word/2010/wordprocessingShape">
                    <wps:wsp>
                      <wps:cNvSpPr txBox="1"/>
                      <wps:spPr>
                        <a:xfrm>
                          <a:off x="0" y="0"/>
                          <a:ext cx="611505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15050" cy="1696085"/>
                <wp:effectExtent l="0" t="0" r="0" b="0"/>
                <wp:wrapTopAndBottom/>
                <wp:docPr id="13" name="Frame9"/>
                <a:graphic xmlns:a="http://schemas.openxmlformats.org/drawingml/2006/main">
                  <a:graphicData uri="http://schemas.microsoft.com/office/word/2010/wordprocessingShape">
                    <wps:wsp>
                      <wps:cNvSpPr txBox="1"/>
                      <wps:spPr>
                        <a:xfrm>
                          <a:off x="0" y="0"/>
                          <a:ext cx="611505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8" w:name="copyrightaddon"/>
                            <w:bookmarkEnd w:id="8"/>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5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9" w:name="copyrightaddon"/>
                      <w:bookmarkEnd w:id="9"/>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593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593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7593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27593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7593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sequence format</w:t>
            <w:tab/>
          </w:r>
          <w:hyperlink w:anchor="__RefHeading___Toc51727594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File format</w:t>
            <w:tab/>
          </w:r>
          <w:hyperlink w:anchor="__RefHeading___Toc517275941">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DSR test sequences</w:t>
            <w:tab/>
          </w:r>
          <w:hyperlink w:anchor="__RefHeading___Toc517275942">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517275943">
            <w:r>
              <w:rPr>
                <w:rStyle w:val="IndexLink"/>
                <w:b w:val="false"/>
              </w:rPr>
              <w:t>7</w:t>
            </w:r>
          </w:hyperlink>
          <w:r>
            <w:rPr>
              <w:rStyle w:val="IndexLink"/>
              <w:b w:val="false"/>
            </w:rPr>
            <w:fldChar w:fldCharType="end"/>
          </w:r>
        </w:p>
      </w:sdtContent>
    </w:sdt>
    <w:p>
      <w:pPr>
        <w:pStyle w:val="Normal"/>
        <w:rPr>
          <w:rFonts w:ascii="Arial" w:hAnsi="Arial" w:cs="Arial"/>
          <w:b/>
          <w:b/>
          <w:color w:val="000000"/>
          <w:sz w:val="22"/>
          <w:szCs w:val="22"/>
          <w:lang w:val="en-US" w:eastAsia="en-US"/>
        </w:rPr>
      </w:pPr>
      <w:r>
        <w:rPr>
          <w:rFonts w:cs="Arial" w:ascii="Arial" w:hAnsi="Arial"/>
          <w:b/>
          <w:color w:val="000000"/>
          <w:sz w:val="22"/>
          <w:szCs w:val="22"/>
          <w:lang w:val="en-US" w:eastAsia="en-US"/>
        </w:rPr>
      </w:r>
      <w:r>
        <w:br w:type="page"/>
      </w:r>
    </w:p>
    <w:p>
      <w:pPr>
        <w:pStyle w:val="Heading1"/>
        <w:ind w:left="1134" w:hanging="1134"/>
        <w:rPr/>
      </w:pPr>
      <w:bookmarkStart w:id="10" w:name="__RefHeading___Toc517275935"/>
      <w:bookmarkEnd w:id="10"/>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517275936"/>
      <w:bookmarkEnd w:id="11"/>
      <w:r>
        <w:rPr/>
        <w:t>1</w:t>
        <w:tab/>
        <w:t>Scope</w:t>
      </w:r>
    </w:p>
    <w:p>
      <w:pPr>
        <w:pStyle w:val="Normal"/>
        <w:rPr/>
      </w:pPr>
      <w:r>
        <w:rPr/>
        <w:t xml:space="preserve">The present document specifies the digital test sequences for the DSR Extended Advanced Front-end speech codec. These sequences can be used to test for a bit exact implementation of the DSR Advanced Front-end codec and quantization (3GPP TS 26.243). </w:t>
      </w:r>
    </w:p>
    <w:p>
      <w:pPr>
        <w:pStyle w:val="Heading1"/>
        <w:ind w:left="1134" w:hanging="1134"/>
        <w:rPr>
          <w:rFonts w:eastAsia="Arial Unicode MS"/>
        </w:rPr>
      </w:pPr>
      <w:bookmarkStart w:id="12" w:name="__RefHeading___Toc517275937"/>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26.243: "ANSI-C code for the Fixed-Point Distributed Speech Recognition Extended Advanced Front-end".</w:t>
      </w:r>
    </w:p>
    <w:p>
      <w:pPr>
        <w:pStyle w:val="EX"/>
        <w:rPr/>
      </w:pPr>
      <w:r>
        <w:rPr/>
        <w:t>[2]</w:t>
        <w:tab/>
        <w:t>ETSI ES 202 050 (2007-01) V1.1.5: "Speech Processing, Transmission and Quality Aspects (STQ); Distributed speech recognition; Advanced front-end feature extraction algorithm; Compression algorithms DSR advanced front end."</w:t>
      </w:r>
    </w:p>
    <w:p>
      <w:pPr>
        <w:pStyle w:val="EX"/>
        <w:rPr/>
      </w:pPr>
      <w:r>
        <w:rPr/>
        <w:t>[3]</w:t>
        <w:tab/>
        <w:t xml:space="preserve">ETSI </w:t>
      </w:r>
      <w:r>
        <w:rPr>
          <w:color w:val="000000"/>
        </w:rPr>
        <w:t>ES 202 212 (2005-11) V1.1.2: "</w:t>
      </w:r>
      <w:r>
        <w:rPr>
          <w:lang w:eastAsia="en-GB"/>
        </w:rPr>
        <w:t>Speech Processing, Transmission and Quality Aspects (STQ); Distributed speech recognition; Extended advanced front-end feature extraction algorithm; Compression algorithms; Back-end speech reconstruction algorithm</w:t>
      </w:r>
      <w:r>
        <w:rPr>
          <w:color w:val="000000"/>
        </w:rPr>
        <w:t>".</w:t>
      </w:r>
    </w:p>
    <w:p>
      <w:pPr>
        <w:pStyle w:val="EX"/>
        <w:rPr>
          <w:color w:val="000000"/>
        </w:rPr>
      </w:pPr>
      <w:r>
        <w:rPr>
          <w:color w:val="000000"/>
        </w:rPr>
        <w:t xml:space="preserve"> </w:t>
      </w:r>
      <w:r>
        <w:rPr>
          <w:color w:val="000000"/>
        </w:rPr>
        <w:t>[4]</w:t>
        <w:tab/>
        <w:t>3GPP TS 26.074: "</w:t>
      </w:r>
      <w:r>
        <w:rPr/>
        <w:t>AMR speech codec test sequences"</w:t>
      </w:r>
    </w:p>
    <w:p>
      <w:pPr>
        <w:pStyle w:val="EX"/>
        <w:rPr>
          <w:color w:val="000000"/>
        </w:rPr>
      </w:pPr>
      <w:r>
        <w:rPr>
          <w:color w:val="000000"/>
        </w:rPr>
        <w:t>[5]</w:t>
        <w:tab/>
        <w:t>3GPP TS 26.174: "</w:t>
      </w:r>
      <w:r>
        <w:rPr/>
        <w:t>Adaptive Multi-Rate (AMR) Wideband speech codec test sequences"</w:t>
      </w:r>
    </w:p>
    <w:p>
      <w:pPr>
        <w:pStyle w:val="Heading1"/>
        <w:ind w:left="1134" w:hanging="1134"/>
        <w:rPr/>
      </w:pPr>
      <w:bookmarkStart w:id="13" w:name="__RefHeading___Toc517275938"/>
      <w:bookmarkEnd w:id="13"/>
      <w:r>
        <w:rPr/>
        <w:t>3</w:t>
        <w:tab/>
        <w:t>Abbreviations</w:t>
      </w:r>
    </w:p>
    <w:p>
      <w:pPr>
        <w:pStyle w:val="Normal"/>
        <w:keepNext w:val="true"/>
        <w:rPr/>
      </w:pPr>
      <w:r>
        <w:rPr/>
        <w:t>For the purposes of the present document, the following abbreviations apply:</w:t>
      </w:r>
    </w:p>
    <w:p>
      <w:pPr>
        <w:pStyle w:val="EW"/>
        <w:rPr/>
      </w:pPr>
      <w:r>
        <w:rPr/>
        <w:t>AFE</w:t>
        <w:tab/>
        <w:t>Advanced Front-end</w:t>
      </w:r>
    </w:p>
    <w:p>
      <w:pPr>
        <w:pStyle w:val="EW"/>
        <w:rPr/>
      </w:pPr>
      <w:r>
        <w:rPr/>
        <w:t>AMR</w:t>
        <w:tab/>
        <w:t>Adaptive Multi-Rate</w:t>
      </w:r>
    </w:p>
    <w:p>
      <w:pPr>
        <w:pStyle w:val="EW"/>
        <w:rPr/>
      </w:pPr>
      <w:r>
        <w:rPr/>
        <w:t>AMR-NB</w:t>
        <w:tab/>
        <w:t>AMR Narrowband</w:t>
      </w:r>
    </w:p>
    <w:p>
      <w:pPr>
        <w:pStyle w:val="EW"/>
        <w:rPr/>
      </w:pPr>
      <w:r>
        <w:rPr/>
        <w:t>AMR-WB</w:t>
        <w:tab/>
        <w:t>AMR Wideband</w:t>
      </w:r>
    </w:p>
    <w:p>
      <w:pPr>
        <w:pStyle w:val="EW"/>
        <w:rPr/>
      </w:pPr>
      <w:r>
        <w:rPr/>
        <w:t>DSR</w:t>
        <w:tab/>
        <w:t>Distributed Speech Recognition</w:t>
      </w:r>
    </w:p>
    <w:p>
      <w:pPr>
        <w:pStyle w:val="EW"/>
        <w:rPr/>
      </w:pPr>
      <w:r>
        <w:rPr/>
        <w:t>ETSI</w:t>
        <w:tab/>
        <w:t>European Telecommunications Standards Institute</w:t>
      </w:r>
    </w:p>
    <w:p>
      <w:pPr>
        <w:pStyle w:val="EW"/>
        <w:rPr/>
      </w:pPr>
      <w:r>
        <w:rPr/>
        <w:t>GSM</w:t>
        <w:tab/>
        <w:t>Global System for Mobile communications</w:t>
      </w:r>
    </w:p>
    <w:p>
      <w:pPr>
        <w:pStyle w:val="EW"/>
        <w:rPr/>
      </w:pPr>
      <w:r>
        <w:rPr/>
        <w:t>SES</w:t>
        <w:tab/>
        <w:t>Speech Enabled Services</w:t>
      </w:r>
    </w:p>
    <w:p>
      <w:pPr>
        <w:pStyle w:val="EW"/>
        <w:rPr/>
      </w:pPr>
      <w:r>
        <w:rPr/>
        <w:t>VAD</w:t>
        <w:tab/>
        <w:t>Voice Activity Detector</w:t>
      </w:r>
    </w:p>
    <w:p>
      <w:pPr>
        <w:pStyle w:val="EW"/>
        <w:rPr/>
      </w:pPr>
      <w:r>
        <w:rPr/>
        <w:t>X-AFE</w:t>
        <w:tab/>
        <w:t>eXtended Advanced Front-end</w:t>
      </w:r>
    </w:p>
    <w:p>
      <w:pPr>
        <w:pStyle w:val="EW"/>
        <w:rPr/>
      </w:pPr>
      <w:r>
        <w:rPr/>
      </w:r>
    </w:p>
    <w:p>
      <w:pPr>
        <w:pStyle w:val="Heading1"/>
        <w:ind w:left="1134" w:hanging="1134"/>
        <w:rPr/>
      </w:pPr>
      <w:bookmarkStart w:id="14" w:name="__RefHeading___Toc517275939"/>
      <w:bookmarkEnd w:id="14"/>
      <w:r>
        <w:rPr/>
        <w:t>4</w:t>
        <w:tab/>
        <w:t>General</w:t>
      </w:r>
    </w:p>
    <w:p>
      <w:pPr>
        <w:pStyle w:val="Normal"/>
        <w:keepNext w:val="true"/>
        <w:rPr/>
      </w:pPr>
      <w:r>
        <w:rPr/>
        <w:t>Digital test sequences are provided to test for a bit exact implementation of the Distributed Speech Recognition Extended Advanced Front-end (3GPP TS 26.243 [1]).</w:t>
      </w:r>
    </w:p>
    <w:p>
      <w:pPr>
        <w:pStyle w:val="Normal"/>
        <w:keepNext w:val="true"/>
        <w:rPr/>
      </w:pPr>
      <w:r>
        <w:rPr/>
        <w:t>The test sequences may also be used to verify installations of the ANSI C code in 3GPP TS 26.243 [1].</w:t>
      </w:r>
    </w:p>
    <w:p>
      <w:pPr>
        <w:pStyle w:val="Normal"/>
        <w:rPr/>
      </w:pPr>
      <w:r>
        <w:rPr/>
        <w:t xml:space="preserve">Clause 5 describes the format of the files, which contain the digital test sequences. </w:t>
      </w:r>
    </w:p>
    <w:p>
      <w:pPr>
        <w:pStyle w:val="Heading1"/>
        <w:ind w:left="1134" w:hanging="1134"/>
        <w:rPr/>
      </w:pPr>
      <w:bookmarkStart w:id="15" w:name="__RefHeading___Toc517275940"/>
      <w:bookmarkEnd w:id="15"/>
      <w:r>
        <w:rPr/>
        <w:t>5</w:t>
        <w:tab/>
        <w:t>Test sequence format</w:t>
      </w:r>
    </w:p>
    <w:p>
      <w:pPr>
        <w:pStyle w:val="Normal"/>
        <w:rPr/>
      </w:pPr>
      <w:r>
        <w:rPr/>
        <w:t>This clause provides information on the format of the digital test sequences for the DSR Extended Advanced Front-end (TS 26.243 [1]).</w:t>
      </w:r>
    </w:p>
    <w:p>
      <w:pPr>
        <w:pStyle w:val="Heading2"/>
        <w:rPr/>
      </w:pPr>
      <w:bookmarkStart w:id="16" w:name="__RefHeading___Toc517275941"/>
      <w:bookmarkEnd w:id="16"/>
      <w:r>
        <w:rPr/>
        <w:t>5.1</w:t>
        <w:tab/>
        <w:t>File format</w:t>
      </w:r>
    </w:p>
    <w:p>
      <w:pPr>
        <w:pStyle w:val="Normal"/>
        <w:rPr/>
      </w:pPr>
      <w:r>
        <w:rPr/>
        <w:t>The test sequence files in PC (little-endian) byte order are provided in archive files (ZIP format), which accompany the present document.</w:t>
      </w:r>
    </w:p>
    <w:p>
      <w:pPr>
        <w:pStyle w:val="Normal"/>
        <w:rPr/>
      </w:pPr>
      <w:r>
        <w:rPr/>
        <w:t>Following decompression, three types of file are provided:</w:t>
      </w:r>
    </w:p>
    <w:p>
      <w:pPr>
        <w:pStyle w:val="B1"/>
        <w:rPr/>
      </w:pPr>
      <w:r>
        <w:rPr/>
        <w:t>*.inp - Input to the speech encoder.</w:t>
      </w:r>
    </w:p>
    <w:p>
      <w:pPr>
        <w:pStyle w:val="B1"/>
        <w:rPr/>
      </w:pPr>
      <w:r>
        <w:rPr/>
        <w:t>*.cep – Cepstral output of the encoder, input to the quantizer.</w:t>
      </w:r>
    </w:p>
    <w:p>
      <w:pPr>
        <w:pStyle w:val="B1"/>
        <w:rPr/>
      </w:pPr>
      <w:r>
        <w:rPr/>
        <w:t>*.pitch – Pitch output of the encoder, input to the quantizer.</w:t>
      </w:r>
    </w:p>
    <w:p>
      <w:pPr>
        <w:pStyle w:val="B1"/>
        <w:rPr/>
      </w:pPr>
      <w:r>
        <w:rPr/>
        <w:t>*.class – Class output of the encoder, input to the quantizer.</w:t>
      </w:r>
    </w:p>
    <w:p>
      <w:pPr>
        <w:pStyle w:val="B1"/>
        <w:rPr/>
      </w:pPr>
      <w:r>
        <w:rPr/>
        <w:t>*.vad – VAD output of the encoder, input to the quantizer.</w:t>
      </w:r>
    </w:p>
    <w:p>
      <w:pPr>
        <w:pStyle w:val="B1"/>
        <w:rPr/>
      </w:pPr>
      <w:r>
        <w:rPr/>
        <w:t>*.bs – Output of the quantizer</w:t>
      </w:r>
    </w:p>
    <w:p>
      <w:pPr>
        <w:pStyle w:val="Normal"/>
        <w:rPr/>
      </w:pPr>
      <w:r>
        <w:rPr/>
        <w:t>Two test scripts are provided for exercising the Extended Advanced Front-end and quantizer functions.</w:t>
      </w:r>
    </w:p>
    <w:p>
      <w:pPr>
        <w:pStyle w:val="Normal"/>
        <w:rPr/>
      </w:pPr>
      <w:r>
        <w:rPr/>
        <w:t>All file formats are described in 3GPP TS 26.243 [1].</w:t>
      </w:r>
    </w:p>
    <w:p>
      <w:pPr>
        <w:pStyle w:val="Heading1"/>
        <w:ind w:left="1134" w:hanging="1134"/>
        <w:rPr/>
      </w:pPr>
      <w:bookmarkStart w:id="17" w:name="__RefHeading___Toc517275942"/>
      <w:bookmarkEnd w:id="17"/>
      <w:r>
        <w:rPr/>
        <w:t>6</w:t>
        <w:tab/>
        <w:t>DSR test sequences</w:t>
      </w:r>
    </w:p>
    <w:p>
      <w:pPr>
        <w:pStyle w:val="Normal"/>
        <w:rPr/>
      </w:pPr>
      <w:r>
        <w:rPr/>
        <w:t xml:space="preserve">Forty-three encoder input sequences are provided, 22 with 8kHz sampling, 23 with 16kHz sampling. </w:t>
      </w:r>
    </w:p>
    <w:p>
      <w:pPr>
        <w:pStyle w:val="Normal"/>
        <w:rPr/>
      </w:pPr>
      <w:r>
        <w:rPr/>
        <w:t>8kHz sampling:</w:t>
      </w:r>
    </w:p>
    <w:p>
      <w:pPr>
        <w:pStyle w:val="B1"/>
        <w:rPr/>
      </w:pPr>
      <w:r>
        <w:rPr/>
        <w:t>T00.INP - T21.INP as described in the AMR test sequences document TS 26.074 [4].</w:t>
      </w:r>
    </w:p>
    <w:p>
      <w:pPr>
        <w:pStyle w:val="Normal"/>
        <w:rPr/>
      </w:pPr>
      <w:r>
        <w:rPr/>
        <w:t>16kHz sampling:</w:t>
      </w:r>
    </w:p>
    <w:p>
      <w:pPr>
        <w:pStyle w:val="B1"/>
        <w:rPr/>
      </w:pPr>
      <w:r>
        <w:rPr/>
        <w:t>T00.INP - T22.INP as described in the AMR WB test sequences document TS 26.174 [5].</w:t>
      </w:r>
      <w:r>
        <w:br w:type="page"/>
      </w:r>
    </w:p>
    <w:p>
      <w:pPr>
        <w:pStyle w:val="Heading8"/>
        <w:ind w:left="0" w:hanging="0"/>
        <w:rPr/>
      </w:pPr>
      <w:bookmarkStart w:id="18" w:name="__RefHeading___Toc517275943"/>
      <w:bookmarkEnd w:id="18"/>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tblHeader w:val="true"/>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SP-040833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SA#26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06-2007</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36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right w:val="single" w:sz="6" w:space="0" w:color="000000"/>
            </w:tcBorders>
            <w:shd w:fill="FFFFFF" w:val="clear"/>
          </w:tcPr>
          <w:p>
            <w:pPr>
              <w:pStyle w:val="TAL"/>
              <w:rPr>
                <w:sz w:val="16"/>
              </w:rPr>
            </w:pPr>
            <w:r>
              <w:rPr>
                <w:sz w:val="16"/>
              </w:rPr>
              <w:t>Version for Release 7</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SP-130568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Corrections to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7"/>
      <w:footerReference w:type="default" r:id="rId8"/>
      <w:type w:val="nextPage"/>
      <w:pgSz w:w="11906" w:h="16838"/>
      <w:pgMar w:left="1138" w:right="1138" w:gutter="0" w:header="677" w:top="1411" w:footer="72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100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26.177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26.177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2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i/>
    </w:rPr>
  </w:style>
  <w:style w:type="paragraph" w:styleId="List">
    <w:name w:val="List"/>
    <w:basedOn w:val="Normal"/>
    <w:pPr>
      <w:ind w:left="568" w:hanging="284"/>
    </w:pPr>
    <w:rPr/>
  </w:style>
  <w:style w:type="paragraph" w:styleId="Caption">
    <w:name w:val="Caption"/>
    <w:basedOn w:val="Normal"/>
    <w:next w:val="Normal"/>
    <w:qFormat/>
    <w:pPr>
      <w:spacing w:before="0" w:after="240"/>
    </w:pPr>
    <w:rPr>
      <w:rFonts w:ascii="Arial" w:hAnsi="Arial" w:cs="Arial"/>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Rfront">
    <w:name w:val="CR_front"/>
    <w:basedOn w:val="Normal"/>
    <w:qFormat/>
    <w:pPr>
      <w:spacing w:before="0" w:after="240"/>
      <w:jc w:val="both"/>
    </w:pPr>
    <w:rPr>
      <w:rFonts w:ascii="Arial" w:hAnsi="Arial" w:cs="Arial"/>
    </w:rPr>
  </w:style>
  <w:style w:type="paragraph" w:styleId="TextBodyIndent">
    <w:name w:val="Body Text Indent"/>
    <w:basedOn w:val="Normal"/>
    <w:pPr>
      <w:ind w:hanging="11"/>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GSM UMTS codec testing LTE</cp:keywords>
  <dc:language>en-US</dc:language>
  <cp:lastModifiedBy>S4-200951_CR-0500</cp:lastModifiedBy>
  <cp:lastPrinted>2000-03-28T13:41:00Z</cp:lastPrinted>
  <dcterms:modified xsi:type="dcterms:W3CDTF">2020-07-20T12:26:00Z</dcterms:modified>
  <cp:revision>2</cp:revision>
  <dc:subject>3GPP TS 26.177 Speech Enabled Services (SES); DSR extended advanced front-end test sequences (Release 16)</dc:subject>
  <dc:title>3GPP TS 26.177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