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2.wmf" ContentType="image/x-wmf"/>
  <Override PartName="/word/media/image3.wmf" ContentType="image/x-wmf"/>
  <Override PartName="/word/embeddings/oleObject1.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26.441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26.441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General Overview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General Overview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LTE, EVS, telephony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LTE, EVS, telephony </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268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7268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7268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37268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37268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Transcoding functions</w:t>
            <w:tab/>
          </w:r>
          <w:hyperlink w:anchor="__RefHeading___Toc517372685">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ANSI C-code</w:t>
            <w:tab/>
          </w:r>
          <w:hyperlink w:anchor="__RefHeading___Toc517372686">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Test vectors</w:t>
            <w:tab/>
          </w:r>
          <w:hyperlink w:anchor="__RefHeading___Toc517372687">
            <w:r>
              <w:rPr>
                <w:rStyle w:val="IndexLink"/>
              </w:rPr>
              <w:t>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Discontinuous transmission (DTX)</w:t>
            <w:tab/>
          </w:r>
          <w:hyperlink w:anchor="__RefHeading___Toc517372688">
            <w:r>
              <w:rPr>
                <w:rStyle w:val="IndexLink"/>
              </w:rPr>
              <w:t>10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Voice activity detection</w:t>
            <w:tab/>
          </w:r>
          <w:hyperlink w:anchor="__RefHeading___Toc517372689">
            <w:r>
              <w:rPr>
                <w:rStyle w:val="IndexLink"/>
              </w:rPr>
              <w:t>10</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Comfort noise insertion</w:t>
            <w:tab/>
          </w:r>
          <w:hyperlink w:anchor="__RefHeading___Toc517372690">
            <w:r>
              <w:rPr>
                <w:rStyle w:val="IndexLink"/>
              </w:rPr>
              <w:t>10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Error concealment of lost frames</w:t>
            <w:tab/>
          </w:r>
          <w:hyperlink w:anchor="__RefHeading___Toc517372691">
            <w:r>
              <w:rPr>
                <w:rStyle w:val="IndexLink"/>
              </w:rPr>
              <w:t>11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Frame structure</w:t>
            <w:tab/>
          </w:r>
          <w:hyperlink w:anchor="__RefHeading___Toc517372692">
            <w:r>
              <w:rPr>
                <w:rStyle w:val="IndexLink"/>
              </w:rPr>
              <w:t>11</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RTP Payload Format</w:t>
            <w:tab/>
          </w:r>
          <w:hyperlink w:anchor="__RefHeading___Toc517372693">
            <w:r>
              <w:rPr>
                <w:rStyle w:val="IndexLink"/>
              </w:rPr>
              <w:t>11</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Jitter Buffer Management</w:t>
            <w:tab/>
          </w:r>
          <w:hyperlink w:anchor="__RefHeading___Toc517372694">
            <w:r>
              <w:rPr>
                <w:rStyle w:val="IndexLink"/>
              </w:rPr>
              <w:t>11</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Performance characterization</w:t>
            <w:tab/>
          </w:r>
          <w:hyperlink w:anchor="__RefHeading___Toc517372695">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372696">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7268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372681"/>
      <w:bookmarkEnd w:id="7"/>
      <w:r>
        <w:rPr/>
        <w:t>1</w:t>
        <w:tab/>
        <w:t>Scope</w:t>
      </w:r>
    </w:p>
    <w:p>
      <w:pPr>
        <w:pStyle w:val="Normal"/>
        <w:rPr/>
      </w:pPr>
      <w:r>
        <w:rPr/>
        <w:t>The present document is an introduction to the audio processing parts of the Enhanced Voice Services coder. A general overview of the audio processing functions is given, with reference to the documents where each function is specified in detail.</w:t>
      </w:r>
    </w:p>
    <w:p>
      <w:pPr>
        <w:pStyle w:val="Heading1"/>
        <w:ind w:left="1134" w:hanging="1134"/>
        <w:rPr/>
      </w:pPr>
      <w:bookmarkStart w:id="8" w:name="__RefHeading___Toc51737268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rFonts w:eastAsia="SimSun;宋体"/>
        </w:rPr>
        <w:t>[2]</w:t>
        <w:tab/>
        <w:t>3GPP TS 26.445: "</w:t>
      </w:r>
      <w:r>
        <w:rPr/>
        <w:t>Codec for Enhanced Voice Services (EVS); Detailed Algorithmic Description"</w:t>
      </w:r>
      <w:r>
        <w:rPr>
          <w:rFonts w:eastAsia="SimSun;宋体"/>
        </w:rPr>
        <w:t>.</w:t>
      </w:r>
    </w:p>
    <w:p>
      <w:pPr>
        <w:pStyle w:val="EX"/>
        <w:rPr/>
      </w:pPr>
      <w:r>
        <w:rPr>
          <w:rFonts w:eastAsia="SimSun;宋体"/>
        </w:rPr>
        <w:t>[3]</w:t>
        <w:tab/>
        <w:t>3GPP TS 26.442: "</w:t>
      </w:r>
      <w:r>
        <w:rPr/>
        <w:t>Codec for Enhanced Voice Services (EVS); ANSI C code (fixed-point)".</w:t>
      </w:r>
    </w:p>
    <w:p>
      <w:pPr>
        <w:pStyle w:val="EX"/>
        <w:rPr/>
      </w:pPr>
      <w:r>
        <w:rPr>
          <w:rFonts w:eastAsia="SimSun;宋体"/>
        </w:rPr>
        <w:t>[4]</w:t>
        <w:tab/>
        <w:t>3GPP TS 26.443: "</w:t>
      </w:r>
      <w:r>
        <w:rPr/>
        <w:t>Codec for Enhanced Voice Services (EVS); ANSI C code (floating point)".</w:t>
      </w:r>
    </w:p>
    <w:p>
      <w:pPr>
        <w:pStyle w:val="EX"/>
        <w:rPr>
          <w:rFonts w:eastAsia="SimSun;宋体"/>
        </w:rPr>
      </w:pPr>
      <w:r>
        <w:rPr>
          <w:rFonts w:eastAsia="SimSun;宋体"/>
        </w:rPr>
        <w:t>[5]</w:t>
        <w:tab/>
        <w:t xml:space="preserve">3GPP TS 26.444: </w:t>
      </w:r>
      <w:r>
        <w:rPr/>
        <w:t>"Codec for Enhanced Voice Services (EVS); Test Sequences".</w:t>
      </w:r>
    </w:p>
    <w:p>
      <w:pPr>
        <w:pStyle w:val="EX"/>
        <w:rPr/>
      </w:pPr>
      <w:r>
        <w:rPr>
          <w:rFonts w:eastAsia="SimSun;宋体"/>
        </w:rPr>
        <w:t>[6]</w:t>
        <w:tab/>
        <w:t>3GPP TS 26.446: "</w:t>
      </w:r>
      <w:r>
        <w:rPr/>
        <w:t>Codec for Enhanced Voice Services (EVS); AMR-WB Backward Compatible Functions".</w:t>
      </w:r>
    </w:p>
    <w:p>
      <w:pPr>
        <w:pStyle w:val="EX"/>
        <w:rPr/>
      </w:pPr>
      <w:r>
        <w:rPr/>
        <w:t>[7]</w:t>
        <w:tab/>
        <w:t>3GPP TS 26.447: "Codec for Enhanced Voice Services (EVS); Error Concealment of Lost Packets".</w:t>
      </w:r>
    </w:p>
    <w:p>
      <w:pPr>
        <w:pStyle w:val="EX"/>
        <w:rPr/>
      </w:pPr>
      <w:r>
        <w:rPr>
          <w:rFonts w:eastAsia="SimSun;宋体"/>
        </w:rPr>
        <w:t>[8]</w:t>
        <w:tab/>
        <w:t>3GPP TS 26.448: "</w:t>
      </w:r>
      <w:r>
        <w:rPr/>
        <w:t>Codec for Enhanced Voice Services (EVS);</w:t>
      </w:r>
      <w:r>
        <w:rPr>
          <w:rFonts w:eastAsia="SimSun;宋体"/>
        </w:rPr>
        <w:t xml:space="preserve"> Jitter Buffer Management".</w:t>
      </w:r>
    </w:p>
    <w:p>
      <w:pPr>
        <w:pStyle w:val="EX"/>
        <w:rPr/>
      </w:pPr>
      <w:r>
        <w:rPr>
          <w:rFonts w:eastAsia="SimSun;宋体"/>
        </w:rPr>
        <w:t>[9]</w:t>
        <w:tab/>
        <w:t>3GPP TS 26.449: "</w:t>
      </w:r>
      <w:r>
        <w:rPr/>
        <w:t>Codec for Enhanced Voice Services (EVS);</w:t>
      </w:r>
      <w:r>
        <w:rPr>
          <w:rFonts w:eastAsia="SimSun;宋体"/>
        </w:rPr>
        <w:t xml:space="preserve"> Comfort Noise Generation (CNG) Aspects".</w:t>
      </w:r>
    </w:p>
    <w:p>
      <w:pPr>
        <w:pStyle w:val="EX"/>
        <w:rPr/>
      </w:pPr>
      <w:r>
        <w:rPr>
          <w:rFonts w:eastAsia="SimSun;宋体"/>
        </w:rPr>
        <w:t>[10]</w:t>
        <w:tab/>
        <w:t>3GPP TS 26.450: "</w:t>
      </w:r>
      <w:r>
        <w:rPr/>
        <w:t>Codec for Enhanced Voice Services (EVS);</w:t>
      </w:r>
      <w:r>
        <w:rPr>
          <w:rFonts w:eastAsia="SimSun;宋体"/>
        </w:rPr>
        <w:t xml:space="preserve"> Discontinuous Transmission (DTX)".</w:t>
      </w:r>
    </w:p>
    <w:p>
      <w:pPr>
        <w:pStyle w:val="EX"/>
        <w:rPr>
          <w:rFonts w:eastAsia="SimSun;宋体"/>
        </w:rPr>
      </w:pPr>
      <w:r>
        <w:rPr>
          <w:rFonts w:eastAsia="SimSun;宋体"/>
        </w:rPr>
        <w:t>[11]</w:t>
        <w:tab/>
        <w:t>3GPP TS 26.451: "</w:t>
      </w:r>
      <w:r>
        <w:rPr/>
        <w:t>Codec for Enhanced Voice Services (EVS);</w:t>
      </w:r>
      <w:r>
        <w:rPr>
          <w:rFonts w:eastAsia="SimSun;宋体"/>
        </w:rPr>
        <w:t xml:space="preserve"> Voice Activity Detection (VAD)".</w:t>
      </w:r>
    </w:p>
    <w:p>
      <w:pPr>
        <w:pStyle w:val="EX"/>
        <w:rPr/>
      </w:pPr>
      <w:r>
        <w:rPr>
          <w:rFonts w:eastAsia="SimSun;宋体"/>
        </w:rPr>
        <w:t>[12]</w:t>
        <w:tab/>
        <w:t>3GPP TS 26.114: "IP Multimedia Subsystem (IMS); Multimedia telephony; Media handling and interaction".</w:t>
      </w:r>
    </w:p>
    <w:p>
      <w:pPr>
        <w:pStyle w:val="EX"/>
        <w:rPr/>
      </w:pPr>
      <w:r>
        <w:rPr>
          <w:rFonts w:eastAsia="SimSun;宋体"/>
        </w:rPr>
        <w:t>[13]</w:t>
        <w:tab/>
        <w:t>3GPP TS 26.131: "Terminal acoustic characteristics for telephony; Requirements".</w:t>
      </w:r>
    </w:p>
    <w:p>
      <w:pPr>
        <w:pStyle w:val="EX"/>
        <w:rPr>
          <w:rFonts w:eastAsia="SimSun;宋体"/>
        </w:rPr>
      </w:pPr>
      <w:r>
        <w:rPr>
          <w:rFonts w:eastAsia="SimSun;宋体"/>
        </w:rPr>
        <w:t>[14]</w:t>
        <w:tab/>
        <w:t>3GPP TR 26.952: "</w:t>
      </w:r>
      <w:r>
        <w:rPr/>
        <w:t>Codec for Enhanced Voice Services (EVS);</w:t>
      </w:r>
      <w:r>
        <w:rPr>
          <w:rFonts w:eastAsia="SimSun;宋体"/>
        </w:rPr>
        <w:t xml:space="preserve"> Performance Characterization".</w:t>
      </w:r>
    </w:p>
    <w:p>
      <w:pPr>
        <w:pStyle w:val="Heading1"/>
        <w:ind w:left="1134" w:hanging="1134"/>
        <w:rPr/>
      </w:pPr>
      <w:bookmarkStart w:id="9" w:name="__RefHeading___Toc517372683"/>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pPr>
      <w:r>
        <w:rPr>
          <w:rFonts w:eastAsia="SimSun;宋体"/>
          <w:lang w:eastAsia="zh-CN"/>
        </w:rPr>
        <w:t>FB</w:t>
        <w:tab/>
        <w:t>Fullband</w:t>
      </w:r>
    </w:p>
    <w:p>
      <w:pPr>
        <w:pStyle w:val="EW"/>
        <w:rPr>
          <w:rFonts w:eastAsia="SimSun;宋体"/>
          <w:lang w:eastAsia="zh-CN"/>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rFonts w:eastAsia="SimSun;宋体"/>
          <w:lang w:eastAsia="zh-CN"/>
        </w:rPr>
      </w:pPr>
      <w:r>
        <w:rPr>
          <w:rFonts w:eastAsia="SimSun;宋体"/>
          <w:lang w:eastAsia="zh-CN"/>
        </w:rPr>
        <w:t>SAD</w:t>
        <w:tab/>
        <w:t>Sound Activity Detection</w:t>
      </w:r>
    </w:p>
    <w:p>
      <w:pPr>
        <w:pStyle w:val="EW"/>
        <w:rPr>
          <w:rFonts w:eastAsia="SimSun;宋体"/>
          <w:lang w:eastAsia="zh-CN"/>
        </w:rPr>
      </w:pPr>
      <w:r>
        <w:rPr>
          <w:rFonts w:eastAsia="SimSun;宋体"/>
          <w:lang w:eastAsia="zh-CN"/>
        </w:rPr>
        <w:t>SC-VBR</w:t>
        <w:tab/>
        <w:t>Source Controlled - Variable Bit Rate</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W"/>
        <w:rPr>
          <w:rFonts w:eastAsia="SimSun;宋体"/>
          <w:lang w:eastAsia="zh-CN"/>
        </w:rPr>
      </w:pPr>
      <w:r>
        <w:rPr>
          <w:rFonts w:eastAsia="SimSun;宋体"/>
          <w:lang w:eastAsia="zh-CN"/>
        </w:rPr>
        <w:t>WMOPS</w:t>
        <w:tab/>
        <w:t>Weighted Millions of Operations Per Second</w:t>
      </w:r>
    </w:p>
    <w:p>
      <w:pPr>
        <w:pStyle w:val="Heading1"/>
        <w:ind w:left="1134" w:hanging="1134"/>
        <w:rPr/>
      </w:pPr>
      <w:bookmarkStart w:id="10" w:name="__RefHeading___Toc517372684"/>
      <w:bookmarkEnd w:id="10"/>
      <w:r>
        <w:rPr/>
        <w:t>4</w:t>
        <w:tab/>
        <w:t>General</w:t>
      </w:r>
    </w:p>
    <w:p>
      <w:pPr>
        <w:pStyle w:val="Normal"/>
        <w:rPr/>
      </w:pPr>
      <w:r>
        <w:rPr/>
        <w:t>The Enhanced Voice Services coder consists of the multi-rate audio coder optimized for operation with voice and music/mixed content signals, a source controlled rate scheme including a voice/sound activity detector and a comfort noise generation system, and an error concealment mechanism to combat the effects of transmission errors and lost packets. Jitter buffer management is also provided.</w:t>
      </w:r>
    </w:p>
    <w:p>
      <w:pPr>
        <w:pStyle w:val="Normal"/>
        <w:rPr/>
      </w:pPr>
      <w:r>
        <w:rPr/>
        <w:t xml:space="preserve">The EVS coder also provides enhanced interoperation with AMR-WB over all nine source bit rates from 6,6 kbit/s to 23,85 kbit/s. </w:t>
      </w:r>
    </w:p>
    <w:p>
      <w:pPr>
        <w:pStyle w:val="Normal"/>
        <w:rPr/>
      </w:pPr>
      <w:r>
        <w:rPr/>
        <w:t>The EVS speech coder is capable of switching its bit-rate every 20 ms speech frame upon command.</w:t>
      </w:r>
    </w:p>
    <w:p>
      <w:pPr>
        <w:pStyle w:val="Normal"/>
        <w:rPr/>
      </w:pPr>
      <w:r>
        <w:rPr/>
        <w:t>A reference configuration where the various speech processing functions are identified is given in Figure 1. In this figure, the relevant specifications for each function are also indicated.</w:t>
      </w:r>
    </w:p>
    <w:p>
      <w:pPr>
        <w:pStyle w:val="Normal"/>
        <w:rPr/>
      </w:pPr>
      <w:r>
        <w:rPr/>
        <w:t>In Figures 1 &amp; 2,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the present document. These aspects are only considered to the extent that the performance of the audio parts affect the performance of the speech transcoder.</w:t>
      </w:r>
    </w:p>
    <w:p>
      <w:pPr>
        <w:pStyle w:val="TH"/>
        <w:rPr/>
      </w:pPr>
      <w:r>
        <w:rPr/>
        <w:object w:dxaOrig="8697" w:dyaOrig="799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4.85pt;height:399.8pt" filled="f" o:ole="">
            <v:imagedata r:id="rId7" o:title=""/>
          </v:shape>
          <o:OLEObject Type="Embed" ProgID="Word.Document.12" ShapeID="ole_rId6" DrawAspect="Content" ObjectID="_1811635583" r:id="rId6"/>
        </w:object>
      </w:r>
    </w:p>
    <w:p>
      <w:pPr>
        <w:pStyle w:val="TF"/>
        <w:rPr/>
      </w:pPr>
      <w:r>
        <w:rPr/>
        <w:t>Figure 1: Overview of audio processing functions - Transmit Side</w:t>
      </w:r>
    </w:p>
    <w:p>
      <w:pPr>
        <w:pStyle w:val="TH"/>
        <w:rPr/>
      </w:pPr>
      <w:r>
        <w:rPr/>
        <w:drawing>
          <wp:inline distT="0" distB="0" distL="0" distR="0">
            <wp:extent cx="5943600" cy="54362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6" t="-7" r="-6" b="-7"/>
                    <a:stretch>
                      <a:fillRect/>
                    </a:stretch>
                  </pic:blipFill>
                  <pic:spPr bwMode="auto">
                    <a:xfrm>
                      <a:off x="0" y="0"/>
                      <a:ext cx="5943600" cy="5436235"/>
                    </a:xfrm>
                    <a:prstGeom prst="rect">
                      <a:avLst/>
                    </a:prstGeom>
                  </pic:spPr>
                </pic:pic>
              </a:graphicData>
            </a:graphic>
          </wp:inline>
        </w:drawing>
      </w:r>
    </w:p>
    <w:p>
      <w:pPr>
        <w:pStyle w:val="TF"/>
        <w:rPr/>
      </w:pPr>
      <w:r>
        <w:rPr/>
        <w:t>Figure 2: Overview of audio processing functions - Receive Side</w:t>
      </w:r>
    </w:p>
    <w:p>
      <w:pPr>
        <w:pStyle w:val="Heading1"/>
        <w:ind w:left="1134" w:hanging="1134"/>
        <w:rPr/>
      </w:pPr>
      <w:bookmarkStart w:id="11" w:name="__RefHeading___Toc517372685"/>
      <w:bookmarkEnd w:id="11"/>
      <w:r>
        <w:rPr/>
        <w:t>5</w:t>
        <w:tab/>
        <w:t>Transcoding functions</w:t>
      </w:r>
    </w:p>
    <w:p>
      <w:pPr>
        <w:pStyle w:val="Normal"/>
        <w:rPr/>
      </w:pPr>
      <w:r>
        <w:rPr/>
        <w:t>The Enhanced Voice Services codec algorithm is described in [2].</w:t>
      </w:r>
    </w:p>
    <w:p>
      <w:pPr>
        <w:pStyle w:val="Normal"/>
        <w:rPr/>
      </w:pPr>
      <w:r>
        <w:rPr/>
        <w:t xml:space="preserve">As shown in Figures 1 &amp; 2, the audio encoder takes its input, and can produce an output at the decoder, in the form of a 16-bit uniform Pulse Code Modulated (PCM) signal at sampling frequencies of 8 kHz, 16 kHz, 32 kHz or 48 kHz. The audio may originate from and terminate within the audio part of the UE or from the network side or from the Public Switched Telephone Network (PSTN) via a narrowband 13-bit A-law or µ-law (8 kHz) PCM conversion or wideband (16 kHz) 14-bit uniform PCM conversion. </w:t>
      </w:r>
    </w:p>
    <w:p>
      <w:pPr>
        <w:pStyle w:val="Normal"/>
        <w:rPr/>
      </w:pPr>
      <w:r>
        <w:rPr/>
        <w:t>The detailed mapping between input blocks of audio samples in 16-bit uniform PCM format to encoded blocks (in which the number of bits depends on the presently used codec mode) and from these to output blocks of reconstructed 16-bit uniform PCM format audio samples is described in [2]. The bit-rates of the source codec are listed in Table 1. Table 2 shows the nine bit rates of AMR-WB where interoperable performance is enhanced with the EVS codec. This functionality is described in [2] and [6].</w:t>
      </w:r>
    </w:p>
    <w:p>
      <w:pPr>
        <w:pStyle w:val="Normal"/>
        <w:rPr/>
      </w:pPr>
      <w:r>
        <w:rPr/>
        <w:t>An EVS audio codec capable UE shall support all source rates listed in Table 1.</w:t>
      </w:r>
    </w:p>
    <w:p>
      <w:pPr>
        <w:pStyle w:val="TH"/>
        <w:rPr/>
      </w:pPr>
      <w:r>
        <w:rPr/>
        <w:t>Table 1: Source codec bit-rates for the EVS codec</w:t>
      </w:r>
    </w:p>
    <w:tbl>
      <w:tblPr>
        <w:tblW w:w="7566" w:type="dxa"/>
        <w:jc w:val="center"/>
        <w:tblInd w:w="0" w:type="dxa"/>
        <w:tblLayout w:type="fixed"/>
        <w:tblCellMar>
          <w:top w:w="0" w:type="dxa"/>
          <w:left w:w="28" w:type="dxa"/>
          <w:bottom w:w="0" w:type="dxa"/>
          <w:right w:w="108" w:type="dxa"/>
        </w:tblCellMar>
      </w:tblPr>
      <w:tblGrid>
        <w:gridCol w:w="2464"/>
        <w:gridCol w:w="2464"/>
        <w:gridCol w:w="2638"/>
      </w:tblGrid>
      <w:tr>
        <w:trPr/>
        <w:tc>
          <w:tcPr>
            <w:tcW w:w="246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Source codec bit-rate (kbit/s)</w:t>
            </w:r>
          </w:p>
        </w:tc>
        <w:tc>
          <w:tcPr>
            <w:tcW w:w="246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Audio bandwidths supported</w:t>
            </w:r>
          </w:p>
        </w:tc>
        <w:tc>
          <w:tcPr>
            <w:tcW w:w="26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Source Controlled Operation Available</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5,9 (SC-VBR)</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 (Always On)</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8.0</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 SWB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 SWB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13,2 (channel aware)</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NB, 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32</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48</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64</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128</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WB, SWB, FB</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bl>
    <w:p>
      <w:pPr>
        <w:pStyle w:val="Normal"/>
        <w:rPr/>
      </w:pPr>
      <w:r>
        <w:rPr/>
      </w:r>
    </w:p>
    <w:p>
      <w:pPr>
        <w:pStyle w:val="TH"/>
        <w:rPr/>
      </w:pPr>
      <w:r>
        <w:rPr/>
        <w:t>Table 2: Source codec bit-rates for the AMR-WB Interoperable Modes of the EVS codec</w:t>
      </w:r>
    </w:p>
    <w:tbl>
      <w:tblPr>
        <w:tblW w:w="2464" w:type="dxa"/>
        <w:jc w:val="center"/>
        <w:tblInd w:w="0" w:type="dxa"/>
        <w:tblLayout w:type="fixed"/>
        <w:tblCellMar>
          <w:top w:w="0" w:type="dxa"/>
          <w:left w:w="28" w:type="dxa"/>
          <w:bottom w:w="0" w:type="dxa"/>
          <w:right w:w="108" w:type="dxa"/>
        </w:tblCellMar>
      </w:tblPr>
      <w:tblGrid>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Source codec bit-rate (kbit/s)</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6,6</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8,85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12,65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14,25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15,85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18,25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19,85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23,05</w:t>
            </w:r>
          </w:p>
        </w:tc>
      </w:tr>
      <w:tr>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pPr>
            <w:r>
              <w:rPr/>
              <w:t>23,85</w:t>
            </w:r>
          </w:p>
        </w:tc>
      </w:tr>
    </w:tbl>
    <w:p>
      <w:pPr>
        <w:pStyle w:val="FP"/>
        <w:rPr/>
      </w:pPr>
      <w:r>
        <w:rPr/>
      </w:r>
    </w:p>
    <w:p>
      <w:pPr>
        <w:pStyle w:val="Heading1"/>
        <w:ind w:left="1134" w:hanging="1134"/>
        <w:rPr/>
      </w:pPr>
      <w:bookmarkStart w:id="12" w:name="__RefHeading___Toc517372686"/>
      <w:bookmarkEnd w:id="12"/>
      <w:r>
        <w:rPr/>
        <w:t>6</w:t>
        <w:tab/>
        <w:t>ANSI C-code</w:t>
      </w:r>
    </w:p>
    <w:p>
      <w:pPr>
        <w:pStyle w:val="Normal"/>
        <w:rPr/>
      </w:pPr>
      <w:r>
        <w:rPr/>
        <w:t xml:space="preserve">The ANSI C-code of the EVS codec, VAD, CNG and Jitter Buffer Manager (JBM) are described in [3] for fixed point arithmetic operation and are described in [4] for floating point arithmetic operation. </w:t>
      </w:r>
    </w:p>
    <w:p>
      <w:pPr>
        <w:pStyle w:val="Normal"/>
        <w:rPr/>
      </w:pPr>
      <w:r>
        <w:rPr/>
        <w:t>The ANSI C-code is mandatory.</w:t>
      </w:r>
    </w:p>
    <w:p>
      <w:pPr>
        <w:pStyle w:val="Heading1"/>
        <w:ind w:left="1134" w:hanging="1134"/>
        <w:rPr/>
      </w:pPr>
      <w:bookmarkStart w:id="13" w:name="__RefHeading___Toc517372687"/>
      <w:bookmarkEnd w:id="13"/>
      <w:r>
        <w:rPr/>
        <w:t>7</w:t>
        <w:tab/>
        <w:t>Test vectors</w:t>
      </w:r>
    </w:p>
    <w:p>
      <w:pPr>
        <w:pStyle w:val="Normal"/>
        <w:rPr/>
      </w:pPr>
      <w:r>
        <w:rPr/>
        <w:t>A set of digital test sequences is specified in [5], thus enabling the verification of compliance, i.e. bit-exactness, to a high degree of confidence.</w:t>
      </w:r>
    </w:p>
    <w:p>
      <w:pPr>
        <w:pStyle w:val="Normal"/>
        <w:rPr/>
      </w:pPr>
      <w:r>
        <w:rPr/>
        <w:t>The EVS encoder and decoder (see Figure 1) are defined in bit exact arithmetic. Consequently, they shall react on being presented with a given input sequence always with the corresponding bit exact output sequence, provided that the internal state variables are also always exactly in the same state at the beginning of the test.</w:t>
      </w:r>
    </w:p>
    <w:p>
      <w:pPr>
        <w:pStyle w:val="Normal"/>
        <w:rPr/>
      </w:pPr>
      <w:r>
        <w:rPr/>
        <w:t>The input test sequences provided shall produce the corresponding output test sequences, provided that the tested modules are in their home state when starting.</w:t>
      </w:r>
    </w:p>
    <w:p>
      <w:pPr>
        <w:pStyle w:val="Normal"/>
        <w:rPr/>
      </w:pPr>
      <w:r>
        <w:rPr/>
        <w:t>The modules may be set into their home states by provoking the appropriate homing functions.</w:t>
      </w:r>
    </w:p>
    <w:p>
      <w:pPr>
        <w:pStyle w:val="NO"/>
        <w:rPr/>
      </w:pPr>
      <w:r>
        <w:rPr/>
        <w:t>NOTE:</w:t>
        <w:tab/>
        <w:t>This is normally done during reset (initialization of the codec).</w:t>
      </w:r>
    </w:p>
    <w:p>
      <w:pPr>
        <w:pStyle w:val="Normal"/>
        <w:rPr/>
      </w:pPr>
      <w:r>
        <w:rPr/>
        <w:t>Special inband signalling frames (encoder homing frame and decoder homing frame) described in [2] have been defined to provoke these homing functions also in remotely placed modules.</w:t>
      </w:r>
    </w:p>
    <w:p>
      <w:pPr>
        <w:pStyle w:val="Normal"/>
        <w:rPr/>
      </w:pPr>
      <w:r>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pPr>
        <w:pStyle w:val="Heading1"/>
        <w:ind w:left="1134" w:hanging="1134"/>
        <w:rPr/>
      </w:pPr>
      <w:bookmarkStart w:id="14" w:name="__RefHeading___Toc517372688"/>
      <w:bookmarkEnd w:id="14"/>
      <w:r>
        <w:rPr/>
        <w:t>8</w:t>
        <w:tab/>
        <w:t>Discontinuous transmission (DTX)</w:t>
      </w:r>
    </w:p>
    <w:p>
      <w:pPr>
        <w:pStyle w:val="Normal"/>
        <w:rPr/>
      </w:pPr>
      <w:r>
        <w:rPr/>
        <w:t>The discontinuous transmission (DTX) of the Enhanced Voice Services codec is defined in [2] &amp; [10].</w:t>
      </w:r>
    </w:p>
    <w:p>
      <w:pPr>
        <w:pStyle w:val="Normal"/>
        <w:rPr/>
      </w:pPr>
      <w:r>
        <w:rPr/>
        <w:t>During a normal telephone conversation, the participants alternate so that, on the average, each direction of transmission is occupied about 50 % of the time. Source controlled operation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pPr>
        <w:pStyle w:val="B1"/>
        <w:rPr/>
      </w:pPr>
      <w:r>
        <w:rPr/>
        <w:t>1)</w:t>
        <w:tab/>
        <w:t>In the UE, battery life will be prolonged or a smaller battery could be used for a given operational duration.</w:t>
      </w:r>
    </w:p>
    <w:p>
      <w:pPr>
        <w:pStyle w:val="B1"/>
        <w:rPr/>
      </w:pPr>
      <w:r>
        <w:rPr/>
        <w:t>2)</w:t>
        <w:tab/>
        <w:t>The average required bit-rate is reduced, leading to a more efficient transmission with decreased load and hence increased capacity.</w:t>
      </w:r>
    </w:p>
    <w:p>
      <w:pPr>
        <w:pStyle w:val="Normal"/>
        <w:rPr/>
      </w:pPr>
      <w:r>
        <w:rPr/>
        <w:t>The following functions are provided by the EVS codec for the source controlled rate operation:</w:t>
      </w:r>
    </w:p>
    <w:p>
      <w:pPr>
        <w:pStyle w:val="B1"/>
        <w:rPr/>
      </w:pPr>
      <w:r>
        <w:rPr/>
        <w:t>-</w:t>
        <w:tab/>
        <w:t>a Voice Activity Detector (VAD) or more accurately Sound Activity Detector (SAD) on the TX side;</w:t>
      </w:r>
    </w:p>
    <w:p>
      <w:pPr>
        <w:pStyle w:val="B1"/>
        <w:rPr/>
      </w:pPr>
      <w:r>
        <w:rPr/>
        <w:t>-</w:t>
        <w:tab/>
        <w:t>evaluation of the background acoustic noise on the TX side, in order to transmit characteristic parameters to the RX side;</w:t>
      </w:r>
    </w:p>
    <w:p>
      <w:pPr>
        <w:pStyle w:val="B1"/>
        <w:rPr/>
      </w:pPr>
      <w:r>
        <w:rPr/>
        <w:t>-</w:t>
        <w:tab/>
        <w:t>generation of comfort noise on the RX side during periods when no normal speech frames are received.</w:t>
      </w:r>
    </w:p>
    <w:p>
      <w:pPr>
        <w:pStyle w:val="Normal"/>
        <w:rPr/>
      </w:pPr>
      <w:r>
        <w:rPr/>
        <w:t>The transmission of comfort noise information to the RX side is achieved by means of a Silence Descriptor (SID) frame, which is sent at regular intervals.</w:t>
      </w:r>
    </w:p>
    <w:p>
      <w:pPr>
        <w:pStyle w:val="B1"/>
        <w:rPr/>
      </w:pPr>
      <w:r>
        <w:rPr/>
        <w:t>-</w:t>
        <w:tab/>
        <w:t xml:space="preserve">a Source-Controlled Variable Bit Rate operational mode (SC-VBR) operating at 5,9 kbit/s is also provided to reduce the operational bit rate still further for NB and WB speech services. </w:t>
      </w:r>
    </w:p>
    <w:p>
      <w:pPr>
        <w:pStyle w:val="Heading1"/>
        <w:ind w:left="1134" w:hanging="1134"/>
        <w:rPr/>
      </w:pPr>
      <w:bookmarkStart w:id="15" w:name="__RefHeading___Toc517372689"/>
      <w:bookmarkEnd w:id="15"/>
      <w:r>
        <w:rPr/>
        <w:t>9</w:t>
        <w:tab/>
        <w:t>Voice activity detection</w:t>
      </w:r>
    </w:p>
    <w:p>
      <w:pPr>
        <w:pStyle w:val="Normal"/>
        <w:rPr/>
      </w:pPr>
      <w:r>
        <w:rPr/>
        <w:t>The Enhanced Voice Services codec VAD function is described in [2] &amp; [11].</w:t>
      </w:r>
    </w:p>
    <w:p>
      <w:pPr>
        <w:pStyle w:val="Normal"/>
        <w:rPr/>
      </w:pPr>
      <w:r>
        <w:rPr/>
        <w:t>The input to the VAD is the input speech itself together with a set of parameters computed by the EVS encoder. The VAD uses this information to decide whether each 20 ms encoder frame contains active signal or not.</w:t>
      </w:r>
    </w:p>
    <w:p>
      <w:pPr>
        <w:pStyle w:val="Normal"/>
        <w:rPr/>
      </w:pPr>
      <w:r>
        <w:rPr/>
        <w:t>The VAD algorithm is described in [2], and the corresponding C-code is defined in [3] &amp; [4]. The verification of compliance to [5] is achieved by use of digital test sequences applied to the same interface as the test sequences for the EVS codec.</w:t>
      </w:r>
    </w:p>
    <w:p>
      <w:pPr>
        <w:pStyle w:val="Heading1"/>
        <w:ind w:left="1134" w:hanging="1134"/>
        <w:rPr/>
      </w:pPr>
      <w:bookmarkStart w:id="16" w:name="__RefHeading___Toc517372690"/>
      <w:bookmarkEnd w:id="16"/>
      <w:r>
        <w:rPr/>
        <w:t>10</w:t>
        <w:tab/>
        <w:t>Comfort noise insertion</w:t>
      </w:r>
    </w:p>
    <w:p>
      <w:pPr>
        <w:pStyle w:val="Normal"/>
        <w:rPr/>
      </w:pPr>
      <w:r>
        <w:rPr/>
        <w:t>The EVS codec comfort noise insertion function is described in [2] &amp; [9].</w:t>
      </w:r>
    </w:p>
    <w:p>
      <w:pPr>
        <w:pStyle w:val="Normal"/>
        <w:rPr/>
      </w:pPr>
      <w:r>
        <w:rPr/>
        <w:t>When audio is absent, the synthesis in the EVS decoder is different from the case when normal speech frames are received. The synthesis of an artificial noise based on the received non-speech parameters is termed comfort noise generation.</w:t>
      </w:r>
    </w:p>
    <w:p>
      <w:pPr>
        <w:pStyle w:val="Normal"/>
        <w:rPr/>
      </w:pPr>
      <w:r>
        <w:rPr/>
        <w:t>The comfort noise generation process is as follows:</w:t>
      </w:r>
    </w:p>
    <w:p>
      <w:pPr>
        <w:pStyle w:val="B1"/>
        <w:rPr/>
      </w:pPr>
      <w:r>
        <w:rPr/>
        <w:t>-</w:t>
        <w:tab/>
        <w:t>the evaluation of the acoustic background noise in the transmitter;</w:t>
      </w:r>
    </w:p>
    <w:p>
      <w:pPr>
        <w:pStyle w:val="B1"/>
        <w:rPr/>
      </w:pPr>
      <w:r>
        <w:rPr/>
        <w:t>-</w:t>
        <w:tab/>
        <w:t>the noise parameter encoding (SID frames) and decoding, and</w:t>
      </w:r>
    </w:p>
    <w:p>
      <w:pPr>
        <w:pStyle w:val="B1"/>
        <w:rPr/>
      </w:pPr>
      <w:r>
        <w:rPr/>
        <w:t>-</w:t>
        <w:tab/>
        <w:t>the generation of comfort noise in the receiver.</w:t>
      </w:r>
    </w:p>
    <w:p>
      <w:pPr>
        <w:pStyle w:val="Normal"/>
        <w:rPr/>
      </w:pPr>
      <w:r>
        <w:rPr/>
        <w:t xml:space="preserve">The comfort noise processes and the algorithm for updating the noise parameters during speech pauses are defined in detail in [2], and the corresponding C-code is defined in [3] &amp; [4]. </w:t>
      </w:r>
    </w:p>
    <w:p>
      <w:pPr>
        <w:pStyle w:val="Heading1"/>
        <w:ind w:left="1134" w:hanging="1134"/>
        <w:rPr/>
      </w:pPr>
      <w:bookmarkStart w:id="17" w:name="__RefHeading___Toc517372691"/>
      <w:bookmarkEnd w:id="17"/>
      <w:r>
        <w:rPr/>
        <w:t>11</w:t>
        <w:tab/>
        <w:t>Error concealment of lost frames</w:t>
      </w:r>
    </w:p>
    <w:p>
      <w:pPr>
        <w:pStyle w:val="Normal"/>
        <w:rPr/>
      </w:pPr>
      <w:r>
        <w:rPr/>
        <w:t>The EVS coder error concealment of erroneous or lost frames is described in [2] &amp; [7].</w:t>
      </w:r>
    </w:p>
    <w:p>
      <w:pPr>
        <w:pStyle w:val="Normal"/>
        <w:rPr/>
      </w:pPr>
      <w:r>
        <w:rPr/>
        <w:t>Frames may be erroneous due to transmission errors or frames may be lost or delayed due to packet loss in a transport network. The methods described in [2] &amp; [7] may be used as a basis for error concealment.</w:t>
      </w:r>
    </w:p>
    <w:p>
      <w:pPr>
        <w:pStyle w:val="Normal"/>
        <w:rPr/>
      </w:pPr>
      <w:r>
        <w:rPr/>
        <w:t xml:space="preserve">In order to mask the effect of isolated erroneous/lost frames, the decoder shall be informed about erroneous/lost frames and the error concealment actions shall be initiated, whereby a set of predicted parameters are used in the speech synthesis. Insertion of speech signal independent silence frames is not allowed. </w:t>
      </w:r>
    </w:p>
    <w:p>
      <w:pPr>
        <w:pStyle w:val="Heading1"/>
        <w:ind w:left="1134" w:hanging="1134"/>
        <w:rPr/>
      </w:pPr>
      <w:bookmarkStart w:id="18" w:name="__RefHeading___Toc517372692"/>
      <w:bookmarkEnd w:id="18"/>
      <w:r>
        <w:rPr/>
        <w:t>12</w:t>
        <w:tab/>
        <w:t>Frame structure</w:t>
      </w:r>
    </w:p>
    <w:p>
      <w:pPr>
        <w:pStyle w:val="Normal"/>
        <w:rPr/>
      </w:pPr>
      <w:r>
        <w:rPr/>
        <w:t xml:space="preserve">The EVS coder frame structure is described in [2]. </w:t>
      </w:r>
    </w:p>
    <w:p>
      <w:pPr>
        <w:pStyle w:val="Heading1"/>
        <w:ind w:left="1134" w:hanging="1134"/>
        <w:rPr/>
      </w:pPr>
      <w:bookmarkStart w:id="19" w:name="__RefHeading___Toc517372693"/>
      <w:bookmarkEnd w:id="19"/>
      <w:r>
        <w:rPr/>
        <w:t>13</w:t>
        <w:tab/>
        <w:t>RTP Payload Format</w:t>
      </w:r>
    </w:p>
    <w:p>
      <w:pPr>
        <w:pStyle w:val="Normal"/>
        <w:rPr/>
      </w:pPr>
      <w:r>
        <w:rPr/>
        <w:t>The EVS coder RTP Payload Format for media handling and interaction is described in [2].</w:t>
      </w:r>
    </w:p>
    <w:p>
      <w:pPr>
        <w:pStyle w:val="Heading1"/>
        <w:ind w:left="1134" w:hanging="1134"/>
        <w:rPr/>
      </w:pPr>
      <w:bookmarkStart w:id="20" w:name="__RefHeading___Toc517372694"/>
      <w:bookmarkEnd w:id="20"/>
      <w:r>
        <w:rPr/>
        <w:t>14</w:t>
        <w:tab/>
        <w:t>Jitter Buffer Management</w:t>
      </w:r>
    </w:p>
    <w:p>
      <w:pPr>
        <w:pStyle w:val="Normal"/>
        <w:rPr/>
      </w:pPr>
      <w:r>
        <w:rPr/>
        <w:t>The EVS coder Jitter Buffer Management is described in [8].</w:t>
      </w:r>
    </w:p>
    <w:p>
      <w:pPr>
        <w:pStyle w:val="Heading1"/>
        <w:ind w:left="1134" w:hanging="1134"/>
        <w:rPr/>
      </w:pPr>
      <w:bookmarkStart w:id="21" w:name="__RefHeading___Toc517372695"/>
      <w:bookmarkEnd w:id="21"/>
      <w:r>
        <w:rPr/>
        <w:t>15</w:t>
        <w:tab/>
        <w:t>Performance characterization</w:t>
      </w:r>
    </w:p>
    <w:p>
      <w:pPr>
        <w:pStyle w:val="Normal"/>
        <w:rPr/>
      </w:pPr>
      <w:r>
        <w:rPr/>
        <w:t>The EVS coder performance characterization is described in [14].</w:t>
      </w:r>
    </w:p>
    <w:p>
      <w:pPr>
        <w:pStyle w:val="FP"/>
        <w:rPr/>
      </w:pPr>
      <w:r>
        <w:rPr/>
      </w:r>
      <w:r>
        <w:br w:type="page"/>
      </w:r>
    </w:p>
    <w:p>
      <w:pPr>
        <w:pStyle w:val="Heading8"/>
        <w:ind w:left="0" w:hanging="0"/>
        <w:rPr/>
      </w:pPr>
      <w:bookmarkStart w:id="22" w:name="__RefHeading___Toc517372696"/>
      <w:bookmarkStart w:id="23" w:name="historyclause"/>
      <w:bookmarkEnd w:id="22"/>
      <w:bookmarkEnd w:id="23"/>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618"/>
        <w:gridCol w:w="425"/>
        <w:gridCol w:w="4536"/>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SP-140208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 SA#64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09-2014</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right w:val="single" w:sz="6" w:space="0" w:color="000000"/>
            </w:tcBorders>
            <w:shd w:fill="FFFFFF" w:val="clear"/>
          </w:tcPr>
          <w:p>
            <w:pPr>
              <w:pStyle w:val="TAL"/>
              <w:rPr/>
            </w:pPr>
            <w:r>
              <w:rPr/>
              <w:t>SP-140457</w:t>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right w:val="single" w:sz="6" w:space="0" w:color="000000"/>
            </w:tcBorders>
            <w:shd w:fill="FFFFFF" w:val="clear"/>
          </w:tcPr>
          <w:p>
            <w:pPr>
              <w:pStyle w:val="TAL"/>
              <w:rPr/>
            </w:pPr>
            <w:r>
              <w:rPr/>
              <w:t>Presented to TSG SA#65 for approval</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 TSG SA#65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t>12-2014</w:t>
            </w:r>
          </w:p>
        </w:tc>
        <w:tc>
          <w:tcPr>
            <w:tcW w:w="618" w:type="dxa"/>
            <w:tcBorders>
              <w:top w:val="single" w:sz="6" w:space="0" w:color="000000"/>
              <w:left w:val="single" w:sz="6" w:space="0" w:color="000000"/>
              <w:bottom w:val="single" w:sz="6" w:space="0" w:color="000000"/>
              <w:right w:val="single" w:sz="6" w:space="0" w:color="000000"/>
            </w:tcBorders>
          </w:tcPr>
          <w:p>
            <w:pPr>
              <w:pStyle w:val="TAL"/>
              <w:jc w:val="center"/>
              <w:rPr/>
            </w:pPr>
            <w:r>
              <w:rPr/>
              <w:t>66</w:t>
            </w:r>
          </w:p>
        </w:tc>
        <w:tc>
          <w:tcPr>
            <w:tcW w:w="1083" w:type="dxa"/>
            <w:tcBorders>
              <w:top w:val="single" w:sz="6" w:space="0" w:color="000000"/>
              <w:left w:val="single" w:sz="6" w:space="0" w:color="000000"/>
              <w:bottom w:val="single" w:sz="6" w:space="0" w:color="000000"/>
              <w:right w:val="single" w:sz="6" w:space="0" w:color="000000"/>
            </w:tcBorders>
          </w:tcPr>
          <w:p>
            <w:pPr>
              <w:pStyle w:val="TAL"/>
              <w:rPr/>
            </w:pPr>
            <w:r>
              <w:rPr/>
              <w:t>SP-140723</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Typographical correction</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t>12-2015</w:t>
            </w:r>
          </w:p>
        </w:tc>
        <w:tc>
          <w:tcPr>
            <w:tcW w:w="618" w:type="dxa"/>
            <w:tcBorders>
              <w:top w:val="single" w:sz="6" w:space="0" w:color="000000"/>
              <w:left w:val="single" w:sz="6" w:space="0" w:color="000000"/>
              <w:bottom w:val="single" w:sz="6" w:space="0" w:color="000000"/>
              <w:right w:val="single" w:sz="6" w:space="0" w:color="000000"/>
            </w:tcBorders>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12.1.0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7Char">
    <w:name w:val="Heading 7 Char"/>
    <w:qFormat/>
    <w:rPr>
      <w:rFonts w:ascii="Arial" w:hAnsi="Arial" w:cs="Arial"/>
      <w:lang w:val="en-GB"/>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UMTS LTE EVS telephony</cp:keywords>
  <dc:language>en-US</dc:language>
  <cp:lastModifiedBy>S4-200951_CR-0500</cp:lastModifiedBy>
  <cp:lastPrinted>2014-05-21T09:21:00Z</cp:lastPrinted>
  <dcterms:modified xsi:type="dcterms:W3CDTF">2020-07-20T14:24:00Z</dcterms:modified>
  <cp:revision>2</cp:revision>
  <dc:subject>3GPP TS 26.441 Codec for Enhanced Voice Services (EVS);  General Overview  (Release 16)</dc:subject>
  <dc:title>3GPP TS 26.441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-721166723</vt:r8>
  </property>
  <property fmtid="{D5CDD505-2E9C-101B-9397-08002B2CF9AE}" pid="3" name="_AuthorEmail">
    <vt:lpwstr>vatti@qti.qualcomm.com</vt:lpwstr>
  </property>
  <property fmtid="{D5CDD505-2E9C-101B-9397-08002B2CF9AE}" pid="4" name="_AuthorEmailDisplayName">
    <vt:lpwstr>Atti, Venkatraman</vt:lpwstr>
  </property>
  <property fmtid="{D5CDD505-2E9C-101B-9397-08002B2CF9AE}" pid="5" name="_EmailSubject">
    <vt:lpwstr>[evs-dev-extern] Re: 26.441 Update</vt:lpwstr>
  </property>
  <property fmtid="{D5CDD505-2E9C-101B-9397-08002B2CF9AE}" pid="6" name="_NewReviewCycle">
    <vt:lpwstr/>
  </property>
  <property fmtid="{D5CDD505-2E9C-101B-9397-08002B2CF9AE}" pid="7" name="_ReviewingToolsShownOnce">
    <vt:lpwstr/>
  </property>
</Properties>
</file>