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26.451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26.451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Voice Activity Detection (VAD)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 xml:space="preserve">Voice Activity Detection (VAD)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788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7788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7788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37788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37788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The SAD Algorithm</w:t>
            <w:tab/>
          </w:r>
          <w:hyperlink w:anchor="__RefHeading___Toc517377888">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7377889">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37788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377884"/>
      <w:bookmarkEnd w:id="7"/>
      <w:r>
        <w:rPr/>
        <w:t>1</w:t>
        <w:tab/>
        <w:t>Scope</w:t>
      </w:r>
    </w:p>
    <w:p>
      <w:pPr>
        <w:pStyle w:val="Normal"/>
        <w:spacing w:lineRule="atLeast" w:line="240"/>
        <w:rPr/>
      </w:pPr>
      <w:r>
        <w:rPr/>
        <w:t>The present document specifies the Voice Activity Detector (VAD) used in the Discontinuous Transmission (DTX) of the EVS Codec. Although the main application of the VAD algorithm is the detection of speech or voice signals, the algorithm is more accurately described as a Signal Activity Detection (SAD) algorithm.</w:t>
      </w:r>
    </w:p>
    <w:p>
      <w:pPr>
        <w:pStyle w:val="Normal"/>
        <w:rPr/>
      </w:pPr>
      <w:r>
        <w:rPr/>
        <w:t>The present document is a high level overview of the functionality with reference to the Codec Detailed Algorithmic Description where the functionality is specified in detail.</w:t>
      </w:r>
    </w:p>
    <w:p>
      <w:pPr>
        <w:pStyle w:val="Heading1"/>
        <w:ind w:left="1134" w:hanging="1134"/>
        <w:rPr/>
      </w:pPr>
      <w:bookmarkStart w:id="8" w:name="__RefHeading___Toc51737788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rFonts w:eastAsia="SimSun;宋体"/>
        </w:rPr>
      </w:pPr>
      <w:r>
        <w:rPr>
          <w:rFonts w:eastAsia="SimSun;宋体"/>
        </w:rPr>
        <w:t>[2]</w:t>
        <w:tab/>
        <w:t>3GPP TS 26.441: "Codec for Enhanced Voice Services (EVS);</w:t>
      </w:r>
      <w:r>
        <w:rPr/>
        <w:t xml:space="preserve"> </w:t>
      </w:r>
      <w:r>
        <w:rPr>
          <w:rFonts w:eastAsia="SimSun;宋体"/>
        </w:rPr>
        <w:t>General Overview".</w:t>
      </w:r>
    </w:p>
    <w:p>
      <w:pPr>
        <w:pStyle w:val="EX"/>
        <w:rPr/>
      </w:pPr>
      <w:r>
        <w:rPr>
          <w:rFonts w:eastAsia="SimSun;宋体"/>
        </w:rPr>
        <w:t>[3]</w:t>
        <w:tab/>
        <w:t>3GPP TS 26.445: "Codec for Enhanced Voice Services (EVS); Detailed Algorithmic Description ".</w:t>
      </w:r>
    </w:p>
    <w:p>
      <w:pPr>
        <w:pStyle w:val="EX"/>
        <w:rPr/>
      </w:pPr>
      <w:r>
        <w:rPr>
          <w:rFonts w:eastAsia="SimSun;宋体"/>
        </w:rPr>
        <w:t>[4]</w:t>
        <w:tab/>
        <w:t>3GPP TS 26.442: "Codec for Enhanced Voice Services (EVS); ANSI C code (fixed-point)".</w:t>
      </w:r>
    </w:p>
    <w:p>
      <w:pPr>
        <w:pStyle w:val="EX"/>
        <w:rPr/>
      </w:pPr>
      <w:r>
        <w:rPr>
          <w:rFonts w:eastAsia="SimSun;宋体"/>
        </w:rPr>
        <w:t>[5]</w:t>
        <w:tab/>
        <w:t>3GPP TS 26.443: "Codec for Enhanced Voice Services (EVS); ANSI C code (floating-point)".</w:t>
      </w:r>
    </w:p>
    <w:p>
      <w:pPr>
        <w:pStyle w:val="EX"/>
        <w:rPr/>
      </w:pPr>
      <w:r>
        <w:rPr>
          <w:rFonts w:eastAsia="SimSun;宋体"/>
        </w:rPr>
        <w:t>[6]</w:t>
        <w:tab/>
        <w:t>3GPP TS 26.444: "Codec for Enhanced Voice Services (EVS); Test Sequences".</w:t>
      </w:r>
    </w:p>
    <w:p>
      <w:pPr>
        <w:pStyle w:val="EX"/>
        <w:rPr/>
      </w:pPr>
      <w:r>
        <w:rPr>
          <w:rFonts w:eastAsia="SimSun;宋体"/>
        </w:rPr>
        <w:t>[7]</w:t>
        <w:tab/>
        <w:t>3GPP TS 26.446: "Codec for Enhanced Voice Services (EVS); AMR-WB Backward Compatible Functions".</w:t>
      </w:r>
    </w:p>
    <w:p>
      <w:pPr>
        <w:pStyle w:val="EX"/>
        <w:rPr/>
      </w:pPr>
      <w:r>
        <w:rPr>
          <w:rFonts w:eastAsia="SimSun;宋体"/>
        </w:rPr>
        <w:t>[8]</w:t>
        <w:tab/>
        <w:t>3GPP TS 26.449: "Codec for Enhanced Voice Services (EVS); Comfort Noise Generation (CNG) Aspects".</w:t>
      </w:r>
    </w:p>
    <w:p>
      <w:pPr>
        <w:pStyle w:val="EX"/>
        <w:rPr/>
      </w:pPr>
      <w:r>
        <w:rPr>
          <w:rFonts w:eastAsia="SimSun;宋体"/>
        </w:rPr>
        <w:t>[9]</w:t>
        <w:tab/>
        <w:t>3GPP TS 26.450: "Codec for Enhanced Voice Services (EVS); Discontinuous Transmission (DTX)".</w:t>
      </w:r>
    </w:p>
    <w:p>
      <w:pPr>
        <w:pStyle w:val="EX"/>
        <w:rPr/>
      </w:pPr>
      <w:r>
        <w:rPr>
          <w:rFonts w:eastAsia="SimSun;宋体"/>
        </w:rPr>
        <w:t>[10]</w:t>
        <w:tab/>
        <w:t>3GPP TR 26.952: "Codec for Enhanced Voice Services (EVS); Performance Characterization"</w:t>
      </w:r>
      <w:r>
        <w:rPr/>
        <w:t>.</w:t>
      </w:r>
    </w:p>
    <w:p>
      <w:pPr>
        <w:pStyle w:val="Heading1"/>
        <w:ind w:left="1134" w:hanging="1134"/>
        <w:rPr/>
      </w:pPr>
      <w:bookmarkStart w:id="9" w:name="__RefHeading___Toc517377886"/>
      <w:bookmarkEnd w:id="9"/>
      <w:r>
        <w:rPr/>
        <w:t>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pPr>
      <w:r>
        <w:rPr>
          <w:rFonts w:eastAsia="SimSun;宋体"/>
          <w:lang w:eastAsia="zh-CN"/>
        </w:rPr>
        <w:t>FB</w:t>
        <w:tab/>
        <w:t>Fullband</w:t>
      </w:r>
    </w:p>
    <w:p>
      <w:pPr>
        <w:pStyle w:val="EW"/>
        <w:rPr>
          <w:rFonts w:eastAsia="SimSun;宋体"/>
          <w:lang w:eastAsia="zh-CN"/>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pPr>
      <w:r>
        <w:rPr>
          <w:rFonts w:eastAsia="SimSun;宋体"/>
          <w:lang w:eastAsia="zh-CN"/>
        </w:rPr>
        <w:t>SAD</w:t>
        <w:tab/>
        <w:t>Signal Activity Detection</w:t>
      </w:r>
    </w:p>
    <w:p>
      <w:pPr>
        <w:pStyle w:val="EW"/>
        <w:rPr>
          <w:rFonts w:eastAsia="SimSun;宋体"/>
          <w:lang w:eastAsia="zh-CN"/>
        </w:rPr>
      </w:pPr>
      <w:r>
        <w:rPr>
          <w:rFonts w:eastAsia="SimSun;宋体"/>
          <w:lang w:eastAsia="zh-CN"/>
        </w:rPr>
        <w:t>SC-VBR</w:t>
        <w:tab/>
        <w:t>Source Controlled - Variable Bit Rate</w:t>
      </w:r>
    </w:p>
    <w:p>
      <w:pPr>
        <w:pStyle w:val="EW"/>
        <w:rPr>
          <w:rFonts w:eastAsia="SimSun;宋体"/>
          <w:lang w:eastAsia="zh-CN"/>
        </w:rPr>
      </w:pPr>
      <w:r>
        <w:rPr>
          <w:rFonts w:eastAsia="SimSun;宋体"/>
          <w:lang w:eastAsia="zh-CN"/>
        </w:rPr>
        <w:t>SID</w:t>
        <w:tab/>
        <w:t>Silence Insertion Descriptor</w:t>
      </w:r>
    </w:p>
    <w:p>
      <w:pPr>
        <w:pStyle w:val="EW"/>
        <w:rPr>
          <w:rFonts w:eastAsia="SimSun;宋体"/>
          <w:lang w:eastAsia="zh-CN"/>
        </w:rPr>
      </w:pPr>
      <w:r>
        <w:rPr>
          <w:rFonts w:eastAsia="SimSun;宋体"/>
          <w:lang w:eastAsia="zh-CN"/>
        </w:rPr>
        <w:t>SWB</w:t>
        <w:tab/>
        <w:t>Super Wideband</w:t>
      </w:r>
    </w:p>
    <w:p>
      <w:pPr>
        <w:pStyle w:val="EW"/>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W"/>
        <w:rPr>
          <w:rFonts w:eastAsia="SimSun;宋体"/>
          <w:lang w:eastAsia="zh-CN"/>
        </w:rPr>
      </w:pPr>
      <w:r>
        <w:rPr>
          <w:rFonts w:eastAsia="SimSun;宋体"/>
          <w:lang w:eastAsia="zh-CN"/>
        </w:rPr>
        <w:t>WMOPS</w:t>
        <w:tab/>
        <w:t>Weighted Millions of Operations Per Second</w:t>
      </w:r>
    </w:p>
    <w:p>
      <w:pPr>
        <w:pStyle w:val="Heading1"/>
        <w:ind w:left="1134" w:hanging="1134"/>
        <w:rPr/>
      </w:pPr>
      <w:bookmarkStart w:id="10" w:name="__RefHeading___Toc517377887"/>
      <w:bookmarkStart w:id="11" w:name="historyclause"/>
      <w:bookmarkEnd w:id="10"/>
      <w:bookmarkEnd w:id="11"/>
      <w:r>
        <w:rPr/>
        <w:t>4</w:t>
        <w:tab/>
        <w:t>General</w:t>
      </w:r>
    </w:p>
    <w:p>
      <w:pPr>
        <w:pStyle w:val="Normal"/>
        <w:rPr/>
      </w:pPr>
      <w:r>
        <w:rPr/>
        <w:t>The function of the Enhanced Voice Services coder VAD algorithm, or more accurately the SAD algorithm, is to indicate whether each 20 ms frame contains signals that should be transmitted, e.g. speech, music or other audio. The output of the SAD algorithm is a Boolean flag (</w:t>
      </w:r>
      <w:r>
        <w:rPr/>
        <w:drawing>
          <wp:inline distT="0" distB="0" distL="0" distR="0">
            <wp:extent cx="304800" cy="1905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7"/>
                    <a:srcRect l="-118" t="-189" r="-118" b="-189"/>
                    <a:stretch>
                      <a:fillRect/>
                    </a:stretch>
                  </pic:blipFill>
                  <pic:spPr bwMode="auto">
                    <a:xfrm>
                      <a:off x="0" y="0"/>
                      <a:ext cx="304800" cy="190500"/>
                    </a:xfrm>
                    <a:prstGeom prst="rect">
                      <a:avLst/>
                    </a:prstGeom>
                  </pic:spPr>
                </pic:pic>
              </a:graphicData>
            </a:graphic>
          </wp:inline>
        </w:drawing>
      </w:r>
      <w:r>
        <w:rPr/>
        <w:t>) that is set to one for the active signal, which is any useful signal bearing some meaningful information. Otherwise, the flag is set to zero indicating an inactive signal, which has no meaningful information. The inactive signal is mostly a pause or background noise.</w:t>
      </w:r>
    </w:p>
    <w:p>
      <w:pPr>
        <w:pStyle w:val="Normal"/>
        <w:rPr/>
      </w:pPr>
      <w:r>
        <w:rPr/>
        <w:t xml:space="preserve">The procedure of the present document is mandatory for implementation in all network entities and User Equipment (UE)s supporting the EVS coder. </w:t>
      </w:r>
    </w:p>
    <w:p>
      <w:pPr>
        <w:pStyle w:val="Normal"/>
        <w:rPr/>
      </w:pPr>
      <w:r>
        <w:rPr/>
        <w:t>The present document does not describe the ANSI-C code of this procedure. In the case of discrepancy between the procedure described in the present document and its ANSI-C code specifications contained in [4] the procedure defined by the [4] prevails.</w:t>
      </w:r>
    </w:p>
    <w:p>
      <w:pPr>
        <w:pStyle w:val="Heading1"/>
        <w:ind w:left="1134" w:hanging="1134"/>
        <w:rPr/>
      </w:pPr>
      <w:bookmarkStart w:id="12" w:name="__RefHeading___Toc517377888"/>
      <w:bookmarkEnd w:id="12"/>
      <w:r>
        <w:rPr/>
        <w:t>5</w:t>
        <w:tab/>
        <w:t>The SAD Algorithm</w:t>
      </w:r>
    </w:p>
    <w:p>
      <w:pPr>
        <w:pStyle w:val="Normal"/>
        <w:rPr/>
      </w:pPr>
      <w:r>
        <w:rPr/>
        <w:t>The Enhanced Voice Services codec signal activity detection (SAD) module described in the present document consists of three sub-SAD modules; SAD1, SAD2 and SAD3.</w:t>
      </w:r>
    </w:p>
    <w:p>
      <w:pPr>
        <w:pStyle w:val="Normal"/>
        <w:rPr/>
      </w:pPr>
      <w:r>
        <w:rPr/>
        <w:t xml:space="preserve">SAD1 and SAD2 are combined initially to provide an efficient preliminary activity decision. This preliminary decision is then </w:t>
      </w:r>
      <w:r>
        <w:rPr>
          <w:lang w:eastAsia="zh-CN"/>
        </w:rPr>
        <w:t xml:space="preserve">modified </w:t>
      </w:r>
      <w:r>
        <w:rPr/>
        <w:t xml:space="preserve">by the third sub-SAD module, SAD3, depending upon the codec mode of operation. </w:t>
      </w:r>
    </w:p>
    <w:p>
      <w:pPr>
        <w:pStyle w:val="Normal"/>
        <w:rPr/>
      </w:pPr>
      <w:r>
        <w:rPr/>
        <w:t xml:space="preserve">The efficient </w:t>
      </w:r>
      <w:r>
        <w:rPr>
          <w:lang w:eastAsia="zh-CN"/>
        </w:rPr>
        <w:t xml:space="preserve">preliminary </w:t>
      </w:r>
      <w:r>
        <w:rPr/>
        <w:t xml:space="preserve">activity output is used as the final SAD decision for the AMR-WB IO modes, while the activity output </w:t>
      </w:r>
      <w:r>
        <w:rPr>
          <w:lang w:eastAsia="zh-CN"/>
        </w:rPr>
        <w:t>with</w:t>
      </w:r>
      <w:r>
        <w:rPr>
          <w:lang w:eastAsia="zh-CN"/>
        </w:rPr>
        <w:t xml:space="preserve"> SAD3 </w:t>
      </w:r>
      <w:r>
        <w:rPr/>
        <w:t>is used as the final SAD decision for all other bit-rates.</w:t>
      </w:r>
    </w:p>
    <w:p>
      <w:pPr>
        <w:pStyle w:val="Normal"/>
        <w:rPr/>
      </w:pPr>
      <w:r>
        <w:rPr/>
        <w:t>Sub-clause 5.1.12 in [3] describes the operation of the SAD and the algorithms involved in the three sub-SAD modules in detail.</w:t>
      </w:r>
      <w:r>
        <w:br w:type="page"/>
      </w:r>
    </w:p>
    <w:p>
      <w:pPr>
        <w:pStyle w:val="Heading8"/>
        <w:ind w:left="0" w:hanging="0"/>
        <w:rPr/>
      </w:pPr>
      <w:bookmarkStart w:id="13" w:name="__RefHeading___Toc517377889"/>
      <w:bookmarkEnd w:id="13"/>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82"/>
        <w:gridCol w:w="901"/>
        <w:gridCol w:w="426"/>
        <w:gridCol w:w="428"/>
        <w:gridCol w:w="4725"/>
        <w:gridCol w:w="709"/>
        <w:gridCol w:w="850"/>
      </w:tblGrid>
      <w:tr>
        <w:trPr>
          <w:cantSplit w:val="true"/>
        </w:trPr>
        <w:tc>
          <w:tcPr>
            <w:tcW w:w="96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108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t>SP-140466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at TSG-SA #65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2014-09</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65</w:t>
            </w:r>
          </w:p>
        </w:tc>
        <w:tc>
          <w:tcPr>
            <w:tcW w:w="1083" w:type="dxa"/>
            <w:gridSpan w:val="2"/>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right w:val="single" w:sz="6" w:space="0" w:color="000000"/>
            </w:tcBorders>
            <w:shd w:fill="FFFFFF" w:val="clear"/>
          </w:tcPr>
          <w:p>
            <w:pPr>
              <w:pStyle w:val="TAL"/>
              <w:rPr/>
            </w:pPr>
            <w:r>
              <w:rPr/>
              <w:t>Approved at TSG SA~65</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1083"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8"/>
              </w:rPr>
            </w:pPr>
            <w:r>
              <w:rPr>
                <w:rFonts w:cs="Arial"/>
                <w:sz w:val="18"/>
              </w:rPr>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083" w:type="dxa"/>
            <w:gridSpan w:val="2"/>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7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widowControl/>
      <w:overflowPunct w:val="false"/>
      <w:autoSpaceDE w:val="false"/>
      <w:bidi w:val="0"/>
      <w:spacing w:before="0" w:after="180"/>
      <w:textAlignment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4445</wp:posOffset>
              </wp:positionV>
              <wp:extent cx="641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UMTS LTE EVS telephony</cp:keywords>
  <dc:language>en-US</dc:language>
  <cp:lastModifiedBy>S4-200951_CR-0500</cp:lastModifiedBy>
  <dcterms:modified xsi:type="dcterms:W3CDTF">2020-07-20T14:24:00Z</dcterms:modified>
  <cp:revision>2</cp:revision>
  <dc:subject>3GPP TS 26.451 Codec for Enhanced Voice Services (EVS); Voice Activity Detection (VAD) (Release 16)</dc:subject>
  <dc:title>3GPP TS 26.451 v. 15.0.0</dc:title>
</cp:coreProperties>
</file>