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9.png" ContentType="image/png"/>
  <Override PartName="/word/media/image28.png" ContentType="image/png"/>
  <Override PartName="/word/media/image27.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6.jpeg" ContentType="image/jpeg"/>
  <Override PartName="/word/media/image34.png" ContentType="image/png"/>
  <Override PartName="/word/media/image9.png" ContentType="image/png"/>
  <Override PartName="/word/media/image39.png" ContentType="image/png"/>
  <Override PartName="/word/media/image30.png" ContentType="image/png"/>
  <Override PartName="/word/media/image31.png" ContentType="image/png"/>
  <Override PartName="/word/media/image32.jpeg" ContentType="image/jpeg"/>
  <Override PartName="/word/media/image35.png" ContentType="image/png"/>
  <Override PartName="/word/media/image5.jpeg" ContentType="image/jpeg"/>
  <Override PartName="/word/media/image33.png" ContentType="image/png"/>
  <Override PartName="/word/media/image14.jpeg" ContentType="image/jpeg"/>
  <Override PartName="/word/media/image11.png" ContentType="image/png"/>
  <Override PartName="/word/media/image12.png" ContentType="image/png"/>
  <Override PartName="/word/media/image36.png" ContentType="image/png"/>
  <Override PartName="/word/media/image40.png" ContentType="image/png"/>
  <Override PartName="/word/media/image8.png" ContentType="image/png"/>
  <Override PartName="/word/media/image38.png" ContentType="image/png"/>
  <Override PartName="/word/media/image37.png" ContentType="image/png"/>
  <Override PartName="/word/media/image7.png" ContentType="image/png"/>
  <Override PartName="/word/media/image13.png" ContentType="image/png"/>
  <Override PartName="/word/media/image1.jpeg" ContentType="image/jpeg"/>
  <Override PartName="/word/media/image10.png" ContentType="image/png"/>
  <Override PartName="/word/media/image3.wmf" ContentType="image/x-wmf"/>
  <Override PartName="/word/media/image2.png" ContentType="image/png"/>
  <Override PartName="/word/media/image25.png" ContentType="image/png"/>
  <Override PartName="/word/media/image4.wmf" ContentType="image/x-wmf"/>
  <Override PartName="/word/media/image15.png" ContentType="image/png"/>
  <Override PartName="/word/media/image16.png" ContentType="image/png"/>
  <Override PartName="/word/media/image17.jpeg" ContentType="image/jpeg"/>
  <Override PartName="/word/media/image26.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lang w:val="en-GB" w:eastAsia="en-US"/>
                              </w:rPr>
                            </w:pPr>
                            <w:bookmarkStart w:id="0" w:name="page1"/>
                            <w:bookmarkEnd w:id="0"/>
                            <w:r>
                              <w:rPr>
                                <w:sz w:val="64"/>
                                <w:lang w:val="en-GB" w:eastAsia="en-US"/>
                              </w:rPr>
                              <w:t xml:space="preserve">3GPP TR 26.801 </w:t>
                            </w:r>
                            <w:r>
                              <w:rPr>
                                <w:lang w:val="en-GB" w:eastAsia="en-US"/>
                              </w:rPr>
                              <w:t xml:space="preserve">V16.0.0 </w:t>
                            </w:r>
                            <w:r>
                              <w:rPr>
                                <w:sz w:val="32"/>
                                <w:lang w:val="en-GB" w:eastAsia="en-US"/>
                              </w:rPr>
                              <w:t>(2019-09)</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lang w:val="en-GB" w:eastAsia="en-US"/>
                        </w:rPr>
                      </w:pPr>
                      <w:bookmarkStart w:id="1" w:name="page1"/>
                      <w:bookmarkEnd w:id="1"/>
                      <w:r>
                        <w:rPr>
                          <w:sz w:val="64"/>
                          <w:lang w:val="en-GB" w:eastAsia="en-US"/>
                        </w:rPr>
                        <w:t xml:space="preserve">3GPP TR 26.801 </w:t>
                      </w:r>
                      <w:r>
                        <w:rPr>
                          <w:lang w:val="en-GB" w:eastAsia="en-US"/>
                        </w:rPr>
                        <w:t xml:space="preserve">V16.0.0 </w:t>
                      </w:r>
                      <w:r>
                        <w:rPr>
                          <w:sz w:val="32"/>
                          <w:lang w:val="en-GB" w:eastAsia="en-US"/>
                        </w:rPr>
                        <w:t>(2019-09)</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lang w:val="en-GB" w:eastAsia="en-US"/>
                              </w:rPr>
                            </w:pPr>
                            <w:r>
                              <w:rPr>
                                <w:lang w:val="en-GB" w:eastAsia="en-US"/>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lang w:val="en-GB" w:eastAsia="en-US"/>
                        </w:rPr>
                      </w:pPr>
                      <w:r>
                        <w:rPr>
                          <w:lang w:val="en-GB" w:eastAsia="en-US"/>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User Equipment (UE) supporting handset mode with</w:t>
                            </w:r>
                          </w:p>
                          <w:p>
                            <w:pPr>
                              <w:pStyle w:val="ZT"/>
                              <w:rPr/>
                            </w:pPr>
                            <w:r>
                              <w:rPr/>
                              <w:t>non-traditional earpieces</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User Equipment (UE) supporting handset mode with</w:t>
                      </w:r>
                    </w:p>
                    <w:p>
                      <w:pPr>
                        <w:pStyle w:val="ZT"/>
                        <w:rPr/>
                      </w:pPr>
                      <w:r>
                        <w:rPr/>
                        <w:t>non-traditional earpieces</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8405" cy="838835"/>
                                  <wp:effectExtent l="0" t="0" r="0" b="0"/>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color w:val="0000FF"/>
                          <w:lang w:val="en-GB" w:eastAsia="en-US"/>
                        </w:rPr>
                        <w:tab/>
                      </w:r>
                    </w:p>
                    <w:p>
                      <w:pPr>
                        <w:pStyle w:val="ZU"/>
                        <w:tabs>
                          <w:tab w:val="clear" w:pos="284"/>
                          <w:tab w:val="right" w:pos="10206" w:leader="none"/>
                        </w:tabs>
                        <w:jc w:val="left"/>
                        <w:rPr>
                          <w:lang w:val="en-GB" w:eastAsia="en-US"/>
                        </w:rPr>
                      </w:pPr>
                      <w:r>
                        <w:rPr>
                          <w:rFonts w:eastAsia="Arial"/>
                          <w:i/>
                          <w:lang w:val="en-GB" w:eastAsia="en-US"/>
                        </w:rPr>
                        <w:t xml:space="preserve">  </w:t>
                      </w:r>
                      <w:r>
                        <w:rPr>
                          <w:i/>
                          <w:lang w:val="en-GB" w:eastAsia="en-US"/>
                        </w:rPr>
                        <w:drawing>
                          <wp:inline distT="0" distB="0" distL="0" distR="0">
                            <wp:extent cx="1208405" cy="83883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lang w:val="en-GB" w:eastAsia="en-US"/>
                        </w:rPr>
                        <w:tab/>
                      </w:r>
                      <w:r>
                        <w:rPr>
                          <w:lang w:val="en-GB" w:eastAsia="en-US"/>
                        </w:rPr>
                        <w:drawing>
                          <wp:inline distT="0" distB="0" distL="0" distR="0">
                            <wp:extent cx="1624965" cy="949960"/>
                            <wp:effectExtent l="0" t="0" r="0" b="0"/>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p>
                      <w:pPr>
                        <w:pStyle w:val="ZU"/>
                        <w:tabs>
                          <w:tab w:val="clear" w:pos="284"/>
                          <w:tab w:val="right" w:pos="10206" w:leader="none"/>
                        </w:tabs>
                        <w:jc w:val="left"/>
                        <w:rPr>
                          <w:lang w:val="en-GB" w:eastAsia="en-US"/>
                        </w:rPr>
                      </w:pPr>
                      <w:r>
                        <w:rPr>
                          <w:lang w:val="en-GB" w:eastAsia="en-US"/>
                        </w:rPr>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9718675</wp:posOffset>
                </wp:positionV>
                <wp:extent cx="6379210" cy="874395"/>
                <wp:effectExtent l="0" t="0" r="0" b="0"/>
                <wp:wrapTopAndBottom/>
                <wp:docPr id="9" name="Frame5"/>
                <a:graphic xmlns:a="http://schemas.openxmlformats.org/drawingml/2006/main">
                  <a:graphicData uri="http://schemas.microsoft.com/office/word/2010/wordprocessingShape">
                    <wps:wsp>
                      <wps:cNvSpPr txBox="1"/>
                      <wps:spPr>
                        <a:xfrm>
                          <a:off x="0" y="0"/>
                          <a:ext cx="6379210" cy="874395"/>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2.3pt;height:68.85pt;mso-wrap-distance-left:0pt;mso-wrap-distance-right:0pt;mso-wrap-distance-top:0pt;mso-wrap-distance-bottom:0pt;margin-top:765.25pt;mso-position-vertical-relative:page;margin-left:0pt;mso-position-horizontal:left;mso-position-horizontal-relative:margin">
                <v:fill opacity="0f"/>
                <v:textbox inset="0in,0in,0in,0in">
                  <w:txbxContent>
                    <w:p>
                      <w:pPr>
                        <w:pStyle w:val="Normal"/>
                        <w:widowControl/>
                        <w:overflowPunct w:val="false"/>
                        <w:autoSpaceDE w:val="false"/>
                        <w:bidi w:val="0"/>
                        <w:spacing w:before="0" w:after="180"/>
                        <w:textAlignment w:val="baseline"/>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lang w:val="en-GB" w:eastAsia="en-US"/>
                              </w:rPr>
                            </w:pPr>
                            <w:r>
                              <w:rPr>
                                <w:lang w:val="en-GB" w:eastAsia="en-US"/>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lang w:val="en-GB" w:eastAsia="en-US"/>
                        </w:rPr>
                      </w:pPr>
                      <w:r>
                        <w:rPr>
                          <w:lang w:val="en-GB" w:eastAsia="en-US"/>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UE, non-traditional earpiece</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UE, non-traditional earpiece</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pPr>
                      <w:r>
                        <w:rPr/>
                        <w:t>3GPP support office address</w:t>
                      </w:r>
                    </w:p>
                    <w:p>
                      <w:pPr>
                        <w:pStyle w:val="FP"/>
                        <w:ind w:left="2835" w:right="2835" w:hanging="0"/>
                        <w:jc w:val="center"/>
                        <w:rPr>
                          <w:rFonts w:ascii="Arial" w:hAnsi="Arial" w:cs="Arial"/>
                          <w:sz w:val="18"/>
                        </w:rPr>
                      </w:pPr>
                      <w:r>
                        <w:rPr>
                          <w:rFonts w:cs="Arial" w:ascii="Arial" w:hAnsi="Arial"/>
                          <w:sz w:val="18"/>
                        </w:rPr>
                        <w:t>650 Route des Lucioles - Sophia Antipolis</w:t>
                      </w:r>
                    </w:p>
                    <w:p>
                      <w:pPr>
                        <w:pStyle w:val="FP"/>
                        <w:ind w:left="2835" w:right="2835" w:hanging="0"/>
                        <w:jc w:val="center"/>
                        <w:rPr>
                          <w:rFonts w:ascii="Arial" w:hAnsi="Arial" w:cs="Arial"/>
                          <w:sz w:val="18"/>
                        </w:rPr>
                      </w:pPr>
                      <w:r>
                        <w:rPr>
                          <w:rFonts w:cs="Arial" w:ascii="Arial" w:hAnsi="Arial"/>
                          <w:sz w:val="18"/>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pPr>
                      <w:r>
                        <w:rPr>
                          <w:rFonts w:cs="Arial" w:ascii="Arial" w:hAnsi="Arial"/>
                          <w:sz w:val="18"/>
                        </w:rPr>
                        <w:t>http://www.3gpp.org</w:t>
                      </w:r>
                    </w:p>
                  </w:txbxContent>
                </v:textbox>
                <w10:wrap type="topAndBottom"/>
              </v:rect>
            </w:pict>
          </mc:Fallback>
        </mc:AlternateContent>
      </w:r>
    </w:p>
    <w:p>
      <w:pPr>
        <w:pStyle w:val="TT"/>
        <w:rPr/>
      </w:pPr>
      <w:r>
        <w:rPr/>
      </w:r>
      <w:bookmarkStart w:id="4" w:name="page2"/>
      <w:bookmarkStart w:id="5" w:name="page2"/>
      <w:bookmarkEnd w:id="5"/>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2019, 3GPP Organizational Partners (ARIB, ATIS, CCSA, ETSI, TSDSI, TTA, TTC).</w:t>
                            </w:r>
                            <w:bookmarkStart w:id="6" w:name="copyrightaddon"/>
                            <w:bookmarkEnd w:id="6"/>
                          </w:p>
                          <w:p>
                            <w:pPr>
                              <w:pStyle w:val="FP"/>
                              <w:jc w:val="center"/>
                              <w:rPr>
                                <w:sz w:val="18"/>
                              </w:rPr>
                            </w:pPr>
                            <w:r>
                              <w:rPr>
                                <w:sz w:val="18"/>
                              </w:rPr>
                              <w:t>All rights reserved.</w:t>
                            </w:r>
                          </w:p>
                          <w:p>
                            <w:pPr>
                              <w:pStyle w:val="FP"/>
                              <w:rPr>
                                <w:sz w:val="18"/>
                              </w:rPr>
                            </w:pPr>
                            <w:r>
                              <w:rPr>
                                <w:sz w:val="18"/>
                              </w:rPr>
                            </w:r>
                          </w:p>
                          <w:p>
                            <w:pPr>
                              <w:pStyle w:val="FP"/>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pPr>
                            <w:r>
                              <w:rPr>
                                <w:sz w:val="18"/>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rPr>
                      </w:pPr>
                      <w:r>
                        <w:rPr>
                          <w:rFonts w:cs="Arial" w:ascii="Arial" w:hAnsi="Arial"/>
                          <w:b/>
                          <w:i/>
                        </w:rPr>
                        <w:t>Copyright Notification</w:t>
                      </w:r>
                    </w:p>
                    <w:p>
                      <w:pPr>
                        <w:pStyle w:val="FP"/>
                        <w:jc w:val="center"/>
                        <w:rPr/>
                      </w:pPr>
                      <w:r>
                        <w:rPr/>
                        <w:t>No part may be reproduced except as authorized by written permission.</w:t>
                        <w:br/>
                        <w:t>The copyright and the foregoing restriction extend to reproduction in all media.</w:t>
                      </w:r>
                    </w:p>
                    <w:p>
                      <w:pPr>
                        <w:pStyle w:val="FP"/>
                        <w:jc w:val="center"/>
                        <w:rPr/>
                      </w:pPr>
                      <w:r>
                        <w:rPr/>
                      </w:r>
                    </w:p>
                    <w:p>
                      <w:pPr>
                        <w:pStyle w:val="FP"/>
                        <w:jc w:val="center"/>
                        <w:rPr/>
                      </w:pPr>
                      <w:r>
                        <w:rPr>
                          <w:sz w:val="18"/>
                        </w:rPr>
                        <w:t>© 2019, 3GPP Organizational Partners (ARIB, ATIS, CCSA, ETSI, TSDSI, TTA, TTC).</w:t>
                      </w:r>
                      <w:bookmarkStart w:id="7" w:name="copyrightaddon"/>
                      <w:bookmarkEnd w:id="7"/>
                    </w:p>
                    <w:p>
                      <w:pPr>
                        <w:pStyle w:val="FP"/>
                        <w:jc w:val="center"/>
                        <w:rPr>
                          <w:sz w:val="18"/>
                        </w:rPr>
                      </w:pPr>
                      <w:r>
                        <w:rPr>
                          <w:sz w:val="18"/>
                        </w:rPr>
                        <w:t>All rights reserved.</w:t>
                      </w:r>
                    </w:p>
                    <w:p>
                      <w:pPr>
                        <w:pStyle w:val="FP"/>
                        <w:rPr>
                          <w:sz w:val="18"/>
                        </w:rPr>
                      </w:pPr>
                      <w:r>
                        <w:rPr>
                          <w:sz w:val="18"/>
                        </w:rPr>
                      </w:r>
                    </w:p>
                    <w:p>
                      <w:pPr>
                        <w:pStyle w:val="FP"/>
                        <w:rPr/>
                      </w:pPr>
                      <w:r>
                        <w:rPr>
                          <w:sz w:val="18"/>
                        </w:rPr>
                        <w:t>UMTS™ is a Trade Mark of ETSI registered for the benefit of its members</w:t>
                      </w:r>
                    </w:p>
                    <w:p>
                      <w:pPr>
                        <w:pStyle w:val="FP"/>
                        <w:rPr>
                          <w:sz w:val="18"/>
                        </w:rPr>
                      </w:pPr>
                      <w:r>
                        <w:rPr>
                          <w:sz w:val="18"/>
                        </w:rPr>
                        <w:t>3GPP™ is a Trade Mark of ETSI registered for the benefit of its Members and of the 3GPP Organizational Partners</w:t>
                        <w:br/>
                        <w:t>LTE™ is a Trade Mark of ETSI registered for the benefit of its Members and of the 3GPP Organizational Partners</w:t>
                      </w:r>
                    </w:p>
                    <w:p>
                      <w:pPr>
                        <w:pStyle w:val="FP"/>
                        <w:rPr/>
                      </w:pPr>
                      <w:r>
                        <w:rPr>
                          <w:sz w:val="18"/>
                        </w:rPr>
                        <w:t>GSM® and the GSM logo are registered and owned by the GSM Association</w:t>
                      </w:r>
                    </w:p>
                  </w:txbxContent>
                </v:textbox>
                <w10:wrap type="topAndBottom"/>
              </v:rect>
            </w:pict>
          </mc:Fallback>
        </mc:AlternateContent>
      </w:r>
    </w:p>
    <w:p>
      <w:pPr>
        <w:pStyle w:val="TT"/>
        <w:rPr/>
      </w:pPr>
      <w:r>
        <w:rPr/>
        <w:t>Contents</w:t>
      </w:r>
    </w:p>
    <w:sdt>
      <w:sdtPr>
        <w:docPartObj>
          <w:docPartGallery w:val="Table of Contents"/>
          <w:docPartUnique w:val="true"/>
        </w:docPartObj>
      </w:sdtPr>
      <w:sdtContent>
        <w:p>
          <w:pPr>
            <w:pStyle w:val="Contents1"/>
            <w:keepLines/>
            <w:widowControl w:val="false"/>
            <w:overflowPunct w:val="false"/>
            <w:autoSpaceDE w:val="false"/>
            <w:bidi w:val="0"/>
            <w:spacing w:before="120" w:after="0"/>
            <w:ind w:left="567" w:right="425" w:hanging="567"/>
            <w:textAlignment w:val="baseline"/>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19266933">
            <w:r>
              <w:rPr>
                <w:rStyle w:val="IndexLink"/>
                <w:rFonts w:eastAsia="Times New Roman" w:cs="Times New Roman"/>
                <w:color w:val="auto"/>
                <w:sz w:val="22"/>
                <w:szCs w:val="20"/>
                <w:lang w:val="en-GB" w:eastAsia="en-US" w:bidi="ar-SA"/>
              </w:rPr>
              <w:t>5</w:t>
            </w:r>
          </w:hyperlink>
        </w:p>
        <w:p>
          <w:pPr>
            <w:pStyle w:val="Contents1"/>
            <w:rPr>
              <w:rFonts w:ascii="Calibri" w:hAnsi="Calibri" w:cs="Calibri"/>
              <w:szCs w:val="22"/>
              <w:lang w:val="en-US" w:eastAsia="en-US"/>
            </w:rPr>
          </w:pPr>
          <w:r>
            <w:rPr/>
            <w:t>Introduction</w:t>
            <w:tab/>
          </w:r>
          <w:hyperlink w:anchor="__RefHeading___Toc19266934">
            <w:r>
              <w:rPr>
                <w:rStyle w:val="IndexLink"/>
              </w:rPr>
              <w:t>6</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19266935">
            <w:r>
              <w:rPr>
                <w:rStyle w:val="IndexLink"/>
              </w:rPr>
              <w:t>7</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19266936">
            <w:r>
              <w:rPr>
                <w:rStyle w:val="IndexLink"/>
              </w:rPr>
              <w:t>7</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of terms, symbols and abbreviations</w:t>
            <w:tab/>
          </w:r>
          <w:hyperlink w:anchor="__RefHeading___Toc19266937">
            <w:r>
              <w:rPr>
                <w:rStyle w:val="IndexLink"/>
              </w:rPr>
              <w:t>7</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Terms</w:t>
            <w:tab/>
          </w:r>
          <w:hyperlink w:anchor="__RefHeading___Toc19266938">
            <w:r>
              <w:rPr>
                <w:rStyle w:val="IndexLink"/>
              </w:rPr>
              <w:t>7</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19266939">
            <w:r>
              <w:rPr>
                <w:rStyle w:val="IndexLink"/>
              </w:rPr>
              <w:t>7</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19266940">
            <w:r>
              <w:rPr>
                <w:rStyle w:val="IndexLink"/>
              </w:rPr>
              <w:t>7</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Report on studies with UEs featuring non-traditional earpieces</w:t>
            <w:tab/>
          </w:r>
          <w:hyperlink w:anchor="__RefHeading___Toc19266941">
            <w:r>
              <w:rPr>
                <w:rStyle w:val="IndexLink"/>
              </w:rPr>
              <w:t>8</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Challenges on conducting objective tests according to 3GPP existing specifications for UEs featuring non-traditional earpieces</w:t>
            <w:tab/>
          </w:r>
          <w:hyperlink w:anchor="__RefHeading___Toc19266942">
            <w:r>
              <w:rPr>
                <w:rStyle w:val="IndexLink"/>
              </w:rPr>
              <w:t>8</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Handset positioning on head and torso simulator</w:t>
            <w:tab/>
          </w:r>
          <w:hyperlink w:anchor="__RefHeading___Toc19266943">
            <w:r>
              <w:rPr>
                <w:rStyle w:val="IndexLink"/>
              </w:rPr>
              <w:t>8</w:t>
            </w:r>
          </w:hyperlink>
        </w:p>
        <w:p>
          <w:pPr>
            <w:pStyle w:val="Contents4"/>
            <w:rPr>
              <w:rFonts w:ascii="Calibri" w:hAnsi="Calibri" w:cs="Calibri"/>
              <w:sz w:val="22"/>
              <w:szCs w:val="22"/>
              <w:lang w:val="en-US" w:eastAsia="en-US"/>
            </w:rPr>
          </w:pPr>
          <w:r>
            <w:rPr/>
            <w:t>4.1.1.1</w:t>
          </w:r>
          <w:r>
            <w:rPr>
              <w:rFonts w:cs="Calibri" w:ascii="Calibri" w:hAnsi="Calibri"/>
              <w:sz w:val="22"/>
              <w:szCs w:val="22"/>
              <w:lang w:val="en-US" w:eastAsia="en-US"/>
            </w:rPr>
            <w:tab/>
          </w:r>
          <w:r>
            <w:rPr/>
            <w:t>Background</w:t>
            <w:tab/>
          </w:r>
          <w:hyperlink w:anchor="__RefHeading___Toc19266944">
            <w:r>
              <w:rPr>
                <w:rStyle w:val="IndexLink"/>
              </w:rPr>
              <w:t>8</w:t>
            </w:r>
          </w:hyperlink>
        </w:p>
        <w:p>
          <w:pPr>
            <w:pStyle w:val="Contents4"/>
            <w:rPr>
              <w:rFonts w:ascii="Calibri" w:hAnsi="Calibri" w:cs="Calibri"/>
              <w:sz w:val="22"/>
              <w:szCs w:val="22"/>
              <w:lang w:val="en-US" w:eastAsia="en-US"/>
            </w:rPr>
          </w:pPr>
          <w:r>
            <w:rPr/>
            <w:t>4.1.1.2.</w:t>
          </w:r>
          <w:r>
            <w:rPr>
              <w:rFonts w:cs="Calibri" w:ascii="Calibri" w:hAnsi="Calibri"/>
              <w:sz w:val="22"/>
              <w:szCs w:val="22"/>
              <w:lang w:val="en-US" w:eastAsia="en-US"/>
            </w:rPr>
            <w:tab/>
          </w:r>
          <w:r>
            <w:rPr/>
            <w:t>Definition - within the FS_HaNTE study - of handset position for UEs featuring non-traditional earpieces</w:t>
            <w:tab/>
          </w:r>
          <w:hyperlink w:anchor="__RefHeading___Toc19266945">
            <w:r>
              <w:rPr>
                <w:rStyle w:val="IndexLink"/>
              </w:rPr>
              <w:t>8</w:t>
            </w:r>
          </w:hyperlink>
        </w:p>
        <w:p>
          <w:pPr>
            <w:pStyle w:val="Contents4"/>
            <w:rPr>
              <w:rFonts w:ascii="Calibri" w:hAnsi="Calibri" w:cs="Calibri"/>
              <w:sz w:val="22"/>
              <w:szCs w:val="22"/>
              <w:lang w:val="en-US" w:eastAsia="en-US"/>
            </w:rPr>
          </w:pPr>
          <w:r>
            <w:rPr/>
            <w:t>4.1.1.3</w:t>
          </w:r>
          <w:r>
            <w:rPr>
              <w:rFonts w:cs="Calibri" w:ascii="Calibri" w:hAnsi="Calibri"/>
              <w:sz w:val="22"/>
              <w:szCs w:val="22"/>
              <w:lang w:val="en-US" w:eastAsia="en-US"/>
            </w:rPr>
            <w:tab/>
          </w:r>
          <w:r>
            <w:rPr/>
            <w:t>Template structure - within the FS_HaNTE study - of handset position for UEs featuring non-traditional earpieces</w:t>
            <w:tab/>
          </w:r>
          <w:hyperlink w:anchor="__RefHeading___Toc19266946">
            <w:r>
              <w:rPr>
                <w:rStyle w:val="IndexLink"/>
              </w:rPr>
              <w:t>9</w:t>
            </w:r>
          </w:hyperlink>
        </w:p>
        <w:p>
          <w:pPr>
            <w:pStyle w:val="Contents2"/>
            <w:rPr>
              <w:rFonts w:ascii="Calibri" w:hAnsi="Calibri" w:cs="Calibri"/>
              <w:sz w:val="22"/>
              <w:szCs w:val="22"/>
              <w:lang w:val="en-US" w:eastAsia="en-US"/>
            </w:rPr>
          </w:pPr>
          <w:r>
            <w:rPr/>
            <w:t>4.2</w:t>
          </w:r>
          <w:r>
            <w:rPr>
              <w:rFonts w:cs="Calibri" w:ascii="Calibri" w:hAnsi="Calibri"/>
              <w:sz w:val="22"/>
              <w:szCs w:val="22"/>
              <w:lang w:val="en-US" w:eastAsia="en-US"/>
            </w:rPr>
            <w:tab/>
          </w:r>
          <w:r>
            <w:rPr/>
            <w:t>Reports on user studies with UEs featuring Non-traditional earpieces and suitability of existing test equipment</w:t>
            <w:tab/>
          </w:r>
          <w:hyperlink w:anchor="__RefHeading___Toc19266947">
            <w:r>
              <w:rPr>
                <w:rStyle w:val="IndexLink"/>
              </w:rPr>
              <w:t>10</w:t>
            </w:r>
          </w:hyperlink>
        </w:p>
        <w:p>
          <w:pPr>
            <w:pStyle w:val="Contents3"/>
            <w:rPr>
              <w:rFonts w:ascii="Calibri" w:hAnsi="Calibri" w:cs="Calibri"/>
              <w:sz w:val="22"/>
              <w:szCs w:val="22"/>
              <w:lang w:val="en-US" w:eastAsia="en-US"/>
            </w:rPr>
          </w:pPr>
          <w:r>
            <w:rPr/>
            <w:t>4.2.1</w:t>
          </w:r>
          <w:r>
            <w:rPr>
              <w:rFonts w:cs="Calibri" w:ascii="Calibri" w:hAnsi="Calibri"/>
              <w:sz w:val="22"/>
              <w:szCs w:val="22"/>
              <w:lang w:val="en-US" w:eastAsia="en-US"/>
            </w:rPr>
            <w:tab/>
          </w:r>
          <w:r>
            <w:rPr/>
            <w:t>On the suitability of HATS for HaNTE measurements</w:t>
            <w:tab/>
          </w:r>
          <w:hyperlink w:anchor="__RefHeading___Toc19266948">
            <w:r>
              <w:rPr>
                <w:rStyle w:val="IndexLink"/>
              </w:rPr>
              <w:t>10</w:t>
            </w:r>
          </w:hyperlink>
        </w:p>
        <w:p>
          <w:pPr>
            <w:pStyle w:val="Contents4"/>
            <w:rPr>
              <w:rFonts w:ascii="Calibri" w:hAnsi="Calibri" w:cs="Calibri"/>
              <w:sz w:val="22"/>
              <w:szCs w:val="22"/>
              <w:lang w:val="en-US" w:eastAsia="en-US"/>
            </w:rPr>
          </w:pPr>
          <w:r>
            <w:rPr/>
            <w:t>4.2.1.1</w:t>
          </w:r>
          <w:r>
            <w:rPr>
              <w:rFonts w:cs="Calibri" w:ascii="Calibri" w:hAnsi="Calibri"/>
              <w:sz w:val="22"/>
              <w:szCs w:val="22"/>
              <w:lang w:val="en-US" w:eastAsia="en-US"/>
            </w:rPr>
            <w:tab/>
          </w:r>
          <w:r>
            <w:rPr/>
            <w:t>Introduction</w:t>
            <w:tab/>
          </w:r>
          <w:hyperlink w:anchor="__RefHeading___Toc19266949">
            <w:r>
              <w:rPr>
                <w:rStyle w:val="IndexLink"/>
              </w:rPr>
              <w:t>10</w:t>
            </w:r>
          </w:hyperlink>
        </w:p>
        <w:p>
          <w:pPr>
            <w:pStyle w:val="Contents4"/>
            <w:rPr>
              <w:rFonts w:ascii="Calibri" w:hAnsi="Calibri" w:cs="Calibri"/>
              <w:sz w:val="22"/>
              <w:szCs w:val="22"/>
              <w:lang w:val="en-US" w:eastAsia="en-US"/>
            </w:rPr>
          </w:pPr>
          <w:r>
            <w:rPr/>
            <w:t>4.2.1.2</w:t>
          </w:r>
          <w:r>
            <w:rPr>
              <w:rFonts w:cs="Calibri" w:ascii="Calibri" w:hAnsi="Calibri"/>
              <w:sz w:val="22"/>
              <w:szCs w:val="22"/>
              <w:lang w:val="en-US" w:eastAsia="en-US"/>
            </w:rPr>
            <w:tab/>
          </w:r>
          <w:r>
            <w:rPr/>
            <w:t>Description of experimental apparatus</w:t>
            <w:tab/>
          </w:r>
          <w:hyperlink w:anchor="__RefHeading___Toc19266950">
            <w:r>
              <w:rPr>
                <w:rStyle w:val="IndexLink"/>
              </w:rPr>
              <w:t>10</w:t>
            </w:r>
          </w:hyperlink>
        </w:p>
        <w:p>
          <w:pPr>
            <w:pStyle w:val="Contents5"/>
            <w:rPr>
              <w:rFonts w:ascii="Calibri" w:hAnsi="Calibri" w:cs="Calibri"/>
              <w:sz w:val="22"/>
              <w:szCs w:val="22"/>
              <w:lang w:val="en-US" w:eastAsia="en-US"/>
            </w:rPr>
          </w:pPr>
          <w:r>
            <w:rPr/>
            <w:t>4.2.1.2.1</w:t>
          </w:r>
          <w:r>
            <w:rPr>
              <w:rFonts w:cs="Calibri" w:ascii="Calibri" w:hAnsi="Calibri"/>
              <w:sz w:val="22"/>
              <w:szCs w:val="22"/>
              <w:lang w:val="en-US" w:eastAsia="en-US"/>
            </w:rPr>
            <w:tab/>
          </w:r>
          <w:r>
            <w:rPr/>
            <w:t>Traditional and Non-Traditional Earpiece prototypes</w:t>
            <w:tab/>
          </w:r>
          <w:hyperlink w:anchor="__RefHeading___Toc19266951">
            <w:r>
              <w:rPr>
                <w:rStyle w:val="IndexLink"/>
              </w:rPr>
              <w:t>10</w:t>
            </w:r>
          </w:hyperlink>
        </w:p>
        <w:p>
          <w:pPr>
            <w:pStyle w:val="Contents5"/>
            <w:rPr>
              <w:rFonts w:ascii="Calibri" w:hAnsi="Calibri" w:cs="Calibri"/>
              <w:sz w:val="22"/>
              <w:szCs w:val="22"/>
              <w:lang w:val="en-US" w:eastAsia="en-US"/>
            </w:rPr>
          </w:pPr>
          <w:r>
            <w:rPr/>
            <w:t>4.2.1.2.2</w:t>
          </w:r>
          <w:r>
            <w:rPr>
              <w:rFonts w:cs="Calibri" w:ascii="Calibri" w:hAnsi="Calibri"/>
              <w:sz w:val="22"/>
              <w:szCs w:val="22"/>
              <w:lang w:val="en-US" w:eastAsia="en-US"/>
            </w:rPr>
            <w:tab/>
          </w:r>
          <w:r>
            <w:rPr/>
            <w:t>Playback System</w:t>
            <w:tab/>
          </w:r>
          <w:hyperlink w:anchor="__RefHeading___Toc19266952">
            <w:r>
              <w:rPr>
                <w:rStyle w:val="IndexLink"/>
              </w:rPr>
              <w:t>11</w:t>
            </w:r>
          </w:hyperlink>
        </w:p>
        <w:p>
          <w:pPr>
            <w:pStyle w:val="Contents4"/>
            <w:rPr>
              <w:rFonts w:ascii="Calibri" w:hAnsi="Calibri" w:cs="Calibri"/>
              <w:sz w:val="22"/>
              <w:szCs w:val="22"/>
              <w:lang w:val="en-US" w:eastAsia="en-US"/>
            </w:rPr>
          </w:pPr>
          <w:r>
            <w:rPr/>
            <w:t>4.2.1.3</w:t>
          </w:r>
          <w:r>
            <w:rPr>
              <w:rFonts w:cs="Calibri" w:ascii="Calibri" w:hAnsi="Calibri"/>
              <w:sz w:val="22"/>
              <w:szCs w:val="22"/>
              <w:lang w:val="en-US" w:eastAsia="en-US"/>
            </w:rPr>
            <w:tab/>
          </w:r>
          <w:r>
            <w:rPr/>
            <w:t>Description of experimental procedure</w:t>
            <w:tab/>
          </w:r>
          <w:hyperlink w:anchor="__RefHeading___Toc19266953">
            <w:r>
              <w:rPr>
                <w:rStyle w:val="IndexLink"/>
              </w:rPr>
              <w:t>11</w:t>
            </w:r>
          </w:hyperlink>
        </w:p>
        <w:p>
          <w:pPr>
            <w:pStyle w:val="Contents5"/>
            <w:rPr>
              <w:rFonts w:ascii="Calibri" w:hAnsi="Calibri" w:cs="Calibri"/>
              <w:sz w:val="22"/>
              <w:szCs w:val="22"/>
              <w:lang w:val="en-US" w:eastAsia="en-US"/>
            </w:rPr>
          </w:pPr>
          <w:r>
            <w:rPr/>
            <w:t>4.2.1.3.1</w:t>
          </w:r>
          <w:r>
            <w:rPr>
              <w:rFonts w:cs="Calibri" w:ascii="Calibri" w:hAnsi="Calibri"/>
              <w:sz w:val="22"/>
              <w:szCs w:val="22"/>
              <w:lang w:val="en-US" w:eastAsia="en-US"/>
            </w:rPr>
            <w:tab/>
          </w:r>
          <w:r>
            <w:rPr/>
            <w:t>Wideband objective measurements on HATS</w:t>
            <w:tab/>
          </w:r>
          <w:hyperlink w:anchor="__RefHeading___Toc19266954">
            <w:r>
              <w:rPr>
                <w:rStyle w:val="IndexLink"/>
              </w:rPr>
              <w:t>11</w:t>
            </w:r>
          </w:hyperlink>
        </w:p>
        <w:p>
          <w:pPr>
            <w:pStyle w:val="Contents5"/>
            <w:rPr>
              <w:rFonts w:ascii="Calibri" w:hAnsi="Calibri" w:cs="Calibri"/>
              <w:sz w:val="22"/>
              <w:szCs w:val="22"/>
              <w:lang w:val="en-US" w:eastAsia="en-US"/>
            </w:rPr>
          </w:pPr>
          <w:r>
            <w:rPr/>
            <w:t>4.2.1.3.2</w:t>
          </w:r>
          <w:r>
            <w:rPr>
              <w:rFonts w:cs="Calibri" w:ascii="Calibri" w:hAnsi="Calibri"/>
              <w:sz w:val="22"/>
              <w:szCs w:val="22"/>
              <w:lang w:val="en-US" w:eastAsia="en-US"/>
            </w:rPr>
            <w:tab/>
          </w:r>
          <w:r>
            <w:rPr/>
            <w:t>Band-passed objective measurements on HATS</w:t>
            <w:tab/>
          </w:r>
          <w:hyperlink w:anchor="__RefHeading___Toc19266955">
            <w:r>
              <w:rPr>
                <w:rStyle w:val="IndexLink"/>
              </w:rPr>
              <w:t>13</w:t>
            </w:r>
          </w:hyperlink>
        </w:p>
        <w:p>
          <w:pPr>
            <w:pStyle w:val="Contents5"/>
            <w:rPr>
              <w:rFonts w:ascii="Calibri" w:hAnsi="Calibri" w:cs="Calibri"/>
              <w:sz w:val="22"/>
              <w:szCs w:val="22"/>
              <w:lang w:val="en-US" w:eastAsia="en-US"/>
            </w:rPr>
          </w:pPr>
          <w:r>
            <w:rPr/>
            <w:t>4.2.1.3.3</w:t>
          </w:r>
          <w:r>
            <w:rPr>
              <w:rFonts w:cs="Calibri" w:ascii="Calibri" w:hAnsi="Calibri"/>
              <w:sz w:val="22"/>
              <w:szCs w:val="22"/>
              <w:lang w:val="en-US" w:eastAsia="en-US"/>
            </w:rPr>
            <w:tab/>
          </w:r>
          <w:r>
            <w:rPr/>
            <w:t>Subjective loudness matching</w:t>
            <w:tab/>
          </w:r>
          <w:hyperlink w:anchor="__RefHeading___Toc19266956">
            <w:r>
              <w:rPr>
                <w:rStyle w:val="IndexLink"/>
              </w:rPr>
              <w:t>13</w:t>
            </w:r>
          </w:hyperlink>
        </w:p>
        <w:p>
          <w:pPr>
            <w:pStyle w:val="Contents4"/>
            <w:rPr>
              <w:rFonts w:ascii="Calibri" w:hAnsi="Calibri" w:cs="Calibri"/>
              <w:sz w:val="22"/>
              <w:szCs w:val="22"/>
              <w:lang w:val="en-US" w:eastAsia="en-US"/>
            </w:rPr>
          </w:pPr>
          <w:r>
            <w:rPr/>
            <w:t>4.2.1.4</w:t>
          </w:r>
          <w:r>
            <w:rPr>
              <w:rFonts w:cs="Calibri" w:ascii="Calibri" w:hAnsi="Calibri"/>
              <w:sz w:val="22"/>
              <w:szCs w:val="22"/>
              <w:lang w:val="en-US" w:eastAsia="en-US"/>
            </w:rPr>
            <w:tab/>
          </w:r>
          <w:r>
            <w:rPr/>
            <w:t>Loudness Matching Results</w:t>
            <w:tab/>
          </w:r>
          <w:hyperlink w:anchor="__RefHeading___Toc19266957">
            <w:r>
              <w:rPr>
                <w:rStyle w:val="IndexLink"/>
              </w:rPr>
              <w:t>14</w:t>
            </w:r>
          </w:hyperlink>
        </w:p>
        <w:p>
          <w:pPr>
            <w:pStyle w:val="Contents4"/>
            <w:rPr>
              <w:rFonts w:ascii="Calibri" w:hAnsi="Calibri" w:cs="Calibri"/>
              <w:sz w:val="22"/>
              <w:szCs w:val="22"/>
              <w:lang w:val="en-US" w:eastAsia="en-US"/>
            </w:rPr>
          </w:pPr>
          <w:r>
            <w:rPr/>
            <w:t>4.2.1.5</w:t>
          </w:r>
          <w:r>
            <w:rPr>
              <w:rFonts w:cs="Calibri" w:ascii="Calibri" w:hAnsi="Calibri"/>
              <w:sz w:val="22"/>
              <w:szCs w:val="22"/>
              <w:lang w:val="en-US" w:eastAsia="en-US"/>
            </w:rPr>
            <w:tab/>
          </w:r>
          <w:r>
            <w:rPr/>
            <w:t>Discussion</w:t>
            <w:tab/>
          </w:r>
          <w:hyperlink w:anchor="__RefHeading___Toc19266958">
            <w:r>
              <w:rPr>
                <w:rStyle w:val="IndexLink"/>
              </w:rPr>
              <w:t>15</w:t>
            </w:r>
          </w:hyperlink>
        </w:p>
        <w:p>
          <w:pPr>
            <w:pStyle w:val="Contents3"/>
            <w:rPr>
              <w:rFonts w:ascii="Calibri" w:hAnsi="Calibri" w:cs="Calibri"/>
              <w:sz w:val="22"/>
              <w:szCs w:val="22"/>
              <w:lang w:val="en-US" w:eastAsia="en-US"/>
            </w:rPr>
          </w:pPr>
          <w:r>
            <w:rPr/>
            <w:t>4.2.2</w:t>
          </w:r>
          <w:r>
            <w:rPr>
              <w:rFonts w:cs="Calibri" w:ascii="Calibri" w:hAnsi="Calibri"/>
              <w:sz w:val="22"/>
              <w:szCs w:val="22"/>
              <w:lang w:val="en-US" w:eastAsia="en-US"/>
            </w:rPr>
            <w:tab/>
          </w:r>
          <w:r>
            <w:rPr/>
            <w:t>On the impact of handset mounting on HaNTE measurements</w:t>
            <w:tab/>
          </w:r>
          <w:hyperlink w:anchor="__RefHeading___Toc19266959">
            <w:r>
              <w:rPr>
                <w:rStyle w:val="IndexLink"/>
              </w:rPr>
              <w:t>16</w:t>
            </w:r>
          </w:hyperlink>
        </w:p>
        <w:p>
          <w:pPr>
            <w:pStyle w:val="Contents4"/>
            <w:rPr>
              <w:rFonts w:ascii="Calibri" w:hAnsi="Calibri" w:cs="Calibri"/>
              <w:sz w:val="22"/>
              <w:szCs w:val="22"/>
              <w:lang w:val="en-US" w:eastAsia="en-US"/>
            </w:rPr>
          </w:pPr>
          <w:r>
            <w:rPr/>
            <w:t>4.2.2.1</w:t>
          </w:r>
          <w:r>
            <w:rPr>
              <w:rFonts w:cs="Calibri" w:ascii="Calibri" w:hAnsi="Calibri"/>
              <w:sz w:val="22"/>
              <w:szCs w:val="22"/>
              <w:lang w:val="en-US" w:eastAsia="en-US"/>
            </w:rPr>
            <w:tab/>
          </w:r>
          <w:r>
            <w:rPr/>
            <w:t>Introduction</w:t>
            <w:tab/>
          </w:r>
          <w:hyperlink w:anchor="__RefHeading___Toc19266960">
            <w:r>
              <w:rPr>
                <w:rStyle w:val="IndexLink"/>
              </w:rPr>
              <w:t>16</w:t>
            </w:r>
          </w:hyperlink>
        </w:p>
        <w:p>
          <w:pPr>
            <w:pStyle w:val="Contents4"/>
            <w:rPr>
              <w:rFonts w:ascii="Calibri" w:hAnsi="Calibri" w:cs="Calibri"/>
              <w:sz w:val="22"/>
              <w:szCs w:val="22"/>
              <w:lang w:val="en-US" w:eastAsia="en-US"/>
            </w:rPr>
          </w:pPr>
          <w:r>
            <w:rPr/>
            <w:t>4.2.2.2</w:t>
          </w:r>
          <w:r>
            <w:rPr>
              <w:rFonts w:cs="Calibri" w:ascii="Calibri" w:hAnsi="Calibri"/>
              <w:sz w:val="22"/>
              <w:szCs w:val="22"/>
              <w:lang w:val="en-US" w:eastAsia="en-US"/>
            </w:rPr>
            <w:tab/>
          </w:r>
          <w:r>
            <w:rPr/>
            <w:t>Devices</w:t>
            <w:tab/>
          </w:r>
          <w:hyperlink w:anchor="__RefHeading___Toc19266961">
            <w:r>
              <w:rPr>
                <w:rStyle w:val="IndexLink"/>
              </w:rPr>
              <w:t>16</w:t>
            </w:r>
          </w:hyperlink>
        </w:p>
        <w:p>
          <w:pPr>
            <w:pStyle w:val="Contents5"/>
            <w:rPr>
              <w:rFonts w:ascii="Calibri" w:hAnsi="Calibri" w:cs="Calibri"/>
              <w:sz w:val="22"/>
              <w:szCs w:val="22"/>
              <w:lang w:val="en-US" w:eastAsia="en-US"/>
            </w:rPr>
          </w:pPr>
          <w:r>
            <w:rPr/>
            <w:t>4.2.2.2.1</w:t>
          </w:r>
          <w:r>
            <w:rPr>
              <w:rFonts w:cs="Calibri" w:ascii="Calibri" w:hAnsi="Calibri"/>
              <w:sz w:val="22"/>
              <w:szCs w:val="22"/>
              <w:lang w:val="en-US" w:eastAsia="en-US"/>
            </w:rPr>
            <w:tab/>
          </w:r>
          <w:r>
            <w:rPr/>
            <w:t>Traditional and Non-Traditional Earpiece prototypes</w:t>
            <w:tab/>
          </w:r>
          <w:hyperlink w:anchor="__RefHeading___Toc19266962">
            <w:r>
              <w:rPr>
                <w:rStyle w:val="IndexLink"/>
              </w:rPr>
              <w:t>16</w:t>
            </w:r>
          </w:hyperlink>
        </w:p>
        <w:p>
          <w:pPr>
            <w:pStyle w:val="Contents5"/>
            <w:rPr>
              <w:rFonts w:ascii="Calibri" w:hAnsi="Calibri" w:cs="Calibri"/>
              <w:sz w:val="22"/>
              <w:szCs w:val="22"/>
              <w:lang w:val="en-US" w:eastAsia="en-US"/>
            </w:rPr>
          </w:pPr>
          <w:r>
            <w:rPr/>
            <w:t>4.2.2.2.2</w:t>
          </w:r>
          <w:r>
            <w:rPr>
              <w:rFonts w:cs="Calibri" w:ascii="Calibri" w:hAnsi="Calibri"/>
              <w:sz w:val="22"/>
              <w:szCs w:val="22"/>
              <w:lang w:val="en-US" w:eastAsia="en-US"/>
            </w:rPr>
            <w:tab/>
          </w:r>
          <w:r>
            <w:rPr/>
            <w:t>Commercial devices</w:t>
            <w:tab/>
          </w:r>
          <w:hyperlink w:anchor="__RefHeading___Toc19266963">
            <w:r>
              <w:rPr>
                <w:rStyle w:val="IndexLink"/>
              </w:rPr>
              <w:t>16</w:t>
            </w:r>
          </w:hyperlink>
        </w:p>
        <w:p>
          <w:pPr>
            <w:pStyle w:val="Contents4"/>
            <w:rPr>
              <w:rFonts w:ascii="Calibri" w:hAnsi="Calibri" w:cs="Calibri"/>
              <w:sz w:val="22"/>
              <w:szCs w:val="22"/>
              <w:lang w:val="en-US" w:eastAsia="en-US"/>
            </w:rPr>
          </w:pPr>
          <w:r>
            <w:rPr/>
            <w:t>4.2.2.3</w:t>
          </w:r>
          <w:r>
            <w:rPr>
              <w:rFonts w:cs="Calibri" w:ascii="Calibri" w:hAnsi="Calibri"/>
              <w:sz w:val="22"/>
              <w:szCs w:val="22"/>
              <w:lang w:val="en-US" w:eastAsia="en-US"/>
            </w:rPr>
            <w:tab/>
          </w:r>
          <w:r>
            <w:rPr/>
            <w:t>Measurement system</w:t>
            <w:tab/>
          </w:r>
          <w:hyperlink w:anchor="__RefHeading___Toc19266964">
            <w:r>
              <w:rPr>
                <w:rStyle w:val="IndexLink"/>
              </w:rPr>
              <w:t>16</w:t>
            </w:r>
          </w:hyperlink>
        </w:p>
        <w:p>
          <w:pPr>
            <w:pStyle w:val="Contents5"/>
            <w:rPr>
              <w:rFonts w:ascii="Calibri" w:hAnsi="Calibri" w:cs="Calibri"/>
              <w:sz w:val="22"/>
              <w:szCs w:val="22"/>
              <w:lang w:val="en-US" w:eastAsia="en-US"/>
            </w:rPr>
          </w:pPr>
          <w:r>
            <w:rPr/>
            <w:t>4.2.2.3.1</w:t>
          </w:r>
          <w:r>
            <w:rPr>
              <w:rFonts w:cs="Calibri" w:ascii="Calibri" w:hAnsi="Calibri"/>
              <w:sz w:val="22"/>
              <w:szCs w:val="22"/>
              <w:lang w:val="en-US" w:eastAsia="en-US"/>
            </w:rPr>
            <w:tab/>
          </w:r>
          <w:r>
            <w:rPr/>
            <w:t>Device mounting</w:t>
            <w:tab/>
          </w:r>
          <w:hyperlink w:anchor="__RefHeading___Toc19266965">
            <w:r>
              <w:rPr>
                <w:rStyle w:val="IndexLink"/>
              </w:rPr>
              <w:t>16</w:t>
            </w:r>
          </w:hyperlink>
        </w:p>
        <w:p>
          <w:pPr>
            <w:pStyle w:val="Contents5"/>
            <w:rPr>
              <w:rFonts w:ascii="Calibri" w:hAnsi="Calibri" w:cs="Calibri"/>
              <w:sz w:val="22"/>
              <w:szCs w:val="22"/>
              <w:lang w:val="en-US" w:eastAsia="en-US"/>
            </w:rPr>
          </w:pPr>
          <w:r>
            <w:rPr/>
            <w:t>4.2.2.3.2</w:t>
          </w:r>
          <w:r>
            <w:rPr>
              <w:rFonts w:cs="Calibri" w:ascii="Calibri" w:hAnsi="Calibri"/>
              <w:sz w:val="22"/>
              <w:szCs w:val="22"/>
              <w:lang w:val="en-US" w:eastAsia="en-US"/>
            </w:rPr>
            <w:tab/>
          </w:r>
          <w:r>
            <w:rPr/>
            <w:t>Playback system</w:t>
            <w:tab/>
          </w:r>
          <w:hyperlink w:anchor="__RefHeading___Toc19266966">
            <w:r>
              <w:rPr>
                <w:rStyle w:val="IndexLink"/>
              </w:rPr>
              <w:t>17</w:t>
            </w:r>
          </w:hyperlink>
        </w:p>
        <w:p>
          <w:pPr>
            <w:pStyle w:val="Contents5"/>
            <w:rPr>
              <w:rFonts w:ascii="Calibri" w:hAnsi="Calibri" w:cs="Calibri"/>
              <w:sz w:val="22"/>
              <w:szCs w:val="22"/>
              <w:lang w:val="en-US" w:eastAsia="en-US"/>
            </w:rPr>
          </w:pPr>
          <w:r>
            <w:rPr/>
            <w:t>4.2.2.3.3</w:t>
          </w:r>
          <w:r>
            <w:rPr>
              <w:rFonts w:cs="Calibri" w:ascii="Calibri" w:hAnsi="Calibri"/>
              <w:sz w:val="22"/>
              <w:szCs w:val="22"/>
              <w:lang w:val="en-US" w:eastAsia="en-US"/>
            </w:rPr>
            <w:tab/>
          </w:r>
          <w:r>
            <w:rPr/>
            <w:t>Recording system</w:t>
            <w:tab/>
          </w:r>
          <w:hyperlink w:anchor="__RefHeading___Toc19266967">
            <w:r>
              <w:rPr>
                <w:rStyle w:val="IndexLink"/>
              </w:rPr>
              <w:t>17</w:t>
            </w:r>
          </w:hyperlink>
        </w:p>
        <w:p>
          <w:pPr>
            <w:pStyle w:val="Contents4"/>
            <w:rPr>
              <w:rFonts w:ascii="Calibri" w:hAnsi="Calibri" w:cs="Calibri"/>
              <w:sz w:val="22"/>
              <w:szCs w:val="22"/>
              <w:lang w:val="en-US" w:eastAsia="en-US"/>
            </w:rPr>
          </w:pPr>
          <w:r>
            <w:rPr/>
            <w:t>4.2.2.4</w:t>
          </w:r>
          <w:r>
            <w:rPr>
              <w:rFonts w:cs="Calibri" w:ascii="Calibri" w:hAnsi="Calibri"/>
              <w:sz w:val="22"/>
              <w:szCs w:val="22"/>
              <w:lang w:val="en-US" w:eastAsia="en-US"/>
            </w:rPr>
            <w:tab/>
          </w:r>
          <w:r>
            <w:rPr/>
            <w:t>Measurement results</w:t>
            <w:tab/>
          </w:r>
          <w:hyperlink w:anchor="__RefHeading___Toc19266968">
            <w:r>
              <w:rPr>
                <w:rStyle w:val="IndexLink"/>
              </w:rPr>
              <w:t>17</w:t>
            </w:r>
          </w:hyperlink>
        </w:p>
        <w:p>
          <w:pPr>
            <w:pStyle w:val="Contents4"/>
            <w:rPr>
              <w:rFonts w:ascii="Calibri" w:hAnsi="Calibri" w:cs="Calibri"/>
              <w:sz w:val="22"/>
              <w:szCs w:val="22"/>
              <w:lang w:val="en-US" w:eastAsia="en-US"/>
            </w:rPr>
          </w:pPr>
          <w:r>
            <w:rPr/>
            <w:t>4.2.2.5</w:t>
          </w:r>
          <w:r>
            <w:rPr>
              <w:rFonts w:cs="Calibri" w:ascii="Calibri" w:hAnsi="Calibri"/>
              <w:sz w:val="22"/>
              <w:szCs w:val="22"/>
              <w:lang w:val="en-US" w:eastAsia="en-US"/>
            </w:rPr>
            <w:tab/>
          </w:r>
          <w:r>
            <w:rPr/>
            <w:t>Discussion</w:t>
            <w:tab/>
          </w:r>
          <w:hyperlink w:anchor="__RefHeading___Toc19266969">
            <w:r>
              <w:rPr>
                <w:rStyle w:val="IndexLink"/>
              </w:rPr>
              <w:t>18</w:t>
            </w:r>
          </w:hyperlink>
        </w:p>
        <w:p>
          <w:pPr>
            <w:pStyle w:val="Contents2"/>
            <w:rPr>
              <w:rFonts w:ascii="Calibri" w:hAnsi="Calibri" w:cs="Calibri"/>
              <w:sz w:val="22"/>
              <w:szCs w:val="22"/>
              <w:lang w:val="en-US" w:eastAsia="en-US"/>
            </w:rPr>
          </w:pPr>
          <w:r>
            <w:rPr/>
            <w:t>4.3</w:t>
          </w:r>
          <w:r>
            <w:rPr>
              <w:rFonts w:cs="Calibri" w:ascii="Calibri" w:hAnsi="Calibri"/>
              <w:sz w:val="22"/>
              <w:szCs w:val="22"/>
              <w:lang w:val="en-US" w:eastAsia="en-US"/>
            </w:rPr>
            <w:tab/>
          </w:r>
          <w:r>
            <w:rPr/>
            <w:t>Acoustic measurements according to 3GPP TS 26.131 and TS 26.132 and additional test cases to complement TS 26.131 and TS 26.132</w:t>
            <w:tab/>
          </w:r>
          <w:hyperlink w:anchor="__RefHeading___Toc19266970">
            <w:r>
              <w:rPr>
                <w:rStyle w:val="IndexLink"/>
              </w:rPr>
              <w:t>18</w:t>
            </w:r>
          </w:hyperlink>
        </w:p>
        <w:p>
          <w:pPr>
            <w:pStyle w:val="Contents3"/>
            <w:rPr>
              <w:rFonts w:ascii="Calibri" w:hAnsi="Calibri" w:cs="Calibri"/>
              <w:sz w:val="22"/>
              <w:szCs w:val="22"/>
              <w:lang w:val="en-US" w:eastAsia="en-US"/>
            </w:rPr>
          </w:pPr>
          <w:r>
            <w:rPr/>
            <w:t>4.3.1</w:t>
          </w:r>
          <w:r>
            <w:rPr>
              <w:rFonts w:cs="Calibri" w:ascii="Calibri" w:hAnsi="Calibri"/>
              <w:sz w:val="22"/>
              <w:szCs w:val="22"/>
              <w:lang w:val="en-US" w:eastAsia="en-US"/>
            </w:rPr>
            <w:tab/>
          </w:r>
          <w:r>
            <w:rPr/>
            <w:t>Test setup</w:t>
            <w:tab/>
          </w:r>
          <w:hyperlink w:anchor="__RefHeading___Toc19266971">
            <w:r>
              <w:rPr>
                <w:rStyle w:val="IndexLink"/>
              </w:rPr>
              <w:t>18</w:t>
            </w:r>
          </w:hyperlink>
        </w:p>
        <w:p>
          <w:pPr>
            <w:pStyle w:val="Contents3"/>
            <w:rPr>
              <w:rFonts w:ascii="Calibri" w:hAnsi="Calibri" w:cs="Calibri"/>
              <w:sz w:val="22"/>
              <w:szCs w:val="22"/>
              <w:lang w:val="en-US" w:eastAsia="en-US"/>
            </w:rPr>
          </w:pPr>
          <w:r>
            <w:rPr/>
            <w:t>4.3.2</w:t>
          </w:r>
          <w:r>
            <w:rPr>
              <w:rFonts w:cs="Calibri" w:ascii="Calibri" w:hAnsi="Calibri"/>
              <w:sz w:val="22"/>
              <w:szCs w:val="22"/>
              <w:lang w:val="en-US" w:eastAsia="en-US"/>
            </w:rPr>
            <w:tab/>
          </w:r>
          <w:r>
            <w:rPr/>
            <w:t>Test results in receiving</w:t>
            <w:tab/>
          </w:r>
          <w:hyperlink w:anchor="__RefHeading___Toc19266972">
            <w:r>
              <w:rPr>
                <w:rStyle w:val="IndexLink"/>
              </w:rPr>
              <w:t>19</w:t>
            </w:r>
          </w:hyperlink>
        </w:p>
        <w:p>
          <w:pPr>
            <w:pStyle w:val="Contents4"/>
            <w:rPr>
              <w:rFonts w:ascii="Calibri" w:hAnsi="Calibri" w:cs="Calibri"/>
              <w:sz w:val="22"/>
              <w:szCs w:val="22"/>
              <w:lang w:val="en-US" w:eastAsia="en-US"/>
            </w:rPr>
          </w:pPr>
          <w:r>
            <w:rPr/>
            <w:t>4.3.2.1</w:t>
          </w:r>
          <w:r>
            <w:rPr>
              <w:rFonts w:cs="Calibri" w:ascii="Calibri" w:hAnsi="Calibri"/>
              <w:sz w:val="22"/>
              <w:szCs w:val="22"/>
              <w:lang w:val="en-US" w:eastAsia="en-US"/>
            </w:rPr>
            <w:tab/>
          </w:r>
          <w:r>
            <w:rPr/>
            <w:t>WB RLR</w:t>
            <w:tab/>
          </w:r>
          <w:hyperlink w:anchor="__RefHeading___Toc19266973">
            <w:r>
              <w:rPr>
                <w:rStyle w:val="IndexLink"/>
              </w:rPr>
              <w:t>19</w:t>
            </w:r>
          </w:hyperlink>
        </w:p>
        <w:p>
          <w:pPr>
            <w:pStyle w:val="Contents4"/>
            <w:rPr>
              <w:rFonts w:ascii="Calibri" w:hAnsi="Calibri" w:cs="Calibri"/>
              <w:sz w:val="22"/>
              <w:szCs w:val="22"/>
              <w:lang w:val="en-US" w:eastAsia="en-US"/>
            </w:rPr>
          </w:pPr>
          <w:r>
            <w:rPr/>
            <w:t>4.3.2.2</w:t>
          </w:r>
          <w:r>
            <w:rPr>
              <w:rFonts w:cs="Calibri" w:ascii="Calibri" w:hAnsi="Calibri"/>
              <w:sz w:val="22"/>
              <w:szCs w:val="22"/>
              <w:lang w:val="en-US" w:eastAsia="en-US"/>
            </w:rPr>
            <w:tab/>
          </w:r>
          <w:r>
            <w:rPr/>
            <w:t>WB RFR</w:t>
            <w:tab/>
          </w:r>
          <w:hyperlink w:anchor="__RefHeading___Toc19266974">
            <w:r>
              <w:rPr>
                <w:rStyle w:val="IndexLink"/>
              </w:rPr>
              <w:t>20</w:t>
            </w:r>
          </w:hyperlink>
        </w:p>
        <w:p>
          <w:pPr>
            <w:pStyle w:val="Contents3"/>
            <w:rPr>
              <w:rFonts w:ascii="Calibri" w:hAnsi="Calibri" w:cs="Calibri"/>
              <w:sz w:val="22"/>
              <w:szCs w:val="22"/>
              <w:lang w:val="en-US" w:eastAsia="en-US"/>
            </w:rPr>
          </w:pPr>
          <w:r>
            <w:rPr/>
            <w:t>4.3.3</w:t>
          </w:r>
          <w:r>
            <w:rPr>
              <w:rFonts w:cs="Calibri" w:ascii="Calibri" w:hAnsi="Calibri"/>
              <w:sz w:val="22"/>
              <w:szCs w:val="22"/>
              <w:lang w:val="en-US" w:eastAsia="en-US"/>
            </w:rPr>
            <w:tab/>
          </w:r>
          <w:r>
            <w:rPr/>
            <w:t>Additional results on user studies and objective measurements</w:t>
            <w:tab/>
          </w:r>
          <w:hyperlink w:anchor="__RefHeading___Toc19266975">
            <w:r>
              <w:rPr>
                <w:rStyle w:val="IndexLink"/>
              </w:rPr>
              <w:t>21</w:t>
            </w:r>
          </w:hyperlink>
        </w:p>
        <w:p>
          <w:pPr>
            <w:pStyle w:val="Contents4"/>
            <w:rPr>
              <w:rFonts w:ascii="Calibri" w:hAnsi="Calibri" w:cs="Calibri"/>
              <w:sz w:val="22"/>
              <w:szCs w:val="22"/>
              <w:lang w:val="en-US" w:eastAsia="en-US"/>
            </w:rPr>
          </w:pPr>
          <w:r>
            <w:rPr/>
            <w:t>4.3.3.1</w:t>
          </w:r>
          <w:r>
            <w:rPr>
              <w:rFonts w:cs="Calibri" w:ascii="Calibri" w:hAnsi="Calibri"/>
              <w:sz w:val="22"/>
              <w:szCs w:val="22"/>
              <w:lang w:val="en-US" w:eastAsia="en-US"/>
            </w:rPr>
            <w:tab/>
          </w:r>
          <w:r>
            <w:rPr/>
            <w:t>General</w:t>
            <w:tab/>
          </w:r>
          <w:hyperlink w:anchor="__RefHeading___Toc19266976">
            <w:r>
              <w:rPr>
                <w:rStyle w:val="IndexLink"/>
              </w:rPr>
              <w:t>21</w:t>
            </w:r>
          </w:hyperlink>
        </w:p>
        <w:p>
          <w:pPr>
            <w:pStyle w:val="Contents4"/>
            <w:rPr>
              <w:rFonts w:ascii="Calibri" w:hAnsi="Calibri" w:cs="Calibri"/>
              <w:sz w:val="22"/>
              <w:szCs w:val="22"/>
              <w:lang w:val="en-US" w:eastAsia="en-US"/>
            </w:rPr>
          </w:pPr>
          <w:r>
            <w:rPr/>
            <w:t>4.3.3.2</w:t>
          </w:r>
          <w:r>
            <w:rPr>
              <w:rFonts w:cs="Calibri" w:ascii="Calibri" w:hAnsi="Calibri"/>
              <w:sz w:val="22"/>
              <w:szCs w:val="22"/>
              <w:lang w:val="en-US" w:eastAsia="en-US"/>
            </w:rPr>
            <w:tab/>
          </w:r>
          <w:r>
            <w:rPr/>
            <w:t>Additional test cases to complement TS 26.131 and TS 26.132</w:t>
            <w:tab/>
          </w:r>
          <w:hyperlink w:anchor="__RefHeading___Toc19266977">
            <w:r>
              <w:rPr>
                <w:rStyle w:val="IndexLink"/>
              </w:rPr>
              <w:t>21</w:t>
            </w:r>
          </w:hyperlink>
        </w:p>
        <w:p>
          <w:pPr>
            <w:pStyle w:val="Contents5"/>
            <w:rPr>
              <w:rFonts w:ascii="Calibri" w:hAnsi="Calibri" w:cs="Calibri"/>
              <w:sz w:val="22"/>
              <w:szCs w:val="22"/>
              <w:lang w:val="en-US" w:eastAsia="en-US"/>
            </w:rPr>
          </w:pPr>
          <w:r>
            <w:rPr/>
            <w:t>4.3.3.2.1</w:t>
          </w:r>
          <w:r>
            <w:rPr>
              <w:rFonts w:cs="Calibri" w:ascii="Calibri" w:hAnsi="Calibri"/>
              <w:sz w:val="22"/>
              <w:szCs w:val="22"/>
              <w:lang w:val="en-US" w:eastAsia="en-US"/>
            </w:rPr>
            <w:tab/>
          </w:r>
          <w:r>
            <w:rPr/>
            <w:t>Out-of-band energy level measurement from SWB RFR measurement</w:t>
            <w:tab/>
          </w:r>
          <w:hyperlink w:anchor="__RefHeading___Toc19266978">
            <w:r>
              <w:rPr>
                <w:rStyle w:val="IndexLink"/>
              </w:rPr>
              <w:t>21</w:t>
            </w:r>
          </w:hyperlink>
        </w:p>
        <w:p>
          <w:pPr>
            <w:pStyle w:val="Contents5"/>
            <w:rPr>
              <w:rFonts w:ascii="Calibri" w:hAnsi="Calibri" w:cs="Calibri"/>
              <w:sz w:val="22"/>
              <w:szCs w:val="22"/>
              <w:lang w:val="en-US" w:eastAsia="en-US"/>
            </w:rPr>
          </w:pPr>
          <w:r>
            <w:rPr/>
            <w:t>4.3.3.2.2</w:t>
          </w:r>
          <w:r>
            <w:rPr>
              <w:rFonts w:cs="Calibri" w:ascii="Calibri" w:hAnsi="Calibri"/>
              <w:sz w:val="22"/>
              <w:szCs w:val="22"/>
              <w:lang w:val="en-US" w:eastAsia="en-US"/>
            </w:rPr>
            <w:tab/>
          </w:r>
          <w:r>
            <w:rPr/>
            <w:t>P.863 measurement</w:t>
            <w:tab/>
          </w:r>
          <w:hyperlink w:anchor="__RefHeading___Toc19266979">
            <w:r>
              <w:rPr>
                <w:rStyle w:val="IndexLink"/>
              </w:rPr>
              <w:t>24</w:t>
            </w:r>
          </w:hyperlink>
        </w:p>
        <w:p>
          <w:pPr>
            <w:pStyle w:val="Contents5"/>
            <w:rPr>
              <w:rFonts w:ascii="Calibri" w:hAnsi="Calibri" w:cs="Calibri"/>
              <w:sz w:val="22"/>
              <w:szCs w:val="22"/>
              <w:lang w:val="en-US" w:eastAsia="en-US"/>
            </w:rPr>
          </w:pPr>
          <w:r>
            <w:rPr/>
            <w:t>4.3.3.2.3</w:t>
          </w:r>
          <w:r>
            <w:rPr>
              <w:rFonts w:cs="Calibri" w:ascii="Calibri" w:hAnsi="Calibri"/>
              <w:sz w:val="22"/>
              <w:szCs w:val="22"/>
              <w:lang w:val="en-US" w:eastAsia="en-US"/>
            </w:rPr>
            <w:tab/>
          </w:r>
          <w:r>
            <w:rPr/>
            <w:t xml:space="preserve">WB RFR </w:t>
          </w:r>
          <w:r>
            <w:rPr>
              <w:rFonts w:cs="Arial"/>
            </w:rPr>
            <w:t>at maximum volume control</w:t>
          </w:r>
          <w:r>
            <w:rPr/>
            <w:tab/>
          </w:r>
          <w:hyperlink w:anchor="__RefHeading___Toc19266980">
            <w:r>
              <w:rPr>
                <w:rStyle w:val="IndexLink"/>
              </w:rPr>
              <w:t>24</w:t>
            </w:r>
          </w:hyperlink>
        </w:p>
        <w:p>
          <w:pPr>
            <w:pStyle w:val="Contents3"/>
            <w:rPr>
              <w:rFonts w:ascii="Calibri" w:hAnsi="Calibri" w:cs="Calibri"/>
              <w:sz w:val="22"/>
              <w:szCs w:val="22"/>
              <w:lang w:val="en-US" w:eastAsia="en-US"/>
            </w:rPr>
          </w:pPr>
          <w:r>
            <w:rPr/>
            <w:t>4.3.4</w:t>
          </w:r>
          <w:r>
            <w:rPr>
              <w:rFonts w:cs="Calibri" w:ascii="Calibri" w:hAnsi="Calibri"/>
              <w:sz w:val="22"/>
              <w:szCs w:val="22"/>
              <w:lang w:val="en-US" w:eastAsia="en-US"/>
            </w:rPr>
            <w:tab/>
          </w:r>
          <w:r>
            <w:rPr/>
            <w:t>Discussion</w:t>
            <w:tab/>
          </w:r>
          <w:hyperlink w:anchor="__RefHeading___Toc19266981">
            <w:r>
              <w:rPr>
                <w:rStyle w:val="IndexLink"/>
              </w:rPr>
              <w:t>25</w:t>
            </w:r>
          </w:hyperlink>
        </w:p>
        <w:p>
          <w:pPr>
            <w:pStyle w:val="Contents2"/>
            <w:rPr>
              <w:rFonts w:ascii="Calibri" w:hAnsi="Calibri" w:cs="Calibri"/>
              <w:sz w:val="22"/>
              <w:szCs w:val="22"/>
              <w:lang w:val="en-US" w:eastAsia="en-US"/>
            </w:rPr>
          </w:pPr>
          <w:r>
            <w:rPr/>
            <w:t>4.4</w:t>
          </w:r>
          <w:r>
            <w:rPr>
              <w:rFonts w:cs="Calibri" w:ascii="Calibri" w:hAnsi="Calibri"/>
              <w:sz w:val="22"/>
              <w:szCs w:val="22"/>
              <w:lang w:val="en-US" w:eastAsia="en-US"/>
            </w:rPr>
            <w:tab/>
          </w:r>
          <w:r>
            <w:rPr/>
            <w:t>Acoustic measurements according to 3GPP TS 26.131 and TS 26.132 with various mounting conditions and test equipment</w:t>
            <w:tab/>
          </w:r>
          <w:hyperlink w:anchor="__RefHeading___Toc19266982">
            <w:r>
              <w:rPr>
                <w:rStyle w:val="IndexLink"/>
              </w:rPr>
              <w:t>26</w:t>
            </w:r>
          </w:hyperlink>
        </w:p>
        <w:p>
          <w:pPr>
            <w:pStyle w:val="Contents3"/>
            <w:rPr>
              <w:rFonts w:ascii="Calibri" w:hAnsi="Calibri" w:cs="Calibri"/>
              <w:sz w:val="22"/>
              <w:szCs w:val="22"/>
              <w:lang w:val="en-US" w:eastAsia="en-US"/>
            </w:rPr>
          </w:pPr>
          <w:r>
            <w:rPr/>
            <w:t>4.4.1</w:t>
          </w:r>
          <w:r>
            <w:rPr>
              <w:rFonts w:cs="Calibri" w:ascii="Calibri" w:hAnsi="Calibri"/>
              <w:sz w:val="22"/>
              <w:szCs w:val="22"/>
              <w:lang w:val="en-US" w:eastAsia="en-US"/>
            </w:rPr>
            <w:tab/>
          </w:r>
          <w:r>
            <w:rPr/>
            <w:t>Introduction</w:t>
            <w:tab/>
          </w:r>
          <w:hyperlink w:anchor="__RefHeading___Toc19266983">
            <w:r>
              <w:rPr>
                <w:rStyle w:val="IndexLink"/>
              </w:rPr>
              <w:t>26</w:t>
            </w:r>
          </w:hyperlink>
        </w:p>
        <w:p>
          <w:pPr>
            <w:pStyle w:val="Contents3"/>
            <w:rPr>
              <w:rFonts w:ascii="Calibri" w:hAnsi="Calibri" w:cs="Calibri"/>
              <w:sz w:val="22"/>
              <w:szCs w:val="22"/>
              <w:lang w:val="en-US" w:eastAsia="en-US"/>
            </w:rPr>
          </w:pPr>
          <w:r>
            <w:rPr/>
            <w:t>4.4.2</w:t>
          </w:r>
          <w:r>
            <w:rPr>
              <w:rFonts w:cs="Calibri" w:ascii="Calibri" w:hAnsi="Calibri"/>
              <w:sz w:val="22"/>
              <w:szCs w:val="22"/>
              <w:lang w:val="en-US" w:eastAsia="en-US"/>
            </w:rPr>
            <w:tab/>
          </w:r>
          <w:r>
            <w:rPr/>
            <w:t>Test Setup</w:t>
            <w:tab/>
          </w:r>
          <w:hyperlink w:anchor="__RefHeading___Toc19266984">
            <w:r>
              <w:rPr>
                <w:rStyle w:val="IndexLink"/>
              </w:rPr>
              <w:t>26</w:t>
            </w:r>
          </w:hyperlink>
        </w:p>
        <w:p>
          <w:pPr>
            <w:pStyle w:val="Contents3"/>
            <w:rPr>
              <w:rFonts w:ascii="Calibri" w:hAnsi="Calibri" w:cs="Calibri"/>
              <w:sz w:val="22"/>
              <w:szCs w:val="22"/>
              <w:lang w:val="en-US" w:eastAsia="en-US"/>
            </w:rPr>
          </w:pPr>
          <w:r>
            <w:rPr/>
            <w:t>4.4.3</w:t>
          </w:r>
          <w:r>
            <w:rPr>
              <w:rFonts w:cs="Calibri" w:ascii="Calibri" w:hAnsi="Calibri"/>
              <w:sz w:val="22"/>
              <w:szCs w:val="22"/>
              <w:lang w:val="en-US" w:eastAsia="en-US"/>
            </w:rPr>
            <w:tab/>
          </w:r>
          <w:r>
            <w:rPr/>
            <w:t>Measurement Results</w:t>
            <w:tab/>
          </w:r>
          <w:hyperlink w:anchor="__RefHeading___Toc19266985">
            <w:r>
              <w:rPr>
                <w:rStyle w:val="IndexLink"/>
              </w:rPr>
              <w:t>27</w:t>
            </w:r>
          </w:hyperlink>
        </w:p>
        <w:p>
          <w:pPr>
            <w:pStyle w:val="Contents4"/>
            <w:rPr>
              <w:rFonts w:ascii="Calibri" w:hAnsi="Calibri" w:cs="Calibri"/>
              <w:sz w:val="22"/>
              <w:szCs w:val="22"/>
              <w:lang w:val="en-US" w:eastAsia="en-US"/>
            </w:rPr>
          </w:pPr>
          <w:r>
            <w:rPr/>
            <w:t>4.4.3.1</w:t>
          </w:r>
          <w:r>
            <w:rPr>
              <w:rFonts w:cs="Calibri" w:ascii="Calibri" w:hAnsi="Calibri"/>
              <w:sz w:val="22"/>
              <w:szCs w:val="22"/>
              <w:lang w:val="en-US" w:eastAsia="en-US"/>
            </w:rPr>
            <w:tab/>
          </w:r>
          <w:r>
            <w:rPr/>
            <w:t>Device 1 on HATS 1 Measurements</w:t>
            <w:tab/>
          </w:r>
          <w:hyperlink w:anchor="__RefHeading___Toc19266986">
            <w:r>
              <w:rPr>
                <w:rStyle w:val="IndexLink"/>
              </w:rPr>
              <w:t>27</w:t>
            </w:r>
          </w:hyperlink>
        </w:p>
        <w:p>
          <w:pPr>
            <w:pStyle w:val="Contents5"/>
            <w:rPr>
              <w:rFonts w:ascii="Calibri" w:hAnsi="Calibri" w:cs="Calibri"/>
              <w:sz w:val="22"/>
              <w:szCs w:val="22"/>
              <w:lang w:val="en-US" w:eastAsia="en-US"/>
            </w:rPr>
          </w:pPr>
          <w:r>
            <w:rPr/>
            <w:t>4.4.3.1.1</w:t>
          </w:r>
          <w:r>
            <w:rPr>
              <w:rFonts w:cs="Calibri" w:ascii="Calibri" w:hAnsi="Calibri"/>
              <w:sz w:val="22"/>
              <w:szCs w:val="22"/>
              <w:lang w:val="en-US" w:eastAsia="en-US"/>
            </w:rPr>
            <w:tab/>
          </w:r>
          <w:r>
            <w:rPr/>
            <w:t>Receiver Loudness Rating Results</w:t>
            <w:tab/>
          </w:r>
          <w:hyperlink w:anchor="__RefHeading___Toc19266987">
            <w:r>
              <w:rPr>
                <w:rStyle w:val="IndexLink"/>
              </w:rPr>
              <w:t>27</w:t>
            </w:r>
          </w:hyperlink>
        </w:p>
        <w:p>
          <w:pPr>
            <w:pStyle w:val="Contents5"/>
            <w:rPr>
              <w:rFonts w:ascii="Calibri" w:hAnsi="Calibri" w:cs="Calibri"/>
              <w:sz w:val="22"/>
              <w:szCs w:val="22"/>
              <w:lang w:val="en-US" w:eastAsia="en-US"/>
            </w:rPr>
          </w:pPr>
          <w:r>
            <w:rPr/>
            <w:t>4.4.3.1.2</w:t>
          </w:r>
          <w:r>
            <w:rPr>
              <w:rFonts w:cs="Calibri" w:ascii="Calibri" w:hAnsi="Calibri"/>
              <w:sz w:val="22"/>
              <w:szCs w:val="22"/>
              <w:lang w:val="en-US" w:eastAsia="en-US"/>
            </w:rPr>
            <w:tab/>
          </w:r>
          <w:r>
            <w:rPr/>
            <w:t>Receiver Sensitivity/Frequency Response Results</w:t>
            <w:tab/>
          </w:r>
          <w:hyperlink w:anchor="__RefHeading___Toc19266988">
            <w:r>
              <w:rPr>
                <w:rStyle w:val="IndexLink"/>
              </w:rPr>
              <w:t>28</w:t>
            </w:r>
          </w:hyperlink>
        </w:p>
        <w:p>
          <w:pPr>
            <w:pStyle w:val="Contents4"/>
            <w:rPr>
              <w:rFonts w:ascii="Calibri" w:hAnsi="Calibri" w:cs="Calibri"/>
              <w:sz w:val="22"/>
              <w:szCs w:val="22"/>
              <w:lang w:val="en-US" w:eastAsia="en-US"/>
            </w:rPr>
          </w:pPr>
          <w:r>
            <w:rPr/>
            <w:t>4.4.3.2</w:t>
          </w:r>
          <w:r>
            <w:rPr>
              <w:rFonts w:cs="Calibri" w:ascii="Calibri" w:hAnsi="Calibri"/>
              <w:sz w:val="22"/>
              <w:szCs w:val="22"/>
              <w:lang w:val="en-US" w:eastAsia="en-US"/>
            </w:rPr>
            <w:tab/>
          </w:r>
          <w:r>
            <w:rPr/>
            <w:t>Device 1 on HATS 2 Measurements</w:t>
            <w:tab/>
          </w:r>
          <w:hyperlink w:anchor="__RefHeading___Toc19266989">
            <w:r>
              <w:rPr>
                <w:rStyle w:val="IndexLink"/>
              </w:rPr>
              <w:t>30</w:t>
            </w:r>
          </w:hyperlink>
        </w:p>
        <w:p>
          <w:pPr>
            <w:pStyle w:val="Contents4"/>
            <w:rPr>
              <w:rFonts w:ascii="Calibri" w:hAnsi="Calibri" w:cs="Calibri"/>
              <w:sz w:val="22"/>
              <w:szCs w:val="22"/>
              <w:lang w:val="en-US" w:eastAsia="en-US"/>
            </w:rPr>
          </w:pPr>
          <w:r>
            <w:rPr/>
            <w:t>4.4.3.3</w:t>
          </w:r>
          <w:r>
            <w:rPr>
              <w:rFonts w:cs="Calibri" w:ascii="Calibri" w:hAnsi="Calibri"/>
              <w:sz w:val="22"/>
              <w:szCs w:val="22"/>
              <w:lang w:val="en-US" w:eastAsia="en-US"/>
            </w:rPr>
            <w:tab/>
          </w:r>
          <w:r>
            <w:rPr/>
            <w:t>Device 2 on HATS 1 Measurements</w:t>
            <w:tab/>
          </w:r>
          <w:hyperlink w:anchor="__RefHeading___Toc19266990">
            <w:r>
              <w:rPr>
                <w:rStyle w:val="IndexLink"/>
              </w:rPr>
              <w:t>30</w:t>
            </w:r>
          </w:hyperlink>
        </w:p>
        <w:p>
          <w:pPr>
            <w:pStyle w:val="Contents5"/>
            <w:rPr>
              <w:rFonts w:ascii="Calibri" w:hAnsi="Calibri" w:cs="Calibri"/>
              <w:sz w:val="22"/>
              <w:szCs w:val="22"/>
              <w:lang w:val="en-US" w:eastAsia="en-US"/>
            </w:rPr>
          </w:pPr>
          <w:r>
            <w:rPr/>
            <w:t>4.4.3.3.1</w:t>
          </w:r>
          <w:r>
            <w:rPr>
              <w:rFonts w:cs="Calibri" w:ascii="Calibri" w:hAnsi="Calibri"/>
              <w:sz w:val="22"/>
              <w:szCs w:val="22"/>
              <w:lang w:val="en-US" w:eastAsia="en-US"/>
            </w:rPr>
            <w:tab/>
          </w:r>
          <w:r>
            <w:rPr/>
            <w:t>Receiver Loudness Rating Results</w:t>
            <w:tab/>
          </w:r>
          <w:hyperlink w:anchor="__RefHeading___Toc19266991">
            <w:r>
              <w:rPr>
                <w:rStyle w:val="IndexLink"/>
              </w:rPr>
              <w:t>30</w:t>
            </w:r>
          </w:hyperlink>
        </w:p>
        <w:p>
          <w:pPr>
            <w:pStyle w:val="Contents5"/>
            <w:rPr>
              <w:rFonts w:ascii="Calibri" w:hAnsi="Calibri" w:cs="Calibri"/>
              <w:sz w:val="22"/>
              <w:szCs w:val="22"/>
              <w:lang w:val="en-US" w:eastAsia="en-US"/>
            </w:rPr>
          </w:pPr>
          <w:r>
            <w:rPr/>
            <w:t>4.4.3.3.2</w:t>
          </w:r>
          <w:r>
            <w:rPr>
              <w:rFonts w:cs="Calibri" w:ascii="Calibri" w:hAnsi="Calibri"/>
              <w:sz w:val="22"/>
              <w:szCs w:val="22"/>
              <w:lang w:val="en-US" w:eastAsia="en-US"/>
            </w:rPr>
            <w:tab/>
          </w:r>
          <w:r>
            <w:rPr/>
            <w:t>Receiver Sensitivity/Frequency Response Results</w:t>
            <w:tab/>
          </w:r>
          <w:hyperlink w:anchor="__RefHeading___Toc19266992">
            <w:r>
              <w:rPr>
                <w:rStyle w:val="IndexLink"/>
              </w:rPr>
              <w:t>31</w:t>
            </w:r>
          </w:hyperlink>
        </w:p>
        <w:p>
          <w:pPr>
            <w:pStyle w:val="Contents4"/>
            <w:rPr>
              <w:rFonts w:ascii="Calibri" w:hAnsi="Calibri" w:cs="Calibri"/>
              <w:sz w:val="22"/>
              <w:szCs w:val="22"/>
              <w:lang w:val="en-US" w:eastAsia="en-US"/>
            </w:rPr>
          </w:pPr>
          <w:r>
            <w:rPr/>
            <w:t>4.4.3.4</w:t>
          </w:r>
          <w:r>
            <w:rPr>
              <w:rFonts w:cs="Calibri" w:ascii="Calibri" w:hAnsi="Calibri"/>
              <w:sz w:val="22"/>
              <w:szCs w:val="22"/>
              <w:lang w:val="en-US" w:eastAsia="en-US"/>
            </w:rPr>
            <w:tab/>
          </w:r>
          <w:r>
            <w:rPr/>
            <w:t>Device 2 on HATS 2 Measurements</w:t>
            <w:tab/>
          </w:r>
          <w:hyperlink w:anchor="__RefHeading___Toc19266993">
            <w:r>
              <w:rPr>
                <w:rStyle w:val="IndexLink"/>
              </w:rPr>
              <w:t>32</w:t>
            </w:r>
          </w:hyperlink>
        </w:p>
        <w:p>
          <w:pPr>
            <w:pStyle w:val="Contents3"/>
            <w:rPr>
              <w:rFonts w:ascii="Calibri" w:hAnsi="Calibri" w:cs="Calibri"/>
              <w:sz w:val="22"/>
              <w:szCs w:val="22"/>
              <w:lang w:val="en-US" w:eastAsia="en-US"/>
            </w:rPr>
          </w:pPr>
          <w:r>
            <w:rPr/>
            <w:t>4.4.4</w:t>
          </w:r>
          <w:r>
            <w:rPr>
              <w:rFonts w:cs="Calibri" w:ascii="Calibri" w:hAnsi="Calibri"/>
              <w:sz w:val="22"/>
              <w:szCs w:val="22"/>
              <w:lang w:val="en-US" w:eastAsia="en-US"/>
            </w:rPr>
            <w:tab/>
          </w:r>
          <w:r>
            <w:rPr/>
            <w:t>Discussion</w:t>
            <w:tab/>
          </w:r>
          <w:hyperlink w:anchor="__RefHeading___Toc19266994">
            <w:r>
              <w:rPr>
                <w:rStyle w:val="IndexLink"/>
              </w:rPr>
              <w:t>32</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Conclusion</w:t>
            <w:tab/>
          </w:r>
          <w:hyperlink w:anchor="__RefHeading___Toc19266995">
            <w:r>
              <w:rPr>
                <w:rStyle w:val="IndexLink"/>
              </w:rPr>
              <w:t>33</w:t>
            </w:r>
          </w:hyperlink>
        </w:p>
        <w:p>
          <w:pPr>
            <w:pStyle w:val="Contents9"/>
            <w:rPr>
              <w:rFonts w:ascii="Calibri" w:hAnsi="Calibri" w:cs="Calibri"/>
              <w:b w:val="false"/>
              <w:b w:val="false"/>
              <w:szCs w:val="22"/>
              <w:lang w:val="en-US" w:eastAsia="en-US"/>
            </w:rPr>
          </w:pPr>
          <w:r>
            <w:rPr/>
            <w:t>Annex A:</w:t>
            <w:tab/>
            <w:t>Tables for the study on suitability of HATS for HaNTE measurements</w:t>
            <w:tab/>
          </w:r>
          <w:hyperlink w:anchor="__RefHeading___Toc19266996">
            <w:r>
              <w:rPr>
                <w:rStyle w:val="IndexLink"/>
              </w:rPr>
              <w:t>34</w:t>
            </w:r>
          </w:hyperlink>
        </w:p>
        <w:p>
          <w:pPr>
            <w:pStyle w:val="Contents9"/>
            <w:rPr>
              <w:rFonts w:ascii="Calibri" w:hAnsi="Calibri" w:cs="Calibri"/>
              <w:szCs w:val="22"/>
              <w:lang w:val="en-US" w:eastAsia="en-US"/>
            </w:rPr>
          </w:pPr>
          <w:r>
            <w:rPr>
              <w:b w:val="false"/>
            </w:rPr>
            <w:t>Annex B:</w:t>
            <w:tab/>
            <w:t>Change history</w:t>
            <w:tab/>
          </w:r>
          <w:hyperlink w:anchor="__RefHeading___Toc19266997">
            <w:r>
              <w:rPr>
                <w:rStyle w:val="IndexLink"/>
                <w:b w:val="false"/>
              </w:rPr>
              <w:t>37</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8" w:name="__RefHeading___Toc19266933"/>
      <w:bookmarkEnd w:id="8"/>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p>
    <w:p>
      <w:pPr>
        <w:pStyle w:val="Normal"/>
        <w:rPr/>
      </w:pPr>
      <w:r>
        <w:rPr/>
        <w:t>In the present document, certain modal verbs have the following meanings:</w:t>
      </w:r>
    </w:p>
    <w:p>
      <w:pPr>
        <w:pStyle w:val="EX"/>
        <w:rPr/>
      </w:pPr>
      <w:r>
        <w:rPr>
          <w:b/>
        </w:rPr>
        <w:t>shall</w:t>
      </w:r>
      <w:r>
        <w:rPr/>
        <w:tab/>
        <w:t>indicates a mandatory requirement to do something</w:t>
      </w:r>
    </w:p>
    <w:p>
      <w:pPr>
        <w:pStyle w:val="EX"/>
        <w:rPr/>
      </w:pPr>
      <w:r>
        <w:rPr>
          <w:b/>
        </w:rPr>
        <w:t>shall not</w:t>
      </w:r>
      <w:r>
        <w:rPr/>
        <w:tab/>
        <w:t>indicates an interdiction (prohibition) to do something</w:t>
      </w:r>
    </w:p>
    <w:p>
      <w:pPr>
        <w:pStyle w:val="NO"/>
        <w:rPr/>
      </w:pPr>
      <w:r>
        <w:rPr/>
        <w:t>NOTE 1:</w:t>
        <w:tab/>
        <w:t>The constructions "shall" and "shall not" are confined to the context of normative provisions, and do not appear in Technical Reports.</w:t>
      </w:r>
    </w:p>
    <w:p>
      <w:pPr>
        <w:pStyle w:val="NO"/>
        <w:rPr/>
      </w:pPr>
      <w:r>
        <w:rPr/>
        <w:t>NOTE 2:</w:t>
        <w:tab/>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pPr>
        <w:pStyle w:val="EX"/>
        <w:rPr/>
      </w:pPr>
      <w:r>
        <w:rPr>
          <w:b/>
        </w:rPr>
        <w:t>should</w:t>
      </w:r>
      <w:r>
        <w:rPr/>
        <w:tab/>
        <w:t>indicates a recommendation to do something</w:t>
      </w:r>
    </w:p>
    <w:p>
      <w:pPr>
        <w:pStyle w:val="EX"/>
        <w:rPr/>
      </w:pPr>
      <w:r>
        <w:rPr>
          <w:b/>
        </w:rPr>
        <w:t>should not</w:t>
      </w:r>
      <w:r>
        <w:rPr/>
        <w:tab/>
        <w:t>indicates a recommendation not to do something</w:t>
      </w:r>
    </w:p>
    <w:p>
      <w:pPr>
        <w:pStyle w:val="EX"/>
        <w:rPr/>
      </w:pPr>
      <w:r>
        <w:rPr>
          <w:b/>
        </w:rPr>
        <w:t>may</w:t>
      </w:r>
      <w:r>
        <w:rPr/>
        <w:tab/>
        <w:t>indicates permission to do something</w:t>
      </w:r>
    </w:p>
    <w:p>
      <w:pPr>
        <w:pStyle w:val="EX"/>
        <w:rPr/>
      </w:pPr>
      <w:r>
        <w:rPr>
          <w:b/>
        </w:rPr>
        <w:t>need not</w:t>
      </w:r>
      <w:r>
        <w:rPr/>
        <w:tab/>
        <w:t>indicates permission not to do something</w:t>
      </w:r>
    </w:p>
    <w:p>
      <w:pPr>
        <w:pStyle w:val="NO"/>
        <w:rPr/>
      </w:pPr>
      <w:r>
        <w:rPr/>
        <w:t>NOTE 3:</w:t>
        <w:tab/>
        <w:t>The construction "may not" is ambiguous and is not used in normative elements. The unambiguous constructions "might not" or "shall not" are used instead, depending upon the meaning intended.</w:t>
      </w:r>
    </w:p>
    <w:p>
      <w:pPr>
        <w:pStyle w:val="EX"/>
        <w:rPr/>
      </w:pPr>
      <w:r>
        <w:rPr>
          <w:b/>
        </w:rPr>
        <w:t>can</w:t>
      </w:r>
      <w:r>
        <w:rPr/>
        <w:tab/>
        <w:t>indicates that something is possible</w:t>
      </w:r>
    </w:p>
    <w:p>
      <w:pPr>
        <w:pStyle w:val="EX"/>
        <w:rPr/>
      </w:pPr>
      <w:r>
        <w:rPr>
          <w:b/>
        </w:rPr>
        <w:t>cannot</w:t>
      </w:r>
      <w:r>
        <w:rPr/>
        <w:tab/>
        <w:t>indicates that something is impossible</w:t>
      </w:r>
    </w:p>
    <w:p>
      <w:pPr>
        <w:pStyle w:val="NO"/>
        <w:rPr/>
      </w:pPr>
      <w:r>
        <w:rPr/>
        <w:t>NOTE 4:</w:t>
        <w:tab/>
        <w:t>The constructions "can" and "cannot" shall not to be used as substitutes for "may" and "need not".</w:t>
      </w:r>
    </w:p>
    <w:p>
      <w:pPr>
        <w:pStyle w:val="EX"/>
        <w:rPr/>
      </w:pPr>
      <w:r>
        <w:rPr>
          <w:b/>
        </w:rPr>
        <w:t>will</w:t>
      </w:r>
      <w:r>
        <w:rPr/>
        <w:tab/>
        <w:t>indicates that something is certain or expected to happen as a result of action taken by an agency the behaviour of which is outside the scope of the present document</w:t>
      </w:r>
    </w:p>
    <w:p>
      <w:pPr>
        <w:pStyle w:val="EX"/>
        <w:rPr/>
      </w:pPr>
      <w:r>
        <w:rPr>
          <w:b/>
        </w:rPr>
        <w:t>will not</w:t>
      </w:r>
      <w:r>
        <w:rPr/>
        <w:tab/>
        <w:t>indicates that something is certain or expected not to happen as a result of action taken by an agency the behaviour of which is outside the scope of the present document</w:t>
      </w:r>
    </w:p>
    <w:p>
      <w:pPr>
        <w:pStyle w:val="EX"/>
        <w:rPr/>
      </w:pPr>
      <w:r>
        <w:rPr>
          <w:b/>
        </w:rPr>
        <w:t>might</w:t>
      </w:r>
      <w:r>
        <w:rPr/>
        <w:tab/>
        <w:t>indicates a likelihood that something will happen as a result of action taken by some agency the behaviour of which is outside the scope of the present document</w:t>
      </w:r>
    </w:p>
    <w:p>
      <w:pPr>
        <w:pStyle w:val="EX"/>
        <w:rPr/>
      </w:pPr>
      <w:r>
        <w:rPr>
          <w:b/>
        </w:rPr>
        <w:t>might not</w:t>
      </w:r>
      <w:r>
        <w:rPr/>
        <w:tab/>
        <w:t>indicates a likelihood that something will not happen as a result of action taken by some agency the behaviour of which is outside the scope of the present document</w:t>
      </w:r>
    </w:p>
    <w:p>
      <w:pPr>
        <w:pStyle w:val="Normal"/>
        <w:rPr/>
      </w:pPr>
      <w:r>
        <w:rPr/>
        <w:t>In addition:</w:t>
      </w:r>
    </w:p>
    <w:p>
      <w:pPr>
        <w:pStyle w:val="EX"/>
        <w:rPr/>
      </w:pPr>
      <w:r>
        <w:rPr>
          <w:b/>
        </w:rPr>
        <w:t>is</w:t>
      </w:r>
      <w:r>
        <w:rPr/>
        <w:tab/>
        <w:t>(or any other verb in the indicative mood) indicates a statement of fact</w:t>
      </w:r>
    </w:p>
    <w:p>
      <w:pPr>
        <w:pStyle w:val="EX"/>
        <w:rPr/>
      </w:pPr>
      <w:r>
        <w:rPr>
          <w:b/>
        </w:rPr>
        <w:t>is not</w:t>
      </w:r>
      <w:r>
        <w:rPr/>
        <w:tab/>
        <w:t>(or any other negative verb in the indicative mood) indicates a statement of fact</w:t>
      </w:r>
    </w:p>
    <w:p>
      <w:pPr>
        <w:pStyle w:val="NO"/>
        <w:rPr/>
      </w:pPr>
      <w:r>
        <w:rPr/>
        <w:t>NOTE 5:</w:t>
        <w:tab/>
        <w:t>The constructions "is" and "is not" do not indicate requirements.</w:t>
      </w:r>
    </w:p>
    <w:p>
      <w:pPr>
        <w:pStyle w:val="Heading1"/>
        <w:ind w:left="1134" w:hanging="1134"/>
        <w:rPr/>
      </w:pPr>
      <w:bookmarkStart w:id="9" w:name="__RefHeading___Toc19266934"/>
      <w:bookmarkEnd w:id="9"/>
      <w:r>
        <w:rPr/>
        <w:t>Introduction</w:t>
      </w:r>
    </w:p>
    <w:p>
      <w:pPr>
        <w:pStyle w:val="Normal"/>
        <w:rPr/>
      </w:pPr>
      <w:r>
        <w:rPr/>
        <w:t xml:space="preserve">The present document investigates on the suitability of 3GPP existing specifications for testing UEs featuring non-traditional earpieces. </w:t>
      </w:r>
    </w:p>
    <w:p>
      <w:pPr>
        <w:pStyle w:val="Normal"/>
        <w:rPr/>
      </w:pPr>
      <w:r>
        <w:rPr/>
        <w:t xml:space="preserve">UEs featuring non-traditional earpieces may pose challenges for handset mode acoustic testing. For example, a UE may exclusively use a vibrating display to produce sound when operating in handset mode, offering no clearly identifiable centre of an earpiece to position the headset for testing. Additionally, such UE could have its acoustic response affected by the choice of handset positioner mechanism. </w:t>
      </w:r>
    </w:p>
    <w:p>
      <w:pPr>
        <w:pStyle w:val="Normal"/>
        <w:rPr/>
      </w:pPr>
      <w:r>
        <w:rPr/>
        <w:t>The present document documents studies conducted and concludes with a summary of challenges identified and gap analysis of existing 3GPP specifications.</w:t>
      </w:r>
      <w:r>
        <w:br w:type="page"/>
      </w:r>
    </w:p>
    <w:p>
      <w:pPr>
        <w:pStyle w:val="Heading1"/>
        <w:ind w:left="1134" w:hanging="1134"/>
        <w:rPr/>
      </w:pPr>
      <w:bookmarkStart w:id="10" w:name="__RefHeading___Toc19266935"/>
      <w:bookmarkEnd w:id="10"/>
      <w:r>
        <w:rPr/>
        <w:t>1</w:t>
        <w:tab/>
        <w:t>Scope</w:t>
      </w:r>
    </w:p>
    <w:p>
      <w:pPr>
        <w:pStyle w:val="Normal"/>
        <w:rPr/>
      </w:pPr>
      <w:r>
        <w:rPr/>
        <w:t>The present document reports on investigations of testing UEs featuring non-traditional earpieces, and identifies related gaps to existing 3GPP specifications and recommended test equipment.</w:t>
      </w:r>
    </w:p>
    <w:p>
      <w:pPr>
        <w:pStyle w:val="Heading1"/>
        <w:ind w:left="1134" w:hanging="1134"/>
        <w:rPr/>
      </w:pPr>
      <w:bookmarkStart w:id="11" w:name="__RefHeading___Toc19266936"/>
      <w:bookmarkEnd w:id="11"/>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lang w:eastAsia="zh-CN"/>
        </w:rPr>
      </w:pPr>
      <w:r>
        <w:rPr>
          <w:lang w:eastAsia="zh-CN"/>
        </w:rPr>
        <w:t>[2]</w:t>
        <w:tab/>
        <w:t xml:space="preserve">ITU-T Recommendation P.57 </w:t>
      </w:r>
      <w:r>
        <w:rPr/>
        <w:t>(12/2011): "Artificial ears".</w:t>
      </w:r>
    </w:p>
    <w:p>
      <w:pPr>
        <w:pStyle w:val="EX"/>
        <w:rPr>
          <w:lang w:eastAsia="zh-CN"/>
        </w:rPr>
      </w:pPr>
      <w:r>
        <w:rPr>
          <w:lang w:eastAsia="zh-CN"/>
        </w:rPr>
        <w:t>[3]</w:t>
        <w:tab/>
        <w:t xml:space="preserve">ITU-T Recommendation P.58 </w:t>
      </w:r>
      <w:r>
        <w:rPr/>
        <w:t>(05/2013): "Head and torso simulator for telephonometry".</w:t>
      </w:r>
    </w:p>
    <w:p>
      <w:pPr>
        <w:pStyle w:val="EX"/>
        <w:rPr/>
      </w:pPr>
      <w:r>
        <w:rPr>
          <w:lang w:eastAsia="zh-CN"/>
        </w:rPr>
        <w:t>[4]</w:t>
        <w:tab/>
        <w:t xml:space="preserve">ITU-T Recommendation P.64 </w:t>
      </w:r>
      <w:r>
        <w:rPr/>
        <w:t>(06/2019): "Determination of sensitivity/frequency characteristics of local telephone Systems".</w:t>
      </w:r>
    </w:p>
    <w:p>
      <w:pPr>
        <w:pStyle w:val="EX"/>
        <w:rPr/>
      </w:pPr>
      <w:r>
        <w:rPr>
          <w:lang w:eastAsia="zh-CN"/>
        </w:rPr>
        <w:t>[5]</w:t>
        <w:tab/>
      </w:r>
      <w:r>
        <w:rPr/>
        <w:t>3GPP TS 26.131: "Terminal acoustic characteristics for telephony; Requirements".</w:t>
      </w:r>
    </w:p>
    <w:p>
      <w:pPr>
        <w:pStyle w:val="EX"/>
        <w:rPr/>
      </w:pPr>
      <w:r>
        <w:rPr>
          <w:lang w:eastAsia="zh-CN"/>
        </w:rPr>
        <w:t>[6]</w:t>
        <w:tab/>
      </w:r>
      <w:r>
        <w:rPr/>
        <w:t>3GPP TS 26.132: "Speech and video telephony terminal acoustic test specification".</w:t>
      </w:r>
    </w:p>
    <w:p>
      <w:pPr>
        <w:pStyle w:val="Heading1"/>
        <w:ind w:left="1134" w:hanging="1134"/>
        <w:rPr/>
      </w:pPr>
      <w:bookmarkStart w:id="12" w:name="__RefHeading___Toc19266937"/>
      <w:bookmarkEnd w:id="12"/>
      <w:r>
        <w:rPr/>
        <w:t>3</w:t>
        <w:tab/>
        <w:t>Definitions of terms, symbols and abbreviations</w:t>
      </w:r>
    </w:p>
    <w:p>
      <w:pPr>
        <w:pStyle w:val="Heading2"/>
        <w:rPr/>
      </w:pPr>
      <w:bookmarkStart w:id="13" w:name="__RefHeading___Toc19266938"/>
      <w:bookmarkEnd w:id="13"/>
      <w:r>
        <w:rPr/>
        <w:t>3.1</w:t>
        <w:tab/>
        <w:t>Terms</w:t>
      </w:r>
    </w:p>
    <w:p>
      <w:pPr>
        <w:pStyle w:val="Normal"/>
        <w:rPr/>
      </w:pPr>
      <w:r>
        <w:rPr/>
        <w:t>For the purposes of the present document, the terms given in 3GPP TR 21.905 [1] and the following apply. A term defined in the present document takes precedence over the definition of the same term, if any, in 3GPP TR 21.905 [1].</w:t>
      </w:r>
    </w:p>
    <w:p>
      <w:pPr>
        <w:pStyle w:val="Heading2"/>
        <w:rPr/>
      </w:pPr>
      <w:bookmarkStart w:id="14" w:name="__RefHeading___Toc19266939"/>
      <w:bookmarkEnd w:id="14"/>
      <w:r>
        <w:rPr/>
        <w:t>3.2</w:t>
        <w:tab/>
        <w:t>Symbols</w:t>
      </w:r>
    </w:p>
    <w:p>
      <w:pPr>
        <w:pStyle w:val="Normal"/>
        <w:rPr/>
      </w:pPr>
      <w:r>
        <w:rPr/>
        <w:t>Void.</w:t>
      </w:r>
    </w:p>
    <w:p>
      <w:pPr>
        <w:pStyle w:val="Heading2"/>
        <w:rPr/>
      </w:pPr>
      <w:bookmarkStart w:id="15" w:name="__RefHeading___Toc19266940"/>
      <w:bookmarkEnd w:id="15"/>
      <w:r>
        <w:rPr/>
        <w:t>3.3</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EW"/>
        <w:rPr/>
      </w:pPr>
      <w:r>
        <w:rPr/>
        <w:t>MECRP</w:t>
        <w:tab/>
        <w:t>Manufacturer Ear Cap Reference Point</w:t>
      </w:r>
    </w:p>
    <w:p>
      <w:pPr>
        <w:pStyle w:val="EW"/>
        <w:rPr/>
      </w:pPr>
      <w:r>
        <w:rPr/>
        <w:t>RFR</w:t>
        <w:tab/>
        <w:t xml:space="preserve">Receive Frequency Response </w:t>
      </w:r>
    </w:p>
    <w:p>
      <w:pPr>
        <w:pStyle w:val="EW"/>
        <w:rPr/>
      </w:pPr>
      <w:r>
        <w:rPr/>
        <w:t>RLR</w:t>
        <w:tab/>
        <w:t>Receive Loudness Rating</w:t>
      </w:r>
    </w:p>
    <w:p>
      <w:pPr>
        <w:pStyle w:val="EW"/>
        <w:rPr/>
      </w:pPr>
      <w:r>
        <w:rPr/>
      </w:r>
    </w:p>
    <w:p>
      <w:pPr>
        <w:pStyle w:val="Heading1"/>
        <w:ind w:left="1134" w:hanging="1134"/>
        <w:rPr/>
      </w:pPr>
      <w:bookmarkStart w:id="16" w:name="__RefHeading___Toc19266941"/>
      <w:bookmarkEnd w:id="16"/>
      <w:r>
        <w:rPr/>
        <w:t>4</w:t>
        <w:tab/>
        <w:t>Report on studies with UEs featuring non-traditional earpieces</w:t>
      </w:r>
    </w:p>
    <w:p>
      <w:pPr>
        <w:pStyle w:val="Heading2"/>
        <w:rPr/>
      </w:pPr>
      <w:bookmarkStart w:id="17" w:name="__RefHeading___Toc19266942"/>
      <w:bookmarkEnd w:id="17"/>
      <w:r>
        <w:rPr/>
        <w:t>4.1</w:t>
        <w:tab/>
        <w:t>Challenges on conducting objective tests according to 3GPP existing specifications for UEs featuring non-traditional earpieces</w:t>
      </w:r>
    </w:p>
    <w:p>
      <w:pPr>
        <w:pStyle w:val="Heading3"/>
        <w:rPr>
          <w:color w:val="FF0000"/>
        </w:rPr>
      </w:pPr>
      <w:bookmarkStart w:id="18" w:name="__RefHeading___Toc19266943"/>
      <w:bookmarkEnd w:id="18"/>
      <w:r>
        <w:rPr/>
        <w:t>4.1.1</w:t>
        <w:tab/>
        <w:t>Handset positioning on head and torso simulator</w:t>
      </w:r>
    </w:p>
    <w:p>
      <w:pPr>
        <w:pStyle w:val="Heading4"/>
        <w:ind w:left="1418" w:hanging="1418"/>
        <w:rPr/>
      </w:pPr>
      <w:bookmarkStart w:id="19" w:name="__RefHeading___Toc19266944"/>
      <w:bookmarkEnd w:id="19"/>
      <w:r>
        <w:rPr/>
        <w:t>4.1.1.1</w:t>
        <w:tab/>
        <w:t>Background</w:t>
      </w:r>
    </w:p>
    <w:p>
      <w:pPr>
        <w:pStyle w:val="Normal"/>
        <w:rPr/>
      </w:pPr>
      <w:r>
        <w:rPr/>
        <w:t>TS 26.13</w:t>
      </w:r>
      <w:r>
        <w:rPr>
          <w:rStyle w:val="CommentReference"/>
        </w:rPr>
        <w:t xml:space="preserve">2 </w:t>
      </w:r>
      <w:r>
        <w:rPr/>
        <w:t>[6] references ITU-T Recommendation P.64 [4] regarding handset position on artificial ears. However, UEs featuring non-traditional earpieces may not feature a centre of an acoustic port raising the question of how to properly position a handset for testing. Therefore, an update to P.64 would be required for SA4 to reference this Recommendation also for handsets with non-traditional earpieces, if the present study is followed by normative work in 3GPP.</w:t>
      </w:r>
    </w:p>
    <w:p>
      <w:pPr>
        <w:pStyle w:val="Normal"/>
        <w:rPr/>
      </w:pPr>
      <w:r>
        <w:rPr/>
        <w:t>Such update to P.64 may describe how to specify a reference point for handsets where there are no acoustic outlets in the earpiece area of the handset.</w:t>
      </w:r>
    </w:p>
    <w:p>
      <w:pPr>
        <w:pStyle w:val="Normal"/>
        <w:rPr/>
      </w:pPr>
      <w:r>
        <w:rPr/>
        <w:t>This sub-clause suggests an alternative method for positioning the handset that is suitable for UEs featuring non-traditional earpieces.</w:t>
      </w:r>
    </w:p>
    <w:p>
      <w:pPr>
        <w:pStyle w:val="Heading4"/>
        <w:ind w:left="1418" w:hanging="1418"/>
        <w:rPr/>
      </w:pPr>
      <w:bookmarkStart w:id="20" w:name="__RefHeading___Toc19266945"/>
      <w:bookmarkEnd w:id="20"/>
      <w:r>
        <w:rPr/>
        <w:t>4.1.1.2.</w:t>
        <w:tab/>
        <w:t>Definition - within the FS_HaNTE study - of handset position for UEs featuring non-traditional earpieces</w:t>
      </w:r>
    </w:p>
    <w:p>
      <w:pPr>
        <w:pStyle w:val="Normal"/>
        <w:spacing w:before="0" w:after="120"/>
        <w:rPr>
          <w:rFonts w:ascii="Arial" w:hAnsi="Arial" w:cs="Arial"/>
          <w:b/>
          <w:b/>
        </w:rPr>
      </w:pPr>
      <w:r>
        <w:rPr/>
        <w:t>Within the context of FS_HaNTE, the MECRP is defined in terms of distance from the upper edge of the handset (this is equivalent what is sometimes referred to as "end stop" for positioning fixtures) and the distance from a centre/symmetry line.</w:t>
      </w:r>
    </w:p>
    <w:p>
      <w:pPr>
        <w:pStyle w:val="TH"/>
        <w:rPr/>
      </w:pPr>
      <w:r>
        <w:rPr/>
        <w:drawing>
          <wp:inline distT="0" distB="0" distL="0" distR="0">
            <wp:extent cx="5123180" cy="2743200"/>
            <wp:effectExtent l="0" t="0" r="0" b="0"/>
            <wp:docPr id="1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
                    <pic:cNvPicPr>
                      <a:picLocks noChangeAspect="1" noChangeArrowheads="1"/>
                    </pic:cNvPicPr>
                  </pic:nvPicPr>
                  <pic:blipFill>
                    <a:blip r:embed="rId6"/>
                    <a:srcRect l="-7" t="-13" r="-7" b="-13"/>
                    <a:stretch>
                      <a:fillRect/>
                    </a:stretch>
                  </pic:blipFill>
                  <pic:spPr bwMode="auto">
                    <a:xfrm>
                      <a:off x="0" y="0"/>
                      <a:ext cx="5123180" cy="2743200"/>
                    </a:xfrm>
                    <a:prstGeom prst="rect">
                      <a:avLst/>
                    </a:prstGeom>
                  </pic:spPr>
                </pic:pic>
              </a:graphicData>
            </a:graphic>
          </wp:inline>
        </w:drawing>
      </w:r>
    </w:p>
    <w:p>
      <w:pPr>
        <w:pStyle w:val="TF"/>
        <w:rPr/>
      </w:pPr>
      <w:r>
        <w:rPr/>
        <w:t>Figure 4-1: Definition of MECRP for handsets in FS_HaNTE</w:t>
      </w:r>
    </w:p>
    <w:p>
      <w:pPr>
        <w:pStyle w:val="Normal"/>
        <w:rPr/>
      </w:pPr>
      <w:r>
        <w:rPr>
          <w:i/>
          <w:sz w:val="28"/>
        </w:rPr>
        <w:t>y</w:t>
      </w:r>
      <w:r>
        <w:rPr>
          <w:i/>
          <w:sz w:val="28"/>
          <w:vertAlign w:val="subscript"/>
        </w:rPr>
        <w:t>e</w:t>
      </w:r>
      <w:r>
        <w:rPr>
          <w:sz w:val="28"/>
        </w:rPr>
        <w:t xml:space="preserve"> </w:t>
      </w:r>
      <w:r>
        <w:rPr/>
        <w:t>is allowed to vary significantly to cover also the following case, or more unusual shapes:</w:t>
      </w:r>
    </w:p>
    <w:p>
      <w:pPr>
        <w:pStyle w:val="TH"/>
        <w:rPr/>
      </w:pPr>
      <w:r>
        <w:rPr/>
        <w:drawing>
          <wp:inline distT="0" distB="0" distL="0" distR="0">
            <wp:extent cx="4845050" cy="1459865"/>
            <wp:effectExtent l="0" t="0" r="0" b="0"/>
            <wp:docPr id="15"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
                    <pic:cNvPicPr>
                      <a:picLocks noChangeAspect="1" noChangeArrowheads="1"/>
                    </pic:cNvPicPr>
                  </pic:nvPicPr>
                  <pic:blipFill>
                    <a:blip r:embed="rId7"/>
                    <a:srcRect l="-7" t="-25" r="-7" b="-25"/>
                    <a:stretch>
                      <a:fillRect/>
                    </a:stretch>
                  </pic:blipFill>
                  <pic:spPr bwMode="auto">
                    <a:xfrm>
                      <a:off x="0" y="0"/>
                      <a:ext cx="4845050" cy="1459865"/>
                    </a:xfrm>
                    <a:prstGeom prst="rect">
                      <a:avLst/>
                    </a:prstGeom>
                  </pic:spPr>
                </pic:pic>
              </a:graphicData>
            </a:graphic>
          </wp:inline>
        </w:drawing>
      </w:r>
    </w:p>
    <w:p>
      <w:pPr>
        <w:pStyle w:val="TF"/>
        <w:rPr/>
      </w:pPr>
      <w:r>
        <w:rPr/>
        <w:t xml:space="preserve">Figure 4-2: Example of a handset shape where, due to a curvature, </w:t>
        <w:br/>
        <w:t>some extra allowance of y</w:t>
      </w:r>
      <w:r>
        <w:rPr>
          <w:vertAlign w:val="subscript"/>
        </w:rPr>
        <w:t>e</w:t>
      </w:r>
      <w:r>
        <w:rPr/>
        <w:t xml:space="preserve"> is needed.</w:t>
      </w:r>
    </w:p>
    <w:p>
      <w:pPr>
        <w:pStyle w:val="Normal"/>
        <w:rPr/>
      </w:pPr>
      <w:r>
        <w:rPr/>
        <w:t>The acceptable range of offset of the MECRP should not exceed:</w:t>
      </w:r>
    </w:p>
    <w:p>
      <w:pPr>
        <w:pStyle w:val="B1"/>
        <w:rPr/>
      </w:pPr>
      <w:r>
        <w:rPr/>
        <w:t>-</w:t>
        <w:tab/>
        <w:t>No limit of ye value.</w:t>
      </w:r>
    </w:p>
    <w:p>
      <w:pPr>
        <w:pStyle w:val="B1"/>
        <w:rPr/>
      </w:pPr>
      <w:r>
        <w:rPr/>
        <w:t>-</w:t>
        <w:tab/>
        <w:t>±10 mm along unit vector z</w:t>
      </w:r>
      <w:r>
        <w:rPr>
          <w:vertAlign w:val="subscript"/>
        </w:rPr>
        <w:t>e</w:t>
      </w:r>
      <w:r>
        <w:rPr/>
        <w:t>.</w:t>
      </w:r>
    </w:p>
    <w:p>
      <w:pPr>
        <w:pStyle w:val="Heading4"/>
        <w:ind w:left="1418" w:hanging="1418"/>
        <w:rPr/>
      </w:pPr>
      <w:bookmarkStart w:id="21" w:name="__RefHeading___Toc19266946"/>
      <w:bookmarkEnd w:id="21"/>
      <w:r>
        <w:rPr/>
        <w:t>4.1.1.3</w:t>
        <w:tab/>
        <w:t>Template structure - within the FS_HaNTE study - of handset position for UEs featuring non-traditional earpieces</w:t>
      </w:r>
    </w:p>
    <w:p>
      <w:pPr>
        <w:pStyle w:val="Normal"/>
        <w:rPr>
          <w:lang w:eastAsia="ja-JP"/>
        </w:rPr>
      </w:pPr>
      <w:r>
        <w:rPr>
          <w:lang w:eastAsia="ja-JP"/>
        </w:rPr>
        <w:t>A template for providing handset position for UEs featuring non-traditional earpieces is provided in Tables 4-1 to 4-3.</w:t>
      </w:r>
    </w:p>
    <w:p>
      <w:pPr>
        <w:pStyle w:val="TH"/>
        <w:rPr>
          <w:lang w:eastAsia="ja-JP"/>
        </w:rPr>
      </w:pPr>
      <w:r>
        <w:rPr>
          <w:lang w:eastAsia="ja-JP"/>
        </w:rPr>
        <w:t>Table 4-1: MECRP</w:t>
      </w:r>
    </w:p>
    <w:tbl>
      <w:tblPr>
        <w:tblW w:w="4833" w:type="dxa"/>
        <w:jc w:val="center"/>
        <w:tblInd w:w="0" w:type="dxa"/>
        <w:tblLayout w:type="fixed"/>
        <w:tblCellMar>
          <w:top w:w="0" w:type="dxa"/>
          <w:left w:w="108" w:type="dxa"/>
          <w:bottom w:w="0" w:type="dxa"/>
          <w:right w:w="108" w:type="dxa"/>
        </w:tblCellMar>
      </w:tblPr>
      <w:tblGrid>
        <w:gridCol w:w="1574"/>
        <w:gridCol w:w="3259"/>
      </w:tblGrid>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H"/>
              <w:keepNext w:val="true"/>
              <w:keepLines/>
              <w:spacing w:before="60" w:after="180"/>
              <w:jc w:val="center"/>
              <w:rPr/>
            </w:pPr>
            <w:r>
              <w:rPr/>
              <w:t>Axis</w:t>
            </w:r>
          </w:p>
        </w:tc>
        <w:tc>
          <w:tcPr>
            <w:tcW w:w="3259" w:type="dxa"/>
            <w:tcBorders>
              <w:top w:val="single" w:sz="4" w:space="0" w:color="000000"/>
              <w:left w:val="single" w:sz="4" w:space="0" w:color="000000"/>
              <w:bottom w:val="single" w:sz="4" w:space="0" w:color="000000"/>
              <w:right w:val="single" w:sz="4" w:space="0" w:color="000000"/>
            </w:tcBorders>
            <w:shd w:fill="C0C0C0" w:val="clear"/>
          </w:tcPr>
          <w:p>
            <w:pPr>
              <w:pStyle w:val="TH"/>
              <w:keepNext w:val="true"/>
              <w:keepLines/>
              <w:spacing w:before="60" w:after="180"/>
              <w:jc w:val="center"/>
              <w:rPr/>
            </w:pPr>
            <w:r>
              <w:rPr/>
              <w:t>[mm]</w:t>
            </w:r>
          </w:p>
        </w:tc>
      </w:tr>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L"/>
              <w:jc w:val="center"/>
              <w:rPr/>
            </w:pPr>
            <w:r>
              <w:rPr/>
              <w:t>y</w:t>
            </w:r>
            <w:r>
              <w:rPr>
                <w:szCs w:val="24"/>
                <w:vertAlign w:val="subscript"/>
              </w:rPr>
              <w:t>e</w:t>
            </w:r>
          </w:p>
        </w:tc>
        <w:tc>
          <w:tcPr>
            <w:tcW w:w="3259" w:type="dxa"/>
            <w:tcBorders>
              <w:top w:val="single" w:sz="4" w:space="0" w:color="000000"/>
              <w:left w:val="single" w:sz="4" w:space="0" w:color="000000"/>
              <w:bottom w:val="single" w:sz="4" w:space="0" w:color="000000"/>
              <w:right w:val="single" w:sz="4" w:space="0" w:color="000000"/>
            </w:tcBorders>
            <w:shd w:fill="C0C0C0" w:val="clear"/>
          </w:tcPr>
          <w:p>
            <w:pPr>
              <w:pStyle w:val="TAL"/>
              <w:snapToGrid w:val="false"/>
              <w:jc w:val="center"/>
              <w:rPr/>
            </w:pPr>
            <w:r>
              <w:rPr/>
            </w:r>
          </w:p>
        </w:tc>
      </w:tr>
      <w:tr>
        <w:trPr/>
        <w:tc>
          <w:tcPr>
            <w:tcW w:w="1574" w:type="dxa"/>
            <w:tcBorders>
              <w:top w:val="single" w:sz="4" w:space="0" w:color="000000"/>
              <w:left w:val="single" w:sz="4" w:space="0" w:color="000000"/>
              <w:bottom w:val="single" w:sz="4" w:space="0" w:color="000000"/>
              <w:right w:val="single" w:sz="4" w:space="0" w:color="000000"/>
            </w:tcBorders>
            <w:shd w:fill="C0C0C0" w:val="clear"/>
          </w:tcPr>
          <w:p>
            <w:pPr>
              <w:pStyle w:val="TAL"/>
              <w:jc w:val="center"/>
              <w:rPr/>
            </w:pPr>
            <w:r>
              <w:rPr/>
              <w:t>z</w:t>
            </w:r>
            <w:r>
              <w:rPr>
                <w:szCs w:val="24"/>
                <w:vertAlign w:val="subscript"/>
              </w:rPr>
              <w:t>e</w:t>
            </w:r>
          </w:p>
        </w:tc>
        <w:tc>
          <w:tcPr>
            <w:tcW w:w="3259" w:type="dxa"/>
            <w:tcBorders>
              <w:top w:val="single" w:sz="4" w:space="0" w:color="000000"/>
              <w:left w:val="single" w:sz="4" w:space="0" w:color="000000"/>
              <w:bottom w:val="single" w:sz="4" w:space="0" w:color="000000"/>
              <w:right w:val="single" w:sz="4" w:space="0" w:color="000000"/>
            </w:tcBorders>
            <w:shd w:fill="C0C0C0" w:val="clear"/>
          </w:tcPr>
          <w:p>
            <w:pPr>
              <w:pStyle w:val="TAL"/>
              <w:snapToGrid w:val="false"/>
              <w:jc w:val="center"/>
              <w:rPr/>
            </w:pPr>
            <w:r>
              <w:rPr/>
            </w:r>
          </w:p>
        </w:tc>
      </w:tr>
    </w:tbl>
    <w:p>
      <w:pPr>
        <w:pStyle w:val="Normal"/>
        <w:rPr/>
      </w:pPr>
      <w:r>
        <w:rPr/>
      </w:r>
    </w:p>
    <w:p>
      <w:pPr>
        <w:pStyle w:val="TH"/>
        <w:rPr/>
      </w:pPr>
      <w:r>
        <w:rPr/>
        <w:t>Table 4-2: Angle Settings</w:t>
      </w:r>
    </w:p>
    <w:tbl>
      <w:tblPr>
        <w:tblW w:w="5028" w:type="dxa"/>
        <w:jc w:val="center"/>
        <w:tblInd w:w="0" w:type="dxa"/>
        <w:tblLayout w:type="fixed"/>
        <w:tblCellMar>
          <w:top w:w="0" w:type="dxa"/>
          <w:left w:w="108" w:type="dxa"/>
          <w:bottom w:w="0" w:type="dxa"/>
          <w:right w:w="108" w:type="dxa"/>
        </w:tblCellMar>
      </w:tblPr>
      <w:tblGrid>
        <w:gridCol w:w="1668"/>
        <w:gridCol w:w="3360"/>
      </w:tblGrid>
      <w:tr>
        <w:trPr/>
        <w:tc>
          <w:tcPr>
            <w:tcW w:w="1668" w:type="dxa"/>
            <w:tcBorders>
              <w:top w:val="single" w:sz="4" w:space="0" w:color="000000"/>
              <w:left w:val="single" w:sz="4" w:space="0" w:color="000000"/>
              <w:bottom w:val="single" w:sz="4" w:space="0" w:color="000000"/>
              <w:right w:val="single" w:sz="4" w:space="0" w:color="000000"/>
            </w:tcBorders>
            <w:shd w:fill="C0C0C0" w:val="clear"/>
          </w:tcPr>
          <w:p>
            <w:pPr>
              <w:pStyle w:val="TH"/>
              <w:keepNext w:val="true"/>
              <w:keepLines/>
              <w:spacing w:before="60" w:after="180"/>
              <w:jc w:val="center"/>
              <w:rPr/>
            </w:pPr>
            <w:r>
              <w:rPr/>
              <w:t>Angle</w:t>
            </w:r>
          </w:p>
        </w:tc>
        <w:tc>
          <w:tcPr>
            <w:tcW w:w="3360" w:type="dxa"/>
            <w:tcBorders>
              <w:top w:val="single" w:sz="4" w:space="0" w:color="000000"/>
              <w:left w:val="single" w:sz="4" w:space="0" w:color="000000"/>
              <w:bottom w:val="single" w:sz="4" w:space="0" w:color="000000"/>
              <w:right w:val="single" w:sz="4" w:space="0" w:color="000000"/>
            </w:tcBorders>
            <w:shd w:fill="C0C0C0" w:val="clear"/>
          </w:tcPr>
          <w:p>
            <w:pPr>
              <w:pStyle w:val="TH"/>
              <w:keepNext w:val="true"/>
              <w:keepLines/>
              <w:spacing w:before="60" w:after="180"/>
              <w:jc w:val="center"/>
              <w:rPr/>
            </w:pPr>
            <w:r>
              <w:rPr/>
              <w:t>Delta from standard angle [°]</w:t>
            </w:r>
          </w:p>
        </w:tc>
      </w:tr>
      <w:tr>
        <w:trPr/>
        <w:tc>
          <w:tcPr>
            <w:tcW w:w="1668" w:type="dxa"/>
            <w:tcBorders>
              <w:top w:val="single" w:sz="4" w:space="0" w:color="000000"/>
              <w:left w:val="single" w:sz="4" w:space="0" w:color="000000"/>
              <w:bottom w:val="single" w:sz="4" w:space="0" w:color="000000"/>
              <w:right w:val="single" w:sz="4" w:space="0" w:color="000000"/>
            </w:tcBorders>
            <w:shd w:fill="C0C0C0" w:val="clear"/>
          </w:tcPr>
          <w:p>
            <w:pPr>
              <w:pStyle w:val="TAL"/>
              <w:jc w:val="center"/>
              <w:rPr/>
            </w:pPr>
            <w:r>
              <w:rPr/>
              <w:t>A</w:t>
            </w:r>
          </w:p>
        </w:tc>
        <w:tc>
          <w:tcPr>
            <w:tcW w:w="3360" w:type="dxa"/>
            <w:tcBorders>
              <w:top w:val="single" w:sz="4" w:space="0" w:color="000000"/>
              <w:left w:val="single" w:sz="4" w:space="0" w:color="000000"/>
              <w:bottom w:val="single" w:sz="4" w:space="0" w:color="000000"/>
              <w:right w:val="single" w:sz="4" w:space="0" w:color="000000"/>
            </w:tcBorders>
            <w:shd w:fill="C0C0C0" w:val="clear"/>
          </w:tcPr>
          <w:p>
            <w:pPr>
              <w:pStyle w:val="TAL"/>
              <w:snapToGrid w:val="false"/>
              <w:jc w:val="center"/>
              <w:rPr/>
            </w:pPr>
            <w:r>
              <w:rPr/>
            </w:r>
          </w:p>
        </w:tc>
      </w:tr>
      <w:tr>
        <w:trPr/>
        <w:tc>
          <w:tcPr>
            <w:tcW w:w="1668" w:type="dxa"/>
            <w:tcBorders>
              <w:top w:val="single" w:sz="4" w:space="0" w:color="000000"/>
              <w:left w:val="single" w:sz="4" w:space="0" w:color="000000"/>
              <w:bottom w:val="single" w:sz="4" w:space="0" w:color="000000"/>
              <w:right w:val="single" w:sz="4" w:space="0" w:color="000000"/>
            </w:tcBorders>
            <w:shd w:fill="C0C0C0" w:val="clear"/>
          </w:tcPr>
          <w:p>
            <w:pPr>
              <w:pStyle w:val="TAL"/>
              <w:jc w:val="center"/>
              <w:rPr/>
            </w:pPr>
            <w:r>
              <w:rPr/>
              <w:t>B</w:t>
            </w:r>
          </w:p>
        </w:tc>
        <w:tc>
          <w:tcPr>
            <w:tcW w:w="3360" w:type="dxa"/>
            <w:tcBorders>
              <w:top w:val="single" w:sz="4" w:space="0" w:color="000000"/>
              <w:left w:val="single" w:sz="4" w:space="0" w:color="000000"/>
              <w:bottom w:val="single" w:sz="4" w:space="0" w:color="000000"/>
              <w:right w:val="single" w:sz="4" w:space="0" w:color="000000"/>
            </w:tcBorders>
            <w:shd w:fill="C0C0C0" w:val="clear"/>
          </w:tcPr>
          <w:p>
            <w:pPr>
              <w:pStyle w:val="TAL"/>
              <w:snapToGrid w:val="false"/>
              <w:jc w:val="center"/>
              <w:rPr/>
            </w:pPr>
            <w:r>
              <w:rPr/>
            </w:r>
          </w:p>
        </w:tc>
      </w:tr>
      <w:tr>
        <w:trPr/>
        <w:tc>
          <w:tcPr>
            <w:tcW w:w="1668" w:type="dxa"/>
            <w:tcBorders>
              <w:top w:val="single" w:sz="4" w:space="0" w:color="000000"/>
              <w:left w:val="single" w:sz="4" w:space="0" w:color="000000"/>
              <w:bottom w:val="single" w:sz="4" w:space="0" w:color="000000"/>
              <w:right w:val="single" w:sz="4" w:space="0" w:color="000000"/>
            </w:tcBorders>
            <w:shd w:fill="C0C0C0" w:val="clear"/>
          </w:tcPr>
          <w:p>
            <w:pPr>
              <w:pStyle w:val="TAL"/>
              <w:jc w:val="center"/>
              <w:rPr/>
            </w:pPr>
            <w:r>
              <w:rPr/>
              <w:t>C</w:t>
            </w:r>
          </w:p>
        </w:tc>
        <w:tc>
          <w:tcPr>
            <w:tcW w:w="3360" w:type="dxa"/>
            <w:tcBorders>
              <w:top w:val="single" w:sz="4" w:space="0" w:color="000000"/>
              <w:left w:val="single" w:sz="4" w:space="0" w:color="000000"/>
              <w:bottom w:val="single" w:sz="4" w:space="0" w:color="000000"/>
              <w:right w:val="single" w:sz="4" w:space="0" w:color="000000"/>
            </w:tcBorders>
            <w:shd w:fill="C0C0C0" w:val="clear"/>
          </w:tcPr>
          <w:p>
            <w:pPr>
              <w:pStyle w:val="TAL"/>
              <w:snapToGrid w:val="false"/>
              <w:jc w:val="center"/>
              <w:rPr/>
            </w:pPr>
            <w:r>
              <w:rPr/>
            </w:r>
          </w:p>
        </w:tc>
      </w:tr>
    </w:tbl>
    <w:p>
      <w:pPr>
        <w:pStyle w:val="Normal"/>
        <w:rPr/>
      </w:pPr>
      <w:r>
        <w:rPr/>
      </w:r>
    </w:p>
    <w:p>
      <w:pPr>
        <w:pStyle w:val="TH"/>
        <w:rPr/>
      </w:pPr>
      <w:r>
        <w:rPr/>
        <w:t>Table 4-3: Application Force</w:t>
      </w:r>
    </w:p>
    <w:tbl>
      <w:tblPr>
        <w:tblW w:w="5006" w:type="dxa"/>
        <w:jc w:val="center"/>
        <w:tblInd w:w="0" w:type="dxa"/>
        <w:tblLayout w:type="fixed"/>
        <w:tblCellMar>
          <w:top w:w="0" w:type="dxa"/>
          <w:left w:w="108" w:type="dxa"/>
          <w:bottom w:w="0" w:type="dxa"/>
          <w:right w:w="108" w:type="dxa"/>
        </w:tblCellMar>
      </w:tblPr>
      <w:tblGrid>
        <w:gridCol w:w="2924"/>
        <w:gridCol w:w="2082"/>
      </w:tblGrid>
      <w:tr>
        <w:trPr/>
        <w:tc>
          <w:tcPr>
            <w:tcW w:w="2924" w:type="dxa"/>
            <w:tcBorders>
              <w:top w:val="single" w:sz="4" w:space="0" w:color="000000"/>
              <w:left w:val="single" w:sz="4" w:space="0" w:color="000000"/>
              <w:bottom w:val="single" w:sz="4" w:space="0" w:color="000000"/>
              <w:right w:val="single" w:sz="4" w:space="0" w:color="000000"/>
            </w:tcBorders>
            <w:shd w:fill="C0C0C0" w:val="clear"/>
          </w:tcPr>
          <w:p>
            <w:pPr>
              <w:pStyle w:val="TAL"/>
              <w:rPr>
                <w:bCs/>
              </w:rPr>
            </w:pPr>
            <w:r>
              <w:rPr>
                <w:bCs/>
              </w:rPr>
              <w:t>Application force [N]</w:t>
            </w:r>
          </w:p>
        </w:tc>
        <w:tc>
          <w:tcPr>
            <w:tcW w:w="2082" w:type="dxa"/>
            <w:tcBorders>
              <w:top w:val="single" w:sz="4" w:space="0" w:color="000000"/>
              <w:left w:val="single" w:sz="4" w:space="0" w:color="000000"/>
              <w:bottom w:val="single" w:sz="4" w:space="0" w:color="000000"/>
              <w:right w:val="single" w:sz="4" w:space="0" w:color="000000"/>
            </w:tcBorders>
            <w:shd w:fill="C0C0C0" w:val="clear"/>
          </w:tcPr>
          <w:p>
            <w:pPr>
              <w:pStyle w:val="TAL"/>
              <w:snapToGrid w:val="false"/>
              <w:rPr>
                <w:bCs/>
              </w:rPr>
            </w:pPr>
            <w:r>
              <w:rPr>
                <w:bCs/>
              </w:rPr>
            </w:r>
          </w:p>
        </w:tc>
      </w:tr>
    </w:tbl>
    <w:p>
      <w:pPr>
        <w:pStyle w:val="Normal"/>
        <w:rPr/>
      </w:pPr>
      <w:r>
        <w:rPr/>
      </w:r>
    </w:p>
    <w:p>
      <w:pPr>
        <w:pStyle w:val="Normal"/>
        <w:rPr/>
      </w:pPr>
      <w:r>
        <w:rPr/>
        <w:t>See ITU-T P.64 for details on standard angle.</w:t>
      </w:r>
    </w:p>
    <w:p>
      <w:pPr>
        <w:pStyle w:val="Heading2"/>
        <w:rPr/>
      </w:pPr>
      <w:bookmarkStart w:id="22" w:name="__RefHeading___Toc19266947"/>
      <w:bookmarkEnd w:id="22"/>
      <w:r>
        <w:rPr/>
        <w:t>4.2</w:t>
        <w:tab/>
        <w:t>Reports on user studies with UEs featuring Non-traditional earpieces and suitability of existing test equipment</w:t>
      </w:r>
    </w:p>
    <w:p>
      <w:pPr>
        <w:pStyle w:val="Heading3"/>
        <w:rPr/>
      </w:pPr>
      <w:bookmarkStart w:id="23" w:name="__RefHeading___Toc19266948"/>
      <w:bookmarkEnd w:id="23"/>
      <w:r>
        <w:rPr/>
        <w:t>4.2.1</w:t>
        <w:tab/>
        <w:t>On the suitability of HATS for HaNTE measurements</w:t>
      </w:r>
    </w:p>
    <w:p>
      <w:pPr>
        <w:pStyle w:val="Heading4"/>
        <w:ind w:left="1418" w:hanging="1418"/>
        <w:rPr/>
      </w:pPr>
      <w:bookmarkStart w:id="24" w:name="__RefHeading___Toc19266949"/>
      <w:bookmarkEnd w:id="24"/>
      <w:r>
        <w:rPr/>
        <w:t>4.2.1.1</w:t>
        <w:tab/>
        <w:t>Introduction</w:t>
      </w:r>
    </w:p>
    <w:p>
      <w:pPr>
        <w:pStyle w:val="Normal"/>
        <w:keepNext w:val="true"/>
        <w:keepLines/>
        <w:rPr/>
      </w:pPr>
      <w:r>
        <w:rPr/>
        <w:t>3GPP UE's Receive Frequency Response (RFR) and Receive Loudness Rating (RLR) are measured with Head and Torso Simulators (HATS). With traditional earpiece designs, the perceived loudness comes from acoustic radiation into the ear canal. With non-traditional earpieces, such as vibrating displays, sound may be transmitted to the user by other mechanisms (e.g. tissue conduction). Because HATS primarily measure acoustic radiation through the ear canal, one question is whether HATS is suitable for measurement of handsets featuring non-traditional earpieces.</w:t>
      </w:r>
    </w:p>
    <w:p>
      <w:pPr>
        <w:pStyle w:val="Normal"/>
        <w:rPr/>
      </w:pPr>
      <w:r>
        <w:rPr/>
        <w:t>To compare objective and subjective assessments of loudness on devices featuring a traditional and non-traditional earpiece (vibrating display), an experimental methodology was developed by the source.</w:t>
      </w:r>
    </w:p>
    <w:p>
      <w:pPr>
        <w:pStyle w:val="Heading4"/>
        <w:ind w:left="1418" w:hanging="1418"/>
        <w:rPr/>
      </w:pPr>
      <w:bookmarkStart w:id="25" w:name="__RefHeading___Toc19266950"/>
      <w:bookmarkEnd w:id="25"/>
      <w:r>
        <w:rPr/>
        <w:t>4.2.1.2</w:t>
        <w:tab/>
        <w:t>Description of experimental apparatus</w:t>
      </w:r>
    </w:p>
    <w:p>
      <w:pPr>
        <w:pStyle w:val="Heading5"/>
        <w:ind w:left="1701" w:hanging="1701"/>
        <w:rPr/>
      </w:pPr>
      <w:bookmarkStart w:id="26" w:name="__RefHeading___Toc19266951"/>
      <w:bookmarkEnd w:id="26"/>
      <w:r>
        <w:rPr/>
        <w:t>4.2.1.2.1</w:t>
        <w:tab/>
        <w:t>Traditional and Non-Traditional Earpiece prototypes</w:t>
      </w:r>
    </w:p>
    <w:p>
      <w:pPr>
        <w:pStyle w:val="Normal"/>
        <w:rPr/>
      </w:pPr>
      <w:r>
        <w:rPr/>
        <w:t>Two handset prototypes were developed for this experiment. Prototype 1 incorporates a 27ohm 15x6 mm earpiece (traditional earpiece) radiating sound through an acoustic port on the display, and Prototype 2 incorporates an 8ohm 15x6mm actuator directly attached to the prototype display. Apart from this difference, both prototypes are identical. See Figure 4-3. Improved prototype acoustic sealing was achieved through an added layer of material at the bottom of the prototype screen and putty for screen fastening.</w:t>
      </w:r>
    </w:p>
    <w:p>
      <w:pPr>
        <w:pStyle w:val="TH"/>
        <w:rPr/>
      </w:pPr>
      <w:r>
        <w:rPr/>
        <w:drawing>
          <wp:inline distT="0" distB="0" distL="0" distR="0">
            <wp:extent cx="3598545" cy="2177415"/>
            <wp:effectExtent l="0" t="0" r="0" b="0"/>
            <wp:docPr id="16"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
                    <pic:cNvPicPr>
                      <a:picLocks noChangeAspect="1" noChangeArrowheads="1"/>
                    </pic:cNvPicPr>
                  </pic:nvPicPr>
                  <pic:blipFill>
                    <a:blip r:embed="rId8"/>
                    <a:srcRect l="-10" t="-17" r="-10" b="-17"/>
                    <a:stretch>
                      <a:fillRect/>
                    </a:stretch>
                  </pic:blipFill>
                  <pic:spPr bwMode="auto">
                    <a:xfrm>
                      <a:off x="0" y="0"/>
                      <a:ext cx="3598545" cy="2177415"/>
                    </a:xfrm>
                    <a:prstGeom prst="rect">
                      <a:avLst/>
                    </a:prstGeom>
                  </pic:spPr>
                </pic:pic>
              </a:graphicData>
            </a:graphic>
          </wp:inline>
        </w:drawing>
      </w:r>
    </w:p>
    <w:p>
      <w:pPr>
        <w:pStyle w:val="TF"/>
        <w:rPr/>
      </w:pPr>
      <w:r>
        <w:rPr/>
        <w:t>Figure 4-3: Prototypes produced (one with traditional earpiece, other with vibrating display)</w:t>
      </w:r>
    </w:p>
    <w:p>
      <w:pPr>
        <w:pStyle w:val="Normal"/>
        <w:rPr/>
      </w:pPr>
      <w:r>
        <w:rPr/>
        <w:t>Handsets were positioned on two HATS models for objective frequency response measurement. In both cases, the prototypes were positioned according to ITU-T Rec. P.64 (A = 21.2</w:t>
      </w:r>
      <w:r>
        <w:rPr>
          <w:rFonts w:cs="Arial"/>
        </w:rPr>
        <w:t>°</w:t>
      </w:r>
      <w:r>
        <w:rPr/>
        <w:t>, B = 12.9</w:t>
      </w:r>
      <w:r>
        <w:rPr>
          <w:rFonts w:cs="Arial"/>
        </w:rPr>
        <w:t>°</w:t>
      </w:r>
      <w:r>
        <w:rPr/>
        <w:t>, C = 2.3</w:t>
      </w:r>
      <w:r>
        <w:rPr>
          <w:rFonts w:cs="Arial"/>
        </w:rPr>
        <w:t xml:space="preserve">°) [4]. HATS 1 was a Bruel &amp; Kjaer Type 5128 with </w:t>
      </w:r>
      <w:r>
        <w:rPr/>
        <w:t>Type 4606 Handset Positioner and Centering Fork UA-1537. HATS 2 was a Head Acoustics HMS II.3 artificial head with HHP III handset positions system. In both cases, the prototypes were mounted with End-Stop adjustment set to 17mm (MECRP defined as y</w:t>
      </w:r>
      <w:r>
        <w:rPr>
          <w:vertAlign w:val="subscript"/>
        </w:rPr>
        <w:t>e</w:t>
      </w:r>
      <w:r>
        <w:rPr/>
        <w:t xml:space="preserve"> = 17mm, y</w:t>
      </w:r>
      <w:r>
        <w:rPr>
          <w:vertAlign w:val="subscript"/>
        </w:rPr>
        <w:t>z</w:t>
      </w:r>
      <w:r>
        <w:rPr/>
        <w:t xml:space="preserve"> = 0mm). See Figure 4-4.</w:t>
      </w:r>
    </w:p>
    <w:p>
      <w:pPr>
        <w:pStyle w:val="TH"/>
        <w:rPr/>
      </w:pPr>
      <w:r>
        <w:rPr/>
        <w:tab/>
      </w:r>
      <w:r>
        <w:rPr/>
        <w:drawing>
          <wp:inline distT="0" distB="0" distL="0" distR="0">
            <wp:extent cx="3598545" cy="2376805"/>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9"/>
                    <a:srcRect l="-12" t="-18" r="-12" b="-18"/>
                    <a:stretch>
                      <a:fillRect/>
                    </a:stretch>
                  </pic:blipFill>
                  <pic:spPr bwMode="auto">
                    <a:xfrm>
                      <a:off x="0" y="0"/>
                      <a:ext cx="3598545" cy="2376805"/>
                    </a:xfrm>
                    <a:prstGeom prst="rect">
                      <a:avLst/>
                    </a:prstGeom>
                  </pic:spPr>
                </pic:pic>
              </a:graphicData>
            </a:graphic>
          </wp:inline>
        </w:drawing>
      </w:r>
    </w:p>
    <w:p>
      <w:pPr>
        <w:pStyle w:val="TF"/>
        <w:rPr/>
      </w:pPr>
      <w:r>
        <w:rPr/>
        <w:t>Figure 4-4: Handset positioned on HATS 1 and HATS 2</w:t>
      </w:r>
    </w:p>
    <w:p>
      <w:pPr>
        <w:pStyle w:val="NO"/>
        <w:rPr/>
      </w:pPr>
      <w:r>
        <w:rPr/>
        <w:t>NOTE:</w:t>
        <w:tab/>
        <w:t>The Bruel &amp; Kjaer Type 5128 HATS does not comply with the current ITU-T Recommendations P.58 [3] and P.64 [4].</w:t>
      </w:r>
    </w:p>
    <w:p>
      <w:pPr>
        <w:pStyle w:val="Heading5"/>
        <w:ind w:left="1701" w:hanging="1701"/>
        <w:rPr/>
      </w:pPr>
      <w:bookmarkStart w:id="27" w:name="__RefHeading___Toc19266952"/>
      <w:bookmarkEnd w:id="27"/>
      <w:r>
        <w:rPr/>
        <w:t>4.2.1.2.2</w:t>
        <w:tab/>
        <w:t>Playback System</w:t>
      </w:r>
    </w:p>
    <w:p>
      <w:pPr>
        <w:pStyle w:val="Normal"/>
        <w:rPr/>
      </w:pPr>
      <w:r>
        <w:rPr/>
        <w:t>To drive Prototype 1 and Prototype 2, a personal computer (PC) was connected to an RME MADIface Pro USB digital audio interface. Prototype 1 was directly driven by the MADIface headphone output (Analog 3). Prototype 2 was driven by a Bruel &amp; Kjaer Type 2716C amplifier with +12dB of gain which was in turn connected to the MADIface Analog 1 output.</w:t>
      </w:r>
    </w:p>
    <w:p>
      <w:pPr>
        <w:pStyle w:val="Normal"/>
        <w:rPr/>
      </w:pPr>
      <w:r>
        <w:rPr/>
        <w:t>For wideband objective measurements in clause 4.2.1.3.1 and band-passed level adjustment in clause 4.2.1.3.2, Adobe Audition was used for digital audio playback. For level adjusted measurements in clause 4.2.1.3.2 and the subjective loudness matching in clause 4.2.1.3.3, Max/MSP was used for digital audio playback. A Griffin Technology PowerMate USB Volume Knob was used to allow control of the playback level during subjective loudness matching. See Figure 4-5 for the block diagram.</w:t>
      </w:r>
    </w:p>
    <w:p>
      <w:pPr>
        <w:pStyle w:val="TH"/>
        <w:rPr/>
      </w:pPr>
      <w:r>
        <w:rPr/>
        <w:drawing>
          <wp:inline distT="0" distB="0" distL="0" distR="0">
            <wp:extent cx="4353560" cy="1582420"/>
            <wp:effectExtent l="0" t="0" r="0" b="0"/>
            <wp:docPr id="18"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
                    <pic:cNvPicPr>
                      <a:picLocks noChangeAspect="1" noChangeArrowheads="1"/>
                    </pic:cNvPicPr>
                  </pic:nvPicPr>
                  <pic:blipFill>
                    <a:blip r:embed="rId10"/>
                    <a:srcRect l="-5" t="-13" r="-5" b="-13"/>
                    <a:stretch>
                      <a:fillRect/>
                    </a:stretch>
                  </pic:blipFill>
                  <pic:spPr bwMode="auto">
                    <a:xfrm>
                      <a:off x="0" y="0"/>
                      <a:ext cx="4353560" cy="1582420"/>
                    </a:xfrm>
                    <a:prstGeom prst="rect">
                      <a:avLst/>
                    </a:prstGeom>
                  </pic:spPr>
                </pic:pic>
              </a:graphicData>
            </a:graphic>
          </wp:inline>
        </w:drawing>
      </w:r>
    </w:p>
    <w:p>
      <w:pPr>
        <w:pStyle w:val="TF"/>
        <w:rPr/>
      </w:pPr>
      <w:r>
        <w:rPr/>
        <w:t>Figure 4-5: Block diagram of test apparatus for the experiment</w:t>
      </w:r>
    </w:p>
    <w:p>
      <w:pPr>
        <w:pStyle w:val="Heading4"/>
        <w:ind w:left="1418" w:hanging="1418"/>
        <w:rPr/>
      </w:pPr>
      <w:bookmarkStart w:id="28" w:name="__RefHeading___Toc19266953"/>
      <w:bookmarkEnd w:id="28"/>
      <w:r>
        <w:rPr/>
        <w:t>4.2.1.3</w:t>
        <w:tab/>
        <w:t>Description of experimental procedure</w:t>
      </w:r>
    </w:p>
    <w:p>
      <w:pPr>
        <w:pStyle w:val="Heading5"/>
        <w:ind w:left="1701" w:hanging="1701"/>
        <w:rPr/>
      </w:pPr>
      <w:bookmarkStart w:id="29" w:name="__RefHeading___Toc19266954"/>
      <w:bookmarkEnd w:id="29"/>
      <w:r>
        <w:rPr/>
        <w:t>4.2.1.3.1</w:t>
        <w:tab/>
        <w:t>Wideband objective measurements on HATS</w:t>
      </w:r>
    </w:p>
    <w:p>
      <w:pPr>
        <w:pStyle w:val="Normal"/>
        <w:rPr/>
      </w:pPr>
      <w:r>
        <w:rPr/>
        <w:t>The wideband pink noise responses of Prototypes 1 and 2 were objectively measured on HATS 1 and 2, using the handset positioner settings described in clause 4.2.1.2.1. The force was adjusted to 2N, 8N, 13N to span a range of mounting conditions. The measurements were accomplished by playing -18dBFS pink noise through the playback system described in clause 4.2.1.2.2 (using Adobe Audition for digital audio playback). The system playback gain was adjusted such that the acoustic sound pressure level was 79dBSPL at the Ear Reference Position (ERP) for Prototype 1 (traditional earpiece) mounted on HATS 1 (Bruel &amp; Kjaer Type 5128) with a force of 8N. The same system gain was then used for Prototype 2 (non-traditional earpiece), HATS 2 (Head Acoustics HMS II.3), and all other mounting forces (2N and 13N). Figures 4-6a and 4-6b show the ERP level measurements in 3</w:t>
      </w:r>
      <w:r>
        <w:rPr>
          <w:vertAlign w:val="superscript"/>
        </w:rPr>
        <w:t>rd</w:t>
      </w:r>
      <w:r>
        <w:rPr/>
        <w:t xml:space="preserve"> octave bands for all Prototype, HATS, and force conditions.</w:t>
      </w:r>
    </w:p>
    <w:p>
      <w:pPr>
        <w:pStyle w:val="TH"/>
        <w:rPr/>
      </w:pPr>
      <w:r>
        <w:rPr/>
        <w:drawing>
          <wp:inline distT="0" distB="0" distL="0" distR="0">
            <wp:extent cx="6125210" cy="2922270"/>
            <wp:effectExtent l="0" t="0" r="0" b="0"/>
            <wp:docPr id="19"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5" descr=""/>
                    <pic:cNvPicPr>
                      <a:picLocks noChangeAspect="1" noChangeArrowheads="1"/>
                    </pic:cNvPicPr>
                  </pic:nvPicPr>
                  <pic:blipFill>
                    <a:blip r:embed="rId11"/>
                    <a:srcRect l="-2" t="-4" r="-2" b="-4"/>
                    <a:stretch>
                      <a:fillRect/>
                    </a:stretch>
                  </pic:blipFill>
                  <pic:spPr bwMode="auto">
                    <a:xfrm>
                      <a:off x="0" y="0"/>
                      <a:ext cx="6125210" cy="2922270"/>
                    </a:xfrm>
                    <a:prstGeom prst="rect">
                      <a:avLst/>
                    </a:prstGeom>
                  </pic:spPr>
                </pic:pic>
              </a:graphicData>
            </a:graphic>
          </wp:inline>
        </w:drawing>
      </w:r>
    </w:p>
    <w:p>
      <w:pPr>
        <w:pStyle w:val="TF"/>
        <w:rPr/>
      </w:pPr>
      <w:r>
        <w:rPr/>
        <w:t>Figure 4-6a: Earpiece level (Prototype 1) and Actuator level (Prototype 2) level on HATS 1</w:t>
      </w:r>
    </w:p>
    <w:p>
      <w:pPr>
        <w:pStyle w:val="TH"/>
        <w:rPr/>
      </w:pPr>
      <w:r>
        <w:rPr/>
        <w:drawing>
          <wp:inline distT="0" distB="0" distL="0" distR="0">
            <wp:extent cx="6125210" cy="2922270"/>
            <wp:effectExtent l="0" t="0" r="0" b="0"/>
            <wp:docPr id="20"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6" descr=""/>
                    <pic:cNvPicPr>
                      <a:picLocks noChangeAspect="1" noChangeArrowheads="1"/>
                    </pic:cNvPicPr>
                  </pic:nvPicPr>
                  <pic:blipFill>
                    <a:blip r:embed="rId12"/>
                    <a:srcRect l="-2" t="-4" r="-2" b="-4"/>
                    <a:stretch>
                      <a:fillRect/>
                    </a:stretch>
                  </pic:blipFill>
                  <pic:spPr bwMode="auto">
                    <a:xfrm>
                      <a:off x="0" y="0"/>
                      <a:ext cx="6125210" cy="2922270"/>
                    </a:xfrm>
                    <a:prstGeom prst="rect">
                      <a:avLst/>
                    </a:prstGeom>
                  </pic:spPr>
                </pic:pic>
              </a:graphicData>
            </a:graphic>
          </wp:inline>
        </w:drawing>
      </w:r>
    </w:p>
    <w:p>
      <w:pPr>
        <w:pStyle w:val="TF"/>
        <w:rPr/>
      </w:pPr>
      <w:r>
        <w:rPr/>
        <w:t>Figure 4-6b: Earpiece level (Prototype 1) and Actuator level (Prototype 2) level on HATS 2</w:t>
      </w:r>
    </w:p>
    <w:p>
      <w:pPr>
        <w:pStyle w:val="Normal"/>
        <w:rPr/>
      </w:pPr>
      <w:r>
        <w:rPr/>
        <w:t>Attenuation at low frequencies (below 1.6kHz for HATS 1 and below 2kHz for HATS 2) is seen for both HATS and both prototypes as the application force is decreased from 13N to 2N. Table 4-4 presents the mean attenuation (200Hz-1.6kHz) between 13N and 2N of application force for all conditions. For both HATS, Prototype 1 demonstrates more low frequency leakage than Prototype 2 (~3dB). Furthermore, HATS 2 demonstrates more low frequency loss than HATS 1 independent of prototype (~4dB).</w:t>
      </w:r>
    </w:p>
    <w:p>
      <w:pPr>
        <w:pStyle w:val="TH"/>
        <w:rPr/>
      </w:pPr>
      <w:r>
        <w:rPr/>
        <w:t>Table 4-4: Mean attenuation (200Hz-1.6kHz) with varying application force</w:t>
      </w:r>
    </w:p>
    <w:tbl>
      <w:tblPr>
        <w:tblW w:w="7792" w:type="dxa"/>
        <w:jc w:val="center"/>
        <w:tblInd w:w="0" w:type="dxa"/>
        <w:tblLayout w:type="fixed"/>
        <w:tblCellMar>
          <w:top w:w="0" w:type="dxa"/>
          <w:left w:w="108" w:type="dxa"/>
          <w:bottom w:w="0" w:type="dxa"/>
          <w:right w:w="108" w:type="dxa"/>
        </w:tblCellMar>
      </w:tblPr>
      <w:tblGrid>
        <w:gridCol w:w="1696"/>
        <w:gridCol w:w="2835"/>
        <w:gridCol w:w="3261"/>
      </w:tblGrid>
      <w:tr>
        <w:trPr/>
        <w:tc>
          <w:tcPr>
            <w:tcW w:w="1696" w:type="dxa"/>
            <w:tcBorders>
              <w:top w:val="single" w:sz="4" w:space="0" w:color="000000"/>
              <w:left w:val="single" w:sz="4" w:space="0" w:color="000000"/>
              <w:bottom w:val="single" w:sz="4" w:space="0" w:color="000000"/>
              <w:right w:val="single" w:sz="4" w:space="0" w:color="000000"/>
            </w:tcBorders>
          </w:tcPr>
          <w:p>
            <w:pPr>
              <w:pStyle w:val="TAH"/>
              <w:rPr/>
            </w:pPr>
            <w:r>
              <w:rPr/>
              <w:t>HATS</w:t>
            </w:r>
          </w:p>
        </w:tc>
        <w:tc>
          <w:tcPr>
            <w:tcW w:w="2835" w:type="dxa"/>
            <w:tcBorders>
              <w:top w:val="single" w:sz="4" w:space="0" w:color="000000"/>
              <w:left w:val="single" w:sz="4" w:space="0" w:color="000000"/>
              <w:bottom w:val="single" w:sz="4" w:space="0" w:color="000000"/>
              <w:right w:val="single" w:sz="4" w:space="0" w:color="000000"/>
            </w:tcBorders>
          </w:tcPr>
          <w:p>
            <w:pPr>
              <w:pStyle w:val="TAH"/>
              <w:rPr/>
            </w:pPr>
            <w:r>
              <w:rPr/>
              <w:t>Prototype</w:t>
            </w:r>
          </w:p>
        </w:tc>
        <w:tc>
          <w:tcPr>
            <w:tcW w:w="3261" w:type="dxa"/>
            <w:tcBorders>
              <w:top w:val="single" w:sz="4" w:space="0" w:color="000000"/>
              <w:left w:val="single" w:sz="4" w:space="0" w:color="000000"/>
              <w:bottom w:val="single" w:sz="4" w:space="0" w:color="000000"/>
              <w:right w:val="single" w:sz="4" w:space="0" w:color="000000"/>
            </w:tcBorders>
          </w:tcPr>
          <w:p>
            <w:pPr>
              <w:pStyle w:val="TAH"/>
              <w:rPr/>
            </w:pPr>
            <w:r>
              <w:rPr/>
              <w:t>Mean 13N to 2N Attenuation</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C"/>
              <w:rPr/>
            </w:pPr>
            <w:r>
              <w:rPr/>
              <w:t>HATS 1</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Earpiece (Prototype 1)</w:t>
            </w:r>
          </w:p>
        </w:tc>
        <w:tc>
          <w:tcPr>
            <w:tcW w:w="3261" w:type="dxa"/>
            <w:tcBorders>
              <w:top w:val="single" w:sz="4" w:space="0" w:color="000000"/>
              <w:left w:val="single" w:sz="4" w:space="0" w:color="000000"/>
              <w:bottom w:val="single" w:sz="4" w:space="0" w:color="000000"/>
              <w:right w:val="single" w:sz="4" w:space="0" w:color="000000"/>
            </w:tcBorders>
          </w:tcPr>
          <w:p>
            <w:pPr>
              <w:pStyle w:val="TAC"/>
              <w:rPr/>
            </w:pPr>
            <w:r>
              <w:rPr/>
              <w:t>-10.57dB</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C"/>
              <w:rPr/>
            </w:pPr>
            <w:r>
              <w:rPr/>
              <w:t>HATS 1</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Actuator (Prototype 2)</w:t>
            </w:r>
          </w:p>
        </w:tc>
        <w:tc>
          <w:tcPr>
            <w:tcW w:w="3261" w:type="dxa"/>
            <w:tcBorders>
              <w:top w:val="single" w:sz="4" w:space="0" w:color="000000"/>
              <w:left w:val="single" w:sz="4" w:space="0" w:color="000000"/>
              <w:bottom w:val="single" w:sz="4" w:space="0" w:color="000000"/>
              <w:right w:val="single" w:sz="4" w:space="0" w:color="000000"/>
            </w:tcBorders>
          </w:tcPr>
          <w:p>
            <w:pPr>
              <w:pStyle w:val="TAC"/>
              <w:rPr/>
            </w:pPr>
            <w:r>
              <w:rPr/>
              <w:t>-8.11dB</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C"/>
              <w:rPr/>
            </w:pPr>
            <w:r>
              <w:rPr/>
              <w:t>HATS 2</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Earpiece (Prototype 1)</w:t>
            </w:r>
          </w:p>
        </w:tc>
        <w:tc>
          <w:tcPr>
            <w:tcW w:w="3261" w:type="dxa"/>
            <w:tcBorders>
              <w:top w:val="single" w:sz="4" w:space="0" w:color="000000"/>
              <w:left w:val="single" w:sz="4" w:space="0" w:color="000000"/>
              <w:bottom w:val="single" w:sz="4" w:space="0" w:color="000000"/>
              <w:right w:val="single" w:sz="4" w:space="0" w:color="000000"/>
            </w:tcBorders>
          </w:tcPr>
          <w:p>
            <w:pPr>
              <w:pStyle w:val="TAC"/>
              <w:rPr/>
            </w:pPr>
            <w:r>
              <w:rPr/>
              <w:t>-15.48dB</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C"/>
              <w:rPr/>
            </w:pPr>
            <w:r>
              <w:rPr/>
              <w:t>HATS 2</w:t>
            </w:r>
          </w:p>
        </w:tc>
        <w:tc>
          <w:tcPr>
            <w:tcW w:w="2835" w:type="dxa"/>
            <w:tcBorders>
              <w:top w:val="single" w:sz="4" w:space="0" w:color="000000"/>
              <w:left w:val="single" w:sz="4" w:space="0" w:color="000000"/>
              <w:bottom w:val="single" w:sz="4" w:space="0" w:color="000000"/>
              <w:right w:val="single" w:sz="4" w:space="0" w:color="000000"/>
            </w:tcBorders>
          </w:tcPr>
          <w:p>
            <w:pPr>
              <w:pStyle w:val="TAC"/>
              <w:rPr/>
            </w:pPr>
            <w:r>
              <w:rPr/>
              <w:t>Actuator (Prototype 2)</w:t>
            </w:r>
          </w:p>
        </w:tc>
        <w:tc>
          <w:tcPr>
            <w:tcW w:w="3261" w:type="dxa"/>
            <w:tcBorders>
              <w:top w:val="single" w:sz="4" w:space="0" w:color="000000"/>
              <w:left w:val="single" w:sz="4" w:space="0" w:color="000000"/>
              <w:bottom w:val="single" w:sz="4" w:space="0" w:color="000000"/>
              <w:right w:val="single" w:sz="4" w:space="0" w:color="000000"/>
            </w:tcBorders>
          </w:tcPr>
          <w:p>
            <w:pPr>
              <w:pStyle w:val="TAC"/>
              <w:rPr/>
            </w:pPr>
            <w:r>
              <w:rPr/>
              <w:t>-11.74dB</w:t>
            </w:r>
          </w:p>
        </w:tc>
      </w:tr>
    </w:tbl>
    <w:p>
      <w:pPr>
        <w:pStyle w:val="Normal"/>
        <w:rPr/>
      </w:pPr>
      <w:r>
        <w:rPr/>
      </w:r>
    </w:p>
    <w:p>
      <w:pPr>
        <w:pStyle w:val="Heading5"/>
        <w:ind w:left="1701" w:hanging="1701"/>
        <w:rPr/>
      </w:pPr>
      <w:bookmarkStart w:id="30" w:name="__RefHeading___Toc19266955"/>
      <w:bookmarkEnd w:id="30"/>
      <w:r>
        <w:rPr/>
        <w:t>4.2.1.3.2</w:t>
        <w:tab/>
        <w:t>Band-passed objective measurements on HATS</w:t>
      </w:r>
    </w:p>
    <w:p>
      <w:pPr>
        <w:pStyle w:val="Normal"/>
        <w:rPr/>
      </w:pPr>
      <w:r>
        <w:rPr/>
        <w:t>Band-passed pink noise level calibration was accomplished by playing 1/3</w:t>
      </w:r>
      <w:r>
        <w:rPr>
          <w:vertAlign w:val="superscript"/>
        </w:rPr>
        <w:t>rd</w:t>
      </w:r>
      <w:r>
        <w:rPr/>
        <w:t xml:space="preserve"> octave band-passed pink noise through the playback system described in clause 4.2.1.2.2 with Adobe Audition. The level of each noise band was adjusted to match roughly 79dBSPL at the Ear Reference Position (ERP) when Prototype 1 (traditional earpiece) was mounted with a force of 8N on HATS 1.</w:t>
      </w:r>
    </w:p>
    <w:p>
      <w:pPr>
        <w:pStyle w:val="Normal"/>
        <w:rPr/>
      </w:pPr>
      <w:r>
        <w:rPr/>
        <w:t>After calibration, band-passed pink noise responses were measured through Max/MSP with both prototypes on both HATS using the level calibrated band-passed pink noise as stimuli. Figure 4-7 shows the ERP level measurements in each 1/3</w:t>
      </w:r>
      <w:r>
        <w:rPr>
          <w:vertAlign w:val="superscript"/>
        </w:rPr>
        <w:t>rd</w:t>
      </w:r>
      <w:r>
        <w:rPr/>
        <w:t xml:space="preserve"> octave band for both prototypes on both HATS at 8N of force.</w:t>
      </w:r>
    </w:p>
    <w:p>
      <w:pPr>
        <w:pStyle w:val="TH"/>
        <w:rPr/>
      </w:pPr>
      <w:r>
        <w:rPr/>
        <w:drawing>
          <wp:inline distT="0" distB="0" distL="0" distR="0">
            <wp:extent cx="6125210" cy="2922270"/>
            <wp:effectExtent l="0" t="0" r="0" b="0"/>
            <wp:docPr id="21"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7" descr=""/>
                    <pic:cNvPicPr>
                      <a:picLocks noChangeAspect="1" noChangeArrowheads="1"/>
                    </pic:cNvPicPr>
                  </pic:nvPicPr>
                  <pic:blipFill>
                    <a:blip r:embed="rId13"/>
                    <a:srcRect l="-2" t="-4" r="-2" b="-4"/>
                    <a:stretch>
                      <a:fillRect/>
                    </a:stretch>
                  </pic:blipFill>
                  <pic:spPr bwMode="auto">
                    <a:xfrm>
                      <a:off x="0" y="0"/>
                      <a:ext cx="6125210" cy="2922270"/>
                    </a:xfrm>
                    <a:prstGeom prst="rect">
                      <a:avLst/>
                    </a:prstGeom>
                  </pic:spPr>
                </pic:pic>
              </a:graphicData>
            </a:graphic>
          </wp:inline>
        </w:drawing>
      </w:r>
    </w:p>
    <w:p>
      <w:pPr>
        <w:pStyle w:val="TF"/>
        <w:rPr>
          <w:bCs/>
        </w:rPr>
      </w:pPr>
      <w:r>
        <w:rPr/>
        <w:t>Figure 4-7: Band-passed Earpiece level (Prototype 1) and Actuator level (Prototype 2) on both HATS</w:t>
      </w:r>
    </w:p>
    <w:p>
      <w:pPr>
        <w:pStyle w:val="Normal"/>
        <w:rPr/>
      </w:pPr>
      <w:r>
        <w:rPr/>
        <w:t>Prototype 1 was successfully calibrated to +/-1dB around a nominal level of 77dBSPL for all bands from 200Hz to 12.5kHz on HATS 1. The -2dB difference between the target level of 79dBSPL and achieved nominal level of 77dBSPL may be due to a software switch between Audition and Max/MSP for digital audio playback.</w:t>
      </w:r>
    </w:p>
    <w:p>
      <w:pPr>
        <w:pStyle w:val="Normal"/>
        <w:rPr/>
      </w:pPr>
      <w:r>
        <w:rPr/>
        <w:t>The relative level between Prototype 1 and Prototype 2 for each 3</w:t>
      </w:r>
      <w:r>
        <w:rPr>
          <w:vertAlign w:val="superscript"/>
        </w:rPr>
        <w:t>rd</w:t>
      </w:r>
      <w:r>
        <w:rPr/>
        <w:t xml:space="preserve"> octave band is used as the objective transfer function in the following section. Figure 4-10 includes the transfer functions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1219200" cy="161925"/>
            <wp:effectExtent l="0" t="0" r="0" b="0"/>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14"/>
                    <a:srcRect l="-30" t="-223" r="-30" b="-223"/>
                    <a:stretch>
                      <a:fillRect/>
                    </a:stretch>
                  </pic:blipFill>
                  <pic:spPr bwMode="auto">
                    <a:xfrm>
                      <a:off x="0" y="0"/>
                      <a:ext cx="1219200" cy="161925"/>
                    </a:xfrm>
                    <a:prstGeom prst="rect">
                      <a:avLst/>
                    </a:prstGeom>
                  </pic:spPr>
                </pic:pic>
              </a:graphicData>
            </a:graphic>
          </wp:inline>
        </w:drawing>
      </w:r>
      <w:r>
        <w:rPr>
          <w:position w:val="-6"/>
        </w:rPr>
      </w:r>
      <w:r>
        <w:rPr>
          <w:position w:val="-6"/>
        </w:rPr>
        <w:fldChar w:fldCharType="end"/>
      </w:r>
      <w:r>
        <w:rPr/>
        <w:t xml:space="preserve">) computed for both HATS, where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419100" cy="161925"/>
            <wp:effectExtent l="0" t="0" r="0" b="0"/>
            <wp:docPr id="2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5" descr=""/>
                    <pic:cNvPicPr>
                      <a:picLocks noChangeAspect="1" noChangeArrowheads="1"/>
                    </pic:cNvPicPr>
                  </pic:nvPicPr>
                  <pic:blipFill>
                    <a:blip r:embed="rId15"/>
                    <a:srcRect l="-86" t="-223" r="-86" b="-223"/>
                    <a:stretch>
                      <a:fillRect/>
                    </a:stretch>
                  </pic:blipFill>
                  <pic:spPr bwMode="auto">
                    <a:xfrm>
                      <a:off x="0" y="0"/>
                      <a:ext cx="419100" cy="161925"/>
                    </a:xfrm>
                    <a:prstGeom prst="rect">
                      <a:avLst/>
                    </a:prstGeom>
                  </pic:spPr>
                </pic:pic>
              </a:graphicData>
            </a:graphic>
          </wp:inline>
        </w:drawing>
      </w:r>
      <w:r>
        <w:rPr>
          <w:position w:val="-6"/>
        </w:rPr>
      </w:r>
      <w:r>
        <w:rPr>
          <w:position w:val="-6"/>
        </w:rPr>
        <w:fldChar w:fldCharType="end"/>
      </w:r>
      <w:r>
        <w:rPr/>
        <w:t xml:space="preserve"> and </w:t>
      </w:r>
      <w:r>
        <w:fldChar w:fldCharType="begin"/>
      </w:r>
      <w:r>
        <w:rPr>
          <w:position w:val="-6"/>
        </w:rPr>
        <w:instrText xml:space="preserve"> QUOTE _x0001_ </w:instrText>
      </w:r>
      <w:r>
        <w:rPr>
          <w:position w:val="-6"/>
        </w:rPr>
      </w:r>
      <w:r>
        <w:rPr>
          <w:position w:val="-6"/>
        </w:rPr>
        <w:fldChar w:fldCharType="separate"/>
      </w:r>
      <w:r>
        <w:rPr>
          <w:position w:val="-6"/>
        </w:rPr>
      </w:r>
      <w:r>
        <w:rPr>
          <w:position w:val="-6"/>
        </w:rPr>
        <w:drawing>
          <wp:inline distT="0" distB="0" distL="0" distR="0">
            <wp:extent cx="390525" cy="161925"/>
            <wp:effectExtent l="0" t="0" r="0" b="0"/>
            <wp:docPr id="2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 descr=""/>
                    <pic:cNvPicPr>
                      <a:picLocks noChangeAspect="1" noChangeArrowheads="1"/>
                    </pic:cNvPicPr>
                  </pic:nvPicPr>
                  <pic:blipFill>
                    <a:blip r:embed="rId16"/>
                    <a:srcRect l="-92" t="-223" r="-92" b="-223"/>
                    <a:stretch>
                      <a:fillRect/>
                    </a:stretch>
                  </pic:blipFill>
                  <pic:spPr bwMode="auto">
                    <a:xfrm>
                      <a:off x="0" y="0"/>
                      <a:ext cx="390525" cy="161925"/>
                    </a:xfrm>
                    <a:prstGeom prst="rect">
                      <a:avLst/>
                    </a:prstGeom>
                  </pic:spPr>
                </pic:pic>
              </a:graphicData>
            </a:graphic>
          </wp:inline>
        </w:drawing>
      </w:r>
      <w:r>
        <w:rPr>
          <w:position w:val="-6"/>
        </w:rPr>
      </w:r>
      <w:r>
        <w:rPr>
          <w:position w:val="-6"/>
        </w:rPr>
        <w:fldChar w:fldCharType="end"/>
      </w:r>
      <w:r>
        <w:rPr/>
        <w:t xml:space="preserve"> are the 3</w:t>
      </w:r>
      <w:r>
        <w:rPr>
          <w:vertAlign w:val="superscript"/>
        </w:rPr>
        <w:t>rd</w:t>
      </w:r>
      <w:r>
        <w:rPr/>
        <w:t xml:space="preserve"> octave band responses of Prototype 1 and 2, respectively.</w:t>
      </w:r>
    </w:p>
    <w:p>
      <w:pPr>
        <w:pStyle w:val="Heading5"/>
        <w:ind w:left="1701" w:hanging="1701"/>
        <w:rPr/>
      </w:pPr>
      <w:bookmarkStart w:id="31" w:name="__RefHeading___Toc19266956"/>
      <w:bookmarkEnd w:id="31"/>
      <w:r>
        <w:rPr/>
        <w:t>4.2.1.3.3</w:t>
        <w:tab/>
        <w:t>Subjective loudness matching</w:t>
      </w:r>
    </w:p>
    <w:p>
      <w:pPr>
        <w:pStyle w:val="Normal"/>
        <w:rPr/>
      </w:pPr>
      <w:r>
        <w:rPr/>
        <w:t>For the subjective loudness matching, eight participants were tasked with comparing the perceived loudness of Prototypes 1 and 2 for each level adjusted, band-passed pink noise stimulus. Participants were asked to hold both handsets in a comfortable position. The test administrator ensured consistent positioning throughout the test. Figure 4-8 demonstrates a standard positioning for one subject.</w:t>
      </w:r>
    </w:p>
    <w:p>
      <w:pPr>
        <w:pStyle w:val="TH"/>
        <w:rPr/>
      </w:pPr>
      <w:r>
        <w:rPr/>
        <w:drawing>
          <wp:inline distT="0" distB="0" distL="0" distR="0">
            <wp:extent cx="3598545" cy="2121535"/>
            <wp:effectExtent l="0" t="0" r="0" b="0"/>
            <wp:docPr id="2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
                    <pic:cNvPicPr>
                      <a:picLocks noChangeAspect="1" noChangeArrowheads="1"/>
                    </pic:cNvPicPr>
                  </pic:nvPicPr>
                  <pic:blipFill>
                    <a:blip r:embed="rId17"/>
                    <a:srcRect l="-10" t="-17" r="-10" b="-17"/>
                    <a:stretch>
                      <a:fillRect/>
                    </a:stretch>
                  </pic:blipFill>
                  <pic:spPr bwMode="auto">
                    <a:xfrm>
                      <a:off x="0" y="0"/>
                      <a:ext cx="3598545" cy="2121535"/>
                    </a:xfrm>
                    <a:prstGeom prst="rect">
                      <a:avLst/>
                    </a:prstGeom>
                  </pic:spPr>
                </pic:pic>
              </a:graphicData>
            </a:graphic>
          </wp:inline>
        </w:drawing>
      </w:r>
    </w:p>
    <w:p>
      <w:pPr>
        <w:pStyle w:val="TF"/>
        <w:rPr/>
      </w:pPr>
      <w:r>
        <w:rPr/>
        <w:t>Figure 4-8: Indicative handset positioning during loudness matching</w:t>
      </w:r>
    </w:p>
    <w:p>
      <w:pPr>
        <w:pStyle w:val="Normal"/>
        <w:rPr/>
      </w:pPr>
      <w:r>
        <w:rPr/>
        <w:t>Each participant completed two sessions. In each session, nineteen 3</w:t>
      </w:r>
      <w:r>
        <w:rPr>
          <w:vertAlign w:val="superscript"/>
        </w:rPr>
        <w:t>rd</w:t>
      </w:r>
      <w:r>
        <w:rPr/>
        <w:t xml:space="preserve"> octave bands (200Hz-12.5kHz) were assessed. Between each session the side where Prototype 2 was held (left or right) was reversed. In each trial, participants were asked to adjust the level of Prototype 2 to match the perceived loudness of Prototype 1 using the Griffin Technology PowerMate USB Volume Knob. The volume knob allowed adjustment in steps of 0.5dB and a range of -24dB to +24dB. The starting gain of Prototype 2 was randomly adjusted between -5dB and +5dB. The order of the frequencies presented was also randomized.</w:t>
      </w:r>
    </w:p>
    <w:p>
      <w:pPr>
        <w:pStyle w:val="Normal"/>
        <w:rPr/>
      </w:pPr>
      <w:r>
        <w:rPr/>
        <w:t>An interface for the listening test was developed in Max/MSP and is shown in Figure 4-9. Playback switching between the two prototypes (left and right) was signalled by the subject (verbally or through gestures) and carried out by the test administrator. All tests were completed in an anechoic chamber.</w:t>
      </w:r>
    </w:p>
    <w:p>
      <w:pPr>
        <w:pStyle w:val="TH"/>
        <w:rPr/>
      </w:pPr>
      <w:r>
        <w:rPr/>
        <w:drawing>
          <wp:inline distT="0" distB="0" distL="0" distR="0">
            <wp:extent cx="2880360" cy="2384425"/>
            <wp:effectExtent l="0" t="0" r="0" b="0"/>
            <wp:docPr id="2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descr=""/>
                    <pic:cNvPicPr>
                      <a:picLocks noChangeAspect="1" noChangeArrowheads="1"/>
                    </pic:cNvPicPr>
                  </pic:nvPicPr>
                  <pic:blipFill>
                    <a:blip r:embed="rId18"/>
                    <a:srcRect l="-14" t="-17" r="-14" b="-17"/>
                    <a:stretch>
                      <a:fillRect/>
                    </a:stretch>
                  </pic:blipFill>
                  <pic:spPr bwMode="auto">
                    <a:xfrm>
                      <a:off x="0" y="0"/>
                      <a:ext cx="2880360" cy="2384425"/>
                    </a:xfrm>
                    <a:prstGeom prst="rect">
                      <a:avLst/>
                    </a:prstGeom>
                  </pic:spPr>
                </pic:pic>
              </a:graphicData>
            </a:graphic>
          </wp:inline>
        </w:drawing>
      </w:r>
    </w:p>
    <w:p>
      <w:pPr>
        <w:pStyle w:val="TF"/>
        <w:rPr/>
      </w:pPr>
      <w:r>
        <w:rPr/>
        <w:t>Figure 4-9: Graphical User Interface for listening test</w:t>
      </w:r>
    </w:p>
    <w:p>
      <w:pPr>
        <w:pStyle w:val="Heading4"/>
        <w:ind w:left="1418" w:hanging="1418"/>
        <w:rPr/>
      </w:pPr>
      <w:bookmarkStart w:id="32" w:name="__RefHeading___Toc19266957"/>
      <w:bookmarkEnd w:id="32"/>
      <w:r>
        <w:rPr/>
        <w:t>4.2.1.4</w:t>
        <w:tab/>
        <w:t>Loudness Matching Results</w:t>
      </w:r>
    </w:p>
    <w:p>
      <w:pPr>
        <w:pStyle w:val="Normal"/>
        <w:rPr/>
      </w:pPr>
      <w:r>
        <w:rPr/>
        <w:t>Figure 4-10 shows the results of the listening tests (i.e. the gain that will be applied to Prototype 2 to match Prototype 1) including mean and 95% confidence intervals, along with the equivalent objective measurement on both HATS at 8N. A full table of descriptive statistics can be found in Table A-1 of Annex A.</w:t>
      </w:r>
    </w:p>
    <w:p>
      <w:pPr>
        <w:pStyle w:val="TH"/>
        <w:rPr/>
      </w:pPr>
      <w:r>
        <w:rPr/>
        <w:drawing>
          <wp:inline distT="0" distB="0" distL="0" distR="0">
            <wp:extent cx="5203190" cy="2844800"/>
            <wp:effectExtent l="0" t="0" r="0" b="0"/>
            <wp:docPr id="27"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9" descr=""/>
                    <pic:cNvPicPr>
                      <a:picLocks noChangeAspect="1" noChangeArrowheads="1"/>
                    </pic:cNvPicPr>
                  </pic:nvPicPr>
                  <pic:blipFill>
                    <a:blip r:embed="rId19"/>
                    <a:srcRect l="-2" t="-4" r="-2" b="-4"/>
                    <a:stretch>
                      <a:fillRect/>
                    </a:stretch>
                  </pic:blipFill>
                  <pic:spPr bwMode="auto">
                    <a:xfrm>
                      <a:off x="0" y="0"/>
                      <a:ext cx="5203190" cy="2844800"/>
                    </a:xfrm>
                    <a:prstGeom prst="rect">
                      <a:avLst/>
                    </a:prstGeom>
                  </pic:spPr>
                </pic:pic>
              </a:graphicData>
            </a:graphic>
          </wp:inline>
        </w:drawing>
      </w:r>
    </w:p>
    <w:p>
      <w:pPr>
        <w:pStyle w:val="TF"/>
        <w:rPr/>
      </w:pPr>
      <w:r>
        <w:rPr/>
        <w:t>Figure 4-10: Results of subjective loudness matching and objective transfer functions from HATS</w:t>
      </w:r>
    </w:p>
    <w:p>
      <w:pPr>
        <w:pStyle w:val="Normal"/>
        <w:rPr/>
      </w:pPr>
      <w:r>
        <w:rPr/>
        <w:t>Generally strong agreement exists between the measured transfer function between earpiece and actuator prototypes on HATS and the mean subjective actuator level adjustment. There is a strong positive correlation between subjective level matching and the HATS 1 transfer function (</w:t>
      </w:r>
      <w:r>
        <w:rPr>
          <w:rFonts w:cs="Arial"/>
        </w:rPr>
        <w:t>ρ</w:t>
      </w:r>
      <w:r>
        <w:rPr/>
        <w:t>=0.775; p&lt;0.000) and a strong (although slightly lower) positive correlation between subjective level matching and the HATS 2 transfer function (</w:t>
      </w:r>
      <w:r>
        <w:rPr>
          <w:rFonts w:cs="Arial"/>
        </w:rPr>
        <w:t>ρ</w:t>
      </w:r>
      <w:r>
        <w:rPr/>
        <w:t>=0.656; p&lt;0.001). Table A-2 of Annex A provides more details on the correlation analysis.</w:t>
      </w:r>
    </w:p>
    <w:p>
      <w:pPr>
        <w:pStyle w:val="Normal"/>
        <w:rPr/>
      </w:pPr>
      <w:r>
        <w:rPr/>
        <w:t>Table A-3 of Annex A presents squared error (SE) per 3</w:t>
      </w:r>
      <w:r>
        <w:rPr>
          <w:vertAlign w:val="superscript"/>
        </w:rPr>
        <w:t>rd</w:t>
      </w:r>
      <w:r>
        <w:rPr/>
        <w:t xml:space="preserve"> octave band and wideband root mean squared error (RMSE) calculations comparing the subjective level matching and the two HATS generated transfer functions. The RMSE between subjective results and HATS 1 measurements (RMSE=1.79dB) is ~1dB lower than the RMSE between subjective results and HATS 2 measurements (RMSE=2.83dB). It is interesting to note that the RMSE is nearly identical for the two HATS below 8kHz. However, at and above 8kHz the HATS 2 RMSE is nearly 4dB higher than that of HATS 1. Table 4-5 presents RMSE data for these two frequency ranges.</w:t>
      </w:r>
    </w:p>
    <w:p>
      <w:pPr>
        <w:pStyle w:val="TH"/>
        <w:rPr/>
      </w:pPr>
      <w:r>
        <w:rPr/>
        <w:t>Table 4-5: RMSE by frequency range</w:t>
      </w:r>
    </w:p>
    <w:tbl>
      <w:tblPr>
        <w:tblW w:w="6516" w:type="dxa"/>
        <w:jc w:val="center"/>
        <w:tblInd w:w="0" w:type="dxa"/>
        <w:tblLayout w:type="fixed"/>
        <w:tblCellMar>
          <w:top w:w="0" w:type="dxa"/>
          <w:left w:w="108" w:type="dxa"/>
          <w:bottom w:w="0" w:type="dxa"/>
          <w:right w:w="108" w:type="dxa"/>
        </w:tblCellMar>
      </w:tblPr>
      <w:tblGrid>
        <w:gridCol w:w="1980"/>
        <w:gridCol w:w="2268"/>
        <w:gridCol w:w="2268"/>
      </w:tblGrid>
      <w:tr>
        <w:trPr/>
        <w:tc>
          <w:tcPr>
            <w:tcW w:w="1980" w:type="dxa"/>
            <w:tcBorders>
              <w:top w:val="single" w:sz="4" w:space="0" w:color="000000"/>
              <w:left w:val="single" w:sz="4" w:space="0" w:color="000000"/>
              <w:bottom w:val="single" w:sz="4" w:space="0" w:color="000000"/>
              <w:right w:val="single" w:sz="4" w:space="0" w:color="000000"/>
            </w:tcBorders>
          </w:tcPr>
          <w:p>
            <w:pPr>
              <w:pStyle w:val="TAH"/>
              <w:rPr/>
            </w:pPr>
            <w:r>
              <w:rPr/>
              <w:t>Frequency Range</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t>HATS 1 RMSE (dB)</w:t>
            </w:r>
          </w:p>
        </w:tc>
        <w:tc>
          <w:tcPr>
            <w:tcW w:w="2268" w:type="dxa"/>
            <w:tcBorders>
              <w:top w:val="single" w:sz="4" w:space="0" w:color="000000"/>
              <w:left w:val="single" w:sz="4" w:space="0" w:color="000000"/>
              <w:bottom w:val="single" w:sz="4" w:space="0" w:color="000000"/>
              <w:right w:val="single" w:sz="4" w:space="0" w:color="000000"/>
            </w:tcBorders>
          </w:tcPr>
          <w:p>
            <w:pPr>
              <w:pStyle w:val="TAH"/>
              <w:rPr/>
            </w:pPr>
            <w:r>
              <w:rPr/>
              <w:t>HATS 2 RMSE (dB)</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C"/>
              <w:rPr/>
            </w:pPr>
            <w:r>
              <w:rPr/>
              <w:t>200Hz – 6.3kHz</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1.783</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1.866</w:t>
            </w:r>
          </w:p>
        </w:tc>
      </w:tr>
      <w:tr>
        <w:trPr/>
        <w:tc>
          <w:tcPr>
            <w:tcW w:w="1980" w:type="dxa"/>
            <w:tcBorders>
              <w:top w:val="single" w:sz="4" w:space="0" w:color="000000"/>
              <w:left w:val="single" w:sz="4" w:space="0" w:color="000000"/>
              <w:bottom w:val="single" w:sz="4" w:space="0" w:color="000000"/>
              <w:right w:val="single" w:sz="4" w:space="0" w:color="000000"/>
            </w:tcBorders>
          </w:tcPr>
          <w:p>
            <w:pPr>
              <w:pStyle w:val="TAC"/>
              <w:rPr/>
            </w:pPr>
            <w:r>
              <w:rPr/>
              <w:t>8kHz – 12.5kHz</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1.851</w:t>
            </w:r>
          </w:p>
        </w:tc>
        <w:tc>
          <w:tcPr>
            <w:tcW w:w="2268" w:type="dxa"/>
            <w:tcBorders>
              <w:top w:val="single" w:sz="4" w:space="0" w:color="000000"/>
              <w:left w:val="single" w:sz="4" w:space="0" w:color="000000"/>
              <w:bottom w:val="single" w:sz="4" w:space="0" w:color="000000"/>
              <w:right w:val="single" w:sz="4" w:space="0" w:color="000000"/>
            </w:tcBorders>
          </w:tcPr>
          <w:p>
            <w:pPr>
              <w:pStyle w:val="TAC"/>
              <w:rPr/>
            </w:pPr>
            <w:r>
              <w:rPr/>
              <w:t>5.677</w:t>
            </w:r>
          </w:p>
        </w:tc>
      </w:tr>
    </w:tbl>
    <w:p>
      <w:pPr>
        <w:pStyle w:val="Normal"/>
        <w:rPr/>
      </w:pPr>
      <w:r>
        <w:rPr/>
      </w:r>
    </w:p>
    <w:p>
      <w:pPr>
        <w:pStyle w:val="Normal"/>
        <w:rPr/>
      </w:pPr>
      <w:r>
        <w:rPr/>
        <w:t>Subjective loudness matching results for each 3</w:t>
      </w:r>
      <w:r>
        <w:rPr>
          <w:vertAlign w:val="superscript"/>
        </w:rPr>
        <w:t>rd</w:t>
      </w:r>
      <w:r>
        <w:rPr/>
        <w:t xml:space="preserve"> octave band were compared to HATS data using a two-tailed, one sample t-test with 15 degrees of freedom (t[15] = 2.1314) and a 95% confidence interval. Full t-test results with HATS 1 as reference are presented in Table A-4 of Annex A. Of the nineteen tested frequency bands, subjective adjustment varies significantly from HATS 1 measurements in five (400Hz, 500Hz, 800Hz, 2kHz, and 12.5kHz). A maximum absolute error of 3.065dB occurs at 800Hz.</w:t>
      </w:r>
    </w:p>
    <w:p>
      <w:pPr>
        <w:pStyle w:val="Normal"/>
        <w:rPr/>
      </w:pPr>
      <w:r>
        <w:rPr/>
        <w:t>Table A-5 of Annex A presents the same t-test methodology with HATS 2 as the reference. Seven of the nineteen frequency bands demonstrate a statistically significant difference between subjective and objective level matching (200Hz, 400Hz, 630Hz, 4kHz, 5kHz, 8kHz, and 12.5kHz). A maximum absolute error of 9.074dB occurs at 12.5kHz.</w:t>
      </w:r>
    </w:p>
    <w:p>
      <w:pPr>
        <w:pStyle w:val="Heading4"/>
        <w:ind w:left="1418" w:hanging="1418"/>
        <w:rPr/>
      </w:pPr>
      <w:bookmarkStart w:id="33" w:name="__RefHeading___Toc19266958"/>
      <w:bookmarkEnd w:id="33"/>
      <w:r>
        <w:rPr/>
        <w:t>4.2.1.5</w:t>
        <w:tab/>
        <w:t>Discussion</w:t>
      </w:r>
    </w:p>
    <w:p>
      <w:pPr>
        <w:pStyle w:val="Normal"/>
        <w:rPr/>
      </w:pPr>
      <w:r>
        <w:rPr/>
        <w:t>The results support the performance of HATS as a measurement tool for the vibrating display prototype in the frequency range 200Hz to 12.5kHz. There exists a significant and strong positive correlation between subjective loudness matching of traditional and non-traditional earpieces and objectively measured transfer functions between the same two prototypes. The positive correlation exists for both HATS models investigated herein. For these specific prototypes, HATS 1 demonstrated less error than HATS 2 (particularly at high frequencies) between the measured transfer function and subjective level matching. Furthermore, the transfer function measured on HATS 1 has fewer frequency bands, which vary significantly from the corresponding subjective level adjustment, than the transfer function measured on HATS 2.</w:t>
      </w:r>
    </w:p>
    <w:p>
      <w:pPr>
        <w:pStyle w:val="Heading3"/>
        <w:rPr/>
      </w:pPr>
      <w:bookmarkStart w:id="34" w:name="__RefHeading___Toc19266959"/>
      <w:bookmarkEnd w:id="34"/>
      <w:r>
        <w:rPr/>
        <w:t>4.2.2</w:t>
        <w:tab/>
        <w:t>On the impact of handset mounting on HaNTE measurements</w:t>
      </w:r>
    </w:p>
    <w:p>
      <w:pPr>
        <w:pStyle w:val="Heading4"/>
        <w:ind w:left="1418" w:hanging="1418"/>
        <w:rPr/>
      </w:pPr>
      <w:bookmarkStart w:id="35" w:name="__RefHeading___Toc19266960"/>
      <w:bookmarkEnd w:id="35"/>
      <w:r>
        <w:rPr/>
        <w:t>4.2.2.1</w:t>
        <w:tab/>
        <w:t>Introduction</w:t>
      </w:r>
    </w:p>
    <w:p>
      <w:pPr>
        <w:pStyle w:val="Normal"/>
        <w:rPr/>
      </w:pPr>
      <w:r>
        <w:rPr/>
        <w:t>3GPP UE's Receive Frequency Response (RFR) and Receive Loudness Rating (RLR) are measured with Head and Torso Simulators (HATS) and handset positioners. Handset positioners exert force at multiple points on the Device Under Test (DUT), including stationary supports on the back of the DUT. These supports may or may not be indicative of a user's hand position while interacting with the DUT.</w:t>
      </w:r>
    </w:p>
    <w:p>
      <w:pPr>
        <w:pStyle w:val="Normal"/>
        <w:rPr/>
      </w:pPr>
      <w:r>
        <w:rPr/>
        <w:t>The receiver transducer of a traditional earpiece design is decoupled from the surrounding mechanical system and will not be greatly affected by the existence and placement of physical supports. However, with non-traditional earpiece designs (e.g. a vibrating display) the receiver transducer may be coupled with the entire mechanical structure of the device. Therefore, it is important to consider any physical supports and the force they exert when mounting non-traditional earpiece devices for RFR and RLR testing. This contribution explores mounting induced RFR variability on devices with both traditional and non-traditional earpieces.</w:t>
      </w:r>
    </w:p>
    <w:p>
      <w:pPr>
        <w:pStyle w:val="Heading4"/>
        <w:ind w:left="1418" w:hanging="1418"/>
        <w:rPr/>
      </w:pPr>
      <w:bookmarkStart w:id="36" w:name="__RefHeading___Toc19266961"/>
      <w:bookmarkEnd w:id="36"/>
      <w:r>
        <w:rPr/>
        <w:t>4.2.2.2</w:t>
        <w:tab/>
        <w:t>Devices</w:t>
      </w:r>
    </w:p>
    <w:p>
      <w:pPr>
        <w:pStyle w:val="Heading5"/>
        <w:ind w:left="1701" w:hanging="1701"/>
        <w:rPr/>
      </w:pPr>
      <w:bookmarkStart w:id="37" w:name="__RefHeading___Toc19266962"/>
      <w:bookmarkEnd w:id="37"/>
      <w:r>
        <w:rPr/>
        <w:t>4.2.2.2.1</w:t>
        <w:tab/>
        <w:t>Traditional and Non-Traditional Earpiece prototypes</w:t>
      </w:r>
    </w:p>
    <w:p>
      <w:pPr>
        <w:pStyle w:val="Normal"/>
        <w:rPr/>
      </w:pPr>
      <w:r>
        <w:rPr/>
        <w:t>See clause 4.2.1.2.1 for a detailed description of the prototypes used in this study.</w:t>
      </w:r>
    </w:p>
    <w:p>
      <w:pPr>
        <w:pStyle w:val="Heading5"/>
        <w:ind w:left="1701" w:hanging="1701"/>
        <w:rPr/>
      </w:pPr>
      <w:bookmarkStart w:id="38" w:name="__RefHeading___Toc19266963"/>
      <w:bookmarkEnd w:id="38"/>
      <w:r>
        <w:rPr/>
        <w:t>4.2.2.2.2</w:t>
        <w:tab/>
        <w:t>Commercial devices</w:t>
      </w:r>
    </w:p>
    <w:p>
      <w:pPr>
        <w:pStyle w:val="Normal"/>
        <w:rPr/>
      </w:pPr>
      <w:r>
        <w:rPr/>
        <w:t>Five commercial devices were tested along with the two prototypes mentioned in the previous section. Four of the five commercial devices employ non-standard, vibrating display earpieces, while one device has as traditional earpiece. Table 4-6 provides more information.</w:t>
      </w:r>
    </w:p>
    <w:p>
      <w:pPr>
        <w:pStyle w:val="TH"/>
        <w:rPr/>
      </w:pPr>
      <w:r>
        <w:rPr/>
        <w:t>Table 4-6: Further information on commercial devices</w:t>
      </w:r>
    </w:p>
    <w:tbl>
      <w:tblPr>
        <w:tblW w:w="4675" w:type="dxa"/>
        <w:jc w:val="center"/>
        <w:tblInd w:w="0" w:type="dxa"/>
        <w:tblLayout w:type="fixed"/>
        <w:tblCellMar>
          <w:top w:w="0" w:type="dxa"/>
          <w:left w:w="108" w:type="dxa"/>
          <w:bottom w:w="0" w:type="dxa"/>
          <w:right w:w="108" w:type="dxa"/>
        </w:tblCellMar>
      </w:tblPr>
      <w:tblGrid>
        <w:gridCol w:w="1705"/>
        <w:gridCol w:w="2970"/>
      </w:tblGrid>
      <w:tr>
        <w:trPr/>
        <w:tc>
          <w:tcPr>
            <w:tcW w:w="1705" w:type="dxa"/>
            <w:tcBorders>
              <w:top w:val="single" w:sz="4" w:space="0" w:color="000000"/>
              <w:left w:val="single" w:sz="4" w:space="0" w:color="000000"/>
              <w:bottom w:val="single" w:sz="4" w:space="0" w:color="000000"/>
              <w:right w:val="single" w:sz="4" w:space="0" w:color="000000"/>
            </w:tcBorders>
          </w:tcPr>
          <w:p>
            <w:pPr>
              <w:pStyle w:val="TAH"/>
              <w:rPr/>
            </w:pPr>
            <w:r>
              <w:rPr/>
              <w:t>Device Number</w:t>
            </w:r>
          </w:p>
        </w:tc>
        <w:tc>
          <w:tcPr>
            <w:tcW w:w="2970" w:type="dxa"/>
            <w:tcBorders>
              <w:top w:val="single" w:sz="4" w:space="0" w:color="000000"/>
              <w:left w:val="single" w:sz="4" w:space="0" w:color="000000"/>
              <w:bottom w:val="single" w:sz="4" w:space="0" w:color="000000"/>
              <w:right w:val="single" w:sz="4" w:space="0" w:color="000000"/>
            </w:tcBorders>
          </w:tcPr>
          <w:p>
            <w:pPr>
              <w:pStyle w:val="TAH"/>
              <w:rPr/>
            </w:pPr>
            <w:r>
              <w:rPr/>
              <w:t>Earpiece</w:t>
            </w:r>
          </w:p>
        </w:tc>
      </w:tr>
      <w:tr>
        <w:trPr/>
        <w:tc>
          <w:tcPr>
            <w:tcW w:w="1705" w:type="dxa"/>
            <w:tcBorders>
              <w:top w:val="single" w:sz="4" w:space="0" w:color="000000"/>
              <w:left w:val="single" w:sz="4" w:space="0" w:color="000000"/>
              <w:bottom w:val="single" w:sz="4" w:space="0" w:color="000000"/>
              <w:right w:val="single" w:sz="4" w:space="0" w:color="000000"/>
            </w:tcBorders>
          </w:tcPr>
          <w:p>
            <w:pPr>
              <w:pStyle w:val="TAC"/>
              <w:rPr/>
            </w:pPr>
            <w:r>
              <w:rPr/>
              <w:t>1</w:t>
            </w:r>
          </w:p>
        </w:tc>
        <w:tc>
          <w:tcPr>
            <w:tcW w:w="2970" w:type="dxa"/>
            <w:tcBorders>
              <w:top w:val="single" w:sz="4" w:space="0" w:color="000000"/>
              <w:left w:val="single" w:sz="4" w:space="0" w:color="000000"/>
              <w:bottom w:val="single" w:sz="4" w:space="0" w:color="000000"/>
              <w:right w:val="single" w:sz="4" w:space="0" w:color="000000"/>
            </w:tcBorders>
          </w:tcPr>
          <w:p>
            <w:pPr>
              <w:pStyle w:val="TAC"/>
              <w:rPr/>
            </w:pPr>
            <w:r>
              <w:rPr/>
              <w:t>Traditional</w:t>
            </w:r>
          </w:p>
        </w:tc>
      </w:tr>
      <w:tr>
        <w:trPr>
          <w:trHeight w:val="139" w:hRule="atLeast"/>
        </w:trPr>
        <w:tc>
          <w:tcPr>
            <w:tcW w:w="1705" w:type="dxa"/>
            <w:tcBorders>
              <w:top w:val="single" w:sz="4" w:space="0" w:color="000000"/>
              <w:left w:val="single" w:sz="4" w:space="0" w:color="000000"/>
              <w:bottom w:val="single" w:sz="4" w:space="0" w:color="000000"/>
              <w:right w:val="single" w:sz="4" w:space="0" w:color="000000"/>
            </w:tcBorders>
          </w:tcPr>
          <w:p>
            <w:pPr>
              <w:pStyle w:val="TAC"/>
              <w:rPr/>
            </w:pPr>
            <w:r>
              <w:rPr/>
              <w:t>2</w:t>
            </w:r>
          </w:p>
        </w:tc>
        <w:tc>
          <w:tcPr>
            <w:tcW w:w="2970" w:type="dxa"/>
            <w:tcBorders>
              <w:top w:val="single" w:sz="4" w:space="0" w:color="000000"/>
              <w:left w:val="single" w:sz="4" w:space="0" w:color="000000"/>
              <w:bottom w:val="single" w:sz="4" w:space="0" w:color="000000"/>
              <w:right w:val="single" w:sz="4" w:space="0" w:color="000000"/>
            </w:tcBorders>
          </w:tcPr>
          <w:p>
            <w:pPr>
              <w:pStyle w:val="TAC"/>
              <w:rPr/>
            </w:pPr>
            <w:r>
              <w:rPr/>
              <w:t>Vibrating Display (HaNTE)</w:t>
            </w:r>
          </w:p>
        </w:tc>
      </w:tr>
      <w:tr>
        <w:trPr/>
        <w:tc>
          <w:tcPr>
            <w:tcW w:w="1705" w:type="dxa"/>
            <w:tcBorders>
              <w:top w:val="single" w:sz="4" w:space="0" w:color="000000"/>
              <w:left w:val="single" w:sz="4" w:space="0" w:color="000000"/>
              <w:bottom w:val="single" w:sz="4" w:space="0" w:color="000000"/>
              <w:right w:val="single" w:sz="4" w:space="0" w:color="000000"/>
            </w:tcBorders>
          </w:tcPr>
          <w:p>
            <w:pPr>
              <w:pStyle w:val="TAC"/>
              <w:rPr/>
            </w:pPr>
            <w:r>
              <w:rPr/>
              <w:t>3</w:t>
            </w:r>
          </w:p>
        </w:tc>
        <w:tc>
          <w:tcPr>
            <w:tcW w:w="2970" w:type="dxa"/>
            <w:tcBorders>
              <w:top w:val="single" w:sz="4" w:space="0" w:color="000000"/>
              <w:left w:val="single" w:sz="4" w:space="0" w:color="000000"/>
              <w:bottom w:val="single" w:sz="4" w:space="0" w:color="000000"/>
              <w:right w:val="single" w:sz="4" w:space="0" w:color="000000"/>
            </w:tcBorders>
          </w:tcPr>
          <w:p>
            <w:pPr>
              <w:pStyle w:val="TAC"/>
              <w:rPr/>
            </w:pPr>
            <w:r>
              <w:rPr/>
              <w:t>Vibrating Display (HaNTE)</w:t>
            </w:r>
          </w:p>
        </w:tc>
      </w:tr>
      <w:tr>
        <w:trPr/>
        <w:tc>
          <w:tcPr>
            <w:tcW w:w="1705" w:type="dxa"/>
            <w:tcBorders>
              <w:top w:val="single" w:sz="4" w:space="0" w:color="000000"/>
              <w:left w:val="single" w:sz="4" w:space="0" w:color="000000"/>
              <w:bottom w:val="single" w:sz="4" w:space="0" w:color="000000"/>
              <w:right w:val="single" w:sz="4" w:space="0" w:color="000000"/>
            </w:tcBorders>
          </w:tcPr>
          <w:p>
            <w:pPr>
              <w:pStyle w:val="TAC"/>
              <w:rPr/>
            </w:pPr>
            <w:r>
              <w:rPr/>
              <w:t>4</w:t>
            </w:r>
          </w:p>
        </w:tc>
        <w:tc>
          <w:tcPr>
            <w:tcW w:w="2970" w:type="dxa"/>
            <w:tcBorders>
              <w:top w:val="single" w:sz="4" w:space="0" w:color="000000"/>
              <w:left w:val="single" w:sz="4" w:space="0" w:color="000000"/>
              <w:bottom w:val="single" w:sz="4" w:space="0" w:color="000000"/>
              <w:right w:val="single" w:sz="4" w:space="0" w:color="000000"/>
            </w:tcBorders>
          </w:tcPr>
          <w:p>
            <w:pPr>
              <w:pStyle w:val="TAC"/>
              <w:rPr/>
            </w:pPr>
            <w:r>
              <w:rPr/>
              <w:t>Vibrating Display (HaNTE)</w:t>
            </w:r>
          </w:p>
        </w:tc>
      </w:tr>
      <w:tr>
        <w:trPr>
          <w:trHeight w:val="193" w:hRule="atLeast"/>
        </w:trPr>
        <w:tc>
          <w:tcPr>
            <w:tcW w:w="1705" w:type="dxa"/>
            <w:tcBorders>
              <w:top w:val="single" w:sz="4" w:space="0" w:color="000000"/>
              <w:left w:val="single" w:sz="4" w:space="0" w:color="000000"/>
              <w:bottom w:val="single" w:sz="4" w:space="0" w:color="000000"/>
              <w:right w:val="single" w:sz="4" w:space="0" w:color="000000"/>
            </w:tcBorders>
          </w:tcPr>
          <w:p>
            <w:pPr>
              <w:pStyle w:val="TAC"/>
              <w:rPr/>
            </w:pPr>
            <w:r>
              <w:rPr/>
              <w:t>5</w:t>
            </w:r>
          </w:p>
        </w:tc>
        <w:tc>
          <w:tcPr>
            <w:tcW w:w="2970" w:type="dxa"/>
            <w:tcBorders>
              <w:top w:val="single" w:sz="4" w:space="0" w:color="000000"/>
              <w:left w:val="single" w:sz="4" w:space="0" w:color="000000"/>
              <w:bottom w:val="single" w:sz="4" w:space="0" w:color="000000"/>
              <w:right w:val="single" w:sz="4" w:space="0" w:color="000000"/>
            </w:tcBorders>
          </w:tcPr>
          <w:p>
            <w:pPr>
              <w:pStyle w:val="TAC"/>
              <w:rPr/>
            </w:pPr>
            <w:r>
              <w:rPr/>
              <w:t>Vibrating Display (HaNTE)</w:t>
            </w:r>
          </w:p>
        </w:tc>
      </w:tr>
    </w:tbl>
    <w:p>
      <w:pPr>
        <w:pStyle w:val="Normal"/>
        <w:rPr/>
      </w:pPr>
      <w:r>
        <w:rPr/>
      </w:r>
    </w:p>
    <w:p>
      <w:pPr>
        <w:pStyle w:val="Heading4"/>
        <w:ind w:left="1418" w:hanging="1418"/>
        <w:rPr/>
      </w:pPr>
      <w:bookmarkStart w:id="39" w:name="__RefHeading___Toc19266964"/>
      <w:bookmarkEnd w:id="39"/>
      <w:r>
        <w:rPr/>
        <w:t>4.2.2.3</w:t>
        <w:tab/>
        <w:t>Measurement system</w:t>
      </w:r>
    </w:p>
    <w:p>
      <w:pPr>
        <w:pStyle w:val="Heading5"/>
        <w:ind w:left="1701" w:hanging="1701"/>
        <w:rPr/>
      </w:pPr>
      <w:bookmarkStart w:id="40" w:name="__RefHeading___Toc19266965"/>
      <w:bookmarkEnd w:id="40"/>
      <w:r>
        <w:rPr/>
        <w:t>4.2.2.3.1</w:t>
        <w:tab/>
        <w:t>Device mounting</w:t>
      </w:r>
    </w:p>
    <w:p>
      <w:pPr>
        <w:pStyle w:val="Normal"/>
        <w:rPr/>
      </w:pPr>
      <w:r>
        <w:rPr/>
        <w:t>For RFR measurement, handsets were positioned on a Bruel &amp; Kjaer Type 5128 HATS as described in clause 4.2.1.2.1.</w:t>
      </w:r>
    </w:p>
    <w:p>
      <w:pPr>
        <w:pStyle w:val="Normal"/>
        <w:rPr/>
      </w:pPr>
      <w:r>
        <w:rPr/>
        <w:t>For a comparison of mounting conditions, all devices were measured with and without the handset positioner support pins in place. See Figure 4-11.</w:t>
      </w:r>
    </w:p>
    <w:p>
      <w:pPr>
        <w:pStyle w:val="TH"/>
        <w:rPr/>
      </w:pPr>
      <w:r>
        <w:rPr/>
        <w:drawing>
          <wp:inline distT="0" distB="0" distL="0" distR="0">
            <wp:extent cx="4268470" cy="1518285"/>
            <wp:effectExtent l="0" t="0" r="0" b="0"/>
            <wp:docPr id="28"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0" descr=""/>
                    <pic:cNvPicPr>
                      <a:picLocks noChangeAspect="1" noChangeArrowheads="1"/>
                    </pic:cNvPicPr>
                  </pic:nvPicPr>
                  <pic:blipFill>
                    <a:blip r:embed="rId20"/>
                    <a:srcRect l="-8" t="-24" r="-8" b="-24"/>
                    <a:stretch>
                      <a:fillRect/>
                    </a:stretch>
                  </pic:blipFill>
                  <pic:spPr bwMode="auto">
                    <a:xfrm>
                      <a:off x="0" y="0"/>
                      <a:ext cx="4268470" cy="1518285"/>
                    </a:xfrm>
                    <a:prstGeom prst="rect">
                      <a:avLst/>
                    </a:prstGeom>
                  </pic:spPr>
                </pic:pic>
              </a:graphicData>
            </a:graphic>
          </wp:inline>
        </w:drawing>
      </w:r>
    </w:p>
    <w:p>
      <w:pPr>
        <w:pStyle w:val="TF"/>
        <w:rPr/>
      </w:pPr>
      <w:r>
        <w:rPr/>
        <w:t>Figure 4-11: Handset positioned with and without support pins</w:t>
      </w:r>
    </w:p>
    <w:p>
      <w:pPr>
        <w:pStyle w:val="Heading5"/>
        <w:ind w:left="1701" w:hanging="1701"/>
        <w:rPr/>
      </w:pPr>
      <w:bookmarkStart w:id="41" w:name="__RefHeading___Toc19266966"/>
      <w:bookmarkEnd w:id="41"/>
      <w:r>
        <w:rPr/>
        <w:t>4.2.2.3.2</w:t>
        <w:tab/>
        <w:t>Playback system</w:t>
      </w:r>
    </w:p>
    <w:p>
      <w:pPr>
        <w:pStyle w:val="Normal"/>
        <w:rPr/>
      </w:pPr>
      <w:r>
        <w:rPr/>
        <w:t>See clause 4.2.1.2.2 for a description of the prototype playback system. Wideband pink noise was used for RFR measurement on both prototypes. Playback of the pink noise stimulus was accomplished using Adobe Audition.</w:t>
      </w:r>
    </w:p>
    <w:p>
      <w:pPr>
        <w:pStyle w:val="Normal"/>
        <w:rPr/>
      </w:pPr>
      <w:r>
        <w:rPr/>
        <w:t>The five commercial devices were driven by a Rohde &amp; Schwarz CMW500 Wideband Radio Communication Tester. AMR-WB (20Hz–8kHz) at 12.65kbps was used for transmission speech coding. The measurement stimulus was an ITU-T Recommendation P.501 speech file with twelve utterances (six male and six female). ACQUA from Head Acoustics was used for stimulus playback. See Figure 4-12.</w:t>
      </w:r>
    </w:p>
    <w:p>
      <w:pPr>
        <w:pStyle w:val="TH"/>
        <w:rPr/>
      </w:pPr>
      <w:r>
        <w:rPr/>
        <w:drawing>
          <wp:inline distT="0" distB="0" distL="0" distR="0">
            <wp:extent cx="4575175" cy="1087120"/>
            <wp:effectExtent l="0" t="0" r="0" b="0"/>
            <wp:docPr id="29"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descr=""/>
                    <pic:cNvPicPr>
                      <a:picLocks noChangeAspect="1" noChangeArrowheads="1"/>
                    </pic:cNvPicPr>
                  </pic:nvPicPr>
                  <pic:blipFill>
                    <a:blip r:embed="rId21"/>
                    <a:srcRect l="-5" t="-22" r="-5" b="-22"/>
                    <a:stretch>
                      <a:fillRect/>
                    </a:stretch>
                  </pic:blipFill>
                  <pic:spPr bwMode="auto">
                    <a:xfrm>
                      <a:off x="0" y="0"/>
                      <a:ext cx="4575175" cy="1087120"/>
                    </a:xfrm>
                    <a:prstGeom prst="rect">
                      <a:avLst/>
                    </a:prstGeom>
                  </pic:spPr>
                </pic:pic>
              </a:graphicData>
            </a:graphic>
          </wp:inline>
        </w:drawing>
      </w:r>
    </w:p>
    <w:p>
      <w:pPr>
        <w:pStyle w:val="TF"/>
        <w:rPr/>
      </w:pPr>
      <w:r>
        <w:rPr/>
        <w:t>Figure 4-12: Block diagram of commercial device playback system</w:t>
      </w:r>
    </w:p>
    <w:p>
      <w:pPr>
        <w:pStyle w:val="Heading5"/>
        <w:ind w:left="1701" w:hanging="1701"/>
        <w:rPr/>
      </w:pPr>
      <w:bookmarkStart w:id="42" w:name="__RefHeading___Toc19266967"/>
      <w:bookmarkEnd w:id="42"/>
      <w:r>
        <w:rPr/>
        <w:t>4.2.2.3.3</w:t>
        <w:tab/>
        <w:t>Recording system</w:t>
      </w:r>
    </w:p>
    <w:p>
      <w:pPr>
        <w:pStyle w:val="Normal"/>
        <w:rPr/>
      </w:pPr>
      <w:r>
        <w:rPr/>
        <w:t>The RFR for each DUT was measured at the drum reference point (DRP) of Bruel &amp; Kjaer Type 5128 HATS. Recordings were captured by a Head Acoustics MFE VI frontend and analysed with a Head Acoustics ACQUA system. All recordings were DRP-to-ERP (ear reference point) equalized prior to third octave band analysis.</w:t>
      </w:r>
    </w:p>
    <w:p>
      <w:pPr>
        <w:pStyle w:val="Heading4"/>
        <w:ind w:left="1418" w:hanging="1418"/>
        <w:rPr/>
      </w:pPr>
      <w:bookmarkStart w:id="43" w:name="__RefHeading___Toc19266968"/>
      <w:bookmarkEnd w:id="43"/>
      <w:r>
        <w:rPr/>
        <w:t>4.2.2.4</w:t>
        <w:tab/>
        <w:t>Measurement results</w:t>
      </w:r>
    </w:p>
    <w:p>
      <w:pPr>
        <w:pStyle w:val="Normal"/>
        <w:rPr/>
      </w:pPr>
      <w:r>
        <w:rPr/>
        <w:t>All devices were measured under two conditions, as described in clause 4.2.2.3.1. The transfer function between the measured RFR with supports and the RFR without supports was computed for each device. Figure 4-13 shows the results for all devices, divided between standard and non-standard earpieces. Table 4-7 presents the same data along with the root mean squared error (RMSE).</w:t>
      </w:r>
    </w:p>
    <w:p>
      <w:pPr>
        <w:pStyle w:val="TH"/>
        <w:rPr/>
      </w:pPr>
      <w:r>
        <w:rPr/>
        <w:drawing>
          <wp:inline distT="0" distB="0" distL="0" distR="0">
            <wp:extent cx="5412105" cy="2714625"/>
            <wp:effectExtent l="0" t="0" r="0" b="0"/>
            <wp:docPr id="30"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6" descr=""/>
                    <pic:cNvPicPr>
                      <a:picLocks noChangeAspect="1" noChangeArrowheads="1"/>
                    </pic:cNvPicPr>
                  </pic:nvPicPr>
                  <pic:blipFill>
                    <a:blip r:embed="rId22"/>
                    <a:srcRect l="-2" t="-4" r="-2" b="-4"/>
                    <a:stretch>
                      <a:fillRect/>
                    </a:stretch>
                  </pic:blipFill>
                  <pic:spPr bwMode="auto">
                    <a:xfrm>
                      <a:off x="0" y="0"/>
                      <a:ext cx="5412105" cy="2714625"/>
                    </a:xfrm>
                    <a:prstGeom prst="rect">
                      <a:avLst/>
                    </a:prstGeom>
                  </pic:spPr>
                </pic:pic>
              </a:graphicData>
            </a:graphic>
          </wp:inline>
        </w:drawing>
      </w:r>
    </w:p>
    <w:p>
      <w:pPr>
        <w:pStyle w:val="TF"/>
        <w:rPr/>
      </w:pPr>
      <w:r>
        <w:rPr/>
        <w:t>Figure 4-13: Comparing device RFR with and without supporting pins</w:t>
      </w:r>
    </w:p>
    <w:p>
      <w:pPr>
        <w:pStyle w:val="TH"/>
        <w:rPr/>
      </w:pPr>
      <w:r>
        <w:rPr/>
        <w:t>Table 4-7: Comparing device RFR with and without supporting pins</w:t>
      </w:r>
    </w:p>
    <w:tbl>
      <w:tblPr>
        <w:tblW w:w="9152" w:type="dxa"/>
        <w:jc w:val="center"/>
        <w:tblInd w:w="0" w:type="dxa"/>
        <w:tblLayout w:type="fixed"/>
        <w:tblCellMar>
          <w:top w:w="0" w:type="dxa"/>
          <w:left w:w="108" w:type="dxa"/>
          <w:bottom w:w="0" w:type="dxa"/>
          <w:right w:w="108" w:type="dxa"/>
        </w:tblCellMar>
      </w:tblPr>
      <w:tblGrid>
        <w:gridCol w:w="1838"/>
        <w:gridCol w:w="1247"/>
        <w:gridCol w:w="964"/>
        <w:gridCol w:w="1247"/>
        <w:gridCol w:w="964"/>
        <w:gridCol w:w="964"/>
        <w:gridCol w:w="964"/>
        <w:gridCol w:w="964"/>
      </w:tblGrid>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H"/>
              <w:rPr/>
            </w:pPr>
            <w:r>
              <w:rPr/>
              <w:t>Center Frequency (Hz)</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H"/>
              <w:rPr/>
            </w:pPr>
            <w:r>
              <w:rPr/>
              <w:t>Prototype 1</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H"/>
              <w:rPr/>
            </w:pPr>
            <w:r>
              <w:rPr/>
              <w:t>Device 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H"/>
              <w:rPr/>
            </w:pPr>
            <w:r>
              <w:rPr/>
              <w:t>Prototype 2</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H"/>
              <w:rPr/>
            </w:pPr>
            <w:r>
              <w:rPr/>
              <w:t>Device 2</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H"/>
              <w:rPr/>
            </w:pPr>
            <w:r>
              <w:rPr/>
              <w:t>Device 3</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H"/>
              <w:rPr/>
            </w:pPr>
            <w:r>
              <w:rPr/>
              <w:t>Device 4</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H"/>
              <w:rPr/>
            </w:pPr>
            <w:r>
              <w:rPr/>
              <w:t>Device 5</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80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-0.84</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0.69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-3.35</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-1.38</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0.05</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-4.54</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-7.56</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100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-1.89</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0.13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-3.79</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-0.86</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2.27</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-0.31</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-2.46</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125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-0.60</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-2.49</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-1.00</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3.72</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-3.64</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-2.23</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160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-0.07</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-3.78</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-1.47</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1.27</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-1.40</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-2.77</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200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0.72</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-3.71</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-2.12</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-1.25</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-4.47</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-3.02</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250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-0.60</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-3.53</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-1.26</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-11.48</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-7.61</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-2.37</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315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-0.18</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-1.11</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5.80</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-0.34</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-4.55</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-2.24</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400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1.00</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0.26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-2.16</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2.51</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1.10</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-0.28</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-2.46</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500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0.27</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-1.86</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-0.89</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-5.29</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2.51</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-2.17</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630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0.22</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0.43</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0.26</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-1.93</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0.83</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-2.08</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800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-0.01</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0.14</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-1.71</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0.37</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0.69</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0.97</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-2.98</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1000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0.38</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0.09</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-1.59</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-0.25</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0.99</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0.55</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-3.66</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1250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0.68</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-0.79</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-0.20</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0.64</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2.28</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-2.58</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1600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0.31</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-0.35</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0.71</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-0.97</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0.43</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0.38</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2.66</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2000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-0.13</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0.16</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-0.88</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0.44</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0.46</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1.21</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2500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0.10</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-0.20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-0.08</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-0.68</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0.94</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-0.65</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-0.01</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3150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0.43</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-0.20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-0.25</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-0.53</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0.31</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0.21</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-0.17</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4000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0.32</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0.36</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-0.02</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0.12</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-1.43</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0.05</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-0.34</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5000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0.36</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0.18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-0.04</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0.24</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1.04</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0.22</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0.01</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6300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2.00</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0.41</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-0.34</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-0.17</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1.44</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0.29</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-0.84</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C"/>
              <w:rPr/>
            </w:pPr>
            <w:r>
              <w:rPr/>
              <w:t>8000</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0.32</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-0.08</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0.29</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-0.03</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0.62</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0.63</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-1.54</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H"/>
              <w:rPr/>
            </w:pPr>
            <w:r>
              <w:rPr/>
              <w:t>RMSE (80Hz-1kHz)</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0.75</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0.22</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2.70</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2.10</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3.96</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3.45</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3.33</w:t>
            </w:r>
          </w:p>
        </w:tc>
      </w:tr>
      <w:tr>
        <w:trPr/>
        <w:tc>
          <w:tcPr>
            <w:tcW w:w="1838" w:type="dxa"/>
            <w:tcBorders>
              <w:top w:val="single" w:sz="4" w:space="0" w:color="000000"/>
              <w:left w:val="single" w:sz="4" w:space="0" w:color="000000"/>
              <w:bottom w:val="single" w:sz="4" w:space="0" w:color="000000"/>
              <w:right w:val="single" w:sz="4" w:space="0" w:color="000000"/>
            </w:tcBorders>
            <w:vAlign w:val="bottom"/>
          </w:tcPr>
          <w:p>
            <w:pPr>
              <w:pStyle w:val="TAH"/>
              <w:rPr/>
            </w:pPr>
            <w:r>
              <w:rPr/>
              <w:t>RMSE (80Hz-8kHz)</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0.75</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0.23</w:t>
            </w:r>
          </w:p>
        </w:tc>
        <w:tc>
          <w:tcPr>
            <w:tcW w:w="1247" w:type="dxa"/>
            <w:tcBorders>
              <w:top w:val="single" w:sz="4" w:space="0" w:color="000000"/>
              <w:left w:val="single" w:sz="4" w:space="0" w:color="000000"/>
              <w:bottom w:val="single" w:sz="4" w:space="0" w:color="000000"/>
              <w:right w:val="single" w:sz="4" w:space="0" w:color="000000"/>
            </w:tcBorders>
            <w:vAlign w:val="bottom"/>
          </w:tcPr>
          <w:p>
            <w:pPr>
              <w:pStyle w:val="TAC"/>
              <w:rPr/>
            </w:pPr>
            <w:r>
              <w:rPr/>
              <w:t>2.06</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1.63</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3.05</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2.67</w:t>
            </w:r>
          </w:p>
        </w:tc>
        <w:tc>
          <w:tcPr>
            <w:tcW w:w="964" w:type="dxa"/>
            <w:tcBorders>
              <w:top w:val="single" w:sz="4" w:space="0" w:color="000000"/>
              <w:left w:val="single" w:sz="4" w:space="0" w:color="000000"/>
              <w:bottom w:val="single" w:sz="4" w:space="0" w:color="000000"/>
              <w:right w:val="single" w:sz="4" w:space="0" w:color="000000"/>
            </w:tcBorders>
            <w:vAlign w:val="bottom"/>
          </w:tcPr>
          <w:p>
            <w:pPr>
              <w:pStyle w:val="TAC"/>
              <w:rPr/>
            </w:pPr>
            <w:r>
              <w:rPr/>
              <w:t>2.68</w:t>
            </w:r>
          </w:p>
        </w:tc>
      </w:tr>
    </w:tbl>
    <w:p>
      <w:pPr>
        <w:pStyle w:val="Normal"/>
        <w:rPr/>
      </w:pPr>
      <w:r>
        <w:rPr/>
      </w:r>
    </w:p>
    <w:p>
      <w:pPr>
        <w:pStyle w:val="Normal"/>
        <w:rPr/>
      </w:pPr>
      <w:r>
        <w:rPr/>
        <w:t>It is shown in Figure 4-13 and Table 4-7 that standard earpiece devices (Prototype 1 and Device 1) demonstrate low levels of variability (&lt; 1dB) as supporting pins are added or removed from the back of the device. Devices with a non-standard earpiece (e.g. Prototype 2 and Devices 2-5) tend to demonstrate higher levels of variability (&gt; 2dB), particularly at frequencies below 1.25kHz. Furthermore, the non-standard earpiece variability is device and frequency dependent.</w:t>
      </w:r>
    </w:p>
    <w:p>
      <w:pPr>
        <w:pStyle w:val="Heading4"/>
        <w:ind w:left="1418" w:hanging="1418"/>
        <w:rPr/>
      </w:pPr>
      <w:bookmarkStart w:id="44" w:name="__RefHeading___Toc19266969"/>
      <w:bookmarkEnd w:id="44"/>
      <w:r>
        <w:rPr/>
        <w:t>4.2.2.5</w:t>
        <w:tab/>
        <w:t>Discussion</w:t>
      </w:r>
    </w:p>
    <w:p>
      <w:pPr>
        <w:pStyle w:val="Normal"/>
        <w:rPr/>
      </w:pPr>
      <w:r>
        <w:rPr/>
        <w:t>The results in clause 4.2.2.4 support the hypothesis that the receiver frequency response of a non-standard, vibrating display (HaNTE) is subject to mounting specific variability. Furthermore, the decoupled nature of a standard earpiece mitigates such variability.</w:t>
      </w:r>
    </w:p>
    <w:p>
      <w:pPr>
        <w:pStyle w:val="Heading2"/>
        <w:rPr/>
      </w:pPr>
      <w:bookmarkStart w:id="45" w:name="__RefHeading___Toc19266970"/>
      <w:bookmarkEnd w:id="45"/>
      <w:r>
        <w:rPr/>
        <w:t>4.3</w:t>
        <w:tab/>
        <w:t>Acoustic measurements according to 3GPP TS 26.131 and TS 26.132 and additional test cases to complement TS 26.131 and TS 26.132</w:t>
      </w:r>
    </w:p>
    <w:p>
      <w:pPr>
        <w:pStyle w:val="Heading3"/>
        <w:rPr>
          <w:color w:val="FF0000"/>
        </w:rPr>
      </w:pPr>
      <w:bookmarkStart w:id="46" w:name="__RefHeading___Toc19266971"/>
      <w:bookmarkEnd w:id="46"/>
      <w:r>
        <w:rPr/>
        <w:t>4.3.1</w:t>
        <w:tab/>
        <w:t>Test setup</w:t>
      </w:r>
    </w:p>
    <w:p>
      <w:pPr>
        <w:pStyle w:val="Normal"/>
        <w:rPr/>
      </w:pPr>
      <w:r>
        <w:rPr/>
        <w:t>Three devices under test (DUTs), denoted A, B and C, were used for testing. They all have the form factor of a smartphone/phablet. As described in Table 4-8, DUTs A and B use a vibrating display to produce sounds in handset mode with no ear piece, while DUT C is a traditional handset UE with an ear piece.</w:t>
      </w:r>
    </w:p>
    <w:p>
      <w:pPr>
        <w:pStyle w:val="TH"/>
        <w:rPr/>
      </w:pPr>
      <w:r>
        <w:rPr/>
        <w:t>Table 4-8: DUT description</w:t>
      </w:r>
    </w:p>
    <w:tbl>
      <w:tblPr>
        <w:tblW w:w="5665" w:type="dxa"/>
        <w:jc w:val="center"/>
        <w:tblInd w:w="0" w:type="dxa"/>
        <w:tblLayout w:type="fixed"/>
        <w:tblCellMar>
          <w:top w:w="0" w:type="dxa"/>
          <w:left w:w="108" w:type="dxa"/>
          <w:bottom w:w="0" w:type="dxa"/>
          <w:right w:w="108" w:type="dxa"/>
        </w:tblCellMar>
      </w:tblPr>
      <w:tblGrid>
        <w:gridCol w:w="1696"/>
        <w:gridCol w:w="3969"/>
      </w:tblGrid>
      <w:tr>
        <w:trPr/>
        <w:tc>
          <w:tcPr>
            <w:tcW w:w="1696" w:type="dxa"/>
            <w:tcBorders>
              <w:top w:val="single" w:sz="4" w:space="0" w:color="000000"/>
              <w:left w:val="single" w:sz="4" w:space="0" w:color="000000"/>
              <w:bottom w:val="single" w:sz="4" w:space="0" w:color="000000"/>
              <w:right w:val="single" w:sz="4" w:space="0" w:color="000000"/>
            </w:tcBorders>
          </w:tcPr>
          <w:p>
            <w:pPr>
              <w:pStyle w:val="TAH"/>
              <w:rPr/>
            </w:pPr>
            <w:r>
              <w:rPr/>
              <w:t>DUT</w:t>
            </w:r>
          </w:p>
        </w:tc>
        <w:tc>
          <w:tcPr>
            <w:tcW w:w="3969" w:type="dxa"/>
            <w:tcBorders>
              <w:top w:val="single" w:sz="4" w:space="0" w:color="000000"/>
              <w:left w:val="single" w:sz="4" w:space="0" w:color="000000"/>
              <w:bottom w:val="single" w:sz="4" w:space="0" w:color="000000"/>
              <w:right w:val="single" w:sz="4" w:space="0" w:color="000000"/>
            </w:tcBorders>
          </w:tcPr>
          <w:p>
            <w:pPr>
              <w:pStyle w:val="TAH"/>
              <w:rPr/>
            </w:pPr>
            <w:r>
              <w:rPr/>
              <w:t>UE Type</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C"/>
              <w:rPr/>
            </w:pPr>
            <w:r>
              <w:rPr/>
              <w:t>A</w:t>
            </w:r>
          </w:p>
        </w:tc>
        <w:tc>
          <w:tcPr>
            <w:tcW w:w="3969" w:type="dxa"/>
            <w:tcBorders>
              <w:top w:val="single" w:sz="4" w:space="0" w:color="000000"/>
              <w:left w:val="single" w:sz="4" w:space="0" w:color="000000"/>
              <w:bottom w:val="single" w:sz="4" w:space="0" w:color="000000"/>
              <w:right w:val="single" w:sz="4" w:space="0" w:color="000000"/>
            </w:tcBorders>
          </w:tcPr>
          <w:p>
            <w:pPr>
              <w:pStyle w:val="TAC"/>
              <w:rPr/>
            </w:pPr>
            <w:r>
              <w:rPr/>
              <w:t>Handset with vibrating display</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C"/>
              <w:rPr/>
            </w:pPr>
            <w:r>
              <w:rPr/>
              <w:t>B</w:t>
            </w:r>
          </w:p>
        </w:tc>
        <w:tc>
          <w:tcPr>
            <w:tcW w:w="3969" w:type="dxa"/>
            <w:tcBorders>
              <w:top w:val="single" w:sz="4" w:space="0" w:color="000000"/>
              <w:left w:val="single" w:sz="4" w:space="0" w:color="000000"/>
              <w:bottom w:val="single" w:sz="4" w:space="0" w:color="000000"/>
              <w:right w:val="single" w:sz="4" w:space="0" w:color="000000"/>
            </w:tcBorders>
          </w:tcPr>
          <w:p>
            <w:pPr>
              <w:pStyle w:val="TAC"/>
              <w:rPr/>
            </w:pPr>
            <w:r>
              <w:rPr/>
              <w:t>Handset with vibrating display</w:t>
            </w:r>
          </w:p>
        </w:tc>
      </w:tr>
      <w:tr>
        <w:trPr/>
        <w:tc>
          <w:tcPr>
            <w:tcW w:w="1696"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3969" w:type="dxa"/>
            <w:tcBorders>
              <w:top w:val="single" w:sz="4" w:space="0" w:color="000000"/>
              <w:left w:val="single" w:sz="4" w:space="0" w:color="000000"/>
              <w:bottom w:val="single" w:sz="4" w:space="0" w:color="000000"/>
              <w:right w:val="single" w:sz="4" w:space="0" w:color="000000"/>
            </w:tcBorders>
          </w:tcPr>
          <w:p>
            <w:pPr>
              <w:pStyle w:val="TAC"/>
              <w:rPr/>
            </w:pPr>
            <w:r>
              <w:rPr/>
              <w:t>Handset with traditional ear piece</w:t>
            </w:r>
          </w:p>
        </w:tc>
      </w:tr>
    </w:tbl>
    <w:p>
      <w:pPr>
        <w:pStyle w:val="Normal"/>
        <w:rPr/>
      </w:pPr>
      <w:r>
        <w:rPr/>
      </w:r>
    </w:p>
    <w:p>
      <w:pPr>
        <w:pStyle w:val="Normal"/>
        <w:keepNext w:val="true"/>
        <w:keepLines/>
        <w:rPr/>
      </w:pPr>
      <w:r>
        <w:rPr/>
        <w:t>For each DUT, MECRP and mounting instructions were provided by the manufacturer – the positioning instructions can translated to P.64 Annex E [3]. Each DUT was mounted on a B&amp;K 4128C HATS placed in an acoustically treated room complying with requirements in TS 26.132. The test simulator was based on Head Acoustics ACQUA 4.0.100, with Head Acoustics MFE VI.1 and MFE VIII.1, and Rohde &amp; Schwarz CMW500 was used for LTE connections.</w:t>
      </w:r>
    </w:p>
    <w:p>
      <w:pPr>
        <w:pStyle w:val="Normal"/>
        <w:rPr/>
      </w:pPr>
      <w:r>
        <w:rPr/>
        <w:t>Measurements (in handset mode) were conducted according to TS 26.131 and 26.132 (Rel-13). For the sake of conciseness, only wideband (WB) conditions are reported for LTE connections, using the AMR-WB (12.65 kbit/s) codec; the NB case was also tested, and in the following some remarks are also provided to illustrate relevant DUT behavior in NB when necessary. The default application force of 8 N was applied. A subset of test results, mainly RLR and RFR results, are reported hereafter.</w:t>
      </w:r>
    </w:p>
    <w:p>
      <w:pPr>
        <w:pStyle w:val="Heading3"/>
        <w:rPr>
          <w:color w:val="FF0000"/>
        </w:rPr>
      </w:pPr>
      <w:bookmarkStart w:id="47" w:name="__RefHeading___Toc19266972"/>
      <w:bookmarkEnd w:id="47"/>
      <w:r>
        <w:rPr/>
        <w:t>4.3.2</w:t>
        <w:tab/>
        <w:t>Test results in receiving</w:t>
      </w:r>
    </w:p>
    <w:p>
      <w:pPr>
        <w:pStyle w:val="Heading4"/>
        <w:ind w:left="1418" w:hanging="1418"/>
        <w:rPr/>
      </w:pPr>
      <w:bookmarkStart w:id="48" w:name="__RefHeading___Toc19266973"/>
      <w:bookmarkEnd w:id="48"/>
      <w:r>
        <w:rPr/>
        <w:t>4.3.2.1</w:t>
        <w:tab/>
        <w:t>WB RLR</w:t>
      </w:r>
    </w:p>
    <w:p>
      <w:pPr>
        <w:pStyle w:val="Normal"/>
        <w:rPr/>
      </w:pPr>
      <w:r>
        <w:rPr/>
        <w:t xml:space="preserve">The measured WB RLR at all volume control setting (according to TS 26.131, clause 6.2.2 and TS 26.132, clause 8.2.2.2) is shown in Figures 4-14a, 4-14b, and 4-14c for DUT A, B and C, respectively. The nominal values of RLR are constrained in the non-hashed area corresponding to the interval 2 ± 3 dB. The nominal position 'nom.' is chosen for each DUT such that the target RLR value of 2 dB is met as close as possible. Note that the figures also show the WB RLR constraints for the maximal position 'max.' (&gt; -13 dB, &lt; -3 dB) and for minimum position 'min' (&lt; 18 dB). </w:t>
      </w:r>
    </w:p>
    <w:p>
      <w:pPr>
        <w:pStyle w:val="TH"/>
        <w:rPr>
          <w:lang w:eastAsia="fr-FR"/>
        </w:rPr>
      </w:pPr>
      <w:r>
        <w:rPr>
          <w:lang w:eastAsia="fr-FR"/>
        </w:rPr>
        <w:drawing>
          <wp:inline distT="0" distB="0" distL="0" distR="0">
            <wp:extent cx="3850640" cy="2883535"/>
            <wp:effectExtent l="0" t="0" r="0" b="0"/>
            <wp:docPr id="31" name="Picture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0" descr=""/>
                    <pic:cNvPicPr>
                      <a:picLocks noChangeAspect="1" noChangeArrowheads="1"/>
                    </pic:cNvPicPr>
                  </pic:nvPicPr>
                  <pic:blipFill>
                    <a:blip r:embed="rId23"/>
                    <a:srcRect l="-6" t="-8" r="-6" b="-8"/>
                    <a:stretch>
                      <a:fillRect/>
                    </a:stretch>
                  </pic:blipFill>
                  <pic:spPr bwMode="auto">
                    <a:xfrm>
                      <a:off x="0" y="0"/>
                      <a:ext cx="3850640" cy="2883535"/>
                    </a:xfrm>
                    <a:prstGeom prst="rect">
                      <a:avLst/>
                    </a:prstGeom>
                  </pic:spPr>
                </pic:pic>
              </a:graphicData>
            </a:graphic>
          </wp:inline>
        </w:drawing>
      </w:r>
    </w:p>
    <w:p>
      <w:pPr>
        <w:pStyle w:val="TF"/>
        <w:rPr/>
      </w:pPr>
      <w:r>
        <w:rPr/>
        <w:t>Figure 4-14a: WB RLR for DUT A.</w:t>
      </w:r>
    </w:p>
    <w:p>
      <w:pPr>
        <w:pStyle w:val="Normal"/>
        <w:rPr/>
      </w:pPr>
      <w:r>
        <w:rPr/>
      </w:r>
    </w:p>
    <w:p>
      <w:pPr>
        <w:pStyle w:val="TH"/>
        <w:rPr>
          <w:lang w:eastAsia="fr-FR"/>
        </w:rPr>
      </w:pPr>
      <w:r>
        <w:rPr>
          <w:lang w:eastAsia="fr-FR"/>
        </w:rPr>
        <w:drawing>
          <wp:inline distT="0" distB="0" distL="0" distR="0">
            <wp:extent cx="3961765" cy="2971165"/>
            <wp:effectExtent l="0" t="0" r="0" b="0"/>
            <wp:docPr id="32" name="Picture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9" descr=""/>
                    <pic:cNvPicPr>
                      <a:picLocks noChangeAspect="1" noChangeArrowheads="1"/>
                    </pic:cNvPicPr>
                  </pic:nvPicPr>
                  <pic:blipFill>
                    <a:blip r:embed="rId24"/>
                    <a:srcRect l="-6" t="-8" r="-6" b="-8"/>
                    <a:stretch>
                      <a:fillRect/>
                    </a:stretch>
                  </pic:blipFill>
                  <pic:spPr bwMode="auto">
                    <a:xfrm>
                      <a:off x="0" y="0"/>
                      <a:ext cx="3961765" cy="2971165"/>
                    </a:xfrm>
                    <a:prstGeom prst="rect">
                      <a:avLst/>
                    </a:prstGeom>
                  </pic:spPr>
                </pic:pic>
              </a:graphicData>
            </a:graphic>
          </wp:inline>
        </w:drawing>
      </w:r>
    </w:p>
    <w:p>
      <w:pPr>
        <w:pStyle w:val="TF"/>
        <w:rPr/>
      </w:pPr>
      <w:r>
        <w:rPr/>
        <w:t>Figure 4-14b: WB RLR for DUT B.</w:t>
      </w:r>
    </w:p>
    <w:p>
      <w:pPr>
        <w:pStyle w:val="Normal"/>
        <w:rPr/>
      </w:pPr>
      <w:r>
        <w:rPr/>
      </w:r>
    </w:p>
    <w:p>
      <w:pPr>
        <w:pStyle w:val="TH"/>
        <w:rPr>
          <w:lang w:eastAsia="fr-FR"/>
        </w:rPr>
      </w:pPr>
      <w:r>
        <w:rPr>
          <w:lang w:eastAsia="fr-FR"/>
        </w:rPr>
        <w:drawing>
          <wp:inline distT="0" distB="0" distL="0" distR="0">
            <wp:extent cx="4014470" cy="3010535"/>
            <wp:effectExtent l="0" t="0" r="0" b="0"/>
            <wp:docPr id="33" name="Picture 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8" descr=""/>
                    <pic:cNvPicPr>
                      <a:picLocks noChangeAspect="1" noChangeArrowheads="1"/>
                    </pic:cNvPicPr>
                  </pic:nvPicPr>
                  <pic:blipFill>
                    <a:blip r:embed="rId25"/>
                    <a:srcRect l="-6" t="-8" r="-6" b="-8"/>
                    <a:stretch>
                      <a:fillRect/>
                    </a:stretch>
                  </pic:blipFill>
                  <pic:spPr bwMode="auto">
                    <a:xfrm>
                      <a:off x="0" y="0"/>
                      <a:ext cx="4014470" cy="3010535"/>
                    </a:xfrm>
                    <a:prstGeom prst="rect">
                      <a:avLst/>
                    </a:prstGeom>
                  </pic:spPr>
                </pic:pic>
              </a:graphicData>
            </a:graphic>
          </wp:inline>
        </w:drawing>
      </w:r>
    </w:p>
    <w:p>
      <w:pPr>
        <w:pStyle w:val="TF"/>
        <w:rPr/>
      </w:pPr>
      <w:r>
        <w:rPr/>
        <w:t>Figure 4-14c: WB RLR for DUT C.</w:t>
      </w:r>
    </w:p>
    <w:p>
      <w:pPr>
        <w:pStyle w:val="Normal"/>
        <w:rPr/>
      </w:pPr>
      <w:r>
        <w:rPr/>
      </w:r>
    </w:p>
    <w:p>
      <w:pPr>
        <w:pStyle w:val="Heading4"/>
        <w:ind w:left="1418" w:hanging="1418"/>
        <w:rPr/>
      </w:pPr>
      <w:bookmarkStart w:id="49" w:name="__RefHeading___Toc19266974"/>
      <w:bookmarkEnd w:id="49"/>
      <w:r>
        <w:rPr/>
        <w:t>4.3.2.2</w:t>
        <w:tab/>
        <w:t>WB RFR</w:t>
      </w:r>
    </w:p>
    <w:p>
      <w:pPr>
        <w:pStyle w:val="Normal"/>
        <w:rPr/>
      </w:pPr>
      <w:r>
        <w:rPr/>
        <w:t>For each DUT, the WB frequency response was measured at the nominal volume control setting according to TS 26.131 clause 6.4.2 and TS 26.132 clause 8.4.2. The results for DUT A, B, and C, are provided in Figure 4-15. It may be observed that DUT A and DUT B do not meet WB RFR requirements, however DUT A is very close to fitting in the WB frequency mask.</w:t>
      </w:r>
    </w:p>
    <w:p>
      <w:pPr>
        <w:pStyle w:val="TH"/>
        <w:rPr>
          <w:lang w:eastAsia="fr-FR"/>
        </w:rPr>
      </w:pPr>
      <w:r>
        <w:rPr>
          <w:lang w:eastAsia="fr-FR"/>
        </w:rPr>
        <w:drawing>
          <wp:inline distT="0" distB="0" distL="0" distR="0">
            <wp:extent cx="4113530" cy="3085465"/>
            <wp:effectExtent l="0" t="0" r="0" b="0"/>
            <wp:docPr id="34" name="Picture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7" descr=""/>
                    <pic:cNvPicPr>
                      <a:picLocks noChangeAspect="1" noChangeArrowheads="1"/>
                    </pic:cNvPicPr>
                  </pic:nvPicPr>
                  <pic:blipFill>
                    <a:blip r:embed="rId26"/>
                    <a:srcRect l="-6" t="-8" r="-6" b="-8"/>
                    <a:stretch>
                      <a:fillRect/>
                    </a:stretch>
                  </pic:blipFill>
                  <pic:spPr bwMode="auto">
                    <a:xfrm>
                      <a:off x="0" y="0"/>
                      <a:ext cx="4113530" cy="3085465"/>
                    </a:xfrm>
                    <a:prstGeom prst="rect">
                      <a:avLst/>
                    </a:prstGeom>
                  </pic:spPr>
                </pic:pic>
              </a:graphicData>
            </a:graphic>
          </wp:inline>
        </w:drawing>
      </w:r>
    </w:p>
    <w:p>
      <w:pPr>
        <w:pStyle w:val="TF"/>
        <w:rPr/>
      </w:pPr>
      <w:r>
        <w:rPr/>
        <w:t>Figure 4-15: WB RFR for DUT A, B, and C at nominal volume control (1/12 octave band resolution)</w:t>
      </w:r>
    </w:p>
    <w:p>
      <w:pPr>
        <w:pStyle w:val="Heading3"/>
        <w:rPr>
          <w:color w:val="FF0000"/>
        </w:rPr>
      </w:pPr>
      <w:bookmarkStart w:id="50" w:name="__RefHeading___Toc19266975"/>
      <w:r>
        <w:rPr/>
        <w:t>4.3.3</w:t>
        <w:tab/>
        <w:t>Additional results on user studies and objective measurements</w:t>
      </w:r>
      <w:bookmarkEnd w:id="50"/>
      <w:r>
        <w:rPr/>
        <w:t xml:space="preserve"> </w:t>
      </w:r>
    </w:p>
    <w:p>
      <w:pPr>
        <w:pStyle w:val="Heading4"/>
        <w:ind w:left="1418" w:hanging="1418"/>
        <w:rPr/>
      </w:pPr>
      <w:bookmarkStart w:id="51" w:name="__RefHeading___Toc19266976"/>
      <w:bookmarkEnd w:id="51"/>
      <w:r>
        <w:rPr/>
        <w:t>4.3.3.1</w:t>
        <w:tab/>
        <w:t>General</w:t>
      </w:r>
    </w:p>
    <w:p>
      <w:pPr>
        <w:pStyle w:val="Normal"/>
        <w:rPr/>
      </w:pPr>
      <w:r>
        <w:rPr/>
        <w:t>In addition to acoustic measurements, two other types of evaluations were reported:</w:t>
      </w:r>
    </w:p>
    <w:p>
      <w:pPr>
        <w:pStyle w:val="B1"/>
        <w:rPr/>
      </w:pPr>
      <w:r>
        <w:rPr/>
        <w:t>-</w:t>
        <w:tab/>
        <w:t xml:space="preserve">Listening tests: Informal expert listening tests were conducted to evaluate the subjective quality of LTE WB voice calls with DUT A, B and C. </w:t>
      </w:r>
    </w:p>
    <w:p>
      <w:pPr>
        <w:pStyle w:val="B1"/>
        <w:rPr/>
      </w:pPr>
      <w:r>
        <w:rPr/>
        <w:t>-</w:t>
        <w:tab/>
        <w:t>User feedback from commercial deployment.</w:t>
      </w:r>
    </w:p>
    <w:p>
      <w:pPr>
        <w:pStyle w:val="Normal"/>
        <w:rPr/>
      </w:pPr>
      <w:r>
        <w:rPr/>
        <w:t>The following observations can be made based on these evaluations for DUT B:</w:t>
      </w:r>
    </w:p>
    <w:p>
      <w:pPr>
        <w:pStyle w:val="B1"/>
        <w:rPr/>
      </w:pPr>
      <w:r>
        <w:rPr/>
        <w:t>-</w:t>
        <w:tab/>
        <w:t>The vibration of the display was found to be very noticeable at maximum volume control, including some vibration felt in fingers and the hand, and some issues of privacy were also reported (i.e. the voice call may be heard by neighbouring people from the back of the phone, in contrast to traditional UEs with an ear piece in handset mode which do not exhibit such behaviour).</w:t>
      </w:r>
    </w:p>
    <w:p>
      <w:pPr>
        <w:pStyle w:val="B1"/>
        <w:rPr/>
      </w:pPr>
      <w:r>
        <w:rPr/>
        <w:t>-</w:t>
        <w:tab/>
        <w:t xml:space="preserve">Depending on far-end voice characteristics (e.g. male or female talker), it was noted that the voice timbre can be quite distorted when listening at maximum volume control. </w:t>
      </w:r>
    </w:p>
    <w:p>
      <w:pPr>
        <w:pStyle w:val="B1"/>
        <w:rPr/>
      </w:pPr>
      <w:r>
        <w:rPr/>
        <w:t>-</w:t>
        <w:tab/>
        <w:t>Voice quality was found to be distorted by out-of-band noise, especially at higher maximum volume settings. This noise is present in the WB case (frequencies&gt; 7kHz) and it is even more noticeable in NB (frequencies &gt; 4kHz).</w:t>
      </w:r>
    </w:p>
    <w:p>
      <w:pPr>
        <w:pStyle w:val="Normal"/>
        <w:rPr/>
      </w:pPr>
      <w:r>
        <w:rPr/>
        <w:t>To address these issues, the following test cases are proposed to be included in TS 26.131 and TS 26.132.</w:t>
      </w:r>
    </w:p>
    <w:p>
      <w:pPr>
        <w:pStyle w:val="Heading4"/>
        <w:ind w:left="1418" w:hanging="1418"/>
        <w:rPr/>
      </w:pPr>
      <w:bookmarkStart w:id="52" w:name="__RefHeading___Toc19266977"/>
      <w:bookmarkEnd w:id="52"/>
      <w:r>
        <w:rPr/>
        <w:t>4.3.3.2</w:t>
        <w:tab/>
        <w:t>Additional test cases to complement TS 26.131 and TS 26.132</w:t>
      </w:r>
    </w:p>
    <w:p>
      <w:pPr>
        <w:pStyle w:val="Heading5"/>
        <w:ind w:left="1701" w:hanging="1701"/>
        <w:rPr/>
      </w:pPr>
      <w:bookmarkStart w:id="53" w:name="__RefHeading___Toc19266978"/>
      <w:bookmarkEnd w:id="53"/>
      <w:r>
        <w:rPr/>
        <w:t>4.3.3.2.1</w:t>
        <w:tab/>
        <w:t>Out-of-band energy level measurement from SWB RFR measurement</w:t>
      </w:r>
    </w:p>
    <w:p>
      <w:pPr>
        <w:pStyle w:val="Normal"/>
        <w:rPr/>
      </w:pPr>
      <w:r>
        <w:rPr/>
        <w:t xml:space="preserve">Figures 4-16a and 4-16b show the SWB RFR data measured at maximum and nominal volume control, when using the SWB RFR test method specified in TS 26.131 clause 7.4.2.1 and TS 26.132 clause 9.4.2.1, for the WB phones under test (DUT A to C). This measurement provides a frequency analysis range extended to the at least [100, 16000] Hz. </w:t>
      </w:r>
    </w:p>
    <w:p>
      <w:pPr>
        <w:pStyle w:val="NO"/>
        <w:rPr/>
      </w:pPr>
      <w:r>
        <w:rPr/>
        <w:t>NOTE 1: The SWB RFR test method in TS 26.132 specifies that a double resolution (1/12 octaves and 1/3 octaves) is used for measurement, however the 1/12 octave band is hard-limited to a maximum frequency of about 8 kHz in the setup used in this study. Therefore only 1/3 octave band results are reported in Figures 4-16a and 4-16b.</w:t>
      </w:r>
    </w:p>
    <w:p>
      <w:pPr>
        <w:pStyle w:val="NO"/>
        <w:rPr/>
      </w:pPr>
      <w:r>
        <w:rPr/>
        <w:t>NOTE 2: The SWB frequency masks in Figures 4-16a and 4-16b do not apply in the WB case and they are only used for information.</w:t>
      </w:r>
    </w:p>
    <w:p>
      <w:pPr>
        <w:pStyle w:val="NO"/>
        <w:rPr/>
      </w:pPr>
      <w:r>
        <w:rPr/>
        <w:t>NOTE 3: It was observed that DUT A has signal saturations (with clipped audio) in two specific time segments in the 23-25s time interval when volume control is set to maximum in receiving (recalling that the RFR test signal consisting of concatenated British English single sentences is about 35s long); such saturations were observed only for DUT A and only at maximum volume control and it should be considered when interpreting the estimated frequency response.</w:t>
      </w:r>
    </w:p>
    <w:p>
      <w:pPr>
        <w:pStyle w:val="TH"/>
        <w:rPr>
          <w:lang w:eastAsia="fr-FR"/>
        </w:rPr>
      </w:pPr>
      <w:r>
        <w:rPr>
          <w:lang w:eastAsia="fr-FR"/>
        </w:rPr>
        <w:drawing>
          <wp:inline distT="0" distB="0" distL="0" distR="0">
            <wp:extent cx="4447540" cy="3326765"/>
            <wp:effectExtent l="0" t="0" r="0" b="0"/>
            <wp:docPr id="35" name="Picture 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6" descr=""/>
                    <pic:cNvPicPr>
                      <a:picLocks noChangeAspect="1" noChangeArrowheads="1"/>
                    </pic:cNvPicPr>
                  </pic:nvPicPr>
                  <pic:blipFill>
                    <a:blip r:embed="rId27"/>
                    <a:srcRect l="-6" t="-8" r="-6" b="-8"/>
                    <a:stretch>
                      <a:fillRect/>
                    </a:stretch>
                  </pic:blipFill>
                  <pic:spPr bwMode="auto">
                    <a:xfrm>
                      <a:off x="0" y="0"/>
                      <a:ext cx="4447540" cy="3326765"/>
                    </a:xfrm>
                    <a:prstGeom prst="rect">
                      <a:avLst/>
                    </a:prstGeom>
                  </pic:spPr>
                </pic:pic>
              </a:graphicData>
            </a:graphic>
          </wp:inline>
        </w:drawing>
      </w:r>
    </w:p>
    <w:p>
      <w:pPr>
        <w:pStyle w:val="TF"/>
        <w:rPr/>
      </w:pPr>
      <w:r>
        <w:rPr/>
        <w:t>Figure 4-16a: RFR for DUT A, B, and C with extended frequency range and 1/3 octave band analysis (maximum volume control)</w:t>
      </w:r>
    </w:p>
    <w:p>
      <w:pPr>
        <w:pStyle w:val="FP"/>
        <w:rPr/>
      </w:pPr>
      <w:r>
        <w:rPr/>
      </w:r>
    </w:p>
    <w:p>
      <w:pPr>
        <w:pStyle w:val="TH"/>
        <w:rPr>
          <w:lang w:eastAsia="fr-FR"/>
        </w:rPr>
      </w:pPr>
      <w:r>
        <w:rPr>
          <w:lang w:eastAsia="fr-FR"/>
        </w:rPr>
        <w:drawing>
          <wp:inline distT="0" distB="0" distL="0" distR="0">
            <wp:extent cx="4523105" cy="3392170"/>
            <wp:effectExtent l="0" t="0" r="0" b="0"/>
            <wp:docPr id="36" name="Picture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5" descr=""/>
                    <pic:cNvPicPr>
                      <a:picLocks noChangeAspect="1" noChangeArrowheads="1"/>
                    </pic:cNvPicPr>
                  </pic:nvPicPr>
                  <pic:blipFill>
                    <a:blip r:embed="rId28"/>
                    <a:srcRect l="-6" t="-8" r="-6" b="-8"/>
                    <a:stretch>
                      <a:fillRect/>
                    </a:stretch>
                  </pic:blipFill>
                  <pic:spPr bwMode="auto">
                    <a:xfrm>
                      <a:off x="0" y="0"/>
                      <a:ext cx="4523105" cy="3392170"/>
                    </a:xfrm>
                    <a:prstGeom prst="rect">
                      <a:avLst/>
                    </a:prstGeom>
                  </pic:spPr>
                </pic:pic>
              </a:graphicData>
            </a:graphic>
          </wp:inline>
        </w:drawing>
      </w:r>
    </w:p>
    <w:p>
      <w:pPr>
        <w:pStyle w:val="TF"/>
        <w:rPr/>
      </w:pPr>
      <w:r>
        <w:rPr/>
        <w:t>Figure 4-16b: RFR for DUT A, B, and C with extended frequency range and 1/3 octave band analysis (nominal volume control)</w:t>
      </w:r>
    </w:p>
    <w:p>
      <w:pPr>
        <w:pStyle w:val="Normal"/>
        <w:rPr/>
      </w:pPr>
      <w:r>
        <w:rPr/>
        <w:t>It can be noted that DUT B has some out-of-band energy in the 1/3 octave bands centered at 8 and 10 kHz. One caution is that the test signal is typically pre-processed with a pass-band filter which does not allow conducting a spectral analysis in the stop band region, therefore results above 12.5 kHz are not relevant here.</w:t>
      </w:r>
    </w:p>
    <w:p>
      <w:pPr>
        <w:pStyle w:val="Normal"/>
        <w:rPr/>
      </w:pPr>
      <w:r>
        <w:rPr/>
        <w:t>To complement the 1/3 octave band analysis, the test signals recorded when measuring SWB RFR at nominal volume control were also directly analysed. These recorded signals are sampled at 48 kHz, and a periodogram using an FFT size of 4096 samples, with Hanning window and 75 % overlap is reported in Figure 4-17.</w:t>
      </w:r>
    </w:p>
    <w:p>
      <w:pPr>
        <w:pStyle w:val="TH"/>
        <w:rPr>
          <w:lang w:eastAsia="fr-FR"/>
        </w:rPr>
      </w:pPr>
      <w:r>
        <w:rPr>
          <w:lang w:eastAsia="fr-FR"/>
        </w:rPr>
        <w:drawing>
          <wp:inline distT="0" distB="0" distL="0" distR="0">
            <wp:extent cx="4025900" cy="3023870"/>
            <wp:effectExtent l="0" t="0" r="0" b="0"/>
            <wp:docPr id="37" name="Picture 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4" descr=""/>
                    <pic:cNvPicPr>
                      <a:picLocks noChangeAspect="1" noChangeArrowheads="1"/>
                    </pic:cNvPicPr>
                  </pic:nvPicPr>
                  <pic:blipFill>
                    <a:blip r:embed="rId29"/>
                    <a:srcRect l="-6" t="-8" r="-6" b="-8"/>
                    <a:stretch>
                      <a:fillRect/>
                    </a:stretch>
                  </pic:blipFill>
                  <pic:spPr bwMode="auto">
                    <a:xfrm>
                      <a:off x="0" y="0"/>
                      <a:ext cx="4025900" cy="3023870"/>
                    </a:xfrm>
                    <a:prstGeom prst="rect">
                      <a:avLst/>
                    </a:prstGeom>
                  </pic:spPr>
                </pic:pic>
              </a:graphicData>
            </a:graphic>
          </wp:inline>
        </w:drawing>
      </w:r>
    </w:p>
    <w:p>
      <w:pPr>
        <w:pStyle w:val="TF"/>
        <w:rPr/>
      </w:pPr>
      <w:r>
        <w:rPr/>
        <w:t>Figure 4-17: Periodogram of SWB RFR output test signal for DUT A, B, and C (nominal volume control)</w:t>
      </w:r>
    </w:p>
    <w:p>
      <w:pPr>
        <w:pStyle w:val="Normal"/>
        <w:rPr/>
      </w:pPr>
      <w:r>
        <w:rPr/>
        <w:t>The out-of-band energy level is shown to be significantly higher for DUT B.</w:t>
      </w:r>
    </w:p>
    <w:p>
      <w:pPr>
        <w:pStyle w:val="Normal"/>
        <w:rPr/>
      </w:pPr>
      <w:r>
        <w:rPr/>
        <w:t>Test results are provided here only for WB terminals; however, it was found that the same out-of-band energy issue is even more noticeable when the same phone (DUT B) operates in NB.</w:t>
      </w:r>
    </w:p>
    <w:p>
      <w:pPr>
        <w:pStyle w:val="Heading5"/>
        <w:ind w:left="1701" w:hanging="1701"/>
        <w:rPr/>
      </w:pPr>
      <w:bookmarkStart w:id="54" w:name="__RefHeading___Toc19266979"/>
      <w:bookmarkEnd w:id="54"/>
      <w:r>
        <w:rPr/>
        <w:t>4.3.3.2.2</w:t>
        <w:tab/>
        <w:t>P.863 measurement</w:t>
      </w:r>
    </w:p>
    <w:p>
      <w:pPr>
        <w:pStyle w:val="Normal"/>
        <w:rPr/>
      </w:pPr>
      <w:r>
        <w:rPr/>
        <w:t>The measured values (using POLQA v2.4) for DUT A, B, and C, at nominal and maximum volume control are reported in Table 4-9. It may be noted that the MOS-LQO value measured at nominal level ('Test Condition 0') for delay tests specified in TS 26.131, clause 6.11.1 and TS 26.132, clause 8.10.4 is already part of existing test cases. In principle, no extra measurement is therefore necessary for the nominal case; one may consider at least reporting this value for the nominal case.</w:t>
      </w:r>
    </w:p>
    <w:p>
      <w:pPr>
        <w:pStyle w:val="Normal"/>
        <w:rPr/>
      </w:pPr>
      <w:r>
        <w:rPr/>
        <w:t>The values reported in Table 4-9 may be used to quantify quality issues reported in user feedbacks.</w:t>
      </w:r>
    </w:p>
    <w:p>
      <w:pPr>
        <w:pStyle w:val="TH"/>
        <w:rPr/>
      </w:pPr>
      <w:r>
        <w:rPr/>
        <w:t>Table 4-9: DUT description</w:t>
      </w:r>
    </w:p>
    <w:tbl>
      <w:tblPr>
        <w:tblW w:w="6680" w:type="dxa"/>
        <w:jc w:val="center"/>
        <w:tblInd w:w="0" w:type="dxa"/>
        <w:tblLayout w:type="fixed"/>
        <w:tblCellMar>
          <w:top w:w="0" w:type="dxa"/>
          <w:left w:w="108" w:type="dxa"/>
          <w:bottom w:w="0" w:type="dxa"/>
          <w:right w:w="108" w:type="dxa"/>
        </w:tblCellMar>
      </w:tblPr>
      <w:tblGrid>
        <w:gridCol w:w="1314"/>
        <w:gridCol w:w="2683"/>
        <w:gridCol w:w="2683"/>
      </w:tblGrid>
      <w:tr>
        <w:trPr/>
        <w:tc>
          <w:tcPr>
            <w:tcW w:w="1314" w:type="dxa"/>
            <w:tcBorders>
              <w:top w:val="single" w:sz="4" w:space="0" w:color="000000"/>
              <w:left w:val="single" w:sz="4" w:space="0" w:color="000000"/>
              <w:bottom w:val="single" w:sz="4" w:space="0" w:color="000000"/>
              <w:right w:val="single" w:sz="4" w:space="0" w:color="000000"/>
            </w:tcBorders>
          </w:tcPr>
          <w:p>
            <w:pPr>
              <w:pStyle w:val="TAH"/>
              <w:rPr/>
            </w:pPr>
            <w:r>
              <w:rPr/>
              <w:t>DUT</w:t>
            </w:r>
          </w:p>
        </w:tc>
        <w:tc>
          <w:tcPr>
            <w:tcW w:w="2683" w:type="dxa"/>
            <w:tcBorders>
              <w:top w:val="single" w:sz="4" w:space="0" w:color="000000"/>
              <w:left w:val="single" w:sz="4" w:space="0" w:color="000000"/>
              <w:bottom w:val="single" w:sz="4" w:space="0" w:color="000000"/>
              <w:right w:val="single" w:sz="4" w:space="0" w:color="000000"/>
            </w:tcBorders>
          </w:tcPr>
          <w:p>
            <w:pPr>
              <w:pStyle w:val="TAH"/>
              <w:rPr/>
            </w:pPr>
            <w:r>
              <w:rPr/>
              <w:t>MOS-LQO</w:t>
            </w:r>
            <w:r>
              <w:rPr>
                <w:vertAlign w:val="subscript"/>
              </w:rPr>
              <w:t>TEST</w:t>
            </w:r>
            <w:r>
              <w:rPr/>
              <w:t xml:space="preserve"> at</w:t>
            </w:r>
          </w:p>
          <w:p>
            <w:pPr>
              <w:pStyle w:val="TAH"/>
              <w:rPr/>
            </w:pPr>
            <w:r>
              <w:rPr/>
              <w:t>nominal volume control</w:t>
            </w:r>
          </w:p>
        </w:tc>
        <w:tc>
          <w:tcPr>
            <w:tcW w:w="2683" w:type="dxa"/>
            <w:tcBorders>
              <w:top w:val="single" w:sz="4" w:space="0" w:color="000000"/>
              <w:left w:val="single" w:sz="4" w:space="0" w:color="000000"/>
              <w:bottom w:val="single" w:sz="4" w:space="0" w:color="000000"/>
              <w:right w:val="single" w:sz="4" w:space="0" w:color="000000"/>
            </w:tcBorders>
          </w:tcPr>
          <w:p>
            <w:pPr>
              <w:pStyle w:val="TAH"/>
              <w:rPr/>
            </w:pPr>
            <w:r>
              <w:rPr/>
              <w:t>MOS-LQO</w:t>
            </w:r>
            <w:r>
              <w:rPr>
                <w:vertAlign w:val="subscript"/>
              </w:rPr>
              <w:t>TEST</w:t>
            </w:r>
            <w:r>
              <w:rPr/>
              <w:t xml:space="preserve"> at</w:t>
            </w:r>
          </w:p>
          <w:p>
            <w:pPr>
              <w:pStyle w:val="TAH"/>
              <w:rPr/>
            </w:pPr>
            <w:r>
              <w:rPr/>
              <w:t>maximum volume control</w:t>
            </w:r>
          </w:p>
        </w:tc>
      </w:tr>
      <w:tr>
        <w:trPr/>
        <w:tc>
          <w:tcPr>
            <w:tcW w:w="1314" w:type="dxa"/>
            <w:tcBorders>
              <w:top w:val="single" w:sz="4" w:space="0" w:color="000000"/>
              <w:left w:val="single" w:sz="4" w:space="0" w:color="000000"/>
              <w:bottom w:val="single" w:sz="4" w:space="0" w:color="000000"/>
              <w:right w:val="single" w:sz="4" w:space="0" w:color="000000"/>
            </w:tcBorders>
          </w:tcPr>
          <w:p>
            <w:pPr>
              <w:pStyle w:val="TAC"/>
              <w:rPr/>
            </w:pPr>
            <w:r>
              <w:rPr/>
              <w:t>A</w:t>
            </w:r>
          </w:p>
        </w:tc>
        <w:tc>
          <w:tcPr>
            <w:tcW w:w="2683" w:type="dxa"/>
            <w:tcBorders>
              <w:top w:val="single" w:sz="4" w:space="0" w:color="000000"/>
              <w:left w:val="single" w:sz="4" w:space="0" w:color="000000"/>
              <w:bottom w:val="single" w:sz="4" w:space="0" w:color="000000"/>
              <w:right w:val="single" w:sz="4" w:space="0" w:color="000000"/>
            </w:tcBorders>
          </w:tcPr>
          <w:p>
            <w:pPr>
              <w:pStyle w:val="TAC"/>
              <w:rPr/>
            </w:pPr>
            <w:r>
              <w:rPr/>
              <w:t>3.3</w:t>
            </w:r>
          </w:p>
        </w:tc>
        <w:tc>
          <w:tcPr>
            <w:tcW w:w="2683" w:type="dxa"/>
            <w:tcBorders>
              <w:top w:val="single" w:sz="4" w:space="0" w:color="000000"/>
              <w:left w:val="single" w:sz="4" w:space="0" w:color="000000"/>
              <w:bottom w:val="single" w:sz="4" w:space="0" w:color="000000"/>
              <w:right w:val="single" w:sz="4" w:space="0" w:color="000000"/>
            </w:tcBorders>
          </w:tcPr>
          <w:p>
            <w:pPr>
              <w:pStyle w:val="TAC"/>
              <w:rPr/>
            </w:pPr>
            <w:r>
              <w:rPr/>
              <w:t>3.5</w:t>
            </w:r>
          </w:p>
        </w:tc>
      </w:tr>
      <w:tr>
        <w:trPr/>
        <w:tc>
          <w:tcPr>
            <w:tcW w:w="1314" w:type="dxa"/>
            <w:tcBorders>
              <w:top w:val="single" w:sz="4" w:space="0" w:color="000000"/>
              <w:left w:val="single" w:sz="4" w:space="0" w:color="000000"/>
              <w:bottom w:val="single" w:sz="4" w:space="0" w:color="000000"/>
              <w:right w:val="single" w:sz="4" w:space="0" w:color="000000"/>
            </w:tcBorders>
          </w:tcPr>
          <w:p>
            <w:pPr>
              <w:pStyle w:val="TAC"/>
              <w:rPr/>
            </w:pPr>
            <w:r>
              <w:rPr/>
              <w:t>B</w:t>
            </w:r>
          </w:p>
        </w:tc>
        <w:tc>
          <w:tcPr>
            <w:tcW w:w="2683" w:type="dxa"/>
            <w:tcBorders>
              <w:top w:val="single" w:sz="4" w:space="0" w:color="000000"/>
              <w:left w:val="single" w:sz="4" w:space="0" w:color="000000"/>
              <w:bottom w:val="single" w:sz="4" w:space="0" w:color="000000"/>
              <w:right w:val="single" w:sz="4" w:space="0" w:color="000000"/>
            </w:tcBorders>
          </w:tcPr>
          <w:p>
            <w:pPr>
              <w:pStyle w:val="TAC"/>
              <w:rPr/>
            </w:pPr>
            <w:r>
              <w:rPr/>
              <w:t>2.6</w:t>
            </w:r>
          </w:p>
        </w:tc>
        <w:tc>
          <w:tcPr>
            <w:tcW w:w="2683" w:type="dxa"/>
            <w:tcBorders>
              <w:top w:val="single" w:sz="4" w:space="0" w:color="000000"/>
              <w:left w:val="single" w:sz="4" w:space="0" w:color="000000"/>
              <w:bottom w:val="single" w:sz="4" w:space="0" w:color="000000"/>
              <w:right w:val="single" w:sz="4" w:space="0" w:color="000000"/>
            </w:tcBorders>
          </w:tcPr>
          <w:p>
            <w:pPr>
              <w:pStyle w:val="TAC"/>
              <w:rPr/>
            </w:pPr>
            <w:r>
              <w:rPr/>
              <w:t>2.6</w:t>
            </w:r>
          </w:p>
        </w:tc>
      </w:tr>
      <w:tr>
        <w:trPr/>
        <w:tc>
          <w:tcPr>
            <w:tcW w:w="1314"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2683" w:type="dxa"/>
            <w:tcBorders>
              <w:top w:val="single" w:sz="4" w:space="0" w:color="000000"/>
              <w:left w:val="single" w:sz="4" w:space="0" w:color="000000"/>
              <w:bottom w:val="single" w:sz="4" w:space="0" w:color="000000"/>
              <w:right w:val="single" w:sz="4" w:space="0" w:color="000000"/>
            </w:tcBorders>
          </w:tcPr>
          <w:p>
            <w:pPr>
              <w:pStyle w:val="TAC"/>
              <w:rPr/>
            </w:pPr>
            <w:r>
              <w:rPr/>
              <w:t>3.8</w:t>
            </w:r>
          </w:p>
        </w:tc>
        <w:tc>
          <w:tcPr>
            <w:tcW w:w="2683" w:type="dxa"/>
            <w:tcBorders>
              <w:top w:val="single" w:sz="4" w:space="0" w:color="000000"/>
              <w:left w:val="single" w:sz="4" w:space="0" w:color="000000"/>
              <w:bottom w:val="single" w:sz="4" w:space="0" w:color="000000"/>
              <w:right w:val="single" w:sz="4" w:space="0" w:color="000000"/>
            </w:tcBorders>
          </w:tcPr>
          <w:p>
            <w:pPr>
              <w:pStyle w:val="TAC"/>
              <w:rPr/>
            </w:pPr>
            <w:r>
              <w:rPr/>
              <w:t>3.5</w:t>
            </w:r>
          </w:p>
        </w:tc>
      </w:tr>
    </w:tbl>
    <w:p>
      <w:pPr>
        <w:pStyle w:val="FP"/>
        <w:rPr/>
      </w:pPr>
      <w:r>
        <w:rPr/>
      </w:r>
    </w:p>
    <w:p>
      <w:pPr>
        <w:pStyle w:val="Heading5"/>
        <w:ind w:left="1701" w:hanging="1701"/>
        <w:rPr/>
      </w:pPr>
      <w:bookmarkStart w:id="55" w:name="__RefHeading___Toc19266980"/>
      <w:bookmarkEnd w:id="55"/>
      <w:r>
        <w:rPr/>
        <w:t>4.3.3.2.3</w:t>
        <w:tab/>
        <w:t xml:space="preserve">WB RFR </w:t>
      </w:r>
      <w:r>
        <w:rPr>
          <w:rFonts w:cs="Arial"/>
        </w:rPr>
        <w:t>at maximum volume control</w:t>
      </w:r>
    </w:p>
    <w:p>
      <w:pPr>
        <w:pStyle w:val="Normal"/>
        <w:rPr/>
      </w:pPr>
      <w:r>
        <w:rPr/>
        <w:t xml:space="preserve">TS 26.132 clause 5.1 specifies that nominal volume control should be used for RFR measurement. The measured WB RFR at three volume control settings (minimum, nominal, and maximum) is shown in Figures 4-18a, 4-18b, and 4-18c for DUT A, B and C. </w:t>
      </w:r>
    </w:p>
    <w:p>
      <w:pPr>
        <w:pStyle w:val="Normal"/>
        <w:rPr/>
      </w:pPr>
      <w:r>
        <w:rPr/>
        <w:t>It can be observed that RFR at maximum volume control is spectrally less balanced than at nominal and minimum volume position for DUTs A and B, while for a traditional UE such as DUT C the RFR does not vary significantly across the volume range. This may explain the user feedback on timbre degradation reporting for the maximum volume settings.</w:t>
      </w:r>
    </w:p>
    <w:p>
      <w:pPr>
        <w:pStyle w:val="TH"/>
        <w:rPr>
          <w:lang w:eastAsia="fr-FR"/>
        </w:rPr>
      </w:pPr>
      <w:r>
        <w:rPr>
          <w:lang w:eastAsia="fr-FR"/>
        </w:rPr>
        <w:drawing>
          <wp:inline distT="0" distB="0" distL="0" distR="0">
            <wp:extent cx="3604895" cy="2703195"/>
            <wp:effectExtent l="0" t="0" r="0" b="0"/>
            <wp:docPr id="38" name="Picture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83" descr=""/>
                    <pic:cNvPicPr>
                      <a:picLocks noChangeAspect="1" noChangeArrowheads="1"/>
                    </pic:cNvPicPr>
                  </pic:nvPicPr>
                  <pic:blipFill>
                    <a:blip r:embed="rId30"/>
                    <a:srcRect l="-6" t="-8" r="-6" b="-8"/>
                    <a:stretch>
                      <a:fillRect/>
                    </a:stretch>
                  </pic:blipFill>
                  <pic:spPr bwMode="auto">
                    <a:xfrm>
                      <a:off x="0" y="0"/>
                      <a:ext cx="3604895" cy="2703195"/>
                    </a:xfrm>
                    <a:prstGeom prst="rect">
                      <a:avLst/>
                    </a:prstGeom>
                  </pic:spPr>
                </pic:pic>
              </a:graphicData>
            </a:graphic>
          </wp:inline>
        </w:drawing>
      </w:r>
    </w:p>
    <w:p>
      <w:pPr>
        <w:pStyle w:val="TF"/>
        <w:rPr/>
      </w:pPr>
      <w:r>
        <w:rPr/>
        <w:t>Figure 4-18a: WB RFR for DUT A at minimum, nominal and maximum volume control</w:t>
      </w:r>
    </w:p>
    <w:p>
      <w:pPr>
        <w:pStyle w:val="Normal"/>
        <w:rPr/>
      </w:pPr>
      <w:r>
        <w:rPr/>
      </w:r>
    </w:p>
    <w:p>
      <w:pPr>
        <w:pStyle w:val="TH"/>
        <w:rPr>
          <w:lang w:eastAsia="fr-FR"/>
        </w:rPr>
      </w:pPr>
      <w:r>
        <w:rPr>
          <w:lang w:eastAsia="fr-FR"/>
        </w:rPr>
        <w:drawing>
          <wp:inline distT="0" distB="0" distL="0" distR="0">
            <wp:extent cx="3938270" cy="2944495"/>
            <wp:effectExtent l="0" t="0" r="0" b="0"/>
            <wp:docPr id="39" name="Picture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82" descr=""/>
                    <pic:cNvPicPr>
                      <a:picLocks noChangeAspect="1" noChangeArrowheads="1"/>
                    </pic:cNvPicPr>
                  </pic:nvPicPr>
                  <pic:blipFill>
                    <a:blip r:embed="rId31"/>
                    <a:srcRect l="-6" t="-8" r="-6" b="-8"/>
                    <a:stretch>
                      <a:fillRect/>
                    </a:stretch>
                  </pic:blipFill>
                  <pic:spPr bwMode="auto">
                    <a:xfrm>
                      <a:off x="0" y="0"/>
                      <a:ext cx="3938270" cy="2944495"/>
                    </a:xfrm>
                    <a:prstGeom prst="rect">
                      <a:avLst/>
                    </a:prstGeom>
                  </pic:spPr>
                </pic:pic>
              </a:graphicData>
            </a:graphic>
          </wp:inline>
        </w:drawing>
      </w:r>
    </w:p>
    <w:p>
      <w:pPr>
        <w:pStyle w:val="TF"/>
        <w:rPr/>
      </w:pPr>
      <w:r>
        <w:rPr/>
        <w:t>Figure 4-18b: WB RFR for DUT B at minimum, nominal and maximum volume control</w:t>
      </w:r>
    </w:p>
    <w:p>
      <w:pPr>
        <w:pStyle w:val="Normal"/>
        <w:rPr/>
      </w:pPr>
      <w:r>
        <w:rPr/>
      </w:r>
    </w:p>
    <w:p>
      <w:pPr>
        <w:pStyle w:val="TH"/>
        <w:rPr>
          <w:lang w:eastAsia="fr-FR"/>
        </w:rPr>
      </w:pPr>
      <w:r>
        <w:rPr>
          <w:lang w:eastAsia="fr-FR"/>
        </w:rPr>
        <w:drawing>
          <wp:inline distT="0" distB="0" distL="0" distR="0">
            <wp:extent cx="4002405" cy="2997200"/>
            <wp:effectExtent l="0" t="0" r="0" b="0"/>
            <wp:docPr id="40" name="Picture 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1" descr=""/>
                    <pic:cNvPicPr>
                      <a:picLocks noChangeAspect="1" noChangeArrowheads="1"/>
                    </pic:cNvPicPr>
                  </pic:nvPicPr>
                  <pic:blipFill>
                    <a:blip r:embed="rId32"/>
                    <a:srcRect l="-6" t="-8" r="-6" b="-8"/>
                    <a:stretch>
                      <a:fillRect/>
                    </a:stretch>
                  </pic:blipFill>
                  <pic:spPr bwMode="auto">
                    <a:xfrm>
                      <a:off x="0" y="0"/>
                      <a:ext cx="4002405" cy="2997200"/>
                    </a:xfrm>
                    <a:prstGeom prst="rect">
                      <a:avLst/>
                    </a:prstGeom>
                  </pic:spPr>
                </pic:pic>
              </a:graphicData>
            </a:graphic>
          </wp:inline>
        </w:drawing>
      </w:r>
    </w:p>
    <w:p>
      <w:pPr>
        <w:pStyle w:val="TF"/>
        <w:rPr/>
      </w:pPr>
      <w:r>
        <w:rPr/>
        <w:t>Figure 4-18c: WB RFR for DUT C at minimum, nominal and maximum volume control</w:t>
      </w:r>
    </w:p>
    <w:p>
      <w:pPr>
        <w:pStyle w:val="NO"/>
        <w:rPr/>
      </w:pPr>
      <w:r>
        <w:rPr/>
        <w:t>NOTE:</w:t>
        <w:tab/>
        <w:t>It was observed that DUT A has signal saturations (with clipped audio) in two specific time segments in the 23-25s time interval when volume control is set to maximum in receiving (recalling that the RFR test signal consisting of concatenated British English single sentences is about 35s long); such saturations were observed only for DUT A and only at maximum volume control and it should be taken into account when interpreting the estimated frequency response.</w:t>
      </w:r>
    </w:p>
    <w:p>
      <w:pPr>
        <w:pStyle w:val="Heading3"/>
        <w:rPr>
          <w:color w:val="FF0000"/>
        </w:rPr>
      </w:pPr>
      <w:bookmarkStart w:id="56" w:name="__RefHeading___Toc19266981"/>
      <w:r>
        <w:rPr/>
        <w:t>4.3.4</w:t>
        <w:tab/>
        <w:t>Discussion</w:t>
      </w:r>
      <w:bookmarkEnd w:id="56"/>
      <w:r>
        <w:rPr/>
        <w:t xml:space="preserve"> </w:t>
      </w:r>
    </w:p>
    <w:p>
      <w:pPr>
        <w:pStyle w:val="Normal"/>
        <w:rPr/>
      </w:pPr>
      <w:r>
        <w:rPr/>
        <w:t>The results presented in clause 4.3.2 show that acoustic measurements according to 3GPP TS 26.131 and 26.132 can be conducted on handset UEs featuring non-traditional earpieces, when MECRP and mounting position information are provided.</w:t>
      </w:r>
    </w:p>
    <w:p>
      <w:pPr>
        <w:pStyle w:val="Heading2"/>
        <w:rPr/>
      </w:pPr>
      <w:bookmarkStart w:id="57" w:name="__RefHeading___Toc19266982"/>
      <w:bookmarkEnd w:id="57"/>
      <w:r>
        <w:rPr/>
        <w:t>4.4</w:t>
        <w:tab/>
        <w:t>Acoustic measurements according to 3GPP TS 26.131 and TS 26.132 with various mounting conditions and test equipment</w:t>
      </w:r>
    </w:p>
    <w:p>
      <w:pPr>
        <w:pStyle w:val="Heading3"/>
        <w:rPr/>
      </w:pPr>
      <w:bookmarkStart w:id="58" w:name="__RefHeading___Toc19266983"/>
      <w:bookmarkEnd w:id="58"/>
      <w:r>
        <w:rPr/>
        <w:t>4.4.1</w:t>
        <w:tab/>
        <w:t>Introduction</w:t>
      </w:r>
    </w:p>
    <w:p>
      <w:pPr>
        <w:pStyle w:val="Normal"/>
        <w:rPr/>
      </w:pPr>
      <w:r>
        <w:rPr/>
        <w:t>3GPP handset terminal acoustic test methodologies [1] and requirements [2] were developed for UE designs supporting traditional earpieces. However, handset manufacturers are now selling UE's featuring non-traditional earpieces (HaNTE devices) such as vibrating display handsets. In the present study, standard acoustic terminal tests defined in [1] are performed on two commercially available HaNTE devices to determine the applicability of such methodologies to vibrating display handsets. The measurements are repeated with multiple mounting positions and at several measurement points along the handset's display. Variability and considerations specific to HaNTE acoustic measurements are discussed.</w:t>
      </w:r>
    </w:p>
    <w:p>
      <w:pPr>
        <w:pStyle w:val="Heading3"/>
        <w:rPr/>
      </w:pPr>
      <w:bookmarkStart w:id="59" w:name="__RefHeading___Toc19266984"/>
      <w:bookmarkEnd w:id="59"/>
      <w:r>
        <w:rPr/>
        <w:t>4.4.2</w:t>
        <w:tab/>
        <w:t>Test Setup</w:t>
      </w:r>
    </w:p>
    <w:p>
      <w:pPr>
        <w:pStyle w:val="Normal"/>
        <w:rPr/>
      </w:pPr>
      <w:r>
        <w:rPr/>
        <w:t>Two measurements are made for each device:</w:t>
      </w:r>
    </w:p>
    <w:p>
      <w:pPr>
        <w:pStyle w:val="B1"/>
        <w:rPr/>
      </w:pPr>
      <w:r>
        <w:rPr/>
        <w:t>-</w:t>
        <w:tab/>
        <w:t>Receiving Loudness Rating (RLR) defined in clause 8.2.2.2 of [1]</w:t>
      </w:r>
    </w:p>
    <w:p>
      <w:pPr>
        <w:pStyle w:val="B1"/>
        <w:rPr/>
      </w:pPr>
      <w:r>
        <w:rPr/>
        <w:t>-</w:t>
        <w:tab/>
        <w:t>Receiving Sensitivity/Frequency Characteristics (RFR) defined in clause 8.4.2 of [1]</w:t>
      </w:r>
    </w:p>
    <w:p>
      <w:pPr>
        <w:pStyle w:val="Normal"/>
        <w:rPr/>
      </w:pPr>
      <w:r>
        <w:rPr/>
        <w:t>All measurements are conducted in an acoustically isolated anechoic chamber. Two head and torso simulators (HATS) are used for the acoustic measurements, each with its own handset positioning system. Figure 4-19 shows the two HATS with their respective handset positioners.</w:t>
      </w:r>
    </w:p>
    <w:p>
      <w:pPr>
        <w:pStyle w:val="TH"/>
        <w:rPr/>
      </w:pPr>
      <w:r>
        <w:rPr/>
        <w:drawing>
          <wp:inline distT="0" distB="0" distL="0" distR="0">
            <wp:extent cx="4669155" cy="1758315"/>
            <wp:effectExtent l="0" t="0" r="0" b="0"/>
            <wp:docPr id="41" name="Picture 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0" descr=""/>
                    <pic:cNvPicPr>
                      <a:picLocks noChangeAspect="1" noChangeArrowheads="1"/>
                    </pic:cNvPicPr>
                  </pic:nvPicPr>
                  <pic:blipFill>
                    <a:blip r:embed="rId33"/>
                    <a:srcRect l="-8" t="-22" r="-8" b="-22"/>
                    <a:stretch>
                      <a:fillRect/>
                    </a:stretch>
                  </pic:blipFill>
                  <pic:spPr bwMode="auto">
                    <a:xfrm>
                      <a:off x="0" y="0"/>
                      <a:ext cx="4669155" cy="1758315"/>
                    </a:xfrm>
                    <a:prstGeom prst="rect">
                      <a:avLst/>
                    </a:prstGeom>
                  </pic:spPr>
                </pic:pic>
              </a:graphicData>
            </a:graphic>
          </wp:inline>
        </w:drawing>
      </w:r>
    </w:p>
    <w:p>
      <w:pPr>
        <w:pStyle w:val="TF"/>
        <w:rPr/>
      </w:pPr>
      <w:r>
        <w:rPr/>
        <w:t>Figure 4-19: HATS 1 and 2 with handset positioners</w:t>
      </w:r>
    </w:p>
    <w:p>
      <w:pPr>
        <w:pStyle w:val="Normal"/>
        <w:rPr/>
      </w:pPr>
      <w:r>
        <w:rPr/>
        <w:t>Measurements are made with an MECRP of y</w:t>
      </w:r>
      <w:r>
        <w:rPr>
          <w:vertAlign w:val="subscript"/>
        </w:rPr>
        <w:t>e</w:t>
      </w:r>
      <w:r>
        <w:rPr/>
        <w:t>=17mm, z</w:t>
      </w:r>
      <w:r>
        <w:rPr>
          <w:vertAlign w:val="subscript"/>
        </w:rPr>
        <w:t>e</w:t>
      </w:r>
      <w:r>
        <w:rPr/>
        <w:t>=0mm for all devices. HATS 1 measurements are made on a grid of 9 additional MECRP shifts taken from clause 5 of [3]. Figure 4-20 demonstrates the 10 measurement points.</w:t>
      </w:r>
    </w:p>
    <w:p>
      <w:pPr>
        <w:pStyle w:val="TH"/>
        <w:rPr/>
      </w:pPr>
      <w:r>
        <w:rPr/>
        <w:drawing>
          <wp:inline distT="0" distB="0" distL="0" distR="0">
            <wp:extent cx="3303270" cy="2112010"/>
            <wp:effectExtent l="0" t="0" r="0" b="0"/>
            <wp:docPr id="42"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79" descr=""/>
                    <pic:cNvPicPr>
                      <a:picLocks noChangeAspect="1" noChangeArrowheads="1"/>
                    </pic:cNvPicPr>
                  </pic:nvPicPr>
                  <pic:blipFill>
                    <a:blip r:embed="rId34"/>
                    <a:srcRect l="-4" t="-7" r="-4" b="-7"/>
                    <a:stretch>
                      <a:fillRect/>
                    </a:stretch>
                  </pic:blipFill>
                  <pic:spPr bwMode="auto">
                    <a:xfrm>
                      <a:off x="0" y="0"/>
                      <a:ext cx="3303270" cy="2112010"/>
                    </a:xfrm>
                    <a:prstGeom prst="rect">
                      <a:avLst/>
                    </a:prstGeom>
                  </pic:spPr>
                </pic:pic>
              </a:graphicData>
            </a:graphic>
          </wp:inline>
        </w:drawing>
      </w:r>
    </w:p>
    <w:p>
      <w:pPr>
        <w:pStyle w:val="TF"/>
        <w:rPr/>
      </w:pPr>
      <w:r>
        <w:rPr/>
        <w:t>Figure 4-20: Arbitrary MECRP (red) and all other RLR/RFR measurement points for HATS 1</w:t>
      </w:r>
    </w:p>
    <w:p>
      <w:pPr>
        <w:pStyle w:val="Normal"/>
        <w:rPr/>
      </w:pPr>
      <w:r>
        <w:rPr/>
        <w:t>HATS 1 measurements are repeated under two handset support conditions shown in Figure 4-21. Mounting Position 1 (MP1) is a standard device mounting with support pins placed on the back of the handset. In Mounting Position 2 (MP2), the supporting pins are retracted, and the bottom fork is adjusted lower on the handset.</w:t>
      </w:r>
    </w:p>
    <w:p>
      <w:pPr>
        <w:pStyle w:val="TH"/>
        <w:rPr/>
      </w:pPr>
      <w:r>
        <w:rPr/>
        <w:drawing>
          <wp:inline distT="0" distB="0" distL="0" distR="0">
            <wp:extent cx="4318635" cy="2431415"/>
            <wp:effectExtent l="0" t="0" r="0" b="0"/>
            <wp:docPr id="43" name="Picture 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78" descr=""/>
                    <pic:cNvPicPr>
                      <a:picLocks noChangeAspect="1" noChangeArrowheads="1"/>
                    </pic:cNvPicPr>
                  </pic:nvPicPr>
                  <pic:blipFill>
                    <a:blip r:embed="rId35"/>
                    <a:srcRect l="-8" t="-15" r="-8" b="-15"/>
                    <a:stretch>
                      <a:fillRect/>
                    </a:stretch>
                  </pic:blipFill>
                  <pic:spPr bwMode="auto">
                    <a:xfrm>
                      <a:off x="0" y="0"/>
                      <a:ext cx="4318635" cy="2431415"/>
                    </a:xfrm>
                    <a:prstGeom prst="rect">
                      <a:avLst/>
                    </a:prstGeom>
                  </pic:spPr>
                </pic:pic>
              </a:graphicData>
            </a:graphic>
          </wp:inline>
        </w:drawing>
      </w:r>
    </w:p>
    <w:p>
      <w:pPr>
        <w:pStyle w:val="TF"/>
        <w:rPr/>
      </w:pPr>
      <w:r>
        <w:rPr/>
        <w:t>Figure 4-21: Variable handset support conditions used for HATS 1 measurements</w:t>
      </w:r>
    </w:p>
    <w:p>
      <w:pPr>
        <w:pStyle w:val="Normal"/>
        <w:rPr/>
      </w:pPr>
      <w:r>
        <w:rPr/>
        <w:t>On HATS 2, devices are mounted according to ITU-T Rec. P.64 (A = 21.2</w:t>
      </w:r>
      <w:r>
        <w:rPr>
          <w:rFonts w:cs="Arial"/>
        </w:rPr>
        <w:t>°</w:t>
      </w:r>
      <w:r>
        <w:rPr/>
        <w:t>, B = -12.9</w:t>
      </w:r>
      <w:r>
        <w:rPr>
          <w:rFonts w:cs="Arial"/>
        </w:rPr>
        <w:t>°</w:t>
      </w:r>
      <w:r>
        <w:rPr/>
        <w:t>, C = 2.3</w:t>
      </w:r>
      <w:r>
        <w:rPr>
          <w:rFonts w:cs="Arial"/>
        </w:rPr>
        <w:t>°). Due to contact with the HATS 1 cheek in the standard mounting position, a 5</w:t>
      </w:r>
      <w:r>
        <w:rPr/>
        <w:t>⁰ offset is added to the B angle for measurements on HATS 2.</w:t>
      </w:r>
    </w:p>
    <w:p>
      <w:pPr>
        <w:pStyle w:val="Normal"/>
        <w:rPr/>
      </w:pPr>
      <w:r>
        <w:rPr/>
        <w:t>Device volume is set as close as possible to the nominal RLR of 2 ± 3dB at the defined MECRP to comply with clause 6.2.2 of [2]. Test calls are established using the AMR-WB codec at 12.65 kbps. In what follows, RLR and RFR measurement results are provided for the two commercial HaNTE devices.</w:t>
      </w:r>
    </w:p>
    <w:p>
      <w:pPr>
        <w:pStyle w:val="Heading3"/>
        <w:rPr/>
      </w:pPr>
      <w:bookmarkStart w:id="60" w:name="__RefHeading___Toc19266985"/>
      <w:bookmarkEnd w:id="60"/>
      <w:r>
        <w:rPr/>
        <w:t>4.4.3</w:t>
        <w:tab/>
        <w:t>Measurement Results</w:t>
      </w:r>
    </w:p>
    <w:p>
      <w:pPr>
        <w:pStyle w:val="Heading4"/>
        <w:ind w:left="1418" w:hanging="1418"/>
        <w:rPr/>
      </w:pPr>
      <w:bookmarkStart w:id="61" w:name="__RefHeading___Toc19266986"/>
      <w:bookmarkEnd w:id="61"/>
      <w:r>
        <w:rPr/>
        <w:t>4.4.3.1</w:t>
        <w:tab/>
        <w:t>Device 1 on HATS 1 Measurements</w:t>
      </w:r>
    </w:p>
    <w:p>
      <w:pPr>
        <w:pStyle w:val="Heading5"/>
        <w:ind w:left="1701" w:hanging="1701"/>
        <w:rPr/>
      </w:pPr>
      <w:bookmarkStart w:id="62" w:name="__RefHeading___Toc19266987"/>
      <w:bookmarkEnd w:id="62"/>
      <w:r>
        <w:rPr/>
        <w:t>4.4.3.1.1</w:t>
        <w:tab/>
        <w:t>Receiver Loudness Rating Results</w:t>
      </w:r>
    </w:p>
    <w:p>
      <w:pPr>
        <w:pStyle w:val="Normal"/>
        <w:rPr/>
      </w:pPr>
      <w:r>
        <w:rPr/>
        <w:t>Device 1 was adjusted to a nominal RLR of 1.91dB at the MECRP with MP1 on HATS 1. Table 4-10 presents Device 1 RLR results for all MECRP shifts at MP1 and MP2 on HATS 1. Figure 4-22 provides a visualization of the positions which pass the requirements specified in [2].</w:t>
      </w:r>
    </w:p>
    <w:p>
      <w:pPr>
        <w:pStyle w:val="TH"/>
        <w:rPr/>
      </w:pPr>
      <w:r>
        <w:rPr/>
        <w:t>Table 4-10: Device 1 RLR results (bold* = within 2</w:t>
      </w:r>
      <w:r>
        <w:rPr>
          <w:rFonts w:cs="Arial"/>
        </w:rPr>
        <w:t>±</w:t>
      </w:r>
      <w:r>
        <w:rPr/>
        <w:t>3dB tolerance [2])</w:t>
      </w:r>
    </w:p>
    <w:tbl>
      <w:tblPr>
        <w:tblW w:w="8593" w:type="dxa"/>
        <w:jc w:val="center"/>
        <w:tblInd w:w="0" w:type="dxa"/>
        <w:tblLayout w:type="fixed"/>
        <w:tblCellMar>
          <w:top w:w="0" w:type="dxa"/>
          <w:left w:w="108" w:type="dxa"/>
          <w:bottom w:w="0" w:type="dxa"/>
          <w:right w:w="108" w:type="dxa"/>
        </w:tblCellMar>
      </w:tblPr>
      <w:tblGrid>
        <w:gridCol w:w="1546"/>
        <w:gridCol w:w="1547"/>
        <w:gridCol w:w="2185"/>
        <w:gridCol w:w="2181"/>
        <w:gridCol w:w="1134"/>
      </w:tblGrid>
      <w:tr>
        <w:trPr/>
        <w:tc>
          <w:tcPr>
            <w:tcW w:w="3093" w:type="dxa"/>
            <w:gridSpan w:val="2"/>
            <w:tcBorders>
              <w:top w:val="single" w:sz="4" w:space="0" w:color="000000"/>
              <w:left w:val="single" w:sz="4" w:space="0" w:color="000000"/>
              <w:bottom w:val="single" w:sz="4" w:space="0" w:color="000000"/>
              <w:right w:val="single" w:sz="4" w:space="0" w:color="000000"/>
            </w:tcBorders>
          </w:tcPr>
          <w:p>
            <w:pPr>
              <w:pStyle w:val="TAH"/>
              <w:rPr/>
            </w:pPr>
            <w:r>
              <w:rPr/>
              <w:t>Position</w:t>
            </w:r>
          </w:p>
        </w:tc>
        <w:tc>
          <w:tcPr>
            <w:tcW w:w="2185" w:type="dxa"/>
            <w:vMerge w:val="restart"/>
            <w:tcBorders>
              <w:top w:val="single" w:sz="4" w:space="0" w:color="000000"/>
              <w:left w:val="single" w:sz="4" w:space="0" w:color="000000"/>
              <w:bottom w:val="single" w:sz="4" w:space="0" w:color="000000"/>
              <w:right w:val="single" w:sz="4" w:space="0" w:color="000000"/>
            </w:tcBorders>
          </w:tcPr>
          <w:p>
            <w:pPr>
              <w:pStyle w:val="TAH"/>
              <w:rPr/>
            </w:pPr>
            <w:r>
              <w:rPr/>
              <w:t>RLR with MP 1 (dB)</w:t>
            </w:r>
          </w:p>
        </w:tc>
        <w:tc>
          <w:tcPr>
            <w:tcW w:w="2181" w:type="dxa"/>
            <w:vMerge w:val="restart"/>
            <w:tcBorders>
              <w:top w:val="single" w:sz="4" w:space="0" w:color="000000"/>
              <w:left w:val="single" w:sz="4" w:space="0" w:color="000000"/>
              <w:bottom w:val="single" w:sz="4" w:space="0" w:color="000000"/>
              <w:right w:val="single" w:sz="4" w:space="0" w:color="000000"/>
            </w:tcBorders>
          </w:tcPr>
          <w:p>
            <w:pPr>
              <w:pStyle w:val="TAH"/>
              <w:rPr/>
            </w:pPr>
            <w:r>
              <w:rPr/>
              <w:t>RLR with MP 2 (dB)</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H"/>
              <w:rPr/>
            </w:pPr>
            <w:r>
              <w:rPr/>
              <w:t>Difference</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H"/>
              <w:rPr/>
            </w:pPr>
            <w:r>
              <w:rPr/>
              <w:t>y</w:t>
            </w:r>
            <w:r>
              <w:rPr>
                <w:vertAlign w:val="subscript"/>
              </w:rPr>
              <w:t>e</w:t>
            </w:r>
          </w:p>
        </w:tc>
        <w:tc>
          <w:tcPr>
            <w:tcW w:w="1547" w:type="dxa"/>
            <w:tcBorders>
              <w:top w:val="single" w:sz="4" w:space="0" w:color="000000"/>
              <w:left w:val="single" w:sz="4" w:space="0" w:color="000000"/>
              <w:bottom w:val="single" w:sz="4" w:space="0" w:color="000000"/>
              <w:right w:val="single" w:sz="4" w:space="0" w:color="000000"/>
            </w:tcBorders>
          </w:tcPr>
          <w:p>
            <w:pPr>
              <w:pStyle w:val="TAH"/>
              <w:rPr>
                <w:vertAlign w:val="subscript"/>
              </w:rPr>
            </w:pPr>
            <w:r>
              <w:rPr/>
              <w:t>z</w:t>
            </w:r>
            <w:r>
              <w:rPr>
                <w:vertAlign w:val="subscript"/>
              </w:rPr>
              <w:t>e</w:t>
            </w:r>
          </w:p>
        </w:tc>
        <w:tc>
          <w:tcPr>
            <w:tcW w:w="218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vertAlign w:val="subscript"/>
              </w:rPr>
            </w:pPr>
            <w:r>
              <w:rPr>
                <w:vertAlign w:val="subscript"/>
              </w:rPr>
            </w:r>
          </w:p>
        </w:tc>
        <w:tc>
          <w:tcPr>
            <w:tcW w:w="218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17</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1.91*</w:t>
            </w:r>
          </w:p>
        </w:tc>
        <w:tc>
          <w:tcPr>
            <w:tcW w:w="2181"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3.32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-1.41</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7.99</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10.53</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-2.54</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9.79</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12.00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-2.21</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13.83</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16.22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-2.39</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-0.29*</w:t>
            </w:r>
          </w:p>
        </w:tc>
        <w:tc>
          <w:tcPr>
            <w:tcW w:w="2181"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-0.20</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-0.09</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1.01*</w:t>
            </w:r>
          </w:p>
        </w:tc>
        <w:tc>
          <w:tcPr>
            <w:tcW w:w="2181"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0.98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0.03</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3.84*</w:t>
            </w:r>
          </w:p>
        </w:tc>
        <w:tc>
          <w:tcPr>
            <w:tcW w:w="2181"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3.75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0.09</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-0.86*</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-3.35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2.49</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0.74*</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-1.48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2.22</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3.42*</w:t>
            </w:r>
          </w:p>
        </w:tc>
        <w:tc>
          <w:tcPr>
            <w:tcW w:w="2181"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1.01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2.41</w:t>
            </w:r>
          </w:p>
        </w:tc>
      </w:tr>
      <w:tr>
        <w:trPr/>
        <w:tc>
          <w:tcPr>
            <w:tcW w:w="3093" w:type="dxa"/>
            <w:gridSpan w:val="2"/>
            <w:tcBorders>
              <w:top w:val="single" w:sz="4" w:space="0" w:color="000000"/>
              <w:left w:val="single" w:sz="4" w:space="0" w:color="000000"/>
              <w:bottom w:val="single" w:sz="4" w:space="0" w:color="000000"/>
              <w:right w:val="single" w:sz="4" w:space="0" w:color="000000"/>
            </w:tcBorders>
          </w:tcPr>
          <w:p>
            <w:pPr>
              <w:pStyle w:val="TAH"/>
              <w:rPr>
                <w:b w:val="false"/>
                <w:b w:val="false"/>
                <w:bCs/>
              </w:rPr>
            </w:pPr>
            <w:r>
              <w:rPr>
                <w:b w:val="false"/>
                <w:bCs/>
              </w:rPr>
              <w:t>Mean</w:t>
            </w:r>
          </w:p>
        </w:tc>
        <w:tc>
          <w:tcPr>
            <w:tcW w:w="2185" w:type="dxa"/>
            <w:tcBorders>
              <w:top w:val="single" w:sz="4" w:space="0" w:color="000000"/>
              <w:left w:val="single" w:sz="4" w:space="0" w:color="000000"/>
              <w:bottom w:val="single" w:sz="4" w:space="0" w:color="000000"/>
              <w:right w:val="single" w:sz="4" w:space="0" w:color="000000"/>
            </w:tcBorders>
          </w:tcPr>
          <w:p>
            <w:pPr>
              <w:pStyle w:val="TAH"/>
              <w:rPr/>
            </w:pPr>
            <w:r>
              <w:rPr/>
              <w:t>4.14*</w:t>
            </w:r>
          </w:p>
        </w:tc>
        <w:tc>
          <w:tcPr>
            <w:tcW w:w="2181" w:type="dxa"/>
            <w:tcBorders>
              <w:top w:val="single" w:sz="4" w:space="0" w:color="000000"/>
              <w:left w:val="single" w:sz="4" w:space="0" w:color="000000"/>
              <w:bottom w:val="single" w:sz="4" w:space="0" w:color="000000"/>
              <w:right w:val="single" w:sz="4" w:space="0" w:color="000000"/>
            </w:tcBorders>
          </w:tcPr>
          <w:p>
            <w:pPr>
              <w:pStyle w:val="TAH"/>
              <w:rPr/>
            </w:pPr>
            <w:r>
              <w:rPr/>
              <w:t>4.28</w:t>
            </w:r>
          </w:p>
        </w:tc>
        <w:tc>
          <w:tcPr>
            <w:tcW w:w="1134"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-0.14</w:t>
            </w:r>
          </w:p>
        </w:tc>
      </w:tr>
    </w:tbl>
    <w:p>
      <w:pPr>
        <w:pStyle w:val="Normal"/>
        <w:rPr/>
      </w:pPr>
      <w:r>
        <w:rPr/>
      </w:r>
    </w:p>
    <w:p>
      <w:pPr>
        <w:pStyle w:val="TH"/>
        <w:rPr/>
      </w:pPr>
      <w:r>
        <w:rPr/>
        <w:drawing>
          <wp:inline distT="0" distB="0" distL="0" distR="0">
            <wp:extent cx="3957955" cy="1293495"/>
            <wp:effectExtent l="0" t="0" r="0" b="0"/>
            <wp:docPr id="44" name="Picture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7" descr=""/>
                    <pic:cNvPicPr>
                      <a:picLocks noChangeAspect="1" noChangeArrowheads="1"/>
                    </pic:cNvPicPr>
                  </pic:nvPicPr>
                  <pic:blipFill>
                    <a:blip r:embed="rId36"/>
                    <a:srcRect l="-3" t="-10" r="-3" b="-10"/>
                    <a:stretch>
                      <a:fillRect/>
                    </a:stretch>
                  </pic:blipFill>
                  <pic:spPr bwMode="auto">
                    <a:xfrm>
                      <a:off x="0" y="0"/>
                      <a:ext cx="3957955" cy="1293495"/>
                    </a:xfrm>
                    <a:prstGeom prst="rect">
                      <a:avLst/>
                    </a:prstGeom>
                  </pic:spPr>
                </pic:pic>
              </a:graphicData>
            </a:graphic>
          </wp:inline>
        </w:drawing>
      </w:r>
    </w:p>
    <w:p>
      <w:pPr>
        <w:pStyle w:val="TF"/>
        <w:rPr/>
      </w:pPr>
      <w:r>
        <w:rPr/>
        <w:t>Figure 4-22: Device 1 RLR results with MP1 (left) and MP2 (right) (green = pass, red = fail)</w:t>
      </w:r>
    </w:p>
    <w:p>
      <w:pPr>
        <w:pStyle w:val="Normal"/>
        <w:rPr/>
      </w:pPr>
      <w:r>
        <w:rPr/>
        <w:t>Seven of ten tested points (including the MECRP) are within the RLR tolerance specified in [2] for MP1 and five of ten for MP2. The average RLRs for both MP1 (4.14dB) and MP2 (4.28dB) lie within the tolerance as well. MP1 RLR results are on average 0.14dB louder than MP2 results with a maximum variation of -2.54 dB at y</w:t>
      </w:r>
      <w:r>
        <w:rPr>
          <w:vertAlign w:val="subscript"/>
        </w:rPr>
        <w:t>e</w:t>
      </w:r>
      <w:r>
        <w:rPr/>
        <w:t>=10mm, y</w:t>
      </w:r>
      <w:r>
        <w:rPr>
          <w:vertAlign w:val="subscript"/>
        </w:rPr>
        <w:t>z</w:t>
      </w:r>
      <w:r>
        <w:rPr/>
        <w:t>=-10mm. For all y</w:t>
      </w:r>
      <w:r>
        <w:rPr>
          <w:vertAlign w:val="subscript"/>
        </w:rPr>
        <w:t>e</w:t>
      </w:r>
      <w:r>
        <w:rPr/>
        <w:t xml:space="preserve"> = 10 positions, MP1 has a higher loudness rating than MP2. For positions with y</w:t>
      </w:r>
      <w:r>
        <w:rPr>
          <w:vertAlign w:val="subscript"/>
        </w:rPr>
        <w:t xml:space="preserve">e </w:t>
      </w:r>
      <w:r>
        <w:rPr/>
        <w:t>= 30, MP1 has a lower loudness rating. And for y</w:t>
      </w:r>
      <w:r>
        <w:rPr>
          <w:vertAlign w:val="subscript"/>
        </w:rPr>
        <w:t>e</w:t>
      </w:r>
      <w:r>
        <w:rPr/>
        <w:t xml:space="preserve"> = 20, the RLR is consistent between MP1 and MP2.</w:t>
      </w:r>
    </w:p>
    <w:p>
      <w:pPr>
        <w:pStyle w:val="Heading5"/>
        <w:ind w:left="1701" w:hanging="1701"/>
        <w:rPr/>
      </w:pPr>
      <w:bookmarkStart w:id="63" w:name="__RefHeading___Toc19266988"/>
      <w:bookmarkEnd w:id="63"/>
      <w:r>
        <w:rPr/>
        <w:t>4.4.3.1.2</w:t>
        <w:tab/>
        <w:t>Receiver Sensitivity/Frequency Response Results</w:t>
      </w:r>
    </w:p>
    <w:p>
      <w:pPr>
        <w:pStyle w:val="Normal"/>
        <w:rPr/>
      </w:pPr>
      <w:r>
        <w:rPr/>
        <w:t>Using the previously defined nominal RLR of 1.68dB at the MECRP, Device 1 RFRs are measured on HATS 1 with two mounting positions at 10 points along the display. Figure 4-23 shows all RFR measurements (normalized to 0dB [Pa/V] maximum) along with the wideband tolerance from [2]. The arithmetic mean for each mounting position is presented as well. All individual measurements fail the wideband mask. Table 4-11 reports the maximum deviation from the tolerance mask for each measurement.</w:t>
      </w:r>
    </w:p>
    <w:p>
      <w:pPr>
        <w:pStyle w:val="TH"/>
        <w:rPr/>
      </w:pPr>
      <w:r>
        <w:rPr/>
        <w:drawing>
          <wp:inline distT="0" distB="0" distL="0" distR="0">
            <wp:extent cx="5043805" cy="2849880"/>
            <wp:effectExtent l="0" t="0" r="0" b="0"/>
            <wp:docPr id="45" name="Picture 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6" descr=""/>
                    <pic:cNvPicPr>
                      <a:picLocks noChangeAspect="1" noChangeArrowheads="1"/>
                    </pic:cNvPicPr>
                  </pic:nvPicPr>
                  <pic:blipFill>
                    <a:blip r:embed="rId37"/>
                    <a:srcRect l="-2" t="-4" r="-2" b="-4"/>
                    <a:stretch>
                      <a:fillRect/>
                    </a:stretch>
                  </pic:blipFill>
                  <pic:spPr bwMode="auto">
                    <a:xfrm>
                      <a:off x="0" y="0"/>
                      <a:ext cx="5043805" cy="2849880"/>
                    </a:xfrm>
                    <a:prstGeom prst="rect">
                      <a:avLst/>
                    </a:prstGeom>
                  </pic:spPr>
                </pic:pic>
              </a:graphicData>
            </a:graphic>
          </wp:inline>
        </w:drawing>
      </w:r>
    </w:p>
    <w:p>
      <w:pPr>
        <w:pStyle w:val="TF"/>
        <w:rPr/>
      </w:pPr>
      <w:r>
        <w:rPr/>
        <w:t>Figure 4-23: Device 1 RFR measured on HATS 1 at two mounting positions</w:t>
      </w:r>
    </w:p>
    <w:p>
      <w:pPr>
        <w:pStyle w:val="TH"/>
        <w:rPr/>
      </w:pPr>
      <w:r>
        <w:rPr/>
        <w:t>Table 4-11: Device 1 RFR errors on HATS 1</w:t>
      </w:r>
    </w:p>
    <w:tbl>
      <w:tblPr>
        <w:tblW w:w="7459" w:type="dxa"/>
        <w:jc w:val="center"/>
        <w:tblInd w:w="0" w:type="dxa"/>
        <w:tblLayout w:type="fixed"/>
        <w:tblCellMar>
          <w:top w:w="0" w:type="dxa"/>
          <w:left w:w="108" w:type="dxa"/>
          <w:bottom w:w="0" w:type="dxa"/>
          <w:right w:w="108" w:type="dxa"/>
        </w:tblCellMar>
      </w:tblPr>
      <w:tblGrid>
        <w:gridCol w:w="1546"/>
        <w:gridCol w:w="1547"/>
        <w:gridCol w:w="2185"/>
        <w:gridCol w:w="2181"/>
      </w:tblGrid>
      <w:tr>
        <w:trPr/>
        <w:tc>
          <w:tcPr>
            <w:tcW w:w="3093" w:type="dxa"/>
            <w:gridSpan w:val="2"/>
            <w:tcBorders>
              <w:top w:val="single" w:sz="4" w:space="0" w:color="000000"/>
              <w:left w:val="single" w:sz="4" w:space="0" w:color="000000"/>
              <w:bottom w:val="single" w:sz="4" w:space="0" w:color="000000"/>
              <w:right w:val="single" w:sz="4" w:space="0" w:color="000000"/>
            </w:tcBorders>
          </w:tcPr>
          <w:p>
            <w:pPr>
              <w:pStyle w:val="TAH"/>
              <w:rPr/>
            </w:pPr>
            <w:r>
              <w:rPr/>
              <w:t>Position</w:t>
            </w:r>
          </w:p>
        </w:tc>
        <w:tc>
          <w:tcPr>
            <w:tcW w:w="2185" w:type="dxa"/>
            <w:vMerge w:val="restart"/>
            <w:tcBorders>
              <w:top w:val="single" w:sz="4" w:space="0" w:color="000000"/>
              <w:left w:val="single" w:sz="4" w:space="0" w:color="000000"/>
              <w:bottom w:val="single" w:sz="4" w:space="0" w:color="000000"/>
              <w:right w:val="single" w:sz="4" w:space="0" w:color="000000"/>
            </w:tcBorders>
          </w:tcPr>
          <w:p>
            <w:pPr>
              <w:pStyle w:val="TAH"/>
              <w:rPr/>
            </w:pPr>
            <w:r>
              <w:rPr/>
              <w:t>MP1 Error (dB)</w:t>
            </w:r>
          </w:p>
        </w:tc>
        <w:tc>
          <w:tcPr>
            <w:tcW w:w="2181" w:type="dxa"/>
            <w:vMerge w:val="restart"/>
            <w:tcBorders>
              <w:top w:val="single" w:sz="4" w:space="0" w:color="000000"/>
              <w:left w:val="single" w:sz="4" w:space="0" w:color="000000"/>
              <w:bottom w:val="single" w:sz="4" w:space="0" w:color="000000"/>
              <w:right w:val="single" w:sz="4" w:space="0" w:color="000000"/>
            </w:tcBorders>
          </w:tcPr>
          <w:p>
            <w:pPr>
              <w:pStyle w:val="TAH"/>
              <w:rPr/>
            </w:pPr>
            <w:r>
              <w:rPr/>
              <w:t>MP2 Error (dB)</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H"/>
              <w:rPr/>
            </w:pPr>
            <w:r>
              <w:rPr/>
              <w:t>y</w:t>
            </w:r>
            <w:r>
              <w:rPr>
                <w:vertAlign w:val="subscript"/>
              </w:rPr>
              <w:t>e</w:t>
            </w:r>
          </w:p>
        </w:tc>
        <w:tc>
          <w:tcPr>
            <w:tcW w:w="1547" w:type="dxa"/>
            <w:tcBorders>
              <w:top w:val="single" w:sz="4" w:space="0" w:color="000000"/>
              <w:left w:val="single" w:sz="4" w:space="0" w:color="000000"/>
              <w:bottom w:val="single" w:sz="4" w:space="0" w:color="000000"/>
              <w:right w:val="single" w:sz="4" w:space="0" w:color="000000"/>
            </w:tcBorders>
          </w:tcPr>
          <w:p>
            <w:pPr>
              <w:pStyle w:val="TAH"/>
              <w:rPr>
                <w:vertAlign w:val="subscript"/>
              </w:rPr>
            </w:pPr>
            <w:r>
              <w:rPr/>
              <w:t>z</w:t>
            </w:r>
            <w:r>
              <w:rPr>
                <w:vertAlign w:val="subscript"/>
              </w:rPr>
              <w:t>e</w:t>
            </w:r>
          </w:p>
        </w:tc>
        <w:tc>
          <w:tcPr>
            <w:tcW w:w="218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vertAlign w:val="subscript"/>
              </w:rPr>
            </w:pPr>
            <w:r>
              <w:rPr>
                <w:vertAlign w:val="subscript"/>
              </w:rPr>
            </w:r>
          </w:p>
        </w:tc>
        <w:tc>
          <w:tcPr>
            <w:tcW w:w="218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17</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-4.12</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-2.07</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-3.54</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-7.34</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-3.11</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-6.96</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-5.68</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-7.55</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-3.23</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-2.37</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-4.27</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-4.42</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-6.20</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-5.87</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-2.57</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-1.58</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-0.39</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-1.34</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-5.69</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-4.23</w:t>
            </w:r>
          </w:p>
        </w:tc>
      </w:tr>
      <w:tr>
        <w:trPr/>
        <w:tc>
          <w:tcPr>
            <w:tcW w:w="3093" w:type="dxa"/>
            <w:gridSpan w:val="2"/>
            <w:tcBorders>
              <w:top w:val="single" w:sz="4" w:space="0" w:color="000000"/>
              <w:left w:val="single" w:sz="4" w:space="0" w:color="000000"/>
              <w:bottom w:val="single" w:sz="4" w:space="0" w:color="000000"/>
              <w:right w:val="single" w:sz="4" w:space="0" w:color="000000"/>
            </w:tcBorders>
          </w:tcPr>
          <w:p>
            <w:pPr>
              <w:pStyle w:val="TAH"/>
              <w:rPr>
                <w:b w:val="false"/>
                <w:b w:val="false"/>
                <w:bCs/>
              </w:rPr>
            </w:pPr>
            <w:r>
              <w:rPr>
                <w:b w:val="false"/>
                <w:bCs/>
              </w:rPr>
              <w:t>Mean Error</w:t>
            </w:r>
          </w:p>
        </w:tc>
        <w:tc>
          <w:tcPr>
            <w:tcW w:w="2185"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-3.88</w:t>
            </w:r>
          </w:p>
        </w:tc>
        <w:tc>
          <w:tcPr>
            <w:tcW w:w="2181"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-4.37</w:t>
            </w:r>
          </w:p>
        </w:tc>
      </w:tr>
    </w:tbl>
    <w:p>
      <w:pPr>
        <w:pStyle w:val="Normal"/>
        <w:rPr/>
      </w:pPr>
      <w:r>
        <w:rPr/>
      </w:r>
    </w:p>
    <w:p>
      <w:pPr>
        <w:pStyle w:val="Normal"/>
        <w:rPr/>
      </w:pPr>
      <w:r>
        <w:rPr/>
        <w:t>Variability of RFR results between MP1 and MP2 is presented in Figure 4-24. A positive value indicates higher sensitivity with MP1. For Device 1, there is a peak in variability (~4dB) at 550Hz and 1.8kHz for all measurement points. Variability never exceeds 6dB.</w:t>
      </w:r>
    </w:p>
    <w:p>
      <w:pPr>
        <w:pStyle w:val="TH"/>
        <w:rPr/>
      </w:pPr>
      <w:r>
        <w:rPr/>
        <w:drawing>
          <wp:inline distT="0" distB="0" distL="0" distR="0">
            <wp:extent cx="4318635" cy="2355850"/>
            <wp:effectExtent l="0" t="0" r="0" b="0"/>
            <wp:docPr id="46" name="Picture 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5" descr=""/>
                    <pic:cNvPicPr>
                      <a:picLocks noChangeAspect="1" noChangeArrowheads="1"/>
                    </pic:cNvPicPr>
                  </pic:nvPicPr>
                  <pic:blipFill>
                    <a:blip r:embed="rId38"/>
                    <a:srcRect l="-8" t="-15" r="-8" b="-15"/>
                    <a:stretch>
                      <a:fillRect/>
                    </a:stretch>
                  </pic:blipFill>
                  <pic:spPr bwMode="auto">
                    <a:xfrm>
                      <a:off x="0" y="0"/>
                      <a:ext cx="4318635" cy="2355850"/>
                    </a:xfrm>
                    <a:prstGeom prst="rect">
                      <a:avLst/>
                    </a:prstGeom>
                  </pic:spPr>
                </pic:pic>
              </a:graphicData>
            </a:graphic>
          </wp:inline>
        </w:drawing>
      </w:r>
    </w:p>
    <w:p>
      <w:pPr>
        <w:pStyle w:val="TF"/>
        <w:rPr/>
      </w:pPr>
      <w:r>
        <w:rPr/>
        <w:t>Figure 4-24: Device 1 RFR mounting variability</w:t>
      </w:r>
    </w:p>
    <w:p>
      <w:pPr>
        <w:pStyle w:val="Heading4"/>
        <w:ind w:left="1418" w:hanging="1418"/>
        <w:rPr/>
      </w:pPr>
      <w:bookmarkStart w:id="64" w:name="__RefHeading___Toc19266989"/>
      <w:bookmarkEnd w:id="64"/>
      <w:r>
        <w:rPr/>
        <w:t>4.4.3.2</w:t>
        <w:tab/>
        <w:t>Device 1 on HATS 2 Measurements</w:t>
      </w:r>
    </w:p>
    <w:p>
      <w:pPr>
        <w:pStyle w:val="Normal"/>
        <w:rPr/>
      </w:pPr>
      <w:r>
        <w:rPr/>
        <w:t>Device 1 RFR was also measured on HATS 2 with the previously defined MECRP. Device playback was calibrated to a nominal RLR of 0.61dB. Figure 4-25 shows the HATS 2 results along with HATS 1 MECRP and average RFRs using MP1. Device 1 passes the RFR mask from [2] when measured on HATS 2.</w:t>
      </w:r>
    </w:p>
    <w:p>
      <w:pPr>
        <w:pStyle w:val="TH"/>
        <w:rPr/>
      </w:pPr>
      <w:r>
        <w:rPr/>
        <w:drawing>
          <wp:inline distT="0" distB="0" distL="0" distR="0">
            <wp:extent cx="4321175" cy="2385695"/>
            <wp:effectExtent l="0" t="0" r="0" b="0"/>
            <wp:docPr id="47" name="Picture 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74" descr=""/>
                    <pic:cNvPicPr>
                      <a:picLocks noChangeAspect="1" noChangeArrowheads="1"/>
                    </pic:cNvPicPr>
                  </pic:nvPicPr>
                  <pic:blipFill>
                    <a:blip r:embed="rId39"/>
                    <a:srcRect l="-2" t="-4" r="-2" b="-4"/>
                    <a:stretch>
                      <a:fillRect/>
                    </a:stretch>
                  </pic:blipFill>
                  <pic:spPr bwMode="auto">
                    <a:xfrm>
                      <a:off x="0" y="0"/>
                      <a:ext cx="4321175" cy="2385695"/>
                    </a:xfrm>
                    <a:prstGeom prst="rect">
                      <a:avLst/>
                    </a:prstGeom>
                  </pic:spPr>
                </pic:pic>
              </a:graphicData>
            </a:graphic>
          </wp:inline>
        </w:drawing>
      </w:r>
    </w:p>
    <w:p>
      <w:pPr>
        <w:pStyle w:val="TF"/>
        <w:rPr/>
      </w:pPr>
      <w:r>
        <w:rPr/>
        <w:t>Figure 4-25: Device 1 RFR measured on HATS 2</w:t>
      </w:r>
    </w:p>
    <w:p>
      <w:pPr>
        <w:pStyle w:val="Heading4"/>
        <w:ind w:left="1418" w:hanging="1418"/>
        <w:rPr/>
      </w:pPr>
      <w:bookmarkStart w:id="65" w:name="__RefHeading___Toc19266990"/>
      <w:bookmarkEnd w:id="65"/>
      <w:r>
        <w:rPr/>
        <w:t>4.4.3.3</w:t>
        <w:tab/>
        <w:t>Device 2 on HATS 1 Measurements</w:t>
      </w:r>
    </w:p>
    <w:p>
      <w:pPr>
        <w:pStyle w:val="Heading5"/>
        <w:ind w:left="1701" w:hanging="1701"/>
        <w:rPr/>
      </w:pPr>
      <w:bookmarkStart w:id="66" w:name="__RefHeading___Toc19266991"/>
      <w:bookmarkEnd w:id="66"/>
      <w:r>
        <w:rPr/>
        <w:t>4.4.3.3.1</w:t>
        <w:tab/>
        <w:t>Receiver Loudness Rating Results</w:t>
      </w:r>
    </w:p>
    <w:p>
      <w:pPr>
        <w:pStyle w:val="Normal"/>
        <w:rPr/>
      </w:pPr>
      <w:r>
        <w:rPr/>
        <w:t>Device 2 was adjusted to a nominal RLR of -0.11dB at the MECRP with MP1. Table 4-12 presents Device 1 RLR results for all MECRP shifts at MP1 and MP2. Figure 4-26 provides a visualization of which positions pass the requirements specified in [2].</w:t>
      </w:r>
    </w:p>
    <w:p>
      <w:pPr>
        <w:pStyle w:val="TH"/>
        <w:rPr/>
      </w:pPr>
      <w:r>
        <w:rPr/>
        <w:t>Table 4-12: Device 2 RLR results (bold* = within 2</w:t>
      </w:r>
      <w:r>
        <w:rPr>
          <w:rFonts w:cs="Arial"/>
        </w:rPr>
        <w:t>±</w:t>
      </w:r>
      <w:r>
        <w:rPr/>
        <w:t>3dB tolerance [2])</w:t>
      </w:r>
    </w:p>
    <w:tbl>
      <w:tblPr>
        <w:tblW w:w="8593" w:type="dxa"/>
        <w:jc w:val="center"/>
        <w:tblInd w:w="0" w:type="dxa"/>
        <w:tblLayout w:type="fixed"/>
        <w:tblCellMar>
          <w:top w:w="0" w:type="dxa"/>
          <w:left w:w="108" w:type="dxa"/>
          <w:bottom w:w="0" w:type="dxa"/>
          <w:right w:w="108" w:type="dxa"/>
        </w:tblCellMar>
      </w:tblPr>
      <w:tblGrid>
        <w:gridCol w:w="1546"/>
        <w:gridCol w:w="1547"/>
        <w:gridCol w:w="2185"/>
        <w:gridCol w:w="2181"/>
        <w:gridCol w:w="1134"/>
      </w:tblGrid>
      <w:tr>
        <w:trPr/>
        <w:tc>
          <w:tcPr>
            <w:tcW w:w="3093" w:type="dxa"/>
            <w:gridSpan w:val="2"/>
            <w:tcBorders>
              <w:top w:val="single" w:sz="4" w:space="0" w:color="000000"/>
              <w:left w:val="single" w:sz="4" w:space="0" w:color="000000"/>
              <w:bottom w:val="single" w:sz="4" w:space="0" w:color="000000"/>
              <w:right w:val="single" w:sz="4" w:space="0" w:color="000000"/>
            </w:tcBorders>
          </w:tcPr>
          <w:p>
            <w:pPr>
              <w:pStyle w:val="TAH"/>
              <w:rPr/>
            </w:pPr>
            <w:r>
              <w:rPr/>
              <w:t>Position</w:t>
            </w:r>
          </w:p>
        </w:tc>
        <w:tc>
          <w:tcPr>
            <w:tcW w:w="2185" w:type="dxa"/>
            <w:vMerge w:val="restart"/>
            <w:tcBorders>
              <w:top w:val="single" w:sz="4" w:space="0" w:color="000000"/>
              <w:left w:val="single" w:sz="4" w:space="0" w:color="000000"/>
              <w:bottom w:val="single" w:sz="4" w:space="0" w:color="000000"/>
              <w:right w:val="single" w:sz="4" w:space="0" w:color="000000"/>
            </w:tcBorders>
          </w:tcPr>
          <w:p>
            <w:pPr>
              <w:pStyle w:val="TAH"/>
              <w:rPr/>
            </w:pPr>
            <w:r>
              <w:rPr/>
              <w:t>RLR with MP1 (dB)</w:t>
            </w:r>
          </w:p>
        </w:tc>
        <w:tc>
          <w:tcPr>
            <w:tcW w:w="2181" w:type="dxa"/>
            <w:vMerge w:val="restart"/>
            <w:tcBorders>
              <w:top w:val="single" w:sz="4" w:space="0" w:color="000000"/>
              <w:left w:val="single" w:sz="4" w:space="0" w:color="000000"/>
              <w:bottom w:val="single" w:sz="4" w:space="0" w:color="000000"/>
              <w:right w:val="single" w:sz="4" w:space="0" w:color="000000"/>
            </w:tcBorders>
          </w:tcPr>
          <w:p>
            <w:pPr>
              <w:pStyle w:val="TAH"/>
              <w:rPr/>
            </w:pPr>
            <w:r>
              <w:rPr/>
              <w:t>RLR with MP2 (dB)</w:t>
            </w:r>
          </w:p>
        </w:tc>
        <w:tc>
          <w:tcPr>
            <w:tcW w:w="1134" w:type="dxa"/>
            <w:vMerge w:val="restart"/>
            <w:tcBorders>
              <w:top w:val="single" w:sz="4" w:space="0" w:color="000000"/>
              <w:left w:val="single" w:sz="4" w:space="0" w:color="000000"/>
              <w:bottom w:val="single" w:sz="4" w:space="0" w:color="000000"/>
              <w:right w:val="single" w:sz="4" w:space="0" w:color="000000"/>
            </w:tcBorders>
          </w:tcPr>
          <w:p>
            <w:pPr>
              <w:pStyle w:val="TAH"/>
              <w:rPr/>
            </w:pPr>
            <w:r>
              <w:rPr/>
              <w:t>Difference</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H"/>
              <w:rPr/>
            </w:pPr>
            <w:r>
              <w:rPr/>
              <w:t>y</w:t>
            </w:r>
            <w:r>
              <w:rPr>
                <w:vertAlign w:val="subscript"/>
              </w:rPr>
              <w:t>e</w:t>
            </w:r>
          </w:p>
        </w:tc>
        <w:tc>
          <w:tcPr>
            <w:tcW w:w="1547" w:type="dxa"/>
            <w:tcBorders>
              <w:top w:val="single" w:sz="4" w:space="0" w:color="000000"/>
              <w:left w:val="single" w:sz="4" w:space="0" w:color="000000"/>
              <w:bottom w:val="single" w:sz="4" w:space="0" w:color="000000"/>
              <w:right w:val="single" w:sz="4" w:space="0" w:color="000000"/>
            </w:tcBorders>
          </w:tcPr>
          <w:p>
            <w:pPr>
              <w:pStyle w:val="TAH"/>
              <w:rPr>
                <w:vertAlign w:val="subscript"/>
              </w:rPr>
            </w:pPr>
            <w:r>
              <w:rPr/>
              <w:t>z</w:t>
            </w:r>
            <w:r>
              <w:rPr>
                <w:vertAlign w:val="subscript"/>
              </w:rPr>
              <w:t>e</w:t>
            </w:r>
          </w:p>
        </w:tc>
        <w:tc>
          <w:tcPr>
            <w:tcW w:w="218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vertAlign w:val="subscript"/>
              </w:rPr>
            </w:pPr>
            <w:r>
              <w:rPr>
                <w:vertAlign w:val="subscript"/>
              </w:rPr>
            </w:r>
          </w:p>
        </w:tc>
        <w:tc>
          <w:tcPr>
            <w:tcW w:w="218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134"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17</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-0.11*</w:t>
            </w:r>
          </w:p>
        </w:tc>
        <w:tc>
          <w:tcPr>
            <w:tcW w:w="2181"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0.91*</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-1.02</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8.17</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9.59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-1.42</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7.39</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8.59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-1.2</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7.04</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7.78</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-0.74</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0.34*</w:t>
            </w:r>
          </w:p>
        </w:tc>
        <w:tc>
          <w:tcPr>
            <w:tcW w:w="2181"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-0.12*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0.46</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-1.09</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-1.09</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0.00</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-1.79</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-2.02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0.23</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2.18*</w:t>
            </w:r>
          </w:p>
        </w:tc>
        <w:tc>
          <w:tcPr>
            <w:tcW w:w="2181"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0.04*</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2.14</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0.67*</w:t>
            </w:r>
          </w:p>
        </w:tc>
        <w:tc>
          <w:tcPr>
            <w:tcW w:w="2181"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-0.95*</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1.62</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b/>
                <w:b/>
                <w:bCs/>
              </w:rPr>
            </w:pPr>
            <w:r>
              <w:rPr>
                <w:b/>
                <w:bCs/>
              </w:rPr>
              <w:t>0.15*</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-1.72</w:t>
            </w:r>
          </w:p>
        </w:tc>
        <w:tc>
          <w:tcPr>
            <w:tcW w:w="1134" w:type="dxa"/>
            <w:tcBorders>
              <w:top w:val="single" w:sz="4" w:space="0" w:color="000000"/>
              <w:left w:val="single" w:sz="4" w:space="0" w:color="000000"/>
              <w:bottom w:val="single" w:sz="4" w:space="0" w:color="000000"/>
              <w:right w:val="single" w:sz="4" w:space="0" w:color="000000"/>
            </w:tcBorders>
          </w:tcPr>
          <w:p>
            <w:pPr>
              <w:pStyle w:val="TAC"/>
              <w:rPr/>
            </w:pPr>
            <w:r>
              <w:rPr/>
              <w:t>1.87</w:t>
            </w:r>
          </w:p>
        </w:tc>
      </w:tr>
      <w:tr>
        <w:trPr/>
        <w:tc>
          <w:tcPr>
            <w:tcW w:w="3093" w:type="dxa"/>
            <w:gridSpan w:val="2"/>
            <w:tcBorders>
              <w:top w:val="single" w:sz="4" w:space="0" w:color="000000"/>
              <w:left w:val="single" w:sz="4" w:space="0" w:color="000000"/>
              <w:bottom w:val="single" w:sz="4" w:space="0" w:color="000000"/>
              <w:right w:val="single" w:sz="4" w:space="0" w:color="000000"/>
            </w:tcBorders>
          </w:tcPr>
          <w:p>
            <w:pPr>
              <w:pStyle w:val="TAH"/>
              <w:rPr/>
            </w:pPr>
            <w:r>
              <w:rPr/>
              <w:t>Mean</w:t>
            </w:r>
          </w:p>
        </w:tc>
        <w:tc>
          <w:tcPr>
            <w:tcW w:w="2185" w:type="dxa"/>
            <w:tcBorders>
              <w:top w:val="single" w:sz="4" w:space="0" w:color="000000"/>
              <w:left w:val="single" w:sz="4" w:space="0" w:color="000000"/>
              <w:bottom w:val="single" w:sz="4" w:space="0" w:color="000000"/>
              <w:right w:val="single" w:sz="4" w:space="0" w:color="000000"/>
            </w:tcBorders>
          </w:tcPr>
          <w:p>
            <w:pPr>
              <w:pStyle w:val="TAH"/>
              <w:rPr/>
            </w:pPr>
            <w:r>
              <w:rPr/>
              <w:t>2.30*</w:t>
            </w:r>
          </w:p>
        </w:tc>
        <w:tc>
          <w:tcPr>
            <w:tcW w:w="2181" w:type="dxa"/>
            <w:tcBorders>
              <w:top w:val="single" w:sz="4" w:space="0" w:color="000000"/>
              <w:left w:val="single" w:sz="4" w:space="0" w:color="000000"/>
              <w:bottom w:val="single" w:sz="4" w:space="0" w:color="000000"/>
              <w:right w:val="single" w:sz="4" w:space="0" w:color="000000"/>
            </w:tcBorders>
          </w:tcPr>
          <w:p>
            <w:pPr>
              <w:pStyle w:val="TAH"/>
              <w:rPr/>
            </w:pPr>
            <w:r>
              <w:rPr/>
              <w:t>2.10*</w:t>
            </w:r>
          </w:p>
        </w:tc>
        <w:tc>
          <w:tcPr>
            <w:tcW w:w="1134" w:type="dxa"/>
            <w:tcBorders>
              <w:top w:val="single" w:sz="4" w:space="0" w:color="000000"/>
              <w:left w:val="single" w:sz="4" w:space="0" w:color="000000"/>
              <w:bottom w:val="single" w:sz="4" w:space="0" w:color="000000"/>
              <w:right w:val="single" w:sz="4" w:space="0" w:color="000000"/>
            </w:tcBorders>
          </w:tcPr>
          <w:p>
            <w:pPr>
              <w:pStyle w:val="TAH"/>
              <w:rPr>
                <w:b w:val="false"/>
                <w:b w:val="false"/>
                <w:bCs/>
              </w:rPr>
            </w:pPr>
            <w:r>
              <w:rPr>
                <w:b w:val="false"/>
                <w:bCs/>
              </w:rPr>
              <w:t>0.19</w:t>
            </w:r>
          </w:p>
        </w:tc>
      </w:tr>
    </w:tbl>
    <w:p>
      <w:pPr>
        <w:pStyle w:val="Normal"/>
        <w:rPr/>
      </w:pPr>
      <w:r>
        <w:rPr/>
      </w:r>
    </w:p>
    <w:p>
      <w:pPr>
        <w:pStyle w:val="TH"/>
        <w:rPr/>
      </w:pPr>
      <w:r>
        <w:rPr/>
        <w:drawing>
          <wp:inline distT="0" distB="0" distL="0" distR="0">
            <wp:extent cx="3954780" cy="1296035"/>
            <wp:effectExtent l="0" t="0" r="0" b="0"/>
            <wp:docPr id="48" name="Picture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3" descr=""/>
                    <pic:cNvPicPr>
                      <a:picLocks noChangeAspect="1" noChangeArrowheads="1"/>
                    </pic:cNvPicPr>
                  </pic:nvPicPr>
                  <pic:blipFill>
                    <a:blip r:embed="rId40"/>
                    <a:srcRect l="-3" t="-10" r="-3" b="-10"/>
                    <a:stretch>
                      <a:fillRect/>
                    </a:stretch>
                  </pic:blipFill>
                  <pic:spPr bwMode="auto">
                    <a:xfrm>
                      <a:off x="0" y="0"/>
                      <a:ext cx="3954780" cy="1296035"/>
                    </a:xfrm>
                    <a:prstGeom prst="rect">
                      <a:avLst/>
                    </a:prstGeom>
                  </pic:spPr>
                </pic:pic>
              </a:graphicData>
            </a:graphic>
          </wp:inline>
        </w:drawing>
      </w:r>
    </w:p>
    <w:p>
      <w:pPr>
        <w:pStyle w:val="TF"/>
        <w:rPr/>
      </w:pPr>
      <w:r>
        <w:rPr/>
        <w:t>Figure 4-26: Device 2 RLR results with MP1 (left) and MP2 (right) (green = pass, red = fail)</w:t>
      </w:r>
    </w:p>
    <w:p>
      <w:pPr>
        <w:pStyle w:val="Normal"/>
        <w:rPr/>
      </w:pPr>
      <w:r>
        <w:rPr/>
        <w:t>Of the ten points tested, five (including the MECRP) are within the RLR tolerance specified in [2] for MP1 and four (including the MECRP) for MP2. The average RLRs for both MP1 (2.30) and MP2 (2.10) lie within the tolerance. MP2 RLR results are on average 0.19dB louder than MP1 with a maximum variation of 2.14dB at y</w:t>
      </w:r>
      <w:r>
        <w:rPr>
          <w:vertAlign w:val="subscript"/>
        </w:rPr>
        <w:t>e</w:t>
      </w:r>
      <w:r>
        <w:rPr/>
        <w:t>=30mm, y</w:t>
      </w:r>
      <w:r>
        <w:rPr>
          <w:vertAlign w:val="subscript"/>
        </w:rPr>
        <w:t>z</w:t>
      </w:r>
      <w:r>
        <w:rPr/>
        <w:t>=-10mm.</w:t>
      </w:r>
    </w:p>
    <w:p>
      <w:pPr>
        <w:pStyle w:val="Heading5"/>
        <w:ind w:left="1701" w:hanging="1701"/>
        <w:rPr/>
      </w:pPr>
      <w:bookmarkStart w:id="67" w:name="__RefHeading___Toc19266992"/>
      <w:bookmarkEnd w:id="67"/>
      <w:r>
        <w:rPr/>
        <w:t>4.4.3.3.2</w:t>
        <w:tab/>
        <w:t>Receiver Sensitivity/Frequency Response Results</w:t>
      </w:r>
    </w:p>
    <w:p>
      <w:pPr>
        <w:pStyle w:val="Normal"/>
        <w:rPr/>
      </w:pPr>
      <w:r>
        <w:rPr/>
        <w:t>Using the previously defined nominal RLR of -0.11dB at the MECRP, Device 2 RFRs are measured on HATS 1 with two mounting positions at 10 points along the display. Figure 4-27 shows all RFR measurements (normalized to 0dB [Pa/V] maximum) along with the wide-band tolerance from [2]. Furthermore, the arithmetic mean for each mounting position is presented. All individual measurements as well as the mean RFR fail the wide-band mask. Table 4-13 reports the maximum deviation from the tolerance mask for each measurement</w:t>
      </w:r>
    </w:p>
    <w:p>
      <w:pPr>
        <w:pStyle w:val="TH"/>
        <w:rPr/>
      </w:pPr>
      <w:r>
        <w:rPr/>
        <w:drawing>
          <wp:inline distT="0" distB="0" distL="0" distR="0">
            <wp:extent cx="5034280" cy="2865120"/>
            <wp:effectExtent l="0" t="0" r="0" b="0"/>
            <wp:docPr id="49" name="Pictur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72" descr=""/>
                    <pic:cNvPicPr>
                      <a:picLocks noChangeAspect="1" noChangeArrowheads="1"/>
                    </pic:cNvPicPr>
                  </pic:nvPicPr>
                  <pic:blipFill>
                    <a:blip r:embed="rId41"/>
                    <a:srcRect l="-2" t="-4" r="-2" b="-4"/>
                    <a:stretch>
                      <a:fillRect/>
                    </a:stretch>
                  </pic:blipFill>
                  <pic:spPr bwMode="auto">
                    <a:xfrm>
                      <a:off x="0" y="0"/>
                      <a:ext cx="5034280" cy="2865120"/>
                    </a:xfrm>
                    <a:prstGeom prst="rect">
                      <a:avLst/>
                    </a:prstGeom>
                  </pic:spPr>
                </pic:pic>
              </a:graphicData>
            </a:graphic>
          </wp:inline>
        </w:drawing>
      </w:r>
    </w:p>
    <w:p>
      <w:pPr>
        <w:pStyle w:val="TF"/>
        <w:rPr/>
      </w:pPr>
      <w:r>
        <w:rPr/>
        <w:t>Figure 4-27: Device 2 RFR measured on HATS 1 at two mounting positions</w:t>
      </w:r>
    </w:p>
    <w:p>
      <w:pPr>
        <w:pStyle w:val="TH"/>
        <w:rPr/>
      </w:pPr>
      <w:r>
        <w:rPr/>
        <w:t>Table 4-13: Device 2 RFR errors on HATS 1</w:t>
      </w:r>
    </w:p>
    <w:tbl>
      <w:tblPr>
        <w:tblW w:w="7459" w:type="dxa"/>
        <w:jc w:val="center"/>
        <w:tblInd w:w="0" w:type="dxa"/>
        <w:tblLayout w:type="fixed"/>
        <w:tblCellMar>
          <w:top w:w="0" w:type="dxa"/>
          <w:left w:w="108" w:type="dxa"/>
          <w:bottom w:w="0" w:type="dxa"/>
          <w:right w:w="108" w:type="dxa"/>
        </w:tblCellMar>
      </w:tblPr>
      <w:tblGrid>
        <w:gridCol w:w="1546"/>
        <w:gridCol w:w="1547"/>
        <w:gridCol w:w="2185"/>
        <w:gridCol w:w="2181"/>
      </w:tblGrid>
      <w:tr>
        <w:trPr/>
        <w:tc>
          <w:tcPr>
            <w:tcW w:w="3093" w:type="dxa"/>
            <w:gridSpan w:val="2"/>
            <w:tcBorders>
              <w:top w:val="single" w:sz="4" w:space="0" w:color="000000"/>
              <w:left w:val="single" w:sz="4" w:space="0" w:color="000000"/>
              <w:bottom w:val="single" w:sz="4" w:space="0" w:color="000000"/>
              <w:right w:val="single" w:sz="4" w:space="0" w:color="000000"/>
            </w:tcBorders>
          </w:tcPr>
          <w:p>
            <w:pPr>
              <w:pStyle w:val="TAH"/>
              <w:rPr/>
            </w:pPr>
            <w:r>
              <w:rPr/>
              <w:t>Position</w:t>
            </w:r>
          </w:p>
        </w:tc>
        <w:tc>
          <w:tcPr>
            <w:tcW w:w="2185" w:type="dxa"/>
            <w:vMerge w:val="restart"/>
            <w:tcBorders>
              <w:top w:val="single" w:sz="4" w:space="0" w:color="000000"/>
              <w:left w:val="single" w:sz="4" w:space="0" w:color="000000"/>
              <w:bottom w:val="single" w:sz="4" w:space="0" w:color="000000"/>
              <w:right w:val="single" w:sz="4" w:space="0" w:color="000000"/>
            </w:tcBorders>
          </w:tcPr>
          <w:p>
            <w:pPr>
              <w:pStyle w:val="TAH"/>
              <w:rPr/>
            </w:pPr>
            <w:r>
              <w:rPr/>
              <w:t>MP1 Error (dB)</w:t>
            </w:r>
          </w:p>
        </w:tc>
        <w:tc>
          <w:tcPr>
            <w:tcW w:w="2181" w:type="dxa"/>
            <w:vMerge w:val="restart"/>
            <w:tcBorders>
              <w:top w:val="single" w:sz="4" w:space="0" w:color="000000"/>
              <w:left w:val="single" w:sz="4" w:space="0" w:color="000000"/>
              <w:bottom w:val="single" w:sz="4" w:space="0" w:color="000000"/>
              <w:right w:val="single" w:sz="4" w:space="0" w:color="000000"/>
            </w:tcBorders>
          </w:tcPr>
          <w:p>
            <w:pPr>
              <w:pStyle w:val="TAH"/>
              <w:rPr/>
            </w:pPr>
            <w:r>
              <w:rPr/>
              <w:t>MP2 Error (dB)</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H"/>
              <w:rPr/>
            </w:pPr>
            <w:r>
              <w:rPr/>
              <w:t>y</w:t>
            </w:r>
            <w:r>
              <w:rPr>
                <w:vertAlign w:val="subscript"/>
              </w:rPr>
              <w:t>e</w:t>
            </w:r>
          </w:p>
        </w:tc>
        <w:tc>
          <w:tcPr>
            <w:tcW w:w="1547" w:type="dxa"/>
            <w:tcBorders>
              <w:top w:val="single" w:sz="4" w:space="0" w:color="000000"/>
              <w:left w:val="single" w:sz="4" w:space="0" w:color="000000"/>
              <w:bottom w:val="single" w:sz="4" w:space="0" w:color="000000"/>
              <w:right w:val="single" w:sz="4" w:space="0" w:color="000000"/>
            </w:tcBorders>
          </w:tcPr>
          <w:p>
            <w:pPr>
              <w:pStyle w:val="TAH"/>
              <w:rPr>
                <w:vertAlign w:val="subscript"/>
              </w:rPr>
            </w:pPr>
            <w:r>
              <w:rPr/>
              <w:t>z</w:t>
            </w:r>
            <w:r>
              <w:rPr>
                <w:vertAlign w:val="subscript"/>
              </w:rPr>
              <w:t>e</w:t>
            </w:r>
          </w:p>
        </w:tc>
        <w:tc>
          <w:tcPr>
            <w:tcW w:w="2185"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vertAlign w:val="subscript"/>
              </w:rPr>
            </w:pPr>
            <w:r>
              <w:rPr>
                <w:vertAlign w:val="subscript"/>
              </w:rPr>
            </w:r>
          </w:p>
        </w:tc>
        <w:tc>
          <w:tcPr>
            <w:tcW w:w="218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pPr>
            <w:r>
              <w:rPr/>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17</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-25.43</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-20.58</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-25.23</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-26.30</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-23.78</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-24.61</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-22.12</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-22.49</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-26.54</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-23.54</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-25.95</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-21.33</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20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-25.63</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-21.25</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-25.25</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-26.96</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-26.49</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-24.07</w:t>
            </w:r>
          </w:p>
        </w:tc>
      </w:tr>
      <w:tr>
        <w:trPr/>
        <w:tc>
          <w:tcPr>
            <w:tcW w:w="1546" w:type="dxa"/>
            <w:tcBorders>
              <w:top w:val="single" w:sz="4" w:space="0" w:color="000000"/>
              <w:left w:val="single" w:sz="4" w:space="0" w:color="000000"/>
              <w:bottom w:val="single" w:sz="4" w:space="0" w:color="000000"/>
              <w:right w:val="single" w:sz="4" w:space="0" w:color="000000"/>
            </w:tcBorders>
          </w:tcPr>
          <w:p>
            <w:pPr>
              <w:pStyle w:val="TAC"/>
              <w:rPr/>
            </w:pPr>
            <w:r>
              <w:rPr/>
              <w:t>30</w:t>
            </w:r>
          </w:p>
        </w:tc>
        <w:tc>
          <w:tcPr>
            <w:tcW w:w="1547" w:type="dxa"/>
            <w:tcBorders>
              <w:top w:val="single" w:sz="4" w:space="0" w:color="000000"/>
              <w:left w:val="single" w:sz="4" w:space="0" w:color="000000"/>
              <w:bottom w:val="single" w:sz="4" w:space="0" w:color="000000"/>
              <w:right w:val="single" w:sz="4" w:space="0" w:color="000000"/>
            </w:tcBorders>
          </w:tcPr>
          <w:p>
            <w:pPr>
              <w:pStyle w:val="TAC"/>
              <w:rPr/>
            </w:pPr>
            <w:r>
              <w:rPr/>
              <w:t>10</w:t>
            </w:r>
          </w:p>
        </w:tc>
        <w:tc>
          <w:tcPr>
            <w:tcW w:w="2185" w:type="dxa"/>
            <w:tcBorders>
              <w:top w:val="single" w:sz="4" w:space="0" w:color="000000"/>
              <w:left w:val="single" w:sz="4" w:space="0" w:color="000000"/>
              <w:bottom w:val="single" w:sz="4" w:space="0" w:color="000000"/>
              <w:right w:val="single" w:sz="4" w:space="0" w:color="000000"/>
            </w:tcBorders>
          </w:tcPr>
          <w:p>
            <w:pPr>
              <w:pStyle w:val="TAC"/>
              <w:rPr/>
            </w:pPr>
            <w:r>
              <w:rPr/>
              <w:t>-25.74</w:t>
            </w:r>
          </w:p>
        </w:tc>
        <w:tc>
          <w:tcPr>
            <w:tcW w:w="2181" w:type="dxa"/>
            <w:tcBorders>
              <w:top w:val="single" w:sz="4" w:space="0" w:color="000000"/>
              <w:left w:val="single" w:sz="4" w:space="0" w:color="000000"/>
              <w:bottom w:val="single" w:sz="4" w:space="0" w:color="000000"/>
              <w:right w:val="single" w:sz="4" w:space="0" w:color="000000"/>
            </w:tcBorders>
          </w:tcPr>
          <w:p>
            <w:pPr>
              <w:pStyle w:val="TAC"/>
              <w:rPr/>
            </w:pPr>
            <w:r>
              <w:rPr/>
              <w:t>-22.01</w:t>
            </w:r>
          </w:p>
        </w:tc>
      </w:tr>
      <w:tr>
        <w:trPr/>
        <w:tc>
          <w:tcPr>
            <w:tcW w:w="3093" w:type="dxa"/>
            <w:gridSpan w:val="2"/>
            <w:tcBorders>
              <w:top w:val="single" w:sz="4" w:space="0" w:color="000000"/>
              <w:left w:val="single" w:sz="4" w:space="0" w:color="000000"/>
              <w:bottom w:val="single" w:sz="4" w:space="0" w:color="000000"/>
              <w:right w:val="single" w:sz="4" w:space="0" w:color="000000"/>
            </w:tcBorders>
          </w:tcPr>
          <w:p>
            <w:pPr>
              <w:pStyle w:val="TAH"/>
              <w:rPr>
                <w:b w:val="false"/>
                <w:b w:val="false"/>
                <w:bCs/>
              </w:rPr>
            </w:pPr>
            <w:r>
              <w:rPr>
                <w:b w:val="false"/>
                <w:bCs/>
              </w:rPr>
              <w:t>Mean</w:t>
            </w:r>
          </w:p>
        </w:tc>
        <w:tc>
          <w:tcPr>
            <w:tcW w:w="2185"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-25.22</w:t>
            </w:r>
          </w:p>
        </w:tc>
        <w:tc>
          <w:tcPr>
            <w:tcW w:w="2181" w:type="dxa"/>
            <w:tcBorders>
              <w:top w:val="single" w:sz="4" w:space="0" w:color="000000"/>
              <w:left w:val="single" w:sz="4" w:space="0" w:color="000000"/>
              <w:bottom w:val="single" w:sz="4" w:space="0" w:color="000000"/>
              <w:right w:val="single" w:sz="4" w:space="0" w:color="000000"/>
            </w:tcBorders>
          </w:tcPr>
          <w:p>
            <w:pPr>
              <w:pStyle w:val="TAH"/>
              <w:rPr>
                <w:b w:val="false"/>
                <w:b w:val="false"/>
              </w:rPr>
            </w:pPr>
            <w:r>
              <w:rPr>
                <w:b w:val="false"/>
              </w:rPr>
              <w:t>-23.31</w:t>
            </w:r>
          </w:p>
        </w:tc>
      </w:tr>
    </w:tbl>
    <w:p>
      <w:pPr>
        <w:pStyle w:val="Normal"/>
        <w:rPr/>
      </w:pPr>
      <w:r>
        <w:rPr/>
      </w:r>
    </w:p>
    <w:p>
      <w:pPr>
        <w:pStyle w:val="Normal"/>
        <w:rPr/>
      </w:pPr>
      <w:r>
        <w:rPr/>
        <w:t>Variability of RFR results between MP1 and MP2 is presented in Figure 4-28. A positive value indicates higher sensitivity with MP1. For Device 2, all individual measurements demonstrate consistent and substantial (at some points &gt; 10dB) variability between 100Hz and 2kHz.</w:t>
      </w:r>
    </w:p>
    <w:p>
      <w:pPr>
        <w:pStyle w:val="TH"/>
        <w:rPr/>
      </w:pPr>
      <w:r>
        <w:rPr/>
        <w:drawing>
          <wp:inline distT="0" distB="0" distL="0" distR="0">
            <wp:extent cx="4318635" cy="2393950"/>
            <wp:effectExtent l="0" t="0" r="0" b="0"/>
            <wp:docPr id="50" name="Pictur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71" descr=""/>
                    <pic:cNvPicPr>
                      <a:picLocks noChangeAspect="1" noChangeArrowheads="1"/>
                    </pic:cNvPicPr>
                  </pic:nvPicPr>
                  <pic:blipFill>
                    <a:blip r:embed="rId42"/>
                    <a:srcRect l="-8" t="-15" r="-8" b="-15"/>
                    <a:stretch>
                      <a:fillRect/>
                    </a:stretch>
                  </pic:blipFill>
                  <pic:spPr bwMode="auto">
                    <a:xfrm>
                      <a:off x="0" y="0"/>
                      <a:ext cx="4318635" cy="2393950"/>
                    </a:xfrm>
                    <a:prstGeom prst="rect">
                      <a:avLst/>
                    </a:prstGeom>
                  </pic:spPr>
                </pic:pic>
              </a:graphicData>
            </a:graphic>
          </wp:inline>
        </w:drawing>
      </w:r>
    </w:p>
    <w:p>
      <w:pPr>
        <w:pStyle w:val="TF"/>
        <w:rPr/>
      </w:pPr>
      <w:r>
        <w:rPr/>
        <w:t>Figure 4-28: Device 2 RFR mounting variability</w:t>
      </w:r>
    </w:p>
    <w:p>
      <w:pPr>
        <w:pStyle w:val="Heading4"/>
        <w:ind w:left="1418" w:hanging="1418"/>
        <w:rPr/>
      </w:pPr>
      <w:bookmarkStart w:id="68" w:name="__RefHeading___Toc19266993"/>
      <w:bookmarkEnd w:id="68"/>
      <w:r>
        <w:rPr/>
        <w:t>4.4.3.4</w:t>
        <w:tab/>
        <w:t>Device 2 on HATS 2 Measurements</w:t>
      </w:r>
    </w:p>
    <w:p>
      <w:pPr>
        <w:pStyle w:val="Normal"/>
        <w:rPr/>
      </w:pPr>
      <w:r>
        <w:rPr/>
        <w:t>Device 2 RFR was also measured on HATS 2 with the previously defined MECRP. Device playback was calibrated to a nominal RLR of 2.0dB. Figure 4-29 shows the HATS 2 results along with HATS 1 MECRP and average RFRs using MP1. In-band sensitivity differences between the two HATS exceed 10dB at 250Hz and reach 8dB at 2.5kHz.</w:t>
      </w:r>
    </w:p>
    <w:p>
      <w:pPr>
        <w:pStyle w:val="TH"/>
        <w:rPr/>
      </w:pPr>
      <w:r>
        <w:rPr/>
        <w:drawing>
          <wp:inline distT="0" distB="0" distL="0" distR="0">
            <wp:extent cx="4318635" cy="2419350"/>
            <wp:effectExtent l="0" t="0" r="0" b="0"/>
            <wp:docPr id="51" name="Picture 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70" descr=""/>
                    <pic:cNvPicPr>
                      <a:picLocks noChangeAspect="1" noChangeArrowheads="1"/>
                    </pic:cNvPicPr>
                  </pic:nvPicPr>
                  <pic:blipFill>
                    <a:blip r:embed="rId43"/>
                    <a:srcRect l="-8" t="-15" r="-8" b="-15"/>
                    <a:stretch>
                      <a:fillRect/>
                    </a:stretch>
                  </pic:blipFill>
                  <pic:spPr bwMode="auto">
                    <a:xfrm>
                      <a:off x="0" y="0"/>
                      <a:ext cx="4318635" cy="2419350"/>
                    </a:xfrm>
                    <a:prstGeom prst="rect">
                      <a:avLst/>
                    </a:prstGeom>
                  </pic:spPr>
                </pic:pic>
              </a:graphicData>
            </a:graphic>
          </wp:inline>
        </w:drawing>
      </w:r>
    </w:p>
    <w:p>
      <w:pPr>
        <w:pStyle w:val="TF"/>
        <w:rPr/>
      </w:pPr>
      <w:r>
        <w:rPr/>
        <w:t>Figure 4-29: Device 2 RFR measured on HATS 2</w:t>
      </w:r>
    </w:p>
    <w:p>
      <w:pPr>
        <w:pStyle w:val="Heading3"/>
        <w:rPr/>
      </w:pPr>
      <w:bookmarkStart w:id="69" w:name="__RefHeading___Toc19266994"/>
      <w:bookmarkEnd w:id="69"/>
      <w:r>
        <w:rPr/>
        <w:t>4.4.4</w:t>
        <w:tab/>
        <w:t>Discussion</w:t>
      </w:r>
    </w:p>
    <w:p>
      <w:pPr>
        <w:pStyle w:val="Normal"/>
        <w:rPr/>
      </w:pPr>
      <w:r>
        <w:rPr/>
        <w:t>In the previous clauses, acoustic measurement results for two commercial HaNTE devices were presented. For each device the MECRP was defined as y</w:t>
      </w:r>
      <w:r>
        <w:rPr>
          <w:vertAlign w:val="subscript"/>
        </w:rPr>
        <w:t>e</w:t>
      </w:r>
      <w:r>
        <w:rPr/>
        <w:t>=17mm, z</w:t>
      </w:r>
      <w:r>
        <w:rPr>
          <w:vertAlign w:val="subscript"/>
        </w:rPr>
        <w:t>e</w:t>
      </w:r>
      <w:r>
        <w:rPr/>
        <w:t>=0mm. Each device was measured on two HATS at the MECRP. On HATS 1, the devices were measured at an additional 9 points in an equally spaced grid proposed in [3]. Furthermore, HATS 1 measurements were made with a standard mounting position and with an alternative mounting position. RLR and RFR results for all measurements were assessed according to the requirements in [2] and variability between HATS, measurement points, and mounting positions was reported.</w:t>
      </w:r>
    </w:p>
    <w:p>
      <w:pPr>
        <w:pStyle w:val="Normal"/>
        <w:rPr/>
      </w:pPr>
      <w:r>
        <w:rPr/>
        <w:t>Device 1 exemplifies a relatively high performing HaNTE device. RLRs stay within an acceptable range over a larger area of the device display when mounted in a standard position (MP1). Although no RFR measurements on HATS 1 pass the mask defined in [2], all positions are within 8dB of passing no matter the mounting position. Furthermore, Device 1 passes the RFR sensitivity mask when measured on HATS 2. Finally, mounting specific variability is limited to &lt; 6dB in the frequency range 100Hz – 2kHz.</w:t>
      </w:r>
    </w:p>
    <w:p>
      <w:pPr>
        <w:pStyle w:val="Normal"/>
        <w:rPr/>
      </w:pPr>
      <w:r>
        <w:rPr/>
        <w:t>Device 2, however, demonstrates poor performance for a HaNTE device. The RLR is more susceptible to measurement point variability and fewer points fulfil the requirements of [2]. Furthermore, Device 2 RFR is far from passing the frequency mask no matter the measurement point (&gt;20dB absolute error) or HATS. Lastly, the Device 2 RFR is prone to high levels of mounting specific variability at frequencies below 2kHz.</w:t>
      </w:r>
    </w:p>
    <w:p>
      <w:pPr>
        <w:pStyle w:val="Heading1"/>
        <w:ind w:left="1134" w:hanging="1134"/>
        <w:rPr/>
      </w:pPr>
      <w:bookmarkStart w:id="70" w:name="__RefHeading___Toc19266995"/>
      <w:bookmarkEnd w:id="70"/>
      <w:r>
        <w:rPr/>
        <w:t>5</w:t>
        <w:tab/>
        <w:t>Conclusion</w:t>
      </w:r>
    </w:p>
    <w:p>
      <w:pPr>
        <w:pStyle w:val="Normal"/>
        <w:rPr/>
      </w:pPr>
      <w:r>
        <w:rPr/>
        <w:t>The present document reports on investigations of testing UEs featuring non-traditional earpieces ("HaNTE device") and identifies related gaps to existing 3GPP specifications and recommended test equipment. The feasibility study resulted in the following main findings:</w:t>
      </w:r>
    </w:p>
    <w:p>
      <w:pPr>
        <w:pStyle w:val="B1"/>
        <w:rPr/>
      </w:pPr>
      <w:r>
        <w:rPr/>
        <w:t>-</w:t>
        <w:tab/>
        <w:t>UEs featuring non-traditional earpieces may not feature a center of an acoustic port, raising the question of how to properly position a handset for testing. Therefore, an update to ITU-T Recommendation P.64 was found required to reference this Recommendation also for handsets with non-traditional earpieces.</w:t>
      </w:r>
    </w:p>
    <w:p>
      <w:pPr>
        <w:pStyle w:val="B1"/>
        <w:rPr/>
      </w:pPr>
      <w:r>
        <w:rPr/>
        <w:t>-</w:t>
        <w:tab/>
        <w:t xml:space="preserve">When measured with manufacturer provided MECRP and mounting instructions, at least one HaNTE device was found compliant to current 3GPP terminal acoustic specifications. </w:t>
      </w:r>
    </w:p>
    <w:p>
      <w:pPr>
        <w:pStyle w:val="B1"/>
        <w:rPr/>
      </w:pPr>
      <w:r>
        <w:rPr/>
        <w:t>-</w:t>
        <w:tab/>
        <w:t>However, even when measured with manufacturer provided MECRP and mounting instructions, certain HaNTE devices were found not compliant to current 3GPP terminal acoustic specifications.</w:t>
      </w:r>
    </w:p>
    <w:p>
      <w:pPr>
        <w:pStyle w:val="B1"/>
        <w:rPr/>
      </w:pPr>
      <w:r>
        <w:rPr/>
        <w:t>-</w:t>
        <w:tab/>
        <w:t>In contrast to devices featuring a traditional earpiece, the manner of holding the device with the handset positioner was found of significance for the receive frequency response and receive loudness rating of certain HaNTE devices. The mechanical contact of the handset positioner to the HaNTE device structure may alter the device's acoustic radiating properties.</w:t>
      </w:r>
    </w:p>
    <w:p>
      <w:pPr>
        <w:pStyle w:val="B1"/>
        <w:rPr/>
      </w:pPr>
      <w:r>
        <w:rPr/>
        <w:t>-</w:t>
        <w:tab/>
        <w:t xml:space="preserve">Because a significant portion of the display vibrates and radiates sound, the listening "sweet spot" may be larger for certain HaNTE devices when compared to handsets featuring a traditional earpiece. </w:t>
      </w:r>
    </w:p>
    <w:p>
      <w:pPr>
        <w:pStyle w:val="B1"/>
        <w:rPr/>
      </w:pPr>
      <w:r>
        <w:rPr/>
        <w:t>-</w:t>
        <w:tab/>
        <w:t>Privacy was found of concern for certain HaNTE devices studied, with audible sound radiating to areas in proximity to the user.</w:t>
      </w:r>
    </w:p>
    <w:p>
      <w:pPr>
        <w:pStyle w:val="B1"/>
        <w:rPr/>
      </w:pPr>
      <w:r>
        <w:rPr/>
        <w:t>-</w:t>
        <w:tab/>
        <w:t>High distortion was identified as a concern with certain HaNTE devices studied.</w:t>
      </w:r>
    </w:p>
    <w:p>
      <w:pPr>
        <w:pStyle w:val="B1"/>
        <w:rPr/>
      </w:pPr>
      <w:r>
        <w:rPr/>
        <w:t>-</w:t>
        <w:tab/>
        <w:t>Out of band noise was identified as a concern with certain HaNTE devices studied.</w:t>
      </w:r>
      <w:r>
        <w:br w:type="page"/>
      </w:r>
    </w:p>
    <w:p>
      <w:pPr>
        <w:pStyle w:val="Heading9"/>
        <w:rPr/>
      </w:pPr>
      <w:bookmarkStart w:id="71" w:name="__RefHeading___Toc19266996"/>
      <w:bookmarkEnd w:id="71"/>
      <w:r>
        <w:rPr/>
        <w:t>Annex A:</w:t>
        <w:br/>
        <w:t>Tables for the study on suitability of HATS for HaNTE measurements</w:t>
      </w:r>
    </w:p>
    <w:p>
      <w:pPr>
        <w:pStyle w:val="TH"/>
        <w:rPr/>
      </w:pPr>
      <w:r>
        <w:rPr/>
        <w:t>Table A-1: Subjective level matching descriptive statistics</w:t>
      </w:r>
    </w:p>
    <w:tbl>
      <w:tblPr>
        <w:tblW w:w="7652" w:type="dxa"/>
        <w:jc w:val="center"/>
        <w:tblInd w:w="0" w:type="dxa"/>
        <w:tblLayout w:type="fixed"/>
        <w:tblCellMar>
          <w:top w:w="0" w:type="dxa"/>
          <w:left w:w="1" w:type="dxa"/>
          <w:bottom w:w="0" w:type="dxa"/>
          <w:right w:w="4" w:type="dxa"/>
        </w:tblCellMar>
      </w:tblPr>
      <w:tblGrid>
        <w:gridCol w:w="2402"/>
        <w:gridCol w:w="999"/>
        <w:gridCol w:w="1417"/>
        <w:gridCol w:w="1417"/>
        <w:gridCol w:w="1417"/>
      </w:tblGrid>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center"/>
          </w:tcPr>
          <w:p>
            <w:pPr>
              <w:pStyle w:val="TAH"/>
              <w:rPr/>
            </w:pPr>
            <w:r>
              <w:rPr/>
              <w:t>Center Frequency (Hz)</w:t>
            </w:r>
          </w:p>
        </w:tc>
        <w:tc>
          <w:tcPr>
            <w:tcW w:w="999" w:type="dxa"/>
            <w:tcBorders>
              <w:top w:val="single" w:sz="6" w:space="0" w:color="000000"/>
              <w:left w:val="single" w:sz="6" w:space="0" w:color="000000"/>
              <w:bottom w:val="single" w:sz="6" w:space="0" w:color="000000"/>
              <w:right w:val="single" w:sz="6" w:space="0" w:color="000000"/>
            </w:tcBorders>
            <w:vAlign w:val="center"/>
          </w:tcPr>
          <w:p>
            <w:pPr>
              <w:pStyle w:val="TAH"/>
              <w:rPr/>
            </w:pPr>
            <w:r>
              <w:rPr/>
              <w:t>N</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H"/>
              <w:rPr/>
            </w:pPr>
            <w:r>
              <w:rPr/>
              <w:t>Mean (dB)</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H"/>
              <w:rPr/>
            </w:pPr>
            <w:r>
              <w:rPr/>
              <w:t>Std. Deviation</w:t>
            </w:r>
          </w:p>
        </w:tc>
        <w:tc>
          <w:tcPr>
            <w:tcW w:w="1417" w:type="dxa"/>
            <w:tcBorders>
              <w:top w:val="single" w:sz="6" w:space="0" w:color="000000"/>
              <w:left w:val="single" w:sz="6" w:space="0" w:color="000000"/>
              <w:bottom w:val="single" w:sz="6" w:space="0" w:color="000000"/>
              <w:right w:val="single" w:sz="6" w:space="0" w:color="000000"/>
            </w:tcBorders>
            <w:vAlign w:val="center"/>
          </w:tcPr>
          <w:p>
            <w:pPr>
              <w:pStyle w:val="TAH"/>
              <w:rPr/>
            </w:pPr>
            <w:r>
              <w:rPr/>
              <w:t>Std. Error</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200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-8.91</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5.25</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1.31</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250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-2.75</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3.92</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0.98</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315</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-1.00</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3.30</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0.82</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400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0.69</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3.39</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0.85</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500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1.41</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3.67</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0.92</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630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-2.13</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3.61</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0.90</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800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-3.88</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4.82</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1.21</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1000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-3.69</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5.33</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1.33</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1250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-4.75</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3.95</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0.99</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1600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-5.84</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3.50</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0.88</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2000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-7.91</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3.11</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0.78</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2500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-6.69</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3.47</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0.87</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3150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-6.72</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4.32</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1.08</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4000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-4.44</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3.05</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0.76</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5000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-3.75</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3.29</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0.82</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6300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-2.66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3.91</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0.98</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8000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-4.16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3.50</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0.87</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10000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-2.81</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4.17</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1.04</w:t>
            </w:r>
          </w:p>
        </w:tc>
      </w:tr>
      <w:tr>
        <w:trPr>
          <w:trHeight w:val="20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12500</w:t>
            </w:r>
          </w:p>
        </w:tc>
        <w:tc>
          <w:tcPr>
            <w:tcW w:w="999" w:type="dxa"/>
            <w:tcBorders>
              <w:top w:val="single" w:sz="6" w:space="0" w:color="000000"/>
              <w:left w:val="single" w:sz="6" w:space="0" w:color="000000"/>
              <w:bottom w:val="single" w:sz="6" w:space="0" w:color="000000"/>
              <w:right w:val="single" w:sz="6" w:space="0" w:color="000000"/>
            </w:tcBorders>
            <w:vAlign w:val="bottom"/>
          </w:tcPr>
          <w:p>
            <w:pPr>
              <w:pStyle w:val="TAC"/>
              <w:rPr/>
            </w:pPr>
            <w:r>
              <w:rPr/>
              <w:t>16</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-3.09</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3.84</w:t>
            </w:r>
          </w:p>
        </w:tc>
        <w:tc>
          <w:tcPr>
            <w:tcW w:w="1417" w:type="dxa"/>
            <w:tcBorders>
              <w:top w:val="single" w:sz="6" w:space="0" w:color="000000"/>
              <w:left w:val="single" w:sz="6" w:space="0" w:color="000000"/>
              <w:bottom w:val="single" w:sz="6" w:space="0" w:color="000000"/>
              <w:right w:val="single" w:sz="6" w:space="0" w:color="000000"/>
            </w:tcBorders>
            <w:vAlign w:val="bottom"/>
          </w:tcPr>
          <w:p>
            <w:pPr>
              <w:pStyle w:val="TAC"/>
              <w:rPr/>
            </w:pPr>
            <w:r>
              <w:rPr/>
              <w:t>0.96</w:t>
            </w:r>
          </w:p>
        </w:tc>
      </w:tr>
    </w:tbl>
    <w:p>
      <w:pPr>
        <w:pStyle w:val="Normal"/>
        <w:rPr/>
      </w:pPr>
      <w:r>
        <w:rPr/>
      </w:r>
    </w:p>
    <w:p>
      <w:pPr>
        <w:pStyle w:val="TH"/>
        <w:rPr/>
      </w:pPr>
      <w:r>
        <w:rPr/>
        <w:t>Table A-2: Objective-Subjective correlation analysis</w:t>
      </w:r>
    </w:p>
    <w:tbl>
      <w:tblPr>
        <w:tblW w:w="7789" w:type="dxa"/>
        <w:jc w:val="center"/>
        <w:tblInd w:w="0" w:type="dxa"/>
        <w:tblLayout w:type="fixed"/>
        <w:tblCellMar>
          <w:top w:w="0" w:type="dxa"/>
          <w:left w:w="1" w:type="dxa"/>
          <w:bottom w:w="0" w:type="dxa"/>
          <w:right w:w="4" w:type="dxa"/>
        </w:tblCellMar>
      </w:tblPr>
      <w:tblGrid>
        <w:gridCol w:w="2402"/>
        <w:gridCol w:w="1701"/>
        <w:gridCol w:w="1701"/>
        <w:gridCol w:w="1985"/>
      </w:tblGrid>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center"/>
          </w:tcPr>
          <w:p>
            <w:pPr>
              <w:pStyle w:val="TAH"/>
              <w:rPr/>
            </w:pPr>
            <w:r>
              <w:rPr/>
              <w:t>Center Frequency (Hz)</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H"/>
              <w:rPr/>
            </w:pPr>
            <w:r>
              <w:rPr/>
              <w:t>HATS 1 (dB)</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H"/>
              <w:rPr/>
            </w:pPr>
            <w:r>
              <w:rPr/>
              <w:t>HATS 2 (dB)</w:t>
            </w:r>
          </w:p>
        </w:tc>
        <w:tc>
          <w:tcPr>
            <w:tcW w:w="1985" w:type="dxa"/>
            <w:tcBorders>
              <w:top w:val="single" w:sz="6" w:space="0" w:color="000000"/>
              <w:left w:val="single" w:sz="6" w:space="0" w:color="000000"/>
              <w:bottom w:val="single" w:sz="6" w:space="0" w:color="000000"/>
              <w:right w:val="single" w:sz="6" w:space="0" w:color="000000"/>
            </w:tcBorders>
            <w:vAlign w:val="center"/>
          </w:tcPr>
          <w:p>
            <w:pPr>
              <w:pStyle w:val="TAH"/>
              <w:rPr/>
            </w:pPr>
            <w:r>
              <w:rPr/>
              <w:t>Subjective Mean (dB)</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200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-6.93</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-5.06</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-8.91</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250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-3.63</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-3.04</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-2.75</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315</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0.09</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-0.58</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-1.00</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400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3.28</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2.97</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0.69</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500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-1.58</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0.04</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1.41</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630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-1.99</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-4.71</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-2.13</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800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-0.81</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-5.48</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-3.88</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1000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-5.93</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-5.22</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-3.69</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1250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-5.85</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-3.92</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-4.75</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1600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-4.39</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-6.51</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-5.84</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2000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-5.23</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-7.30</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-7.91</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2500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-6.44</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-7.05</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-6.69</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3150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-6.43</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-8.80</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-6.72</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4000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-5.80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-7.40</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-4.44</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5000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-4.64</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-5.76</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-3.75</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6300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-3.94</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-0.87</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-2.66</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8000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-3.23</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-0.61</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-4.16</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10000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-3.21</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-4.14</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-2.81</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C"/>
              <w:rPr/>
            </w:pPr>
            <w:r>
              <w:rPr/>
              <w:t>12500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-0.05</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5.98</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-3.09</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center"/>
          </w:tcPr>
          <w:p>
            <w:pPr>
              <w:pStyle w:val="TAH"/>
              <w:rPr/>
            </w:pPr>
            <w:r>
              <w:rPr/>
              <w:t>rho</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0.775</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0.656</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center"/>
          </w:tcPr>
          <w:p>
            <w:pPr>
              <w:pStyle w:val="TAH"/>
              <w:rPr/>
            </w:pPr>
            <w:r>
              <w:rPr/>
              <w:t>tstat</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5.350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3.791</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w:t>
            </w:r>
          </w:p>
        </w:tc>
      </w:tr>
      <w:tr>
        <w:trPr>
          <w:trHeight w:val="57" w:hRule="atLeast"/>
        </w:trPr>
        <w:tc>
          <w:tcPr>
            <w:tcW w:w="2402" w:type="dxa"/>
            <w:tcBorders>
              <w:top w:val="single" w:sz="6" w:space="0" w:color="000000"/>
              <w:left w:val="single" w:sz="6" w:space="0" w:color="000000"/>
              <w:bottom w:val="single" w:sz="6" w:space="0" w:color="000000"/>
              <w:right w:val="single" w:sz="6" w:space="0" w:color="000000"/>
            </w:tcBorders>
            <w:vAlign w:val="bottom"/>
          </w:tcPr>
          <w:p>
            <w:pPr>
              <w:pStyle w:val="TAH"/>
              <w:rPr/>
            </w:pPr>
            <w:r>
              <w:rPr/>
              <w:t>p</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0.000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0.001</w:t>
            </w:r>
          </w:p>
        </w:tc>
        <w:tc>
          <w:tcPr>
            <w:tcW w:w="1985" w:type="dxa"/>
            <w:tcBorders>
              <w:top w:val="single" w:sz="6" w:space="0" w:color="000000"/>
              <w:left w:val="single" w:sz="6" w:space="0" w:color="000000"/>
              <w:bottom w:val="single" w:sz="6" w:space="0" w:color="000000"/>
              <w:right w:val="single" w:sz="6" w:space="0" w:color="000000"/>
            </w:tcBorders>
            <w:vAlign w:val="bottom"/>
          </w:tcPr>
          <w:p>
            <w:pPr>
              <w:pStyle w:val="TAC"/>
              <w:rPr/>
            </w:pPr>
            <w:r>
              <w:rPr/>
              <w:t>-</w:t>
            </w:r>
          </w:p>
        </w:tc>
      </w:tr>
    </w:tbl>
    <w:p>
      <w:pPr>
        <w:pStyle w:val="Normal"/>
        <w:rPr/>
      </w:pPr>
      <w:r>
        <w:rPr/>
      </w:r>
    </w:p>
    <w:p>
      <w:pPr>
        <w:pStyle w:val="TH"/>
        <w:rPr/>
      </w:pPr>
      <w:r>
        <w:rPr/>
        <w:t>Table A-3: SE and RMSE calculated between subjective results and HATS data</w:t>
      </w:r>
    </w:p>
    <w:tbl>
      <w:tblPr>
        <w:tblW w:w="5521" w:type="dxa"/>
        <w:jc w:val="center"/>
        <w:tblInd w:w="0" w:type="dxa"/>
        <w:tblLayout w:type="fixed"/>
        <w:tblCellMar>
          <w:top w:w="0" w:type="dxa"/>
          <w:left w:w="1" w:type="dxa"/>
          <w:bottom w:w="0" w:type="dxa"/>
          <w:right w:w="4" w:type="dxa"/>
        </w:tblCellMar>
      </w:tblPr>
      <w:tblGrid>
        <w:gridCol w:w="2119"/>
        <w:gridCol w:w="1701"/>
        <w:gridCol w:w="1701"/>
      </w:tblGrid>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center"/>
          </w:tcPr>
          <w:p>
            <w:pPr>
              <w:pStyle w:val="TAH"/>
              <w:rPr/>
            </w:pPr>
            <w:r>
              <w:rPr/>
              <w:t>Center Frequency (Hz)</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H"/>
              <w:rPr/>
            </w:pPr>
            <w:r>
              <w:rPr/>
              <w:t>HATS 1 (dB)</w:t>
            </w:r>
          </w:p>
        </w:tc>
        <w:tc>
          <w:tcPr>
            <w:tcW w:w="1701" w:type="dxa"/>
            <w:tcBorders>
              <w:top w:val="single" w:sz="6" w:space="0" w:color="000000"/>
              <w:left w:val="single" w:sz="6" w:space="0" w:color="000000"/>
              <w:bottom w:val="single" w:sz="6" w:space="0" w:color="000000"/>
              <w:right w:val="single" w:sz="6" w:space="0" w:color="000000"/>
            </w:tcBorders>
            <w:vAlign w:val="center"/>
          </w:tcPr>
          <w:p>
            <w:pPr>
              <w:pStyle w:val="TAH"/>
              <w:rPr/>
            </w:pPr>
            <w:r>
              <w:rPr/>
              <w:t>HATS 2 (dB)</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200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-6.93</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-5.06</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250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-3.63</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-3.04</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315</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0.09</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-0.58</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400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3.28</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2.97</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500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-1.58</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0.04</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630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-1.99</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-4.71</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800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-0.81</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-5.48</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1000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-5.93</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-5.22</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1250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-5.85</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-3.92</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1600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-4.39</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-6.51</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2000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-5.23</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-7.30</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2500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-6.44</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-7.05</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3150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-6.43</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-8.80</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4000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-5.80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-7.40</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5000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-4.64</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-5.76</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6300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-3.94</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-0.87</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8000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-3.23</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-0.61</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10000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-3.21</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-4.14</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C"/>
              <w:rPr/>
            </w:pPr>
            <w:r>
              <w:rPr/>
              <w:t>12500</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-0.05</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5.98</w:t>
            </w:r>
          </w:p>
        </w:tc>
      </w:tr>
      <w:tr>
        <w:trPr>
          <w:trHeight w:val="57" w:hRule="atLeast"/>
        </w:trPr>
        <w:tc>
          <w:tcPr>
            <w:tcW w:w="2119" w:type="dxa"/>
            <w:tcBorders>
              <w:top w:val="single" w:sz="6" w:space="0" w:color="000000"/>
              <w:left w:val="single" w:sz="6" w:space="0" w:color="000000"/>
              <w:bottom w:val="single" w:sz="6" w:space="0" w:color="000000"/>
              <w:right w:val="single" w:sz="6" w:space="0" w:color="000000"/>
            </w:tcBorders>
            <w:vAlign w:val="bottom"/>
          </w:tcPr>
          <w:p>
            <w:pPr>
              <w:pStyle w:val="TAH"/>
              <w:rPr/>
            </w:pPr>
            <w:r>
              <w:rPr/>
              <w:t>RMSE</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1.794</w:t>
            </w:r>
          </w:p>
        </w:tc>
        <w:tc>
          <w:tcPr>
            <w:tcW w:w="1701" w:type="dxa"/>
            <w:tcBorders>
              <w:top w:val="single" w:sz="6" w:space="0" w:color="000000"/>
              <w:left w:val="single" w:sz="6" w:space="0" w:color="000000"/>
              <w:bottom w:val="single" w:sz="6" w:space="0" w:color="000000"/>
              <w:right w:val="single" w:sz="6" w:space="0" w:color="000000"/>
            </w:tcBorders>
            <w:vAlign w:val="bottom"/>
          </w:tcPr>
          <w:p>
            <w:pPr>
              <w:pStyle w:val="TAC"/>
              <w:rPr/>
            </w:pPr>
            <w:r>
              <w:rPr/>
              <w:t>2.832</w:t>
            </w:r>
          </w:p>
        </w:tc>
      </w:tr>
    </w:tbl>
    <w:p>
      <w:pPr>
        <w:pStyle w:val="Normal"/>
        <w:rPr/>
      </w:pPr>
      <w:r>
        <w:rPr/>
      </w:r>
    </w:p>
    <w:p>
      <w:pPr>
        <w:pStyle w:val="TH"/>
        <w:rPr/>
      </w:pPr>
      <w:r>
        <w:rPr/>
        <w:t>Table A-4: One-sample, two-tailed t-test with HATS 1 as reference</w:t>
      </w:r>
    </w:p>
    <w:tbl>
      <w:tblPr>
        <w:tblW w:w="9147" w:type="dxa"/>
        <w:jc w:val="center"/>
        <w:tblInd w:w="0" w:type="dxa"/>
        <w:tblLayout w:type="fixed"/>
        <w:tblCellMar>
          <w:top w:w="0" w:type="dxa"/>
          <w:left w:w="108" w:type="dxa"/>
          <w:bottom w:w="0" w:type="dxa"/>
          <w:right w:w="108" w:type="dxa"/>
        </w:tblCellMar>
      </w:tblPr>
      <w:tblGrid>
        <w:gridCol w:w="1780"/>
        <w:gridCol w:w="960"/>
        <w:gridCol w:w="794"/>
        <w:gridCol w:w="567"/>
        <w:gridCol w:w="1361"/>
        <w:gridCol w:w="1276"/>
        <w:gridCol w:w="1275"/>
        <w:gridCol w:w="1134"/>
      </w:tblGrid>
      <w:tr>
        <w:trPr>
          <w:trHeight w:val="23" w:hRule="atLeast"/>
        </w:trPr>
        <w:tc>
          <w:tcPr>
            <w:tcW w:w="1780" w:type="dxa"/>
            <w:vMerge w:val="restart"/>
            <w:tcBorders>
              <w:top w:val="single" w:sz="8" w:space="0" w:color="000000"/>
              <w:left w:val="single" w:sz="8" w:space="0" w:color="000000"/>
              <w:bottom w:val="single" w:sz="8" w:space="0" w:color="000000"/>
              <w:right w:val="single" w:sz="4" w:space="0" w:color="000000"/>
            </w:tcBorders>
            <w:vAlign w:val="bottom"/>
          </w:tcPr>
          <w:p>
            <w:pPr>
              <w:pStyle w:val="TAH"/>
              <w:rPr/>
            </w:pPr>
            <w:r>
              <w:rPr/>
              <w:t>Center Frequency (Hz)</w:t>
            </w:r>
          </w:p>
        </w:tc>
        <w:tc>
          <w:tcPr>
            <w:tcW w:w="960" w:type="dxa"/>
            <w:vMerge w:val="restart"/>
            <w:tcBorders>
              <w:top w:val="single" w:sz="8" w:space="0" w:color="000000"/>
              <w:left w:val="single" w:sz="4" w:space="0" w:color="000000"/>
              <w:bottom w:val="single" w:sz="8" w:space="0" w:color="000000"/>
              <w:right w:val="single" w:sz="4" w:space="0" w:color="000000"/>
            </w:tcBorders>
            <w:vAlign w:val="bottom"/>
          </w:tcPr>
          <w:p>
            <w:pPr>
              <w:pStyle w:val="TAH"/>
              <w:rPr/>
            </w:pPr>
            <w:r>
              <w:rPr/>
              <w:t>Test Value</w:t>
            </w:r>
          </w:p>
        </w:tc>
        <w:tc>
          <w:tcPr>
            <w:tcW w:w="794" w:type="dxa"/>
            <w:vMerge w:val="restart"/>
            <w:tcBorders>
              <w:top w:val="single" w:sz="8" w:space="0" w:color="000000"/>
              <w:left w:val="single" w:sz="4" w:space="0" w:color="000000"/>
              <w:bottom w:val="single" w:sz="8" w:space="0" w:color="000000"/>
              <w:right w:val="single" w:sz="4" w:space="0" w:color="000000"/>
            </w:tcBorders>
            <w:vAlign w:val="bottom"/>
          </w:tcPr>
          <w:p>
            <w:pPr>
              <w:pStyle w:val="TAH"/>
              <w:rPr/>
            </w:pPr>
            <w:r>
              <w:rPr/>
              <w:t>t</w:t>
            </w:r>
          </w:p>
        </w:tc>
        <w:tc>
          <w:tcPr>
            <w:tcW w:w="567" w:type="dxa"/>
            <w:vMerge w:val="restart"/>
            <w:tcBorders>
              <w:top w:val="single" w:sz="8" w:space="0" w:color="000000"/>
              <w:left w:val="single" w:sz="4" w:space="0" w:color="000000"/>
              <w:bottom w:val="single" w:sz="8" w:space="0" w:color="000000"/>
              <w:right w:val="single" w:sz="4" w:space="0" w:color="000000"/>
            </w:tcBorders>
            <w:vAlign w:val="bottom"/>
          </w:tcPr>
          <w:p>
            <w:pPr>
              <w:pStyle w:val="TAH"/>
              <w:rPr/>
            </w:pPr>
            <w:r>
              <w:rPr/>
              <w:t>df</w:t>
            </w:r>
          </w:p>
        </w:tc>
        <w:tc>
          <w:tcPr>
            <w:tcW w:w="1361" w:type="dxa"/>
            <w:vMerge w:val="restart"/>
            <w:tcBorders>
              <w:top w:val="single" w:sz="8" w:space="0" w:color="000000"/>
              <w:left w:val="single" w:sz="4" w:space="0" w:color="000000"/>
              <w:bottom w:val="single" w:sz="8" w:space="0" w:color="000000"/>
              <w:right w:val="single" w:sz="4" w:space="0" w:color="000000"/>
            </w:tcBorders>
            <w:vAlign w:val="bottom"/>
          </w:tcPr>
          <w:p>
            <w:pPr>
              <w:pStyle w:val="TAH"/>
              <w:rPr/>
            </w:pPr>
            <w:r>
              <w:rPr/>
              <w:t>Sig. (2-tailed)</w:t>
            </w:r>
          </w:p>
        </w:tc>
        <w:tc>
          <w:tcPr>
            <w:tcW w:w="1276" w:type="dxa"/>
            <w:vMerge w:val="restart"/>
            <w:tcBorders>
              <w:top w:val="single" w:sz="8" w:space="0" w:color="000000"/>
              <w:left w:val="single" w:sz="4" w:space="0" w:color="000000"/>
              <w:bottom w:val="single" w:sz="8" w:space="0" w:color="000000"/>
              <w:right w:val="single" w:sz="4" w:space="0" w:color="000000"/>
            </w:tcBorders>
            <w:vAlign w:val="bottom"/>
          </w:tcPr>
          <w:p>
            <w:pPr>
              <w:pStyle w:val="TAH"/>
              <w:rPr/>
            </w:pPr>
            <w:r>
              <w:rPr/>
              <w:t>Mean Difference</w:t>
            </w:r>
          </w:p>
        </w:tc>
        <w:tc>
          <w:tcPr>
            <w:tcW w:w="2409" w:type="dxa"/>
            <w:gridSpan w:val="2"/>
            <w:tcBorders>
              <w:top w:val="single" w:sz="8" w:space="0" w:color="000000"/>
              <w:bottom w:val="single" w:sz="4" w:space="0" w:color="000000"/>
              <w:right w:val="single" w:sz="8" w:space="0" w:color="000000"/>
            </w:tcBorders>
            <w:vAlign w:val="bottom"/>
          </w:tcPr>
          <w:p>
            <w:pPr>
              <w:pStyle w:val="TAH"/>
              <w:rPr/>
            </w:pPr>
            <w:r>
              <w:rPr/>
              <w:t xml:space="preserve">95% Confidence Interval </w:t>
            </w:r>
          </w:p>
        </w:tc>
      </w:tr>
      <w:tr>
        <w:trPr>
          <w:trHeight w:val="23" w:hRule="atLeast"/>
        </w:trPr>
        <w:tc>
          <w:tcPr>
            <w:tcW w:w="1780" w:type="dxa"/>
            <w:vMerge w:val="continue"/>
            <w:tcBorders>
              <w:top w:val="single" w:sz="8" w:space="0" w:color="000000"/>
              <w:left w:val="single" w:sz="8" w:space="0" w:color="000000"/>
              <w:bottom w:val="single" w:sz="8" w:space="0" w:color="000000"/>
              <w:right w:val="single" w:sz="4" w:space="0" w:color="000000"/>
            </w:tcBorders>
            <w:vAlign w:val="bottom"/>
          </w:tcPr>
          <w:p>
            <w:pPr>
              <w:pStyle w:val="TAH"/>
              <w:snapToGrid w:val="false"/>
              <w:rPr/>
            </w:pPr>
            <w:r>
              <w:rPr/>
            </w:r>
          </w:p>
        </w:tc>
        <w:tc>
          <w:tcPr>
            <w:tcW w:w="960" w:type="dxa"/>
            <w:vMerge w:val="continue"/>
            <w:tcBorders>
              <w:top w:val="single" w:sz="8" w:space="0" w:color="000000"/>
              <w:left w:val="single" w:sz="4" w:space="0" w:color="000000"/>
              <w:bottom w:val="single" w:sz="8" w:space="0" w:color="000000"/>
              <w:right w:val="single" w:sz="4" w:space="0" w:color="000000"/>
            </w:tcBorders>
            <w:vAlign w:val="bottom"/>
          </w:tcPr>
          <w:p>
            <w:pPr>
              <w:pStyle w:val="TAH"/>
              <w:snapToGrid w:val="false"/>
              <w:rPr/>
            </w:pPr>
            <w:r>
              <w:rPr/>
            </w:r>
          </w:p>
        </w:tc>
        <w:tc>
          <w:tcPr>
            <w:tcW w:w="794" w:type="dxa"/>
            <w:vMerge w:val="continue"/>
            <w:tcBorders>
              <w:top w:val="single" w:sz="8" w:space="0" w:color="000000"/>
              <w:left w:val="single" w:sz="4" w:space="0" w:color="000000"/>
              <w:bottom w:val="single" w:sz="8" w:space="0" w:color="000000"/>
              <w:right w:val="single" w:sz="4" w:space="0" w:color="000000"/>
            </w:tcBorders>
            <w:vAlign w:val="bottom"/>
          </w:tcPr>
          <w:p>
            <w:pPr>
              <w:pStyle w:val="TAH"/>
              <w:snapToGrid w:val="false"/>
              <w:rPr/>
            </w:pPr>
            <w:r>
              <w:rPr/>
            </w:r>
          </w:p>
        </w:tc>
        <w:tc>
          <w:tcPr>
            <w:tcW w:w="567" w:type="dxa"/>
            <w:vMerge w:val="continue"/>
            <w:tcBorders>
              <w:top w:val="single" w:sz="8" w:space="0" w:color="000000"/>
              <w:left w:val="single" w:sz="4" w:space="0" w:color="000000"/>
              <w:bottom w:val="single" w:sz="8" w:space="0" w:color="000000"/>
              <w:right w:val="single" w:sz="4" w:space="0" w:color="000000"/>
            </w:tcBorders>
            <w:vAlign w:val="bottom"/>
          </w:tcPr>
          <w:p>
            <w:pPr>
              <w:pStyle w:val="TAH"/>
              <w:snapToGrid w:val="false"/>
              <w:rPr/>
            </w:pPr>
            <w:r>
              <w:rPr/>
            </w:r>
          </w:p>
        </w:tc>
        <w:tc>
          <w:tcPr>
            <w:tcW w:w="1361" w:type="dxa"/>
            <w:vMerge w:val="continue"/>
            <w:tcBorders>
              <w:top w:val="single" w:sz="8" w:space="0" w:color="000000"/>
              <w:left w:val="single" w:sz="4" w:space="0" w:color="000000"/>
              <w:bottom w:val="single" w:sz="8" w:space="0" w:color="000000"/>
              <w:right w:val="single" w:sz="4" w:space="0" w:color="000000"/>
            </w:tcBorders>
            <w:vAlign w:val="bottom"/>
          </w:tcPr>
          <w:p>
            <w:pPr>
              <w:pStyle w:val="TAH"/>
              <w:snapToGrid w:val="false"/>
              <w:rPr/>
            </w:pPr>
            <w:r>
              <w:rPr/>
            </w:r>
          </w:p>
        </w:tc>
        <w:tc>
          <w:tcPr>
            <w:tcW w:w="1276" w:type="dxa"/>
            <w:vMerge w:val="continue"/>
            <w:tcBorders>
              <w:top w:val="single" w:sz="8" w:space="0" w:color="000000"/>
              <w:left w:val="single" w:sz="4" w:space="0" w:color="000000"/>
              <w:bottom w:val="single" w:sz="8" w:space="0" w:color="000000"/>
              <w:right w:val="single" w:sz="4" w:space="0" w:color="000000"/>
            </w:tcBorders>
            <w:vAlign w:val="bottom"/>
          </w:tcPr>
          <w:p>
            <w:pPr>
              <w:pStyle w:val="TAH"/>
              <w:snapToGrid w:val="false"/>
              <w:rPr/>
            </w:pPr>
            <w:r>
              <w:rPr/>
            </w:r>
          </w:p>
        </w:tc>
        <w:tc>
          <w:tcPr>
            <w:tcW w:w="1275" w:type="dxa"/>
            <w:tcBorders>
              <w:bottom w:val="single" w:sz="8" w:space="0" w:color="000000"/>
              <w:right w:val="single" w:sz="4" w:space="0" w:color="000000"/>
            </w:tcBorders>
            <w:vAlign w:val="bottom"/>
          </w:tcPr>
          <w:p>
            <w:pPr>
              <w:pStyle w:val="TAH"/>
              <w:rPr/>
            </w:pPr>
            <w:r>
              <w:rPr/>
              <w:t>Lower</w:t>
            </w:r>
          </w:p>
        </w:tc>
        <w:tc>
          <w:tcPr>
            <w:tcW w:w="1134" w:type="dxa"/>
            <w:tcBorders>
              <w:bottom w:val="single" w:sz="8" w:space="0" w:color="000000"/>
              <w:right w:val="single" w:sz="8" w:space="0" w:color="000000"/>
            </w:tcBorders>
            <w:vAlign w:val="bottom"/>
          </w:tcPr>
          <w:p>
            <w:pPr>
              <w:pStyle w:val="TAH"/>
              <w:rPr/>
            </w:pPr>
            <w:r>
              <w:rPr/>
              <w:t>Upper</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200</w:t>
            </w:r>
          </w:p>
        </w:tc>
        <w:tc>
          <w:tcPr>
            <w:tcW w:w="960" w:type="dxa"/>
            <w:tcBorders>
              <w:bottom w:val="single" w:sz="4" w:space="0" w:color="000000"/>
              <w:right w:val="single" w:sz="4" w:space="0" w:color="000000"/>
            </w:tcBorders>
            <w:vAlign w:val="bottom"/>
          </w:tcPr>
          <w:p>
            <w:pPr>
              <w:pStyle w:val="TAC"/>
              <w:rPr/>
            </w:pPr>
            <w:r>
              <w:rPr/>
              <w:t>-6.93</w:t>
            </w:r>
          </w:p>
        </w:tc>
        <w:tc>
          <w:tcPr>
            <w:tcW w:w="794" w:type="dxa"/>
            <w:tcBorders>
              <w:bottom w:val="single" w:sz="4" w:space="0" w:color="000000"/>
              <w:right w:val="single" w:sz="4" w:space="0" w:color="000000"/>
            </w:tcBorders>
            <w:vAlign w:val="bottom"/>
          </w:tcPr>
          <w:p>
            <w:pPr>
              <w:pStyle w:val="TAC"/>
              <w:rPr/>
            </w:pPr>
            <w:r>
              <w:rPr/>
              <w:t>-1.504</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0.153</w:t>
            </w:r>
          </w:p>
        </w:tc>
        <w:tc>
          <w:tcPr>
            <w:tcW w:w="1276" w:type="dxa"/>
            <w:tcBorders>
              <w:bottom w:val="single" w:sz="4" w:space="0" w:color="000000"/>
              <w:right w:val="single" w:sz="4" w:space="0" w:color="000000"/>
            </w:tcBorders>
            <w:vAlign w:val="bottom"/>
          </w:tcPr>
          <w:p>
            <w:pPr>
              <w:pStyle w:val="TAC"/>
              <w:rPr/>
            </w:pPr>
            <w:r>
              <w:rPr/>
              <w:t>-1.976</w:t>
            </w:r>
          </w:p>
        </w:tc>
        <w:tc>
          <w:tcPr>
            <w:tcW w:w="1275" w:type="dxa"/>
            <w:tcBorders>
              <w:bottom w:val="single" w:sz="4" w:space="0" w:color="000000"/>
              <w:right w:val="single" w:sz="4" w:space="0" w:color="000000"/>
            </w:tcBorders>
            <w:vAlign w:val="bottom"/>
          </w:tcPr>
          <w:p>
            <w:pPr>
              <w:pStyle w:val="TAC"/>
              <w:rPr/>
            </w:pPr>
            <w:r>
              <w:rPr/>
              <w:t>-11.706</w:t>
            </w:r>
          </w:p>
        </w:tc>
        <w:tc>
          <w:tcPr>
            <w:tcW w:w="1134" w:type="dxa"/>
            <w:tcBorders>
              <w:bottom w:val="single" w:sz="4" w:space="0" w:color="000000"/>
              <w:right w:val="single" w:sz="8" w:space="0" w:color="000000"/>
            </w:tcBorders>
            <w:vAlign w:val="bottom"/>
          </w:tcPr>
          <w:p>
            <w:pPr>
              <w:pStyle w:val="TAC"/>
              <w:rPr/>
            </w:pPr>
            <w:r>
              <w:rPr/>
              <w:t>-6.106</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250</w:t>
            </w:r>
          </w:p>
        </w:tc>
        <w:tc>
          <w:tcPr>
            <w:tcW w:w="960" w:type="dxa"/>
            <w:tcBorders>
              <w:bottom w:val="single" w:sz="4" w:space="0" w:color="000000"/>
              <w:right w:val="single" w:sz="4" w:space="0" w:color="000000"/>
            </w:tcBorders>
            <w:vAlign w:val="bottom"/>
          </w:tcPr>
          <w:p>
            <w:pPr>
              <w:pStyle w:val="TAC"/>
              <w:rPr/>
            </w:pPr>
            <w:r>
              <w:rPr/>
              <w:t>-3.63</w:t>
            </w:r>
          </w:p>
        </w:tc>
        <w:tc>
          <w:tcPr>
            <w:tcW w:w="794" w:type="dxa"/>
            <w:tcBorders>
              <w:bottom w:val="single" w:sz="4" w:space="0" w:color="000000"/>
              <w:right w:val="single" w:sz="4" w:space="0" w:color="000000"/>
            </w:tcBorders>
            <w:vAlign w:val="bottom"/>
          </w:tcPr>
          <w:p>
            <w:pPr>
              <w:pStyle w:val="TAC"/>
              <w:rPr/>
            </w:pPr>
            <w:r>
              <w:rPr/>
              <w:t>0.898</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0.383</w:t>
            </w:r>
          </w:p>
        </w:tc>
        <w:tc>
          <w:tcPr>
            <w:tcW w:w="1276" w:type="dxa"/>
            <w:tcBorders>
              <w:bottom w:val="single" w:sz="4" w:space="0" w:color="000000"/>
              <w:right w:val="single" w:sz="4" w:space="0" w:color="000000"/>
            </w:tcBorders>
            <w:vAlign w:val="bottom"/>
          </w:tcPr>
          <w:p>
            <w:pPr>
              <w:pStyle w:val="TAC"/>
              <w:rPr/>
            </w:pPr>
            <w:r>
              <w:rPr/>
              <w:t>0.880</w:t>
            </w:r>
          </w:p>
        </w:tc>
        <w:tc>
          <w:tcPr>
            <w:tcW w:w="1275" w:type="dxa"/>
            <w:tcBorders>
              <w:bottom w:val="single" w:sz="4" w:space="0" w:color="000000"/>
              <w:right w:val="single" w:sz="4" w:space="0" w:color="000000"/>
            </w:tcBorders>
            <w:vAlign w:val="bottom"/>
          </w:tcPr>
          <w:p>
            <w:pPr>
              <w:pStyle w:val="TAC"/>
              <w:rPr/>
            </w:pPr>
            <w:r>
              <w:rPr/>
              <w:t>-4.839</w:t>
            </w:r>
          </w:p>
        </w:tc>
        <w:tc>
          <w:tcPr>
            <w:tcW w:w="1134" w:type="dxa"/>
            <w:tcBorders>
              <w:bottom w:val="single" w:sz="4" w:space="0" w:color="000000"/>
              <w:right w:val="single" w:sz="8" w:space="0" w:color="000000"/>
            </w:tcBorders>
            <w:vAlign w:val="bottom"/>
          </w:tcPr>
          <w:p>
            <w:pPr>
              <w:pStyle w:val="TAC"/>
              <w:rPr/>
            </w:pPr>
            <w:r>
              <w:rPr/>
              <w:t>-0.661</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315</w:t>
            </w:r>
          </w:p>
        </w:tc>
        <w:tc>
          <w:tcPr>
            <w:tcW w:w="960" w:type="dxa"/>
            <w:tcBorders>
              <w:bottom w:val="single" w:sz="4" w:space="0" w:color="000000"/>
              <w:right w:val="single" w:sz="4" w:space="0" w:color="000000"/>
            </w:tcBorders>
            <w:vAlign w:val="bottom"/>
          </w:tcPr>
          <w:p>
            <w:pPr>
              <w:pStyle w:val="TAC"/>
              <w:rPr/>
            </w:pPr>
            <w:r>
              <w:rPr/>
              <w:t>0.09</w:t>
            </w:r>
          </w:p>
        </w:tc>
        <w:tc>
          <w:tcPr>
            <w:tcW w:w="794" w:type="dxa"/>
            <w:tcBorders>
              <w:bottom w:val="single" w:sz="4" w:space="0" w:color="000000"/>
              <w:right w:val="single" w:sz="4" w:space="0" w:color="000000"/>
            </w:tcBorders>
            <w:vAlign w:val="bottom"/>
          </w:tcPr>
          <w:p>
            <w:pPr>
              <w:pStyle w:val="TAC"/>
              <w:rPr/>
            </w:pPr>
            <w:r>
              <w:rPr/>
              <w:t>-1.323</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0.206</w:t>
            </w:r>
          </w:p>
        </w:tc>
        <w:tc>
          <w:tcPr>
            <w:tcW w:w="1276" w:type="dxa"/>
            <w:tcBorders>
              <w:bottom w:val="single" w:sz="4" w:space="0" w:color="000000"/>
              <w:right w:val="single" w:sz="4" w:space="0" w:color="000000"/>
            </w:tcBorders>
            <w:vAlign w:val="bottom"/>
          </w:tcPr>
          <w:p>
            <w:pPr>
              <w:pStyle w:val="TAC"/>
              <w:rPr/>
            </w:pPr>
            <w:r>
              <w:rPr/>
              <w:t>-1.090</w:t>
            </w:r>
          </w:p>
        </w:tc>
        <w:tc>
          <w:tcPr>
            <w:tcW w:w="1275" w:type="dxa"/>
            <w:tcBorders>
              <w:bottom w:val="single" w:sz="4" w:space="0" w:color="000000"/>
              <w:right w:val="single" w:sz="4" w:space="0" w:color="000000"/>
            </w:tcBorders>
            <w:vAlign w:val="bottom"/>
          </w:tcPr>
          <w:p>
            <w:pPr>
              <w:pStyle w:val="TAC"/>
              <w:rPr/>
            </w:pPr>
            <w:r>
              <w:rPr/>
              <w:t>-2.757</w:t>
            </w:r>
          </w:p>
        </w:tc>
        <w:tc>
          <w:tcPr>
            <w:tcW w:w="1134" w:type="dxa"/>
            <w:tcBorders>
              <w:bottom w:val="single" w:sz="4" w:space="0" w:color="000000"/>
              <w:right w:val="single" w:sz="8" w:space="0" w:color="000000"/>
            </w:tcBorders>
            <w:vAlign w:val="bottom"/>
          </w:tcPr>
          <w:p>
            <w:pPr>
              <w:pStyle w:val="TAC"/>
              <w:rPr/>
            </w:pPr>
            <w:r>
              <w:rPr/>
              <w:t>0.757</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400</w:t>
            </w:r>
          </w:p>
        </w:tc>
        <w:tc>
          <w:tcPr>
            <w:tcW w:w="960" w:type="dxa"/>
            <w:tcBorders>
              <w:bottom w:val="single" w:sz="4" w:space="0" w:color="000000"/>
              <w:right w:val="single" w:sz="4" w:space="0" w:color="000000"/>
            </w:tcBorders>
            <w:vAlign w:val="bottom"/>
          </w:tcPr>
          <w:p>
            <w:pPr>
              <w:pStyle w:val="TAC"/>
              <w:rPr/>
            </w:pPr>
            <w:r>
              <w:rPr/>
              <w:t>3.28</w:t>
            </w:r>
          </w:p>
        </w:tc>
        <w:tc>
          <w:tcPr>
            <w:tcW w:w="794" w:type="dxa"/>
            <w:tcBorders>
              <w:bottom w:val="single" w:sz="4" w:space="0" w:color="000000"/>
              <w:right w:val="single" w:sz="4" w:space="0" w:color="000000"/>
            </w:tcBorders>
            <w:vAlign w:val="bottom"/>
          </w:tcPr>
          <w:p>
            <w:pPr>
              <w:pStyle w:val="TAC"/>
              <w:rPr/>
            </w:pPr>
            <w:r>
              <w:rPr/>
              <w:t>-3.059</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top w:val="single" w:sz="4" w:space="0" w:color="000000"/>
              <w:left w:val="single" w:sz="4" w:space="0" w:color="000000"/>
              <w:bottom w:val="single" w:sz="4" w:space="0" w:color="000000"/>
              <w:right w:val="single" w:sz="4" w:space="0" w:color="000000"/>
            </w:tcBorders>
            <w:vAlign w:val="bottom"/>
          </w:tcPr>
          <w:p>
            <w:pPr>
              <w:pStyle w:val="TAC"/>
              <w:rPr/>
            </w:pPr>
            <w:r>
              <w:rPr/>
              <w:t>0.008*</w:t>
            </w:r>
          </w:p>
        </w:tc>
        <w:tc>
          <w:tcPr>
            <w:tcW w:w="1276" w:type="dxa"/>
            <w:tcBorders>
              <w:bottom w:val="single" w:sz="4" w:space="0" w:color="000000"/>
              <w:right w:val="single" w:sz="4" w:space="0" w:color="000000"/>
            </w:tcBorders>
            <w:vAlign w:val="bottom"/>
          </w:tcPr>
          <w:p>
            <w:pPr>
              <w:pStyle w:val="TAC"/>
              <w:rPr/>
            </w:pPr>
            <w:r>
              <w:rPr/>
              <w:t>-2.593</w:t>
            </w:r>
          </w:p>
        </w:tc>
        <w:tc>
          <w:tcPr>
            <w:tcW w:w="1275" w:type="dxa"/>
            <w:tcBorders>
              <w:bottom w:val="single" w:sz="4" w:space="0" w:color="000000"/>
              <w:right w:val="single" w:sz="4" w:space="0" w:color="000000"/>
            </w:tcBorders>
            <w:vAlign w:val="bottom"/>
          </w:tcPr>
          <w:p>
            <w:pPr>
              <w:pStyle w:val="TAC"/>
              <w:rPr/>
            </w:pPr>
            <w:r>
              <w:rPr/>
              <w:t>-1.119</w:t>
            </w:r>
          </w:p>
        </w:tc>
        <w:tc>
          <w:tcPr>
            <w:tcW w:w="1134" w:type="dxa"/>
            <w:tcBorders>
              <w:bottom w:val="single" w:sz="4" w:space="0" w:color="000000"/>
              <w:right w:val="single" w:sz="8" w:space="0" w:color="000000"/>
            </w:tcBorders>
            <w:vAlign w:val="bottom"/>
          </w:tcPr>
          <w:p>
            <w:pPr>
              <w:pStyle w:val="TAC"/>
              <w:rPr/>
            </w:pPr>
            <w:r>
              <w:rPr/>
              <w:t>2.494</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500</w:t>
            </w:r>
          </w:p>
        </w:tc>
        <w:tc>
          <w:tcPr>
            <w:tcW w:w="960" w:type="dxa"/>
            <w:tcBorders>
              <w:bottom w:val="single" w:sz="4" w:space="0" w:color="000000"/>
              <w:right w:val="single" w:sz="4" w:space="0" w:color="000000"/>
            </w:tcBorders>
            <w:vAlign w:val="bottom"/>
          </w:tcPr>
          <w:p>
            <w:pPr>
              <w:pStyle w:val="TAC"/>
              <w:rPr/>
            </w:pPr>
            <w:r>
              <w:rPr/>
              <w:t>-1.58</w:t>
            </w:r>
          </w:p>
        </w:tc>
        <w:tc>
          <w:tcPr>
            <w:tcW w:w="794" w:type="dxa"/>
            <w:tcBorders>
              <w:bottom w:val="single" w:sz="4" w:space="0" w:color="000000"/>
              <w:right w:val="single" w:sz="4" w:space="0" w:color="000000"/>
            </w:tcBorders>
            <w:vAlign w:val="bottom"/>
          </w:tcPr>
          <w:p>
            <w:pPr>
              <w:pStyle w:val="TAC"/>
              <w:rPr/>
            </w:pPr>
            <w:r>
              <w:rPr/>
              <w:t>3.258</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top w:val="single" w:sz="4" w:space="0" w:color="000000"/>
              <w:left w:val="single" w:sz="4" w:space="0" w:color="000000"/>
              <w:bottom w:val="single" w:sz="4" w:space="0" w:color="000000"/>
              <w:right w:val="single" w:sz="4" w:space="0" w:color="000000"/>
            </w:tcBorders>
            <w:vAlign w:val="bottom"/>
          </w:tcPr>
          <w:p>
            <w:pPr>
              <w:pStyle w:val="TAC"/>
              <w:rPr/>
            </w:pPr>
            <w:r>
              <w:rPr/>
              <w:t>0.005*</w:t>
            </w:r>
          </w:p>
        </w:tc>
        <w:tc>
          <w:tcPr>
            <w:tcW w:w="1276" w:type="dxa"/>
            <w:tcBorders>
              <w:bottom w:val="single" w:sz="4" w:space="0" w:color="000000"/>
              <w:right w:val="single" w:sz="4" w:space="0" w:color="000000"/>
            </w:tcBorders>
            <w:vAlign w:val="bottom"/>
          </w:tcPr>
          <w:p>
            <w:pPr>
              <w:pStyle w:val="TAC"/>
              <w:rPr/>
            </w:pPr>
            <w:r>
              <w:rPr/>
              <w:t>2.986</w:t>
            </w:r>
          </w:p>
        </w:tc>
        <w:tc>
          <w:tcPr>
            <w:tcW w:w="1275" w:type="dxa"/>
            <w:tcBorders>
              <w:bottom w:val="single" w:sz="4" w:space="0" w:color="000000"/>
              <w:right w:val="single" w:sz="4" w:space="0" w:color="000000"/>
            </w:tcBorders>
            <w:vAlign w:val="bottom"/>
          </w:tcPr>
          <w:p>
            <w:pPr>
              <w:pStyle w:val="TAC"/>
              <w:rPr/>
            </w:pPr>
            <w:r>
              <w:rPr/>
              <w:t>-0.547</w:t>
            </w:r>
          </w:p>
        </w:tc>
        <w:tc>
          <w:tcPr>
            <w:tcW w:w="1134" w:type="dxa"/>
            <w:tcBorders>
              <w:bottom w:val="single" w:sz="4" w:space="0" w:color="000000"/>
              <w:right w:val="single" w:sz="8" w:space="0" w:color="000000"/>
            </w:tcBorders>
            <w:vAlign w:val="bottom"/>
          </w:tcPr>
          <w:p>
            <w:pPr>
              <w:pStyle w:val="TAC"/>
              <w:rPr/>
            </w:pPr>
            <w:r>
              <w:rPr/>
              <w:t>3.360</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630</w:t>
            </w:r>
          </w:p>
        </w:tc>
        <w:tc>
          <w:tcPr>
            <w:tcW w:w="960" w:type="dxa"/>
            <w:tcBorders>
              <w:bottom w:val="single" w:sz="4" w:space="0" w:color="000000"/>
              <w:right w:val="single" w:sz="4" w:space="0" w:color="000000"/>
            </w:tcBorders>
            <w:vAlign w:val="bottom"/>
          </w:tcPr>
          <w:p>
            <w:pPr>
              <w:pStyle w:val="TAC"/>
              <w:rPr/>
            </w:pPr>
            <w:r>
              <w:rPr/>
              <w:t>-1.99</w:t>
            </w:r>
          </w:p>
        </w:tc>
        <w:tc>
          <w:tcPr>
            <w:tcW w:w="794" w:type="dxa"/>
            <w:tcBorders>
              <w:bottom w:val="single" w:sz="4" w:space="0" w:color="000000"/>
              <w:right w:val="single" w:sz="4" w:space="0" w:color="000000"/>
            </w:tcBorders>
            <w:vAlign w:val="bottom"/>
          </w:tcPr>
          <w:p>
            <w:pPr>
              <w:pStyle w:val="TAC"/>
              <w:rPr/>
            </w:pPr>
            <w:r>
              <w:rPr/>
              <w:t>-0.150</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0.883</w:t>
            </w:r>
          </w:p>
        </w:tc>
        <w:tc>
          <w:tcPr>
            <w:tcW w:w="1276" w:type="dxa"/>
            <w:tcBorders>
              <w:bottom w:val="single" w:sz="4" w:space="0" w:color="000000"/>
              <w:right w:val="single" w:sz="4" w:space="0" w:color="000000"/>
            </w:tcBorders>
            <w:vAlign w:val="bottom"/>
          </w:tcPr>
          <w:p>
            <w:pPr>
              <w:pStyle w:val="TAC"/>
              <w:rPr/>
            </w:pPr>
            <w:r>
              <w:rPr/>
              <w:t>-0.135</w:t>
            </w:r>
          </w:p>
        </w:tc>
        <w:tc>
          <w:tcPr>
            <w:tcW w:w="1275" w:type="dxa"/>
            <w:tcBorders>
              <w:bottom w:val="single" w:sz="4" w:space="0" w:color="000000"/>
              <w:right w:val="single" w:sz="4" w:space="0" w:color="000000"/>
            </w:tcBorders>
            <w:vAlign w:val="bottom"/>
          </w:tcPr>
          <w:p>
            <w:pPr>
              <w:pStyle w:val="TAC"/>
              <w:rPr/>
            </w:pPr>
            <w:r>
              <w:rPr/>
              <w:t>-4.047</w:t>
            </w:r>
          </w:p>
        </w:tc>
        <w:tc>
          <w:tcPr>
            <w:tcW w:w="1134" w:type="dxa"/>
            <w:tcBorders>
              <w:bottom w:val="single" w:sz="4" w:space="0" w:color="000000"/>
              <w:right w:val="single" w:sz="8" w:space="0" w:color="000000"/>
            </w:tcBorders>
            <w:vAlign w:val="bottom"/>
          </w:tcPr>
          <w:p>
            <w:pPr>
              <w:pStyle w:val="TAC"/>
              <w:rPr/>
            </w:pPr>
            <w:r>
              <w:rPr/>
              <w:t>-0.203</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800</w:t>
            </w:r>
          </w:p>
        </w:tc>
        <w:tc>
          <w:tcPr>
            <w:tcW w:w="960" w:type="dxa"/>
            <w:tcBorders>
              <w:bottom w:val="single" w:sz="4" w:space="0" w:color="000000"/>
              <w:right w:val="single" w:sz="4" w:space="0" w:color="000000"/>
            </w:tcBorders>
            <w:vAlign w:val="bottom"/>
          </w:tcPr>
          <w:p>
            <w:pPr>
              <w:pStyle w:val="TAC"/>
              <w:rPr/>
            </w:pPr>
            <w:r>
              <w:rPr/>
              <w:t>-0.81</w:t>
            </w:r>
          </w:p>
        </w:tc>
        <w:tc>
          <w:tcPr>
            <w:tcW w:w="794" w:type="dxa"/>
            <w:tcBorders>
              <w:bottom w:val="single" w:sz="4" w:space="0" w:color="000000"/>
              <w:right w:val="single" w:sz="4" w:space="0" w:color="000000"/>
            </w:tcBorders>
            <w:vAlign w:val="bottom"/>
          </w:tcPr>
          <w:p>
            <w:pPr>
              <w:pStyle w:val="TAC"/>
              <w:rPr/>
            </w:pPr>
            <w:r>
              <w:rPr/>
              <w:t>-2.543</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top w:val="single" w:sz="4" w:space="0" w:color="000000"/>
              <w:left w:val="single" w:sz="4" w:space="0" w:color="000000"/>
              <w:bottom w:val="single" w:sz="4" w:space="0" w:color="000000"/>
              <w:right w:val="single" w:sz="4" w:space="0" w:color="000000"/>
            </w:tcBorders>
            <w:vAlign w:val="bottom"/>
          </w:tcPr>
          <w:p>
            <w:pPr>
              <w:pStyle w:val="TAC"/>
              <w:rPr/>
            </w:pPr>
            <w:r>
              <w:rPr/>
              <w:t>0.023*</w:t>
            </w:r>
          </w:p>
        </w:tc>
        <w:tc>
          <w:tcPr>
            <w:tcW w:w="1276" w:type="dxa"/>
            <w:tcBorders>
              <w:bottom w:val="single" w:sz="4" w:space="0" w:color="000000"/>
              <w:right w:val="single" w:sz="4" w:space="0" w:color="000000"/>
            </w:tcBorders>
            <w:vAlign w:val="bottom"/>
          </w:tcPr>
          <w:p>
            <w:pPr>
              <w:pStyle w:val="TAC"/>
              <w:rPr/>
            </w:pPr>
            <w:r>
              <w:rPr/>
              <w:t>-3.065</w:t>
            </w:r>
          </w:p>
        </w:tc>
        <w:tc>
          <w:tcPr>
            <w:tcW w:w="1275" w:type="dxa"/>
            <w:tcBorders>
              <w:bottom w:val="single" w:sz="4" w:space="0" w:color="000000"/>
              <w:right w:val="single" w:sz="4" w:space="0" w:color="000000"/>
            </w:tcBorders>
            <w:vAlign w:val="bottom"/>
          </w:tcPr>
          <w:p>
            <w:pPr>
              <w:pStyle w:val="TAC"/>
              <w:rPr/>
            </w:pPr>
            <w:r>
              <w:rPr/>
              <w:t>-6.444</w:t>
            </w:r>
          </w:p>
        </w:tc>
        <w:tc>
          <w:tcPr>
            <w:tcW w:w="1134" w:type="dxa"/>
            <w:tcBorders>
              <w:bottom w:val="single" w:sz="4" w:space="0" w:color="000000"/>
              <w:right w:val="single" w:sz="8" w:space="0" w:color="000000"/>
            </w:tcBorders>
            <w:vAlign w:val="bottom"/>
          </w:tcPr>
          <w:p>
            <w:pPr>
              <w:pStyle w:val="TAC"/>
              <w:rPr/>
            </w:pPr>
            <w:r>
              <w:rPr/>
              <w:t>-1.306</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1000</w:t>
            </w:r>
          </w:p>
        </w:tc>
        <w:tc>
          <w:tcPr>
            <w:tcW w:w="960" w:type="dxa"/>
            <w:tcBorders>
              <w:bottom w:val="single" w:sz="4" w:space="0" w:color="000000"/>
              <w:right w:val="single" w:sz="4" w:space="0" w:color="000000"/>
            </w:tcBorders>
            <w:vAlign w:val="bottom"/>
          </w:tcPr>
          <w:p>
            <w:pPr>
              <w:pStyle w:val="TAC"/>
              <w:rPr/>
            </w:pPr>
            <w:r>
              <w:rPr/>
              <w:t>-5.93</w:t>
            </w:r>
          </w:p>
        </w:tc>
        <w:tc>
          <w:tcPr>
            <w:tcW w:w="794" w:type="dxa"/>
            <w:tcBorders>
              <w:bottom w:val="single" w:sz="4" w:space="0" w:color="000000"/>
              <w:right w:val="single" w:sz="4" w:space="0" w:color="000000"/>
            </w:tcBorders>
            <w:vAlign w:val="bottom"/>
          </w:tcPr>
          <w:p>
            <w:pPr>
              <w:pStyle w:val="TAC"/>
              <w:rPr/>
            </w:pPr>
            <w:r>
              <w:rPr/>
              <w:t>1.683</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0.113</w:t>
            </w:r>
          </w:p>
        </w:tc>
        <w:tc>
          <w:tcPr>
            <w:tcW w:w="1276" w:type="dxa"/>
            <w:tcBorders>
              <w:bottom w:val="single" w:sz="4" w:space="0" w:color="000000"/>
              <w:right w:val="single" w:sz="4" w:space="0" w:color="000000"/>
            </w:tcBorders>
            <w:vAlign w:val="bottom"/>
          </w:tcPr>
          <w:p>
            <w:pPr>
              <w:pStyle w:val="TAC"/>
              <w:rPr/>
            </w:pPr>
            <w:r>
              <w:rPr/>
              <w:t>2.243</w:t>
            </w:r>
          </w:p>
        </w:tc>
        <w:tc>
          <w:tcPr>
            <w:tcW w:w="1275" w:type="dxa"/>
            <w:tcBorders>
              <w:bottom w:val="single" w:sz="4" w:space="0" w:color="000000"/>
              <w:right w:val="single" w:sz="4" w:space="0" w:color="000000"/>
            </w:tcBorders>
            <w:vAlign w:val="bottom"/>
          </w:tcPr>
          <w:p>
            <w:pPr>
              <w:pStyle w:val="TAC"/>
              <w:rPr/>
            </w:pPr>
            <w:r>
              <w:rPr/>
              <w:t>-6.527</w:t>
            </w:r>
          </w:p>
        </w:tc>
        <w:tc>
          <w:tcPr>
            <w:tcW w:w="1134" w:type="dxa"/>
            <w:tcBorders>
              <w:bottom w:val="single" w:sz="4" w:space="0" w:color="000000"/>
              <w:right w:val="single" w:sz="8" w:space="0" w:color="000000"/>
            </w:tcBorders>
            <w:vAlign w:val="bottom"/>
          </w:tcPr>
          <w:p>
            <w:pPr>
              <w:pStyle w:val="TAC"/>
              <w:rPr/>
            </w:pPr>
            <w:r>
              <w:rPr/>
              <w:t>-0.848</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1250</w:t>
            </w:r>
          </w:p>
        </w:tc>
        <w:tc>
          <w:tcPr>
            <w:tcW w:w="960" w:type="dxa"/>
            <w:tcBorders>
              <w:bottom w:val="single" w:sz="4" w:space="0" w:color="000000"/>
              <w:right w:val="single" w:sz="4" w:space="0" w:color="000000"/>
            </w:tcBorders>
            <w:vAlign w:val="bottom"/>
          </w:tcPr>
          <w:p>
            <w:pPr>
              <w:pStyle w:val="TAC"/>
              <w:rPr/>
            </w:pPr>
            <w:r>
              <w:rPr/>
              <w:t>-5.85</w:t>
            </w:r>
          </w:p>
        </w:tc>
        <w:tc>
          <w:tcPr>
            <w:tcW w:w="794" w:type="dxa"/>
            <w:tcBorders>
              <w:bottom w:val="single" w:sz="4" w:space="0" w:color="000000"/>
              <w:right w:val="single" w:sz="4" w:space="0" w:color="000000"/>
            </w:tcBorders>
            <w:vAlign w:val="bottom"/>
          </w:tcPr>
          <w:p>
            <w:pPr>
              <w:pStyle w:val="TAC"/>
              <w:rPr/>
            </w:pPr>
            <w:r>
              <w:rPr/>
              <w:t>1.114</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0.283</w:t>
            </w:r>
          </w:p>
        </w:tc>
        <w:tc>
          <w:tcPr>
            <w:tcW w:w="1276" w:type="dxa"/>
            <w:tcBorders>
              <w:bottom w:val="single" w:sz="4" w:space="0" w:color="000000"/>
              <w:right w:val="single" w:sz="4" w:space="0" w:color="000000"/>
            </w:tcBorders>
            <w:vAlign w:val="bottom"/>
          </w:tcPr>
          <w:p>
            <w:pPr>
              <w:pStyle w:val="TAC"/>
              <w:rPr/>
            </w:pPr>
            <w:r>
              <w:rPr/>
              <w:t>1.100</w:t>
            </w:r>
          </w:p>
        </w:tc>
        <w:tc>
          <w:tcPr>
            <w:tcW w:w="1275" w:type="dxa"/>
            <w:tcBorders>
              <w:bottom w:val="single" w:sz="4" w:space="0" w:color="000000"/>
              <w:right w:val="single" w:sz="4" w:space="0" w:color="000000"/>
            </w:tcBorders>
            <w:vAlign w:val="bottom"/>
          </w:tcPr>
          <w:p>
            <w:pPr>
              <w:pStyle w:val="TAC"/>
              <w:rPr/>
            </w:pPr>
            <w:r>
              <w:rPr/>
              <w:t>-6.855</w:t>
            </w:r>
          </w:p>
        </w:tc>
        <w:tc>
          <w:tcPr>
            <w:tcW w:w="1134" w:type="dxa"/>
            <w:tcBorders>
              <w:bottom w:val="single" w:sz="4" w:space="0" w:color="000000"/>
              <w:right w:val="single" w:sz="8" w:space="0" w:color="000000"/>
            </w:tcBorders>
            <w:vAlign w:val="bottom"/>
          </w:tcPr>
          <w:p>
            <w:pPr>
              <w:pStyle w:val="TAC"/>
              <w:rPr/>
            </w:pPr>
            <w:r>
              <w:rPr/>
              <w:t>-2.645</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1600</w:t>
            </w:r>
          </w:p>
        </w:tc>
        <w:tc>
          <w:tcPr>
            <w:tcW w:w="960" w:type="dxa"/>
            <w:tcBorders>
              <w:bottom w:val="single" w:sz="4" w:space="0" w:color="000000"/>
              <w:right w:val="single" w:sz="4" w:space="0" w:color="000000"/>
            </w:tcBorders>
            <w:vAlign w:val="bottom"/>
          </w:tcPr>
          <w:p>
            <w:pPr>
              <w:pStyle w:val="TAC"/>
              <w:rPr/>
            </w:pPr>
            <w:r>
              <w:rPr/>
              <w:t>-4.39</w:t>
            </w:r>
          </w:p>
        </w:tc>
        <w:tc>
          <w:tcPr>
            <w:tcW w:w="794" w:type="dxa"/>
            <w:tcBorders>
              <w:bottom w:val="single" w:sz="4" w:space="0" w:color="000000"/>
              <w:right w:val="single" w:sz="4" w:space="0" w:color="000000"/>
            </w:tcBorders>
            <w:vAlign w:val="bottom"/>
          </w:tcPr>
          <w:p>
            <w:pPr>
              <w:pStyle w:val="TAC"/>
              <w:rPr/>
            </w:pPr>
            <w:r>
              <w:rPr/>
              <w:t>-1.661</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0.117</w:t>
            </w:r>
          </w:p>
        </w:tc>
        <w:tc>
          <w:tcPr>
            <w:tcW w:w="1276" w:type="dxa"/>
            <w:tcBorders>
              <w:bottom w:val="single" w:sz="4" w:space="0" w:color="000000"/>
              <w:right w:val="single" w:sz="4" w:space="0" w:color="000000"/>
            </w:tcBorders>
            <w:vAlign w:val="bottom"/>
          </w:tcPr>
          <w:p>
            <w:pPr>
              <w:pStyle w:val="TAC"/>
              <w:rPr/>
            </w:pPr>
            <w:r>
              <w:rPr/>
              <w:t>-1.454</w:t>
            </w:r>
          </w:p>
        </w:tc>
        <w:tc>
          <w:tcPr>
            <w:tcW w:w="1275" w:type="dxa"/>
            <w:tcBorders>
              <w:bottom w:val="single" w:sz="4" w:space="0" w:color="000000"/>
              <w:right w:val="single" w:sz="4" w:space="0" w:color="000000"/>
            </w:tcBorders>
            <w:vAlign w:val="bottom"/>
          </w:tcPr>
          <w:p>
            <w:pPr>
              <w:pStyle w:val="TAC"/>
              <w:rPr/>
            </w:pPr>
            <w:r>
              <w:rPr/>
              <w:t>-7.709</w:t>
            </w:r>
          </w:p>
        </w:tc>
        <w:tc>
          <w:tcPr>
            <w:tcW w:w="1134" w:type="dxa"/>
            <w:tcBorders>
              <w:bottom w:val="single" w:sz="4" w:space="0" w:color="000000"/>
              <w:right w:val="single" w:sz="8" w:space="0" w:color="000000"/>
            </w:tcBorders>
            <w:vAlign w:val="bottom"/>
          </w:tcPr>
          <w:p>
            <w:pPr>
              <w:pStyle w:val="TAC"/>
              <w:rPr/>
            </w:pPr>
            <w:r>
              <w:rPr/>
              <w:t>-3.978</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2000</w:t>
            </w:r>
          </w:p>
        </w:tc>
        <w:tc>
          <w:tcPr>
            <w:tcW w:w="960" w:type="dxa"/>
            <w:tcBorders>
              <w:bottom w:val="single" w:sz="4" w:space="0" w:color="000000"/>
              <w:right w:val="single" w:sz="4" w:space="0" w:color="000000"/>
            </w:tcBorders>
            <w:vAlign w:val="bottom"/>
          </w:tcPr>
          <w:p>
            <w:pPr>
              <w:pStyle w:val="TAC"/>
              <w:rPr/>
            </w:pPr>
            <w:r>
              <w:rPr/>
              <w:t>-5.23</w:t>
            </w:r>
          </w:p>
        </w:tc>
        <w:tc>
          <w:tcPr>
            <w:tcW w:w="794" w:type="dxa"/>
            <w:tcBorders>
              <w:bottom w:val="single" w:sz="4" w:space="0" w:color="000000"/>
              <w:right w:val="single" w:sz="4" w:space="0" w:color="000000"/>
            </w:tcBorders>
            <w:vAlign w:val="bottom"/>
          </w:tcPr>
          <w:p>
            <w:pPr>
              <w:pStyle w:val="TAC"/>
              <w:rPr/>
            </w:pPr>
            <w:r>
              <w:rPr/>
              <w:t>-3.442</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top w:val="single" w:sz="4" w:space="0" w:color="000000"/>
              <w:left w:val="single" w:sz="4" w:space="0" w:color="000000"/>
              <w:bottom w:val="single" w:sz="4" w:space="0" w:color="000000"/>
              <w:right w:val="single" w:sz="4" w:space="0" w:color="000000"/>
            </w:tcBorders>
            <w:vAlign w:val="bottom"/>
          </w:tcPr>
          <w:p>
            <w:pPr>
              <w:pStyle w:val="TAC"/>
              <w:rPr/>
            </w:pPr>
            <w:r>
              <w:rPr/>
              <w:t>0.004*</w:t>
            </w:r>
          </w:p>
        </w:tc>
        <w:tc>
          <w:tcPr>
            <w:tcW w:w="1276" w:type="dxa"/>
            <w:tcBorders>
              <w:bottom w:val="single" w:sz="4" w:space="0" w:color="000000"/>
              <w:right w:val="single" w:sz="4" w:space="0" w:color="000000"/>
            </w:tcBorders>
            <w:vAlign w:val="bottom"/>
          </w:tcPr>
          <w:p>
            <w:pPr>
              <w:pStyle w:val="TAC"/>
              <w:rPr/>
            </w:pPr>
            <w:r>
              <w:rPr/>
              <w:t>-2.676</w:t>
            </w:r>
          </w:p>
        </w:tc>
        <w:tc>
          <w:tcPr>
            <w:tcW w:w="1275" w:type="dxa"/>
            <w:tcBorders>
              <w:bottom w:val="single" w:sz="4" w:space="0" w:color="000000"/>
              <w:right w:val="single" w:sz="4" w:space="0" w:color="000000"/>
            </w:tcBorders>
            <w:vAlign w:val="bottom"/>
          </w:tcPr>
          <w:p>
            <w:pPr>
              <w:pStyle w:val="TAC"/>
              <w:rPr/>
            </w:pPr>
            <w:r>
              <w:rPr/>
              <w:t>-9.564</w:t>
            </w:r>
          </w:p>
        </w:tc>
        <w:tc>
          <w:tcPr>
            <w:tcW w:w="1134" w:type="dxa"/>
            <w:tcBorders>
              <w:bottom w:val="single" w:sz="4" w:space="0" w:color="000000"/>
              <w:right w:val="single" w:sz="8" w:space="0" w:color="000000"/>
            </w:tcBorders>
            <w:vAlign w:val="bottom"/>
          </w:tcPr>
          <w:p>
            <w:pPr>
              <w:pStyle w:val="TAC"/>
              <w:rPr/>
            </w:pPr>
            <w:r>
              <w:rPr/>
              <w:t>-6.249</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2500</w:t>
            </w:r>
          </w:p>
        </w:tc>
        <w:tc>
          <w:tcPr>
            <w:tcW w:w="960" w:type="dxa"/>
            <w:tcBorders>
              <w:bottom w:val="single" w:sz="4" w:space="0" w:color="000000"/>
              <w:right w:val="single" w:sz="4" w:space="0" w:color="000000"/>
            </w:tcBorders>
            <w:vAlign w:val="bottom"/>
          </w:tcPr>
          <w:p>
            <w:pPr>
              <w:pStyle w:val="TAC"/>
              <w:rPr/>
            </w:pPr>
            <w:r>
              <w:rPr/>
              <w:t>-6.44</w:t>
            </w:r>
          </w:p>
        </w:tc>
        <w:tc>
          <w:tcPr>
            <w:tcW w:w="794" w:type="dxa"/>
            <w:tcBorders>
              <w:bottom w:val="single" w:sz="4" w:space="0" w:color="000000"/>
              <w:right w:val="single" w:sz="4" w:space="0" w:color="000000"/>
            </w:tcBorders>
            <w:vAlign w:val="bottom"/>
          </w:tcPr>
          <w:p>
            <w:pPr>
              <w:pStyle w:val="TAC"/>
              <w:rPr/>
            </w:pPr>
            <w:r>
              <w:rPr/>
              <w:t>-0.285</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0.779</w:t>
            </w:r>
          </w:p>
        </w:tc>
        <w:tc>
          <w:tcPr>
            <w:tcW w:w="1276" w:type="dxa"/>
            <w:tcBorders>
              <w:bottom w:val="single" w:sz="4" w:space="0" w:color="000000"/>
              <w:right w:val="single" w:sz="4" w:space="0" w:color="000000"/>
            </w:tcBorders>
            <w:vAlign w:val="bottom"/>
          </w:tcPr>
          <w:p>
            <w:pPr>
              <w:pStyle w:val="TAC"/>
              <w:rPr/>
            </w:pPr>
            <w:r>
              <w:rPr/>
              <w:t>-0.248</w:t>
            </w:r>
          </w:p>
        </w:tc>
        <w:tc>
          <w:tcPr>
            <w:tcW w:w="1275" w:type="dxa"/>
            <w:tcBorders>
              <w:bottom w:val="single" w:sz="4" w:space="0" w:color="000000"/>
              <w:right w:val="single" w:sz="4" w:space="0" w:color="000000"/>
            </w:tcBorders>
            <w:vAlign w:val="bottom"/>
          </w:tcPr>
          <w:p>
            <w:pPr>
              <w:pStyle w:val="TAC"/>
              <w:rPr/>
            </w:pPr>
            <w:r>
              <w:rPr/>
              <w:t>-8.536</w:t>
            </w:r>
          </w:p>
        </w:tc>
        <w:tc>
          <w:tcPr>
            <w:tcW w:w="1134" w:type="dxa"/>
            <w:tcBorders>
              <w:bottom w:val="single" w:sz="4" w:space="0" w:color="000000"/>
              <w:right w:val="single" w:sz="8" w:space="0" w:color="000000"/>
            </w:tcBorders>
            <w:vAlign w:val="bottom"/>
          </w:tcPr>
          <w:p>
            <w:pPr>
              <w:pStyle w:val="TAC"/>
              <w:rPr/>
            </w:pPr>
            <w:r>
              <w:rPr/>
              <w:t>-4.839</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3150</w:t>
            </w:r>
          </w:p>
        </w:tc>
        <w:tc>
          <w:tcPr>
            <w:tcW w:w="960" w:type="dxa"/>
            <w:tcBorders>
              <w:bottom w:val="single" w:sz="4" w:space="0" w:color="000000"/>
              <w:right w:val="single" w:sz="4" w:space="0" w:color="000000"/>
            </w:tcBorders>
            <w:vAlign w:val="bottom"/>
          </w:tcPr>
          <w:p>
            <w:pPr>
              <w:pStyle w:val="TAC"/>
              <w:rPr/>
            </w:pPr>
            <w:r>
              <w:rPr/>
              <w:t>-6.43</w:t>
            </w:r>
          </w:p>
        </w:tc>
        <w:tc>
          <w:tcPr>
            <w:tcW w:w="794" w:type="dxa"/>
            <w:tcBorders>
              <w:bottom w:val="single" w:sz="4" w:space="0" w:color="000000"/>
              <w:right w:val="single" w:sz="4" w:space="0" w:color="000000"/>
            </w:tcBorders>
            <w:vAlign w:val="bottom"/>
          </w:tcPr>
          <w:p>
            <w:pPr>
              <w:pStyle w:val="TAC"/>
              <w:rPr/>
            </w:pPr>
            <w:r>
              <w:rPr/>
              <w:t>-0.268</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0.793</w:t>
            </w:r>
          </w:p>
        </w:tc>
        <w:tc>
          <w:tcPr>
            <w:tcW w:w="1276" w:type="dxa"/>
            <w:tcBorders>
              <w:bottom w:val="single" w:sz="4" w:space="0" w:color="000000"/>
              <w:right w:val="single" w:sz="4" w:space="0" w:color="000000"/>
            </w:tcBorders>
            <w:vAlign w:val="bottom"/>
          </w:tcPr>
          <w:p>
            <w:pPr>
              <w:pStyle w:val="TAC"/>
              <w:rPr/>
            </w:pPr>
            <w:r>
              <w:rPr/>
              <w:t>-0.289</w:t>
            </w:r>
          </w:p>
        </w:tc>
        <w:tc>
          <w:tcPr>
            <w:tcW w:w="1275" w:type="dxa"/>
            <w:tcBorders>
              <w:bottom w:val="single" w:sz="4" w:space="0" w:color="000000"/>
              <w:right w:val="single" w:sz="4" w:space="0" w:color="000000"/>
            </w:tcBorders>
            <w:vAlign w:val="bottom"/>
          </w:tcPr>
          <w:p>
            <w:pPr>
              <w:pStyle w:val="TAC"/>
              <w:rPr/>
            </w:pPr>
            <w:r>
              <w:rPr/>
              <w:t>-9.019</w:t>
            </w:r>
          </w:p>
        </w:tc>
        <w:tc>
          <w:tcPr>
            <w:tcW w:w="1134" w:type="dxa"/>
            <w:tcBorders>
              <w:bottom w:val="single" w:sz="4" w:space="0" w:color="000000"/>
              <w:right w:val="single" w:sz="8" w:space="0" w:color="000000"/>
            </w:tcBorders>
            <w:vAlign w:val="bottom"/>
          </w:tcPr>
          <w:p>
            <w:pPr>
              <w:pStyle w:val="TAC"/>
              <w:rPr/>
            </w:pPr>
            <w:r>
              <w:rPr/>
              <w:t>-4.419</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4000</w:t>
            </w:r>
          </w:p>
        </w:tc>
        <w:tc>
          <w:tcPr>
            <w:tcW w:w="960" w:type="dxa"/>
            <w:tcBorders>
              <w:bottom w:val="single" w:sz="4" w:space="0" w:color="000000"/>
              <w:right w:val="single" w:sz="4" w:space="0" w:color="000000"/>
            </w:tcBorders>
            <w:vAlign w:val="bottom"/>
          </w:tcPr>
          <w:p>
            <w:pPr>
              <w:pStyle w:val="TAC"/>
              <w:rPr/>
            </w:pPr>
            <w:r>
              <w:rPr/>
              <w:t>-5.80</w:t>
            </w:r>
          </w:p>
        </w:tc>
        <w:tc>
          <w:tcPr>
            <w:tcW w:w="794" w:type="dxa"/>
            <w:tcBorders>
              <w:bottom w:val="single" w:sz="4" w:space="0" w:color="000000"/>
              <w:right w:val="single" w:sz="4" w:space="0" w:color="000000"/>
            </w:tcBorders>
            <w:vAlign w:val="bottom"/>
          </w:tcPr>
          <w:p>
            <w:pPr>
              <w:pStyle w:val="TAC"/>
              <w:rPr/>
            </w:pPr>
            <w:r>
              <w:rPr/>
              <w:t>1.788</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0.094</w:t>
            </w:r>
          </w:p>
        </w:tc>
        <w:tc>
          <w:tcPr>
            <w:tcW w:w="1276" w:type="dxa"/>
            <w:tcBorders>
              <w:bottom w:val="single" w:sz="4" w:space="0" w:color="000000"/>
              <w:right w:val="single" w:sz="4" w:space="0" w:color="000000"/>
            </w:tcBorders>
            <w:vAlign w:val="bottom"/>
          </w:tcPr>
          <w:p>
            <w:pPr>
              <w:pStyle w:val="TAC"/>
              <w:rPr/>
            </w:pPr>
            <w:r>
              <w:rPr/>
              <w:t>1.363</w:t>
            </w:r>
          </w:p>
        </w:tc>
        <w:tc>
          <w:tcPr>
            <w:tcW w:w="1275" w:type="dxa"/>
            <w:tcBorders>
              <w:bottom w:val="single" w:sz="4" w:space="0" w:color="000000"/>
              <w:right w:val="single" w:sz="4" w:space="0" w:color="000000"/>
            </w:tcBorders>
            <w:vAlign w:val="bottom"/>
          </w:tcPr>
          <w:p>
            <w:pPr>
              <w:pStyle w:val="TAC"/>
              <w:rPr/>
            </w:pPr>
            <w:r>
              <w:rPr/>
              <w:t>-6.062</w:t>
            </w:r>
          </w:p>
        </w:tc>
        <w:tc>
          <w:tcPr>
            <w:tcW w:w="1134" w:type="dxa"/>
            <w:tcBorders>
              <w:bottom w:val="single" w:sz="4" w:space="0" w:color="000000"/>
              <w:right w:val="single" w:sz="8" w:space="0" w:color="000000"/>
            </w:tcBorders>
            <w:vAlign w:val="bottom"/>
          </w:tcPr>
          <w:p>
            <w:pPr>
              <w:pStyle w:val="TAC"/>
              <w:rPr/>
            </w:pPr>
            <w:r>
              <w:rPr/>
              <w:t>-2.813</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5000</w:t>
            </w:r>
          </w:p>
        </w:tc>
        <w:tc>
          <w:tcPr>
            <w:tcW w:w="960" w:type="dxa"/>
            <w:tcBorders>
              <w:bottom w:val="single" w:sz="4" w:space="0" w:color="000000"/>
              <w:right w:val="single" w:sz="4" w:space="0" w:color="000000"/>
            </w:tcBorders>
            <w:vAlign w:val="bottom"/>
          </w:tcPr>
          <w:p>
            <w:pPr>
              <w:pStyle w:val="TAC"/>
              <w:rPr/>
            </w:pPr>
            <w:r>
              <w:rPr/>
              <w:t>-4.64</w:t>
            </w:r>
          </w:p>
        </w:tc>
        <w:tc>
          <w:tcPr>
            <w:tcW w:w="794" w:type="dxa"/>
            <w:tcBorders>
              <w:bottom w:val="single" w:sz="4" w:space="0" w:color="000000"/>
              <w:right w:val="single" w:sz="4" w:space="0" w:color="000000"/>
            </w:tcBorders>
            <w:vAlign w:val="bottom"/>
          </w:tcPr>
          <w:p>
            <w:pPr>
              <w:pStyle w:val="TAC"/>
              <w:rPr/>
            </w:pPr>
            <w:r>
              <w:rPr/>
              <w:t>1.083</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0.296</w:t>
            </w:r>
          </w:p>
        </w:tc>
        <w:tc>
          <w:tcPr>
            <w:tcW w:w="1276" w:type="dxa"/>
            <w:tcBorders>
              <w:bottom w:val="single" w:sz="4" w:space="0" w:color="000000"/>
              <w:right w:val="single" w:sz="4" w:space="0" w:color="000000"/>
            </w:tcBorders>
            <w:vAlign w:val="bottom"/>
          </w:tcPr>
          <w:p>
            <w:pPr>
              <w:pStyle w:val="TAC"/>
              <w:rPr/>
            </w:pPr>
            <w:r>
              <w:rPr/>
              <w:t>0.890</w:t>
            </w:r>
          </w:p>
        </w:tc>
        <w:tc>
          <w:tcPr>
            <w:tcW w:w="1275" w:type="dxa"/>
            <w:tcBorders>
              <w:bottom w:val="single" w:sz="4" w:space="0" w:color="000000"/>
              <w:right w:val="single" w:sz="4" w:space="0" w:color="000000"/>
            </w:tcBorders>
            <w:vAlign w:val="bottom"/>
          </w:tcPr>
          <w:p>
            <w:pPr>
              <w:pStyle w:val="TAC"/>
              <w:rPr/>
            </w:pPr>
            <w:r>
              <w:rPr/>
              <w:t>-5.501</w:t>
            </w:r>
          </w:p>
        </w:tc>
        <w:tc>
          <w:tcPr>
            <w:tcW w:w="1134" w:type="dxa"/>
            <w:tcBorders>
              <w:bottom w:val="single" w:sz="4" w:space="0" w:color="000000"/>
              <w:right w:val="single" w:sz="8" w:space="0" w:color="000000"/>
            </w:tcBorders>
            <w:vAlign w:val="bottom"/>
          </w:tcPr>
          <w:p>
            <w:pPr>
              <w:pStyle w:val="TAC"/>
              <w:rPr/>
            </w:pPr>
            <w:r>
              <w:rPr/>
              <w:t>-1.999</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6300</w:t>
            </w:r>
          </w:p>
        </w:tc>
        <w:tc>
          <w:tcPr>
            <w:tcW w:w="960" w:type="dxa"/>
            <w:tcBorders>
              <w:bottom w:val="single" w:sz="4" w:space="0" w:color="000000"/>
              <w:right w:val="single" w:sz="4" w:space="0" w:color="000000"/>
            </w:tcBorders>
            <w:vAlign w:val="bottom"/>
          </w:tcPr>
          <w:p>
            <w:pPr>
              <w:pStyle w:val="TAC"/>
              <w:rPr/>
            </w:pPr>
            <w:r>
              <w:rPr/>
              <w:t>-3.94</w:t>
            </w:r>
          </w:p>
        </w:tc>
        <w:tc>
          <w:tcPr>
            <w:tcW w:w="794" w:type="dxa"/>
            <w:tcBorders>
              <w:bottom w:val="single" w:sz="4" w:space="0" w:color="000000"/>
              <w:right w:val="single" w:sz="4" w:space="0" w:color="000000"/>
            </w:tcBorders>
            <w:vAlign w:val="bottom"/>
          </w:tcPr>
          <w:p>
            <w:pPr>
              <w:pStyle w:val="TAC"/>
              <w:rPr/>
            </w:pPr>
            <w:r>
              <w:rPr/>
              <w:t>1.315</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0.208</w:t>
            </w:r>
          </w:p>
        </w:tc>
        <w:tc>
          <w:tcPr>
            <w:tcW w:w="1276" w:type="dxa"/>
            <w:tcBorders>
              <w:bottom w:val="single" w:sz="4" w:space="0" w:color="000000"/>
              <w:right w:val="single" w:sz="4" w:space="0" w:color="000000"/>
            </w:tcBorders>
            <w:vAlign w:val="bottom"/>
          </w:tcPr>
          <w:p>
            <w:pPr>
              <w:pStyle w:val="TAC"/>
              <w:rPr/>
            </w:pPr>
            <w:r>
              <w:rPr/>
              <w:t>1.284</w:t>
            </w:r>
          </w:p>
        </w:tc>
        <w:tc>
          <w:tcPr>
            <w:tcW w:w="1275" w:type="dxa"/>
            <w:tcBorders>
              <w:bottom w:val="single" w:sz="4" w:space="0" w:color="000000"/>
              <w:right w:val="single" w:sz="4" w:space="0" w:color="000000"/>
            </w:tcBorders>
            <w:vAlign w:val="bottom"/>
          </w:tcPr>
          <w:p>
            <w:pPr>
              <w:pStyle w:val="TAC"/>
              <w:rPr/>
            </w:pPr>
            <w:r>
              <w:rPr/>
              <w:t>-4.738</w:t>
            </w:r>
          </w:p>
        </w:tc>
        <w:tc>
          <w:tcPr>
            <w:tcW w:w="1134" w:type="dxa"/>
            <w:tcBorders>
              <w:bottom w:val="single" w:sz="4" w:space="0" w:color="000000"/>
              <w:right w:val="single" w:sz="8" w:space="0" w:color="000000"/>
            </w:tcBorders>
            <w:vAlign w:val="bottom"/>
          </w:tcPr>
          <w:p>
            <w:pPr>
              <w:pStyle w:val="TAC"/>
              <w:rPr/>
            </w:pPr>
            <w:r>
              <w:rPr/>
              <w:t>-0.575</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8000</w:t>
            </w:r>
          </w:p>
        </w:tc>
        <w:tc>
          <w:tcPr>
            <w:tcW w:w="960" w:type="dxa"/>
            <w:tcBorders>
              <w:bottom w:val="single" w:sz="4" w:space="0" w:color="000000"/>
              <w:right w:val="single" w:sz="4" w:space="0" w:color="000000"/>
            </w:tcBorders>
            <w:vAlign w:val="bottom"/>
          </w:tcPr>
          <w:p>
            <w:pPr>
              <w:pStyle w:val="TAC"/>
              <w:rPr/>
            </w:pPr>
            <w:r>
              <w:rPr/>
              <w:t>-3.23</w:t>
            </w:r>
          </w:p>
        </w:tc>
        <w:tc>
          <w:tcPr>
            <w:tcW w:w="794" w:type="dxa"/>
            <w:tcBorders>
              <w:bottom w:val="single" w:sz="4" w:space="0" w:color="000000"/>
              <w:right w:val="single" w:sz="4" w:space="0" w:color="000000"/>
            </w:tcBorders>
            <w:vAlign w:val="bottom"/>
          </w:tcPr>
          <w:p>
            <w:pPr>
              <w:pStyle w:val="TAC"/>
              <w:rPr/>
            </w:pPr>
            <w:r>
              <w:rPr/>
              <w:t>-1.060</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0.306</w:t>
            </w:r>
          </w:p>
        </w:tc>
        <w:tc>
          <w:tcPr>
            <w:tcW w:w="1276" w:type="dxa"/>
            <w:tcBorders>
              <w:bottom w:val="single" w:sz="4" w:space="0" w:color="000000"/>
              <w:right w:val="single" w:sz="4" w:space="0" w:color="000000"/>
            </w:tcBorders>
            <w:vAlign w:val="bottom"/>
          </w:tcPr>
          <w:p>
            <w:pPr>
              <w:pStyle w:val="TAC"/>
              <w:rPr/>
            </w:pPr>
            <w:r>
              <w:rPr/>
              <w:t>-0.926</w:t>
            </w:r>
          </w:p>
        </w:tc>
        <w:tc>
          <w:tcPr>
            <w:tcW w:w="1275" w:type="dxa"/>
            <w:tcBorders>
              <w:bottom w:val="single" w:sz="4" w:space="0" w:color="000000"/>
              <w:right w:val="single" w:sz="4" w:space="0" w:color="000000"/>
            </w:tcBorders>
            <w:vAlign w:val="bottom"/>
          </w:tcPr>
          <w:p>
            <w:pPr>
              <w:pStyle w:val="TAC"/>
              <w:rPr/>
            </w:pPr>
            <w:r>
              <w:rPr/>
              <w:t>-6.019</w:t>
            </w:r>
          </w:p>
        </w:tc>
        <w:tc>
          <w:tcPr>
            <w:tcW w:w="1134" w:type="dxa"/>
            <w:tcBorders>
              <w:bottom w:val="single" w:sz="4" w:space="0" w:color="000000"/>
              <w:right w:val="single" w:sz="8" w:space="0" w:color="000000"/>
            </w:tcBorders>
            <w:vAlign w:val="bottom"/>
          </w:tcPr>
          <w:p>
            <w:pPr>
              <w:pStyle w:val="TAC"/>
              <w:rPr/>
            </w:pPr>
            <w:r>
              <w:rPr/>
              <w:t>-2.293</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10000</w:t>
            </w:r>
          </w:p>
        </w:tc>
        <w:tc>
          <w:tcPr>
            <w:tcW w:w="960" w:type="dxa"/>
            <w:tcBorders>
              <w:bottom w:val="single" w:sz="4" w:space="0" w:color="000000"/>
              <w:right w:val="single" w:sz="4" w:space="0" w:color="000000"/>
            </w:tcBorders>
            <w:vAlign w:val="bottom"/>
          </w:tcPr>
          <w:p>
            <w:pPr>
              <w:pStyle w:val="TAC"/>
              <w:rPr/>
            </w:pPr>
            <w:r>
              <w:rPr/>
              <w:t>-3.21</w:t>
            </w:r>
          </w:p>
        </w:tc>
        <w:tc>
          <w:tcPr>
            <w:tcW w:w="794" w:type="dxa"/>
            <w:tcBorders>
              <w:bottom w:val="single" w:sz="4" w:space="0" w:color="000000"/>
              <w:right w:val="single" w:sz="4" w:space="0" w:color="000000"/>
            </w:tcBorders>
            <w:vAlign w:val="bottom"/>
          </w:tcPr>
          <w:p>
            <w:pPr>
              <w:pStyle w:val="TAC"/>
              <w:rPr/>
            </w:pPr>
            <w:r>
              <w:rPr/>
              <w:t>0.382</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0.708</w:t>
            </w:r>
          </w:p>
        </w:tc>
        <w:tc>
          <w:tcPr>
            <w:tcW w:w="1276" w:type="dxa"/>
            <w:tcBorders>
              <w:bottom w:val="single" w:sz="4" w:space="0" w:color="000000"/>
              <w:right w:val="single" w:sz="4" w:space="0" w:color="000000"/>
            </w:tcBorders>
            <w:vAlign w:val="bottom"/>
          </w:tcPr>
          <w:p>
            <w:pPr>
              <w:pStyle w:val="TAC"/>
              <w:rPr/>
            </w:pPr>
            <w:r>
              <w:rPr/>
              <w:t>0.398</w:t>
            </w:r>
          </w:p>
        </w:tc>
        <w:tc>
          <w:tcPr>
            <w:tcW w:w="1275" w:type="dxa"/>
            <w:tcBorders>
              <w:bottom w:val="single" w:sz="4" w:space="0" w:color="000000"/>
              <w:right w:val="single" w:sz="4" w:space="0" w:color="000000"/>
            </w:tcBorders>
            <w:vAlign w:val="bottom"/>
          </w:tcPr>
          <w:p>
            <w:pPr>
              <w:pStyle w:val="TAC"/>
              <w:rPr/>
            </w:pPr>
            <w:r>
              <w:rPr/>
              <w:t>-5.033</w:t>
            </w:r>
          </w:p>
        </w:tc>
        <w:tc>
          <w:tcPr>
            <w:tcW w:w="1134" w:type="dxa"/>
            <w:tcBorders>
              <w:bottom w:val="single" w:sz="4" w:space="0" w:color="000000"/>
              <w:right w:val="single" w:sz="8" w:space="0" w:color="000000"/>
            </w:tcBorders>
            <w:vAlign w:val="bottom"/>
          </w:tcPr>
          <w:p>
            <w:pPr>
              <w:pStyle w:val="TAC"/>
              <w:rPr/>
            </w:pPr>
            <w:r>
              <w:rPr/>
              <w:t>-0.592</w:t>
            </w:r>
          </w:p>
        </w:tc>
      </w:tr>
      <w:tr>
        <w:trPr>
          <w:trHeight w:val="23" w:hRule="atLeast"/>
        </w:trPr>
        <w:tc>
          <w:tcPr>
            <w:tcW w:w="1780" w:type="dxa"/>
            <w:tcBorders>
              <w:left w:val="single" w:sz="8" w:space="0" w:color="000000"/>
              <w:bottom w:val="single" w:sz="8" w:space="0" w:color="000000"/>
              <w:right w:val="single" w:sz="4" w:space="0" w:color="000000"/>
            </w:tcBorders>
            <w:vAlign w:val="bottom"/>
          </w:tcPr>
          <w:p>
            <w:pPr>
              <w:pStyle w:val="TAC"/>
              <w:rPr/>
            </w:pPr>
            <w:r>
              <w:rPr/>
              <w:t>12500</w:t>
            </w:r>
          </w:p>
        </w:tc>
        <w:tc>
          <w:tcPr>
            <w:tcW w:w="960" w:type="dxa"/>
            <w:tcBorders>
              <w:bottom w:val="single" w:sz="8" w:space="0" w:color="000000"/>
              <w:right w:val="single" w:sz="4" w:space="0" w:color="000000"/>
            </w:tcBorders>
            <w:vAlign w:val="bottom"/>
          </w:tcPr>
          <w:p>
            <w:pPr>
              <w:pStyle w:val="TAC"/>
              <w:rPr/>
            </w:pPr>
            <w:r>
              <w:rPr/>
              <w:t>-0.05</w:t>
            </w:r>
          </w:p>
        </w:tc>
        <w:tc>
          <w:tcPr>
            <w:tcW w:w="794" w:type="dxa"/>
            <w:tcBorders>
              <w:bottom w:val="single" w:sz="8" w:space="0" w:color="000000"/>
              <w:right w:val="single" w:sz="4" w:space="0" w:color="000000"/>
            </w:tcBorders>
            <w:vAlign w:val="bottom"/>
          </w:tcPr>
          <w:p>
            <w:pPr>
              <w:pStyle w:val="TAC"/>
              <w:rPr/>
            </w:pPr>
            <w:r>
              <w:rPr/>
              <w:t>-3.175</w:t>
            </w:r>
          </w:p>
        </w:tc>
        <w:tc>
          <w:tcPr>
            <w:tcW w:w="567" w:type="dxa"/>
            <w:tcBorders>
              <w:bottom w:val="single" w:sz="8" w:space="0" w:color="000000"/>
              <w:right w:val="single" w:sz="4" w:space="0" w:color="000000"/>
            </w:tcBorders>
            <w:vAlign w:val="bottom"/>
          </w:tcPr>
          <w:p>
            <w:pPr>
              <w:pStyle w:val="TAC"/>
              <w:rPr/>
            </w:pPr>
            <w:r>
              <w:rPr/>
              <w:t>15</w:t>
            </w:r>
          </w:p>
        </w:tc>
        <w:tc>
          <w:tcPr>
            <w:tcW w:w="1361" w:type="dxa"/>
            <w:tcBorders>
              <w:top w:val="single" w:sz="4" w:space="0" w:color="000000"/>
              <w:left w:val="single" w:sz="4" w:space="0" w:color="000000"/>
              <w:bottom w:val="single" w:sz="8" w:space="0" w:color="000000"/>
              <w:right w:val="single" w:sz="4" w:space="0" w:color="000000"/>
            </w:tcBorders>
            <w:vAlign w:val="bottom"/>
          </w:tcPr>
          <w:p>
            <w:pPr>
              <w:pStyle w:val="TAC"/>
              <w:rPr/>
            </w:pPr>
            <w:r>
              <w:rPr/>
              <w:t>0.006*</w:t>
            </w:r>
          </w:p>
        </w:tc>
        <w:tc>
          <w:tcPr>
            <w:tcW w:w="1276" w:type="dxa"/>
            <w:tcBorders>
              <w:bottom w:val="single" w:sz="8" w:space="0" w:color="000000"/>
              <w:right w:val="single" w:sz="4" w:space="0" w:color="000000"/>
            </w:tcBorders>
            <w:vAlign w:val="bottom"/>
          </w:tcPr>
          <w:p>
            <w:pPr>
              <w:pStyle w:val="TAC"/>
              <w:rPr/>
            </w:pPr>
            <w:r>
              <w:rPr/>
              <w:t>-3.044</w:t>
            </w:r>
          </w:p>
        </w:tc>
        <w:tc>
          <w:tcPr>
            <w:tcW w:w="1275" w:type="dxa"/>
            <w:tcBorders>
              <w:bottom w:val="single" w:sz="8" w:space="0" w:color="000000"/>
              <w:right w:val="single" w:sz="4" w:space="0" w:color="000000"/>
            </w:tcBorders>
            <w:vAlign w:val="bottom"/>
          </w:tcPr>
          <w:p>
            <w:pPr>
              <w:pStyle w:val="TAC"/>
              <w:rPr/>
            </w:pPr>
            <w:r>
              <w:rPr/>
              <w:t>-5.137</w:t>
            </w:r>
          </w:p>
        </w:tc>
        <w:tc>
          <w:tcPr>
            <w:tcW w:w="1134" w:type="dxa"/>
            <w:tcBorders>
              <w:bottom w:val="single" w:sz="8" w:space="0" w:color="000000"/>
              <w:right w:val="single" w:sz="8" w:space="0" w:color="000000"/>
            </w:tcBorders>
            <w:vAlign w:val="bottom"/>
          </w:tcPr>
          <w:p>
            <w:pPr>
              <w:pStyle w:val="TAC"/>
              <w:rPr/>
            </w:pPr>
            <w:r>
              <w:rPr/>
              <w:t>-1.050</w:t>
            </w:r>
          </w:p>
        </w:tc>
      </w:tr>
    </w:tbl>
    <w:p>
      <w:pPr>
        <w:pStyle w:val="Normal"/>
        <w:rPr/>
      </w:pPr>
      <w:r>
        <w:rPr/>
      </w:r>
    </w:p>
    <w:p>
      <w:pPr>
        <w:pStyle w:val="TH"/>
        <w:rPr/>
      </w:pPr>
      <w:r>
        <w:rPr/>
        <w:t>Table A-5: One-sample, two-tailed t-test with HATS 2 as reference</w:t>
      </w:r>
    </w:p>
    <w:tbl>
      <w:tblPr>
        <w:tblW w:w="9005" w:type="dxa"/>
        <w:jc w:val="center"/>
        <w:tblInd w:w="0" w:type="dxa"/>
        <w:tblLayout w:type="fixed"/>
        <w:tblCellMar>
          <w:top w:w="0" w:type="dxa"/>
          <w:left w:w="108" w:type="dxa"/>
          <w:bottom w:w="0" w:type="dxa"/>
          <w:right w:w="108" w:type="dxa"/>
        </w:tblCellMar>
      </w:tblPr>
      <w:tblGrid>
        <w:gridCol w:w="1780"/>
        <w:gridCol w:w="960"/>
        <w:gridCol w:w="794"/>
        <w:gridCol w:w="567"/>
        <w:gridCol w:w="1361"/>
        <w:gridCol w:w="1134"/>
        <w:gridCol w:w="1275"/>
        <w:gridCol w:w="1134"/>
      </w:tblGrid>
      <w:tr>
        <w:trPr>
          <w:trHeight w:val="23" w:hRule="atLeast"/>
        </w:trPr>
        <w:tc>
          <w:tcPr>
            <w:tcW w:w="1780" w:type="dxa"/>
            <w:vMerge w:val="restart"/>
            <w:tcBorders>
              <w:top w:val="single" w:sz="8" w:space="0" w:color="000000"/>
              <w:left w:val="single" w:sz="8" w:space="0" w:color="000000"/>
              <w:bottom w:val="single" w:sz="8" w:space="0" w:color="000000"/>
              <w:right w:val="single" w:sz="4" w:space="0" w:color="000000"/>
            </w:tcBorders>
            <w:vAlign w:val="bottom"/>
          </w:tcPr>
          <w:p>
            <w:pPr>
              <w:pStyle w:val="TAH"/>
              <w:rPr/>
            </w:pPr>
            <w:r>
              <w:rPr/>
              <w:t>Center Frequency (Hz)</w:t>
            </w:r>
          </w:p>
        </w:tc>
        <w:tc>
          <w:tcPr>
            <w:tcW w:w="960" w:type="dxa"/>
            <w:vMerge w:val="restart"/>
            <w:tcBorders>
              <w:top w:val="single" w:sz="8" w:space="0" w:color="000000"/>
              <w:left w:val="single" w:sz="4" w:space="0" w:color="000000"/>
              <w:bottom w:val="single" w:sz="8" w:space="0" w:color="000000"/>
              <w:right w:val="single" w:sz="4" w:space="0" w:color="000000"/>
            </w:tcBorders>
            <w:vAlign w:val="bottom"/>
          </w:tcPr>
          <w:p>
            <w:pPr>
              <w:pStyle w:val="TAH"/>
              <w:rPr/>
            </w:pPr>
            <w:r>
              <w:rPr/>
              <w:t>Test Value</w:t>
            </w:r>
          </w:p>
        </w:tc>
        <w:tc>
          <w:tcPr>
            <w:tcW w:w="794" w:type="dxa"/>
            <w:vMerge w:val="restart"/>
            <w:tcBorders>
              <w:top w:val="single" w:sz="8" w:space="0" w:color="000000"/>
              <w:left w:val="single" w:sz="4" w:space="0" w:color="000000"/>
              <w:bottom w:val="single" w:sz="8" w:space="0" w:color="000000"/>
              <w:right w:val="single" w:sz="4" w:space="0" w:color="000000"/>
            </w:tcBorders>
            <w:vAlign w:val="bottom"/>
          </w:tcPr>
          <w:p>
            <w:pPr>
              <w:pStyle w:val="TAH"/>
              <w:rPr/>
            </w:pPr>
            <w:r>
              <w:rPr/>
              <w:t>t</w:t>
            </w:r>
          </w:p>
        </w:tc>
        <w:tc>
          <w:tcPr>
            <w:tcW w:w="567" w:type="dxa"/>
            <w:vMerge w:val="restart"/>
            <w:tcBorders>
              <w:top w:val="single" w:sz="8" w:space="0" w:color="000000"/>
              <w:left w:val="single" w:sz="4" w:space="0" w:color="000000"/>
              <w:bottom w:val="single" w:sz="8" w:space="0" w:color="000000"/>
              <w:right w:val="single" w:sz="4" w:space="0" w:color="000000"/>
            </w:tcBorders>
            <w:vAlign w:val="bottom"/>
          </w:tcPr>
          <w:p>
            <w:pPr>
              <w:pStyle w:val="TAH"/>
              <w:rPr/>
            </w:pPr>
            <w:r>
              <w:rPr/>
              <w:t>df</w:t>
            </w:r>
          </w:p>
        </w:tc>
        <w:tc>
          <w:tcPr>
            <w:tcW w:w="1361" w:type="dxa"/>
            <w:vMerge w:val="restart"/>
            <w:tcBorders>
              <w:top w:val="single" w:sz="8" w:space="0" w:color="000000"/>
              <w:left w:val="single" w:sz="4" w:space="0" w:color="000000"/>
              <w:bottom w:val="single" w:sz="8" w:space="0" w:color="000000"/>
              <w:right w:val="single" w:sz="4" w:space="0" w:color="000000"/>
            </w:tcBorders>
            <w:vAlign w:val="bottom"/>
          </w:tcPr>
          <w:p>
            <w:pPr>
              <w:pStyle w:val="TAH"/>
              <w:rPr/>
            </w:pPr>
            <w:r>
              <w:rPr/>
              <w:t>Sig. (2-tailed)</w:t>
            </w:r>
          </w:p>
        </w:tc>
        <w:tc>
          <w:tcPr>
            <w:tcW w:w="1134" w:type="dxa"/>
            <w:vMerge w:val="restart"/>
            <w:tcBorders>
              <w:top w:val="single" w:sz="8" w:space="0" w:color="000000"/>
              <w:left w:val="single" w:sz="4" w:space="0" w:color="000000"/>
              <w:bottom w:val="single" w:sz="8" w:space="0" w:color="000000"/>
              <w:right w:val="single" w:sz="4" w:space="0" w:color="000000"/>
            </w:tcBorders>
            <w:vAlign w:val="bottom"/>
          </w:tcPr>
          <w:p>
            <w:pPr>
              <w:pStyle w:val="TAH"/>
              <w:rPr/>
            </w:pPr>
            <w:r>
              <w:rPr/>
              <w:t>Mean Difference</w:t>
            </w:r>
          </w:p>
        </w:tc>
        <w:tc>
          <w:tcPr>
            <w:tcW w:w="2409" w:type="dxa"/>
            <w:gridSpan w:val="2"/>
            <w:tcBorders>
              <w:top w:val="single" w:sz="8" w:space="0" w:color="000000"/>
              <w:bottom w:val="single" w:sz="4" w:space="0" w:color="000000"/>
              <w:right w:val="single" w:sz="8" w:space="0" w:color="000000"/>
            </w:tcBorders>
            <w:vAlign w:val="bottom"/>
          </w:tcPr>
          <w:p>
            <w:pPr>
              <w:pStyle w:val="TAH"/>
              <w:rPr/>
            </w:pPr>
            <w:r>
              <w:rPr/>
              <w:t xml:space="preserve">95% Confidence Interval </w:t>
            </w:r>
          </w:p>
        </w:tc>
      </w:tr>
      <w:tr>
        <w:trPr>
          <w:trHeight w:val="23" w:hRule="atLeast"/>
        </w:trPr>
        <w:tc>
          <w:tcPr>
            <w:tcW w:w="1780" w:type="dxa"/>
            <w:vMerge w:val="continue"/>
            <w:tcBorders>
              <w:top w:val="single" w:sz="8" w:space="0" w:color="000000"/>
              <w:left w:val="single" w:sz="8" w:space="0" w:color="000000"/>
              <w:bottom w:val="single" w:sz="8" w:space="0" w:color="000000"/>
              <w:right w:val="single" w:sz="4" w:space="0" w:color="000000"/>
            </w:tcBorders>
            <w:vAlign w:val="bottom"/>
          </w:tcPr>
          <w:p>
            <w:pPr>
              <w:pStyle w:val="TAH"/>
              <w:snapToGrid w:val="false"/>
              <w:rPr/>
            </w:pPr>
            <w:r>
              <w:rPr/>
            </w:r>
          </w:p>
        </w:tc>
        <w:tc>
          <w:tcPr>
            <w:tcW w:w="960" w:type="dxa"/>
            <w:vMerge w:val="continue"/>
            <w:tcBorders>
              <w:top w:val="single" w:sz="8" w:space="0" w:color="000000"/>
              <w:left w:val="single" w:sz="4" w:space="0" w:color="000000"/>
              <w:bottom w:val="single" w:sz="8" w:space="0" w:color="000000"/>
              <w:right w:val="single" w:sz="4" w:space="0" w:color="000000"/>
            </w:tcBorders>
            <w:vAlign w:val="bottom"/>
          </w:tcPr>
          <w:p>
            <w:pPr>
              <w:pStyle w:val="TAH"/>
              <w:snapToGrid w:val="false"/>
              <w:rPr/>
            </w:pPr>
            <w:r>
              <w:rPr/>
            </w:r>
          </w:p>
        </w:tc>
        <w:tc>
          <w:tcPr>
            <w:tcW w:w="794" w:type="dxa"/>
            <w:vMerge w:val="continue"/>
            <w:tcBorders>
              <w:top w:val="single" w:sz="8" w:space="0" w:color="000000"/>
              <w:left w:val="single" w:sz="4" w:space="0" w:color="000000"/>
              <w:bottom w:val="single" w:sz="8" w:space="0" w:color="000000"/>
              <w:right w:val="single" w:sz="4" w:space="0" w:color="000000"/>
            </w:tcBorders>
            <w:vAlign w:val="bottom"/>
          </w:tcPr>
          <w:p>
            <w:pPr>
              <w:pStyle w:val="TAH"/>
              <w:snapToGrid w:val="false"/>
              <w:rPr/>
            </w:pPr>
            <w:r>
              <w:rPr/>
            </w:r>
          </w:p>
        </w:tc>
        <w:tc>
          <w:tcPr>
            <w:tcW w:w="567" w:type="dxa"/>
            <w:vMerge w:val="continue"/>
            <w:tcBorders>
              <w:top w:val="single" w:sz="8" w:space="0" w:color="000000"/>
              <w:left w:val="single" w:sz="4" w:space="0" w:color="000000"/>
              <w:bottom w:val="single" w:sz="8" w:space="0" w:color="000000"/>
              <w:right w:val="single" w:sz="4" w:space="0" w:color="000000"/>
            </w:tcBorders>
            <w:vAlign w:val="bottom"/>
          </w:tcPr>
          <w:p>
            <w:pPr>
              <w:pStyle w:val="TAH"/>
              <w:snapToGrid w:val="false"/>
              <w:rPr/>
            </w:pPr>
            <w:r>
              <w:rPr/>
            </w:r>
          </w:p>
        </w:tc>
        <w:tc>
          <w:tcPr>
            <w:tcW w:w="1361" w:type="dxa"/>
            <w:vMerge w:val="continue"/>
            <w:tcBorders>
              <w:top w:val="single" w:sz="8" w:space="0" w:color="000000"/>
              <w:left w:val="single" w:sz="4" w:space="0" w:color="000000"/>
              <w:bottom w:val="single" w:sz="8" w:space="0" w:color="000000"/>
              <w:right w:val="single" w:sz="4" w:space="0" w:color="000000"/>
            </w:tcBorders>
            <w:vAlign w:val="bottom"/>
          </w:tcPr>
          <w:p>
            <w:pPr>
              <w:pStyle w:val="TAH"/>
              <w:snapToGrid w:val="false"/>
              <w:rPr/>
            </w:pPr>
            <w:r>
              <w:rPr/>
            </w:r>
          </w:p>
        </w:tc>
        <w:tc>
          <w:tcPr>
            <w:tcW w:w="1134" w:type="dxa"/>
            <w:vMerge w:val="continue"/>
            <w:tcBorders>
              <w:top w:val="single" w:sz="8" w:space="0" w:color="000000"/>
              <w:left w:val="single" w:sz="4" w:space="0" w:color="000000"/>
              <w:bottom w:val="single" w:sz="8" w:space="0" w:color="000000"/>
              <w:right w:val="single" w:sz="4" w:space="0" w:color="000000"/>
            </w:tcBorders>
            <w:vAlign w:val="bottom"/>
          </w:tcPr>
          <w:p>
            <w:pPr>
              <w:pStyle w:val="TAH"/>
              <w:snapToGrid w:val="false"/>
              <w:rPr/>
            </w:pPr>
            <w:r>
              <w:rPr/>
            </w:r>
          </w:p>
        </w:tc>
        <w:tc>
          <w:tcPr>
            <w:tcW w:w="1275" w:type="dxa"/>
            <w:tcBorders>
              <w:bottom w:val="single" w:sz="8" w:space="0" w:color="000000"/>
              <w:right w:val="single" w:sz="4" w:space="0" w:color="000000"/>
            </w:tcBorders>
            <w:vAlign w:val="bottom"/>
          </w:tcPr>
          <w:p>
            <w:pPr>
              <w:pStyle w:val="TAH"/>
              <w:rPr/>
            </w:pPr>
            <w:r>
              <w:rPr/>
              <w:t>Lower</w:t>
            </w:r>
          </w:p>
        </w:tc>
        <w:tc>
          <w:tcPr>
            <w:tcW w:w="1134" w:type="dxa"/>
            <w:tcBorders>
              <w:bottom w:val="single" w:sz="8" w:space="0" w:color="000000"/>
              <w:right w:val="single" w:sz="8" w:space="0" w:color="000000"/>
            </w:tcBorders>
            <w:vAlign w:val="bottom"/>
          </w:tcPr>
          <w:p>
            <w:pPr>
              <w:pStyle w:val="TAH"/>
              <w:rPr/>
            </w:pPr>
            <w:r>
              <w:rPr/>
              <w:t>Upper</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200</w:t>
            </w:r>
          </w:p>
        </w:tc>
        <w:tc>
          <w:tcPr>
            <w:tcW w:w="960" w:type="dxa"/>
            <w:tcBorders>
              <w:bottom w:val="single" w:sz="4" w:space="0" w:color="000000"/>
              <w:right w:val="single" w:sz="4" w:space="0" w:color="000000"/>
            </w:tcBorders>
            <w:vAlign w:val="bottom"/>
          </w:tcPr>
          <w:p>
            <w:pPr>
              <w:pStyle w:val="TAC"/>
              <w:rPr/>
            </w:pPr>
            <w:r>
              <w:rPr/>
              <w:t>-5.06</w:t>
            </w:r>
          </w:p>
        </w:tc>
        <w:tc>
          <w:tcPr>
            <w:tcW w:w="794" w:type="dxa"/>
            <w:tcBorders>
              <w:bottom w:val="single" w:sz="4" w:space="0" w:color="000000"/>
              <w:right w:val="single" w:sz="4" w:space="0" w:color="000000"/>
            </w:tcBorders>
            <w:vAlign w:val="bottom"/>
          </w:tcPr>
          <w:p>
            <w:pPr>
              <w:pStyle w:val="TAC"/>
              <w:rPr/>
            </w:pPr>
            <w:r>
              <w:rPr/>
              <w:t>-2.928</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0.010*</w:t>
            </w:r>
          </w:p>
        </w:tc>
        <w:tc>
          <w:tcPr>
            <w:tcW w:w="1134" w:type="dxa"/>
            <w:tcBorders>
              <w:bottom w:val="single" w:sz="4" w:space="0" w:color="000000"/>
              <w:right w:val="single" w:sz="4" w:space="0" w:color="000000"/>
            </w:tcBorders>
            <w:vAlign w:val="bottom"/>
          </w:tcPr>
          <w:p>
            <w:pPr>
              <w:pStyle w:val="TAC"/>
              <w:rPr/>
            </w:pPr>
            <w:r>
              <w:rPr/>
              <w:t>-3.846</w:t>
            </w:r>
          </w:p>
        </w:tc>
        <w:tc>
          <w:tcPr>
            <w:tcW w:w="1275" w:type="dxa"/>
            <w:tcBorders>
              <w:bottom w:val="single" w:sz="4" w:space="0" w:color="000000"/>
              <w:right w:val="single" w:sz="4" w:space="0" w:color="000000"/>
            </w:tcBorders>
            <w:vAlign w:val="bottom"/>
          </w:tcPr>
          <w:p>
            <w:pPr>
              <w:pStyle w:val="TAC"/>
              <w:rPr/>
            </w:pPr>
            <w:r>
              <w:rPr/>
              <w:t>-11.706</w:t>
            </w:r>
          </w:p>
        </w:tc>
        <w:tc>
          <w:tcPr>
            <w:tcW w:w="1134" w:type="dxa"/>
            <w:tcBorders>
              <w:bottom w:val="single" w:sz="4" w:space="0" w:color="000000"/>
              <w:right w:val="single" w:sz="8" w:space="0" w:color="000000"/>
            </w:tcBorders>
            <w:vAlign w:val="bottom"/>
          </w:tcPr>
          <w:p>
            <w:pPr>
              <w:pStyle w:val="TAC"/>
              <w:rPr/>
            </w:pPr>
            <w:r>
              <w:rPr/>
              <w:t>-6.106</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250</w:t>
            </w:r>
          </w:p>
        </w:tc>
        <w:tc>
          <w:tcPr>
            <w:tcW w:w="960" w:type="dxa"/>
            <w:tcBorders>
              <w:bottom w:val="single" w:sz="4" w:space="0" w:color="000000"/>
              <w:right w:val="single" w:sz="4" w:space="0" w:color="000000"/>
            </w:tcBorders>
            <w:vAlign w:val="bottom"/>
          </w:tcPr>
          <w:p>
            <w:pPr>
              <w:pStyle w:val="TAC"/>
              <w:rPr/>
            </w:pPr>
            <w:r>
              <w:rPr/>
              <w:t>-3.04</w:t>
            </w:r>
          </w:p>
        </w:tc>
        <w:tc>
          <w:tcPr>
            <w:tcW w:w="794" w:type="dxa"/>
            <w:tcBorders>
              <w:bottom w:val="single" w:sz="4" w:space="0" w:color="000000"/>
              <w:right w:val="single" w:sz="4" w:space="0" w:color="000000"/>
            </w:tcBorders>
            <w:vAlign w:val="bottom"/>
          </w:tcPr>
          <w:p>
            <w:pPr>
              <w:pStyle w:val="TAC"/>
              <w:rPr/>
            </w:pPr>
            <w:r>
              <w:rPr/>
              <w:t>0.296</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0.771</w:t>
            </w:r>
          </w:p>
        </w:tc>
        <w:tc>
          <w:tcPr>
            <w:tcW w:w="1134" w:type="dxa"/>
            <w:tcBorders>
              <w:bottom w:val="single" w:sz="4" w:space="0" w:color="000000"/>
              <w:right w:val="single" w:sz="4" w:space="0" w:color="000000"/>
            </w:tcBorders>
            <w:vAlign w:val="bottom"/>
          </w:tcPr>
          <w:p>
            <w:pPr>
              <w:pStyle w:val="TAC"/>
              <w:rPr/>
            </w:pPr>
            <w:r>
              <w:rPr/>
              <w:t>0.290</w:t>
            </w:r>
          </w:p>
        </w:tc>
        <w:tc>
          <w:tcPr>
            <w:tcW w:w="1275" w:type="dxa"/>
            <w:tcBorders>
              <w:bottom w:val="single" w:sz="4" w:space="0" w:color="000000"/>
              <w:right w:val="single" w:sz="4" w:space="0" w:color="000000"/>
            </w:tcBorders>
            <w:vAlign w:val="bottom"/>
          </w:tcPr>
          <w:p>
            <w:pPr>
              <w:pStyle w:val="TAC"/>
              <w:rPr/>
            </w:pPr>
            <w:r>
              <w:rPr/>
              <w:t>-4.839</w:t>
            </w:r>
          </w:p>
        </w:tc>
        <w:tc>
          <w:tcPr>
            <w:tcW w:w="1134" w:type="dxa"/>
            <w:tcBorders>
              <w:bottom w:val="single" w:sz="4" w:space="0" w:color="000000"/>
              <w:right w:val="single" w:sz="8" w:space="0" w:color="000000"/>
            </w:tcBorders>
            <w:vAlign w:val="bottom"/>
          </w:tcPr>
          <w:p>
            <w:pPr>
              <w:pStyle w:val="TAC"/>
              <w:rPr/>
            </w:pPr>
            <w:r>
              <w:rPr/>
              <w:t>-0.661</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315</w:t>
            </w:r>
          </w:p>
        </w:tc>
        <w:tc>
          <w:tcPr>
            <w:tcW w:w="960" w:type="dxa"/>
            <w:tcBorders>
              <w:bottom w:val="single" w:sz="4" w:space="0" w:color="000000"/>
              <w:right w:val="single" w:sz="4" w:space="0" w:color="000000"/>
            </w:tcBorders>
            <w:vAlign w:val="bottom"/>
          </w:tcPr>
          <w:p>
            <w:pPr>
              <w:pStyle w:val="TAC"/>
              <w:rPr/>
            </w:pPr>
            <w:r>
              <w:rPr/>
              <w:t>-0.58</w:t>
            </w:r>
          </w:p>
        </w:tc>
        <w:tc>
          <w:tcPr>
            <w:tcW w:w="794" w:type="dxa"/>
            <w:tcBorders>
              <w:bottom w:val="single" w:sz="4" w:space="0" w:color="000000"/>
              <w:right w:val="single" w:sz="4" w:space="0" w:color="000000"/>
            </w:tcBorders>
            <w:vAlign w:val="bottom"/>
          </w:tcPr>
          <w:p>
            <w:pPr>
              <w:pStyle w:val="TAC"/>
              <w:rPr/>
            </w:pPr>
            <w:r>
              <w:rPr/>
              <w:t>-0.510</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0.618</w:t>
            </w:r>
          </w:p>
        </w:tc>
        <w:tc>
          <w:tcPr>
            <w:tcW w:w="1134" w:type="dxa"/>
            <w:tcBorders>
              <w:bottom w:val="single" w:sz="4" w:space="0" w:color="000000"/>
              <w:right w:val="single" w:sz="4" w:space="0" w:color="000000"/>
            </w:tcBorders>
            <w:vAlign w:val="bottom"/>
          </w:tcPr>
          <w:p>
            <w:pPr>
              <w:pStyle w:val="TAC"/>
              <w:rPr/>
            </w:pPr>
            <w:r>
              <w:rPr/>
              <w:t>-0.420</w:t>
            </w:r>
          </w:p>
        </w:tc>
        <w:tc>
          <w:tcPr>
            <w:tcW w:w="1275" w:type="dxa"/>
            <w:tcBorders>
              <w:bottom w:val="single" w:sz="4" w:space="0" w:color="000000"/>
              <w:right w:val="single" w:sz="4" w:space="0" w:color="000000"/>
            </w:tcBorders>
            <w:vAlign w:val="bottom"/>
          </w:tcPr>
          <w:p>
            <w:pPr>
              <w:pStyle w:val="TAC"/>
              <w:rPr/>
            </w:pPr>
            <w:r>
              <w:rPr/>
              <w:t>-2.757</w:t>
            </w:r>
          </w:p>
        </w:tc>
        <w:tc>
          <w:tcPr>
            <w:tcW w:w="1134" w:type="dxa"/>
            <w:tcBorders>
              <w:bottom w:val="single" w:sz="4" w:space="0" w:color="000000"/>
              <w:right w:val="single" w:sz="8" w:space="0" w:color="000000"/>
            </w:tcBorders>
            <w:vAlign w:val="bottom"/>
          </w:tcPr>
          <w:p>
            <w:pPr>
              <w:pStyle w:val="TAC"/>
              <w:rPr/>
            </w:pPr>
            <w:r>
              <w:rPr/>
              <w:t>0.757</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400</w:t>
            </w:r>
          </w:p>
        </w:tc>
        <w:tc>
          <w:tcPr>
            <w:tcW w:w="960" w:type="dxa"/>
            <w:tcBorders>
              <w:bottom w:val="single" w:sz="4" w:space="0" w:color="000000"/>
              <w:right w:val="single" w:sz="4" w:space="0" w:color="000000"/>
            </w:tcBorders>
            <w:vAlign w:val="bottom"/>
          </w:tcPr>
          <w:p>
            <w:pPr>
              <w:pStyle w:val="TAC"/>
              <w:rPr/>
            </w:pPr>
            <w:r>
              <w:rPr/>
              <w:t>2.97</w:t>
            </w:r>
          </w:p>
        </w:tc>
        <w:tc>
          <w:tcPr>
            <w:tcW w:w="794" w:type="dxa"/>
            <w:tcBorders>
              <w:bottom w:val="single" w:sz="4" w:space="0" w:color="000000"/>
              <w:right w:val="single" w:sz="4" w:space="0" w:color="000000"/>
            </w:tcBorders>
            <w:vAlign w:val="bottom"/>
          </w:tcPr>
          <w:p>
            <w:pPr>
              <w:pStyle w:val="TAC"/>
              <w:rPr/>
            </w:pPr>
            <w:r>
              <w:rPr/>
              <w:t>-2.693</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top w:val="single" w:sz="4" w:space="0" w:color="000000"/>
              <w:left w:val="single" w:sz="4" w:space="0" w:color="000000"/>
              <w:bottom w:val="single" w:sz="4" w:space="0" w:color="000000"/>
              <w:right w:val="single" w:sz="4" w:space="0" w:color="000000"/>
            </w:tcBorders>
            <w:vAlign w:val="bottom"/>
          </w:tcPr>
          <w:p>
            <w:pPr>
              <w:pStyle w:val="TAC"/>
              <w:rPr/>
            </w:pPr>
            <w:r>
              <w:rPr/>
              <w:t>0.017*</w:t>
            </w:r>
          </w:p>
        </w:tc>
        <w:tc>
          <w:tcPr>
            <w:tcW w:w="1134" w:type="dxa"/>
            <w:tcBorders>
              <w:bottom w:val="single" w:sz="4" w:space="0" w:color="000000"/>
              <w:right w:val="single" w:sz="4" w:space="0" w:color="000000"/>
            </w:tcBorders>
            <w:vAlign w:val="bottom"/>
          </w:tcPr>
          <w:p>
            <w:pPr>
              <w:pStyle w:val="TAC"/>
              <w:rPr/>
            </w:pPr>
            <w:r>
              <w:rPr/>
              <w:t>-2.283</w:t>
            </w:r>
          </w:p>
        </w:tc>
        <w:tc>
          <w:tcPr>
            <w:tcW w:w="1275" w:type="dxa"/>
            <w:tcBorders>
              <w:bottom w:val="single" w:sz="4" w:space="0" w:color="000000"/>
              <w:right w:val="single" w:sz="4" w:space="0" w:color="000000"/>
            </w:tcBorders>
            <w:vAlign w:val="bottom"/>
          </w:tcPr>
          <w:p>
            <w:pPr>
              <w:pStyle w:val="TAC"/>
              <w:rPr/>
            </w:pPr>
            <w:r>
              <w:rPr/>
              <w:t>-1.119</w:t>
            </w:r>
          </w:p>
        </w:tc>
        <w:tc>
          <w:tcPr>
            <w:tcW w:w="1134" w:type="dxa"/>
            <w:tcBorders>
              <w:bottom w:val="single" w:sz="4" w:space="0" w:color="000000"/>
              <w:right w:val="single" w:sz="8" w:space="0" w:color="000000"/>
            </w:tcBorders>
            <w:vAlign w:val="bottom"/>
          </w:tcPr>
          <w:p>
            <w:pPr>
              <w:pStyle w:val="TAC"/>
              <w:rPr/>
            </w:pPr>
            <w:r>
              <w:rPr/>
              <w:t>2.494</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500</w:t>
            </w:r>
          </w:p>
        </w:tc>
        <w:tc>
          <w:tcPr>
            <w:tcW w:w="960" w:type="dxa"/>
            <w:tcBorders>
              <w:bottom w:val="single" w:sz="4" w:space="0" w:color="000000"/>
              <w:right w:val="single" w:sz="4" w:space="0" w:color="000000"/>
            </w:tcBorders>
            <w:vAlign w:val="bottom"/>
          </w:tcPr>
          <w:p>
            <w:pPr>
              <w:pStyle w:val="TAC"/>
              <w:rPr/>
            </w:pPr>
            <w:r>
              <w:rPr/>
              <w:t>0.04</w:t>
            </w:r>
          </w:p>
        </w:tc>
        <w:tc>
          <w:tcPr>
            <w:tcW w:w="794" w:type="dxa"/>
            <w:tcBorders>
              <w:bottom w:val="single" w:sz="4" w:space="0" w:color="000000"/>
              <w:right w:val="single" w:sz="4" w:space="0" w:color="000000"/>
            </w:tcBorders>
            <w:vAlign w:val="bottom"/>
          </w:tcPr>
          <w:p>
            <w:pPr>
              <w:pStyle w:val="TAC"/>
              <w:rPr/>
            </w:pPr>
            <w:r>
              <w:rPr/>
              <w:t>1.491</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top w:val="single" w:sz="4" w:space="0" w:color="000000"/>
              <w:left w:val="single" w:sz="4" w:space="0" w:color="000000"/>
              <w:bottom w:val="single" w:sz="4" w:space="0" w:color="000000"/>
              <w:right w:val="single" w:sz="4" w:space="0" w:color="000000"/>
            </w:tcBorders>
            <w:vAlign w:val="bottom"/>
          </w:tcPr>
          <w:p>
            <w:pPr>
              <w:pStyle w:val="TAC"/>
              <w:rPr/>
            </w:pPr>
            <w:r>
              <w:rPr/>
              <w:t>0.157</w:t>
            </w:r>
          </w:p>
        </w:tc>
        <w:tc>
          <w:tcPr>
            <w:tcW w:w="1134" w:type="dxa"/>
            <w:tcBorders>
              <w:bottom w:val="single" w:sz="4" w:space="0" w:color="000000"/>
              <w:right w:val="single" w:sz="4" w:space="0" w:color="000000"/>
            </w:tcBorders>
            <w:vAlign w:val="bottom"/>
          </w:tcPr>
          <w:p>
            <w:pPr>
              <w:pStyle w:val="TAC"/>
              <w:rPr/>
            </w:pPr>
            <w:r>
              <w:rPr/>
              <w:t>1.366</w:t>
            </w:r>
          </w:p>
        </w:tc>
        <w:tc>
          <w:tcPr>
            <w:tcW w:w="1275" w:type="dxa"/>
            <w:tcBorders>
              <w:bottom w:val="single" w:sz="4" w:space="0" w:color="000000"/>
              <w:right w:val="single" w:sz="4" w:space="0" w:color="000000"/>
            </w:tcBorders>
            <w:vAlign w:val="bottom"/>
          </w:tcPr>
          <w:p>
            <w:pPr>
              <w:pStyle w:val="TAC"/>
              <w:rPr/>
            </w:pPr>
            <w:r>
              <w:rPr/>
              <w:t>-0.547</w:t>
            </w:r>
          </w:p>
        </w:tc>
        <w:tc>
          <w:tcPr>
            <w:tcW w:w="1134" w:type="dxa"/>
            <w:tcBorders>
              <w:bottom w:val="single" w:sz="4" w:space="0" w:color="000000"/>
              <w:right w:val="single" w:sz="8" w:space="0" w:color="000000"/>
            </w:tcBorders>
            <w:vAlign w:val="bottom"/>
          </w:tcPr>
          <w:p>
            <w:pPr>
              <w:pStyle w:val="TAC"/>
              <w:rPr/>
            </w:pPr>
            <w:r>
              <w:rPr/>
              <w:t>3.360</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630</w:t>
            </w:r>
          </w:p>
        </w:tc>
        <w:tc>
          <w:tcPr>
            <w:tcW w:w="960" w:type="dxa"/>
            <w:tcBorders>
              <w:bottom w:val="single" w:sz="4" w:space="0" w:color="000000"/>
              <w:right w:val="single" w:sz="4" w:space="0" w:color="000000"/>
            </w:tcBorders>
            <w:vAlign w:val="bottom"/>
          </w:tcPr>
          <w:p>
            <w:pPr>
              <w:pStyle w:val="TAC"/>
              <w:rPr/>
            </w:pPr>
            <w:r>
              <w:rPr/>
              <w:t>-4.71</w:t>
            </w:r>
          </w:p>
        </w:tc>
        <w:tc>
          <w:tcPr>
            <w:tcW w:w="794" w:type="dxa"/>
            <w:tcBorders>
              <w:bottom w:val="single" w:sz="4" w:space="0" w:color="000000"/>
              <w:right w:val="single" w:sz="4" w:space="0" w:color="000000"/>
            </w:tcBorders>
            <w:vAlign w:val="bottom"/>
          </w:tcPr>
          <w:p>
            <w:pPr>
              <w:pStyle w:val="TAC"/>
              <w:rPr/>
            </w:pPr>
            <w:r>
              <w:rPr/>
              <w:t>2.866</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0.012*</w:t>
            </w:r>
          </w:p>
        </w:tc>
        <w:tc>
          <w:tcPr>
            <w:tcW w:w="1134" w:type="dxa"/>
            <w:tcBorders>
              <w:bottom w:val="single" w:sz="4" w:space="0" w:color="000000"/>
              <w:right w:val="single" w:sz="4" w:space="0" w:color="000000"/>
            </w:tcBorders>
            <w:vAlign w:val="bottom"/>
          </w:tcPr>
          <w:p>
            <w:pPr>
              <w:pStyle w:val="TAC"/>
              <w:rPr/>
            </w:pPr>
            <w:r>
              <w:rPr/>
              <w:t>2.585</w:t>
            </w:r>
          </w:p>
        </w:tc>
        <w:tc>
          <w:tcPr>
            <w:tcW w:w="1275" w:type="dxa"/>
            <w:tcBorders>
              <w:bottom w:val="single" w:sz="4" w:space="0" w:color="000000"/>
              <w:right w:val="single" w:sz="4" w:space="0" w:color="000000"/>
            </w:tcBorders>
            <w:vAlign w:val="bottom"/>
          </w:tcPr>
          <w:p>
            <w:pPr>
              <w:pStyle w:val="TAC"/>
              <w:rPr/>
            </w:pPr>
            <w:r>
              <w:rPr/>
              <w:t>-4.047</w:t>
            </w:r>
          </w:p>
        </w:tc>
        <w:tc>
          <w:tcPr>
            <w:tcW w:w="1134" w:type="dxa"/>
            <w:tcBorders>
              <w:bottom w:val="single" w:sz="4" w:space="0" w:color="000000"/>
              <w:right w:val="single" w:sz="8" w:space="0" w:color="000000"/>
            </w:tcBorders>
            <w:vAlign w:val="bottom"/>
          </w:tcPr>
          <w:p>
            <w:pPr>
              <w:pStyle w:val="TAC"/>
              <w:rPr/>
            </w:pPr>
            <w:r>
              <w:rPr/>
              <w:t>-0.203</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800</w:t>
            </w:r>
          </w:p>
        </w:tc>
        <w:tc>
          <w:tcPr>
            <w:tcW w:w="960" w:type="dxa"/>
            <w:tcBorders>
              <w:bottom w:val="single" w:sz="4" w:space="0" w:color="000000"/>
              <w:right w:val="single" w:sz="4" w:space="0" w:color="000000"/>
            </w:tcBorders>
            <w:vAlign w:val="bottom"/>
          </w:tcPr>
          <w:p>
            <w:pPr>
              <w:pStyle w:val="TAC"/>
              <w:rPr/>
            </w:pPr>
            <w:r>
              <w:rPr/>
              <w:t>-5.48</w:t>
            </w:r>
          </w:p>
        </w:tc>
        <w:tc>
          <w:tcPr>
            <w:tcW w:w="794" w:type="dxa"/>
            <w:tcBorders>
              <w:bottom w:val="single" w:sz="4" w:space="0" w:color="000000"/>
              <w:right w:val="single" w:sz="4" w:space="0" w:color="000000"/>
            </w:tcBorders>
            <w:vAlign w:val="bottom"/>
          </w:tcPr>
          <w:p>
            <w:pPr>
              <w:pStyle w:val="TAC"/>
              <w:rPr/>
            </w:pPr>
            <w:r>
              <w:rPr/>
              <w:t>1.331</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top w:val="single" w:sz="4" w:space="0" w:color="000000"/>
              <w:left w:val="single" w:sz="4" w:space="0" w:color="000000"/>
              <w:bottom w:val="single" w:sz="4" w:space="0" w:color="000000"/>
              <w:right w:val="single" w:sz="4" w:space="0" w:color="000000"/>
            </w:tcBorders>
            <w:vAlign w:val="bottom"/>
          </w:tcPr>
          <w:p>
            <w:pPr>
              <w:pStyle w:val="TAC"/>
              <w:rPr/>
            </w:pPr>
            <w:r>
              <w:rPr/>
              <w:t>0.203</w:t>
            </w:r>
          </w:p>
        </w:tc>
        <w:tc>
          <w:tcPr>
            <w:tcW w:w="1134" w:type="dxa"/>
            <w:tcBorders>
              <w:bottom w:val="single" w:sz="4" w:space="0" w:color="000000"/>
              <w:right w:val="single" w:sz="4" w:space="0" w:color="000000"/>
            </w:tcBorders>
            <w:vAlign w:val="bottom"/>
          </w:tcPr>
          <w:p>
            <w:pPr>
              <w:pStyle w:val="TAC"/>
              <w:rPr/>
            </w:pPr>
            <w:r>
              <w:rPr/>
              <w:t>1.605</w:t>
            </w:r>
          </w:p>
        </w:tc>
        <w:tc>
          <w:tcPr>
            <w:tcW w:w="1275" w:type="dxa"/>
            <w:tcBorders>
              <w:bottom w:val="single" w:sz="4" w:space="0" w:color="000000"/>
              <w:right w:val="single" w:sz="4" w:space="0" w:color="000000"/>
            </w:tcBorders>
            <w:vAlign w:val="bottom"/>
          </w:tcPr>
          <w:p>
            <w:pPr>
              <w:pStyle w:val="TAC"/>
              <w:rPr/>
            </w:pPr>
            <w:r>
              <w:rPr/>
              <w:t>-6.444</w:t>
            </w:r>
          </w:p>
        </w:tc>
        <w:tc>
          <w:tcPr>
            <w:tcW w:w="1134" w:type="dxa"/>
            <w:tcBorders>
              <w:bottom w:val="single" w:sz="4" w:space="0" w:color="000000"/>
              <w:right w:val="single" w:sz="8" w:space="0" w:color="000000"/>
            </w:tcBorders>
            <w:vAlign w:val="bottom"/>
          </w:tcPr>
          <w:p>
            <w:pPr>
              <w:pStyle w:val="TAC"/>
              <w:rPr/>
            </w:pPr>
            <w:r>
              <w:rPr/>
              <w:t>-1.306</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1000</w:t>
            </w:r>
          </w:p>
        </w:tc>
        <w:tc>
          <w:tcPr>
            <w:tcW w:w="960" w:type="dxa"/>
            <w:tcBorders>
              <w:bottom w:val="single" w:sz="4" w:space="0" w:color="000000"/>
              <w:right w:val="single" w:sz="4" w:space="0" w:color="000000"/>
            </w:tcBorders>
            <w:vAlign w:val="bottom"/>
          </w:tcPr>
          <w:p>
            <w:pPr>
              <w:pStyle w:val="TAC"/>
              <w:rPr/>
            </w:pPr>
            <w:r>
              <w:rPr/>
              <w:t>-5.22</w:t>
            </w:r>
          </w:p>
        </w:tc>
        <w:tc>
          <w:tcPr>
            <w:tcW w:w="794" w:type="dxa"/>
            <w:tcBorders>
              <w:bottom w:val="single" w:sz="4" w:space="0" w:color="000000"/>
              <w:right w:val="single" w:sz="4" w:space="0" w:color="000000"/>
            </w:tcBorders>
            <w:vAlign w:val="bottom"/>
          </w:tcPr>
          <w:p>
            <w:pPr>
              <w:pStyle w:val="TAC"/>
              <w:rPr/>
            </w:pPr>
            <w:r>
              <w:rPr/>
              <w:t>1.150</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0.268</w:t>
            </w:r>
          </w:p>
        </w:tc>
        <w:tc>
          <w:tcPr>
            <w:tcW w:w="1134" w:type="dxa"/>
            <w:tcBorders>
              <w:bottom w:val="single" w:sz="4" w:space="0" w:color="000000"/>
              <w:right w:val="single" w:sz="4" w:space="0" w:color="000000"/>
            </w:tcBorders>
            <w:vAlign w:val="bottom"/>
          </w:tcPr>
          <w:p>
            <w:pPr>
              <w:pStyle w:val="TAC"/>
              <w:rPr/>
            </w:pPr>
            <w:r>
              <w:rPr/>
              <w:t>1.533</w:t>
            </w:r>
          </w:p>
        </w:tc>
        <w:tc>
          <w:tcPr>
            <w:tcW w:w="1275" w:type="dxa"/>
            <w:tcBorders>
              <w:bottom w:val="single" w:sz="4" w:space="0" w:color="000000"/>
              <w:right w:val="single" w:sz="4" w:space="0" w:color="000000"/>
            </w:tcBorders>
            <w:vAlign w:val="bottom"/>
          </w:tcPr>
          <w:p>
            <w:pPr>
              <w:pStyle w:val="TAC"/>
              <w:rPr/>
            </w:pPr>
            <w:r>
              <w:rPr/>
              <w:t>-6.527</w:t>
            </w:r>
          </w:p>
        </w:tc>
        <w:tc>
          <w:tcPr>
            <w:tcW w:w="1134" w:type="dxa"/>
            <w:tcBorders>
              <w:bottom w:val="single" w:sz="4" w:space="0" w:color="000000"/>
              <w:right w:val="single" w:sz="8" w:space="0" w:color="000000"/>
            </w:tcBorders>
            <w:vAlign w:val="bottom"/>
          </w:tcPr>
          <w:p>
            <w:pPr>
              <w:pStyle w:val="TAC"/>
              <w:rPr/>
            </w:pPr>
            <w:r>
              <w:rPr/>
              <w:t>-0.848</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1250</w:t>
            </w:r>
          </w:p>
        </w:tc>
        <w:tc>
          <w:tcPr>
            <w:tcW w:w="960" w:type="dxa"/>
            <w:tcBorders>
              <w:bottom w:val="single" w:sz="4" w:space="0" w:color="000000"/>
              <w:right w:val="single" w:sz="4" w:space="0" w:color="000000"/>
            </w:tcBorders>
            <w:vAlign w:val="bottom"/>
          </w:tcPr>
          <w:p>
            <w:pPr>
              <w:pStyle w:val="TAC"/>
              <w:rPr/>
            </w:pPr>
            <w:r>
              <w:rPr/>
              <w:t>-3.92</w:t>
            </w:r>
          </w:p>
        </w:tc>
        <w:tc>
          <w:tcPr>
            <w:tcW w:w="794" w:type="dxa"/>
            <w:tcBorders>
              <w:bottom w:val="single" w:sz="4" w:space="0" w:color="000000"/>
              <w:right w:val="single" w:sz="4" w:space="0" w:color="000000"/>
            </w:tcBorders>
            <w:vAlign w:val="bottom"/>
          </w:tcPr>
          <w:p>
            <w:pPr>
              <w:pStyle w:val="TAC"/>
              <w:rPr/>
            </w:pPr>
            <w:r>
              <w:rPr/>
              <w:t>-0.841</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0.414</w:t>
            </w:r>
          </w:p>
        </w:tc>
        <w:tc>
          <w:tcPr>
            <w:tcW w:w="1134" w:type="dxa"/>
            <w:tcBorders>
              <w:bottom w:val="single" w:sz="4" w:space="0" w:color="000000"/>
              <w:right w:val="single" w:sz="4" w:space="0" w:color="000000"/>
            </w:tcBorders>
            <w:vAlign w:val="bottom"/>
          </w:tcPr>
          <w:p>
            <w:pPr>
              <w:pStyle w:val="TAC"/>
              <w:rPr/>
            </w:pPr>
            <w:r>
              <w:rPr/>
              <w:t>-0.830</w:t>
            </w:r>
          </w:p>
        </w:tc>
        <w:tc>
          <w:tcPr>
            <w:tcW w:w="1275" w:type="dxa"/>
            <w:tcBorders>
              <w:bottom w:val="single" w:sz="4" w:space="0" w:color="000000"/>
              <w:right w:val="single" w:sz="4" w:space="0" w:color="000000"/>
            </w:tcBorders>
            <w:vAlign w:val="bottom"/>
          </w:tcPr>
          <w:p>
            <w:pPr>
              <w:pStyle w:val="TAC"/>
              <w:rPr/>
            </w:pPr>
            <w:r>
              <w:rPr/>
              <w:t>-6.855</w:t>
            </w:r>
          </w:p>
        </w:tc>
        <w:tc>
          <w:tcPr>
            <w:tcW w:w="1134" w:type="dxa"/>
            <w:tcBorders>
              <w:bottom w:val="single" w:sz="4" w:space="0" w:color="000000"/>
              <w:right w:val="single" w:sz="8" w:space="0" w:color="000000"/>
            </w:tcBorders>
            <w:vAlign w:val="bottom"/>
          </w:tcPr>
          <w:p>
            <w:pPr>
              <w:pStyle w:val="TAC"/>
              <w:rPr/>
            </w:pPr>
            <w:r>
              <w:rPr/>
              <w:t>-2.645</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1600</w:t>
            </w:r>
          </w:p>
        </w:tc>
        <w:tc>
          <w:tcPr>
            <w:tcW w:w="960" w:type="dxa"/>
            <w:tcBorders>
              <w:bottom w:val="single" w:sz="4" w:space="0" w:color="000000"/>
              <w:right w:val="single" w:sz="4" w:space="0" w:color="000000"/>
            </w:tcBorders>
            <w:vAlign w:val="bottom"/>
          </w:tcPr>
          <w:p>
            <w:pPr>
              <w:pStyle w:val="TAC"/>
              <w:rPr/>
            </w:pPr>
            <w:r>
              <w:rPr/>
              <w:t>-6.51</w:t>
            </w:r>
          </w:p>
        </w:tc>
        <w:tc>
          <w:tcPr>
            <w:tcW w:w="794" w:type="dxa"/>
            <w:tcBorders>
              <w:bottom w:val="single" w:sz="4" w:space="0" w:color="000000"/>
              <w:right w:val="single" w:sz="4" w:space="0" w:color="000000"/>
            </w:tcBorders>
            <w:vAlign w:val="bottom"/>
          </w:tcPr>
          <w:p>
            <w:pPr>
              <w:pStyle w:val="TAC"/>
              <w:rPr/>
            </w:pPr>
            <w:r>
              <w:rPr/>
              <w:t>0.761</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0.458</w:t>
            </w:r>
          </w:p>
        </w:tc>
        <w:tc>
          <w:tcPr>
            <w:tcW w:w="1134" w:type="dxa"/>
            <w:tcBorders>
              <w:bottom w:val="single" w:sz="4" w:space="0" w:color="000000"/>
              <w:right w:val="single" w:sz="4" w:space="0" w:color="000000"/>
            </w:tcBorders>
            <w:vAlign w:val="bottom"/>
          </w:tcPr>
          <w:p>
            <w:pPr>
              <w:pStyle w:val="TAC"/>
              <w:rPr/>
            </w:pPr>
            <w:r>
              <w:rPr/>
              <w:t>0.666</w:t>
            </w:r>
          </w:p>
        </w:tc>
        <w:tc>
          <w:tcPr>
            <w:tcW w:w="1275" w:type="dxa"/>
            <w:tcBorders>
              <w:bottom w:val="single" w:sz="4" w:space="0" w:color="000000"/>
              <w:right w:val="single" w:sz="4" w:space="0" w:color="000000"/>
            </w:tcBorders>
            <w:vAlign w:val="bottom"/>
          </w:tcPr>
          <w:p>
            <w:pPr>
              <w:pStyle w:val="TAC"/>
              <w:rPr/>
            </w:pPr>
            <w:r>
              <w:rPr/>
              <w:t>-7.709</w:t>
            </w:r>
          </w:p>
        </w:tc>
        <w:tc>
          <w:tcPr>
            <w:tcW w:w="1134" w:type="dxa"/>
            <w:tcBorders>
              <w:bottom w:val="single" w:sz="4" w:space="0" w:color="000000"/>
              <w:right w:val="single" w:sz="8" w:space="0" w:color="000000"/>
            </w:tcBorders>
            <w:vAlign w:val="bottom"/>
          </w:tcPr>
          <w:p>
            <w:pPr>
              <w:pStyle w:val="TAC"/>
              <w:rPr/>
            </w:pPr>
            <w:r>
              <w:rPr/>
              <w:t>-3.978</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2000</w:t>
            </w:r>
          </w:p>
        </w:tc>
        <w:tc>
          <w:tcPr>
            <w:tcW w:w="960" w:type="dxa"/>
            <w:tcBorders>
              <w:bottom w:val="single" w:sz="4" w:space="0" w:color="000000"/>
              <w:right w:val="single" w:sz="4" w:space="0" w:color="000000"/>
            </w:tcBorders>
            <w:vAlign w:val="bottom"/>
          </w:tcPr>
          <w:p>
            <w:pPr>
              <w:pStyle w:val="TAC"/>
              <w:rPr/>
            </w:pPr>
            <w:r>
              <w:rPr/>
              <w:t>-7.30</w:t>
            </w:r>
          </w:p>
        </w:tc>
        <w:tc>
          <w:tcPr>
            <w:tcW w:w="794" w:type="dxa"/>
            <w:tcBorders>
              <w:bottom w:val="single" w:sz="4" w:space="0" w:color="000000"/>
              <w:right w:val="single" w:sz="4" w:space="0" w:color="000000"/>
            </w:tcBorders>
            <w:vAlign w:val="bottom"/>
          </w:tcPr>
          <w:p>
            <w:pPr>
              <w:pStyle w:val="TAC"/>
              <w:rPr/>
            </w:pPr>
            <w:r>
              <w:rPr/>
              <w:t>-0.780</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top w:val="single" w:sz="4" w:space="0" w:color="000000"/>
              <w:left w:val="single" w:sz="4" w:space="0" w:color="000000"/>
              <w:bottom w:val="single" w:sz="4" w:space="0" w:color="000000"/>
              <w:right w:val="single" w:sz="4" w:space="0" w:color="000000"/>
            </w:tcBorders>
            <w:vAlign w:val="bottom"/>
          </w:tcPr>
          <w:p>
            <w:pPr>
              <w:pStyle w:val="TAC"/>
              <w:rPr/>
            </w:pPr>
            <w:r>
              <w:rPr/>
              <w:t>0.448</w:t>
            </w:r>
          </w:p>
        </w:tc>
        <w:tc>
          <w:tcPr>
            <w:tcW w:w="1134" w:type="dxa"/>
            <w:tcBorders>
              <w:bottom w:val="single" w:sz="4" w:space="0" w:color="000000"/>
              <w:right w:val="single" w:sz="4" w:space="0" w:color="000000"/>
            </w:tcBorders>
            <w:vAlign w:val="bottom"/>
          </w:tcPr>
          <w:p>
            <w:pPr>
              <w:pStyle w:val="TAC"/>
              <w:rPr/>
            </w:pPr>
            <w:r>
              <w:rPr/>
              <w:t>-0.606</w:t>
            </w:r>
          </w:p>
        </w:tc>
        <w:tc>
          <w:tcPr>
            <w:tcW w:w="1275" w:type="dxa"/>
            <w:tcBorders>
              <w:bottom w:val="single" w:sz="4" w:space="0" w:color="000000"/>
              <w:right w:val="single" w:sz="4" w:space="0" w:color="000000"/>
            </w:tcBorders>
            <w:vAlign w:val="bottom"/>
          </w:tcPr>
          <w:p>
            <w:pPr>
              <w:pStyle w:val="TAC"/>
              <w:rPr/>
            </w:pPr>
            <w:r>
              <w:rPr/>
              <w:t>-9.564</w:t>
            </w:r>
          </w:p>
        </w:tc>
        <w:tc>
          <w:tcPr>
            <w:tcW w:w="1134" w:type="dxa"/>
            <w:tcBorders>
              <w:bottom w:val="single" w:sz="4" w:space="0" w:color="000000"/>
              <w:right w:val="single" w:sz="8" w:space="0" w:color="000000"/>
            </w:tcBorders>
            <w:vAlign w:val="bottom"/>
          </w:tcPr>
          <w:p>
            <w:pPr>
              <w:pStyle w:val="TAC"/>
              <w:rPr/>
            </w:pPr>
            <w:r>
              <w:rPr/>
              <w:t>-6.249</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2500</w:t>
            </w:r>
          </w:p>
        </w:tc>
        <w:tc>
          <w:tcPr>
            <w:tcW w:w="960" w:type="dxa"/>
            <w:tcBorders>
              <w:bottom w:val="single" w:sz="4" w:space="0" w:color="000000"/>
              <w:right w:val="single" w:sz="4" w:space="0" w:color="000000"/>
            </w:tcBorders>
            <w:vAlign w:val="bottom"/>
          </w:tcPr>
          <w:p>
            <w:pPr>
              <w:pStyle w:val="TAC"/>
              <w:rPr/>
            </w:pPr>
            <w:r>
              <w:rPr/>
              <w:t>-7.05</w:t>
            </w:r>
          </w:p>
        </w:tc>
        <w:tc>
          <w:tcPr>
            <w:tcW w:w="794" w:type="dxa"/>
            <w:tcBorders>
              <w:bottom w:val="single" w:sz="4" w:space="0" w:color="000000"/>
              <w:right w:val="single" w:sz="4" w:space="0" w:color="000000"/>
            </w:tcBorders>
            <w:vAlign w:val="bottom"/>
          </w:tcPr>
          <w:p>
            <w:pPr>
              <w:pStyle w:val="TAC"/>
              <w:rPr/>
            </w:pPr>
            <w:r>
              <w:rPr/>
              <w:t>0.418</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0.682</w:t>
            </w:r>
          </w:p>
        </w:tc>
        <w:tc>
          <w:tcPr>
            <w:tcW w:w="1134" w:type="dxa"/>
            <w:tcBorders>
              <w:bottom w:val="single" w:sz="4" w:space="0" w:color="000000"/>
              <w:right w:val="single" w:sz="4" w:space="0" w:color="000000"/>
            </w:tcBorders>
            <w:vAlign w:val="bottom"/>
          </w:tcPr>
          <w:p>
            <w:pPr>
              <w:pStyle w:val="TAC"/>
              <w:rPr/>
            </w:pPr>
            <w:r>
              <w:rPr/>
              <w:t>0.363</w:t>
            </w:r>
          </w:p>
        </w:tc>
        <w:tc>
          <w:tcPr>
            <w:tcW w:w="1275" w:type="dxa"/>
            <w:tcBorders>
              <w:bottom w:val="single" w:sz="4" w:space="0" w:color="000000"/>
              <w:right w:val="single" w:sz="4" w:space="0" w:color="000000"/>
            </w:tcBorders>
            <w:vAlign w:val="bottom"/>
          </w:tcPr>
          <w:p>
            <w:pPr>
              <w:pStyle w:val="TAC"/>
              <w:rPr/>
            </w:pPr>
            <w:r>
              <w:rPr/>
              <w:t>-8.536</w:t>
            </w:r>
          </w:p>
        </w:tc>
        <w:tc>
          <w:tcPr>
            <w:tcW w:w="1134" w:type="dxa"/>
            <w:tcBorders>
              <w:bottom w:val="single" w:sz="4" w:space="0" w:color="000000"/>
              <w:right w:val="single" w:sz="8" w:space="0" w:color="000000"/>
            </w:tcBorders>
            <w:vAlign w:val="bottom"/>
          </w:tcPr>
          <w:p>
            <w:pPr>
              <w:pStyle w:val="TAC"/>
              <w:rPr/>
            </w:pPr>
            <w:r>
              <w:rPr/>
              <w:t>-4.839</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3150</w:t>
            </w:r>
          </w:p>
        </w:tc>
        <w:tc>
          <w:tcPr>
            <w:tcW w:w="960" w:type="dxa"/>
            <w:tcBorders>
              <w:bottom w:val="single" w:sz="4" w:space="0" w:color="000000"/>
              <w:right w:val="single" w:sz="4" w:space="0" w:color="000000"/>
            </w:tcBorders>
            <w:vAlign w:val="bottom"/>
          </w:tcPr>
          <w:p>
            <w:pPr>
              <w:pStyle w:val="TAC"/>
              <w:rPr/>
            </w:pPr>
            <w:r>
              <w:rPr/>
              <w:t>-8.80</w:t>
            </w:r>
          </w:p>
        </w:tc>
        <w:tc>
          <w:tcPr>
            <w:tcW w:w="794" w:type="dxa"/>
            <w:tcBorders>
              <w:bottom w:val="single" w:sz="4" w:space="0" w:color="000000"/>
              <w:right w:val="single" w:sz="4" w:space="0" w:color="000000"/>
            </w:tcBorders>
            <w:vAlign w:val="bottom"/>
          </w:tcPr>
          <w:p>
            <w:pPr>
              <w:pStyle w:val="TAC"/>
              <w:rPr/>
            </w:pPr>
            <w:r>
              <w:rPr/>
              <w:t>1.929</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0.073</w:t>
            </w:r>
          </w:p>
        </w:tc>
        <w:tc>
          <w:tcPr>
            <w:tcW w:w="1134" w:type="dxa"/>
            <w:tcBorders>
              <w:bottom w:val="single" w:sz="4" w:space="0" w:color="000000"/>
              <w:right w:val="single" w:sz="4" w:space="0" w:color="000000"/>
            </w:tcBorders>
            <w:vAlign w:val="bottom"/>
          </w:tcPr>
          <w:p>
            <w:pPr>
              <w:pStyle w:val="TAC"/>
              <w:rPr/>
            </w:pPr>
            <w:r>
              <w:rPr/>
              <w:t>2.081</w:t>
            </w:r>
          </w:p>
        </w:tc>
        <w:tc>
          <w:tcPr>
            <w:tcW w:w="1275" w:type="dxa"/>
            <w:tcBorders>
              <w:bottom w:val="single" w:sz="4" w:space="0" w:color="000000"/>
              <w:right w:val="single" w:sz="4" w:space="0" w:color="000000"/>
            </w:tcBorders>
            <w:vAlign w:val="bottom"/>
          </w:tcPr>
          <w:p>
            <w:pPr>
              <w:pStyle w:val="TAC"/>
              <w:rPr/>
            </w:pPr>
            <w:r>
              <w:rPr/>
              <w:t>-9.019</w:t>
            </w:r>
          </w:p>
        </w:tc>
        <w:tc>
          <w:tcPr>
            <w:tcW w:w="1134" w:type="dxa"/>
            <w:tcBorders>
              <w:bottom w:val="single" w:sz="4" w:space="0" w:color="000000"/>
              <w:right w:val="single" w:sz="8" w:space="0" w:color="000000"/>
            </w:tcBorders>
            <w:vAlign w:val="bottom"/>
          </w:tcPr>
          <w:p>
            <w:pPr>
              <w:pStyle w:val="TAC"/>
              <w:rPr/>
            </w:pPr>
            <w:r>
              <w:rPr/>
              <w:t>-4.419</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4000</w:t>
            </w:r>
          </w:p>
        </w:tc>
        <w:tc>
          <w:tcPr>
            <w:tcW w:w="960" w:type="dxa"/>
            <w:tcBorders>
              <w:bottom w:val="single" w:sz="4" w:space="0" w:color="000000"/>
              <w:right w:val="single" w:sz="4" w:space="0" w:color="000000"/>
            </w:tcBorders>
            <w:vAlign w:val="bottom"/>
          </w:tcPr>
          <w:p>
            <w:pPr>
              <w:pStyle w:val="TAC"/>
              <w:rPr/>
            </w:pPr>
            <w:r>
              <w:rPr/>
              <w:t>-7.40</w:t>
            </w:r>
          </w:p>
        </w:tc>
        <w:tc>
          <w:tcPr>
            <w:tcW w:w="794" w:type="dxa"/>
            <w:tcBorders>
              <w:bottom w:val="single" w:sz="4" w:space="0" w:color="000000"/>
              <w:right w:val="single" w:sz="4" w:space="0" w:color="000000"/>
            </w:tcBorders>
            <w:vAlign w:val="bottom"/>
          </w:tcPr>
          <w:p>
            <w:pPr>
              <w:pStyle w:val="TAC"/>
              <w:rPr/>
            </w:pPr>
            <w:r>
              <w:rPr/>
              <w:t>3.887</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0.001*</w:t>
            </w:r>
          </w:p>
        </w:tc>
        <w:tc>
          <w:tcPr>
            <w:tcW w:w="1134" w:type="dxa"/>
            <w:tcBorders>
              <w:bottom w:val="single" w:sz="4" w:space="0" w:color="000000"/>
              <w:right w:val="single" w:sz="4" w:space="0" w:color="000000"/>
            </w:tcBorders>
            <w:vAlign w:val="bottom"/>
          </w:tcPr>
          <w:p>
            <w:pPr>
              <w:pStyle w:val="TAC"/>
              <w:rPr/>
            </w:pPr>
            <w:r>
              <w:rPr/>
              <w:t>2.963</w:t>
            </w:r>
          </w:p>
        </w:tc>
        <w:tc>
          <w:tcPr>
            <w:tcW w:w="1275" w:type="dxa"/>
            <w:tcBorders>
              <w:bottom w:val="single" w:sz="4" w:space="0" w:color="000000"/>
              <w:right w:val="single" w:sz="4" w:space="0" w:color="000000"/>
            </w:tcBorders>
            <w:vAlign w:val="bottom"/>
          </w:tcPr>
          <w:p>
            <w:pPr>
              <w:pStyle w:val="TAC"/>
              <w:rPr/>
            </w:pPr>
            <w:r>
              <w:rPr/>
              <w:t>-6.062</w:t>
            </w:r>
          </w:p>
        </w:tc>
        <w:tc>
          <w:tcPr>
            <w:tcW w:w="1134" w:type="dxa"/>
            <w:tcBorders>
              <w:bottom w:val="single" w:sz="4" w:space="0" w:color="000000"/>
              <w:right w:val="single" w:sz="8" w:space="0" w:color="000000"/>
            </w:tcBorders>
            <w:vAlign w:val="bottom"/>
          </w:tcPr>
          <w:p>
            <w:pPr>
              <w:pStyle w:val="TAC"/>
              <w:rPr/>
            </w:pPr>
            <w:r>
              <w:rPr/>
              <w:t>-2.813</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5000</w:t>
            </w:r>
          </w:p>
        </w:tc>
        <w:tc>
          <w:tcPr>
            <w:tcW w:w="960" w:type="dxa"/>
            <w:tcBorders>
              <w:bottom w:val="single" w:sz="4" w:space="0" w:color="000000"/>
              <w:right w:val="single" w:sz="4" w:space="0" w:color="000000"/>
            </w:tcBorders>
            <w:vAlign w:val="bottom"/>
          </w:tcPr>
          <w:p>
            <w:pPr>
              <w:pStyle w:val="TAC"/>
              <w:rPr/>
            </w:pPr>
            <w:r>
              <w:rPr/>
              <w:t>-5.76</w:t>
            </w:r>
          </w:p>
        </w:tc>
        <w:tc>
          <w:tcPr>
            <w:tcW w:w="794" w:type="dxa"/>
            <w:tcBorders>
              <w:bottom w:val="single" w:sz="4" w:space="0" w:color="000000"/>
              <w:right w:val="single" w:sz="4" w:space="0" w:color="000000"/>
            </w:tcBorders>
            <w:vAlign w:val="bottom"/>
          </w:tcPr>
          <w:p>
            <w:pPr>
              <w:pStyle w:val="TAC"/>
              <w:rPr/>
            </w:pPr>
            <w:r>
              <w:rPr/>
              <w:t>2.446</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0.027*</w:t>
            </w:r>
          </w:p>
        </w:tc>
        <w:tc>
          <w:tcPr>
            <w:tcW w:w="1134" w:type="dxa"/>
            <w:tcBorders>
              <w:bottom w:val="single" w:sz="4" w:space="0" w:color="000000"/>
              <w:right w:val="single" w:sz="4" w:space="0" w:color="000000"/>
            </w:tcBorders>
            <w:vAlign w:val="bottom"/>
          </w:tcPr>
          <w:p>
            <w:pPr>
              <w:pStyle w:val="TAC"/>
              <w:rPr/>
            </w:pPr>
            <w:r>
              <w:rPr/>
              <w:t>2.010</w:t>
            </w:r>
          </w:p>
        </w:tc>
        <w:tc>
          <w:tcPr>
            <w:tcW w:w="1275" w:type="dxa"/>
            <w:tcBorders>
              <w:bottom w:val="single" w:sz="4" w:space="0" w:color="000000"/>
              <w:right w:val="single" w:sz="4" w:space="0" w:color="000000"/>
            </w:tcBorders>
            <w:vAlign w:val="bottom"/>
          </w:tcPr>
          <w:p>
            <w:pPr>
              <w:pStyle w:val="TAC"/>
              <w:rPr/>
            </w:pPr>
            <w:r>
              <w:rPr/>
              <w:t>-5.501</w:t>
            </w:r>
          </w:p>
        </w:tc>
        <w:tc>
          <w:tcPr>
            <w:tcW w:w="1134" w:type="dxa"/>
            <w:tcBorders>
              <w:bottom w:val="single" w:sz="4" w:space="0" w:color="000000"/>
              <w:right w:val="single" w:sz="8" w:space="0" w:color="000000"/>
            </w:tcBorders>
            <w:vAlign w:val="bottom"/>
          </w:tcPr>
          <w:p>
            <w:pPr>
              <w:pStyle w:val="TAC"/>
              <w:rPr/>
            </w:pPr>
            <w:r>
              <w:rPr/>
              <w:t>-1.999</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6300</w:t>
            </w:r>
          </w:p>
        </w:tc>
        <w:tc>
          <w:tcPr>
            <w:tcW w:w="960" w:type="dxa"/>
            <w:tcBorders>
              <w:bottom w:val="single" w:sz="4" w:space="0" w:color="000000"/>
              <w:right w:val="single" w:sz="4" w:space="0" w:color="000000"/>
            </w:tcBorders>
            <w:vAlign w:val="bottom"/>
          </w:tcPr>
          <w:p>
            <w:pPr>
              <w:pStyle w:val="TAC"/>
              <w:rPr/>
            </w:pPr>
            <w:r>
              <w:rPr/>
              <w:t>-0.87</w:t>
            </w:r>
          </w:p>
        </w:tc>
        <w:tc>
          <w:tcPr>
            <w:tcW w:w="794" w:type="dxa"/>
            <w:tcBorders>
              <w:bottom w:val="single" w:sz="4" w:space="0" w:color="000000"/>
              <w:right w:val="single" w:sz="4" w:space="0" w:color="000000"/>
            </w:tcBorders>
            <w:vAlign w:val="bottom"/>
          </w:tcPr>
          <w:p>
            <w:pPr>
              <w:pStyle w:val="TAC"/>
              <w:rPr/>
            </w:pPr>
            <w:r>
              <w:rPr/>
              <w:t>-1.829</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0.087</w:t>
            </w:r>
          </w:p>
        </w:tc>
        <w:tc>
          <w:tcPr>
            <w:tcW w:w="1134" w:type="dxa"/>
            <w:tcBorders>
              <w:bottom w:val="single" w:sz="4" w:space="0" w:color="000000"/>
              <w:right w:val="single" w:sz="4" w:space="0" w:color="000000"/>
            </w:tcBorders>
            <w:vAlign w:val="bottom"/>
          </w:tcPr>
          <w:p>
            <w:pPr>
              <w:pStyle w:val="TAC"/>
              <w:rPr/>
            </w:pPr>
            <w:r>
              <w:rPr/>
              <w:t>-1.786</w:t>
            </w:r>
          </w:p>
        </w:tc>
        <w:tc>
          <w:tcPr>
            <w:tcW w:w="1275" w:type="dxa"/>
            <w:tcBorders>
              <w:bottom w:val="single" w:sz="4" w:space="0" w:color="000000"/>
              <w:right w:val="single" w:sz="4" w:space="0" w:color="000000"/>
            </w:tcBorders>
            <w:vAlign w:val="bottom"/>
          </w:tcPr>
          <w:p>
            <w:pPr>
              <w:pStyle w:val="TAC"/>
              <w:rPr/>
            </w:pPr>
            <w:r>
              <w:rPr/>
              <w:t>-4.738</w:t>
            </w:r>
          </w:p>
        </w:tc>
        <w:tc>
          <w:tcPr>
            <w:tcW w:w="1134" w:type="dxa"/>
            <w:tcBorders>
              <w:bottom w:val="single" w:sz="4" w:space="0" w:color="000000"/>
              <w:right w:val="single" w:sz="8" w:space="0" w:color="000000"/>
            </w:tcBorders>
            <w:vAlign w:val="bottom"/>
          </w:tcPr>
          <w:p>
            <w:pPr>
              <w:pStyle w:val="TAC"/>
              <w:rPr/>
            </w:pPr>
            <w:r>
              <w:rPr/>
              <w:t>-0.575</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8000</w:t>
            </w:r>
          </w:p>
        </w:tc>
        <w:tc>
          <w:tcPr>
            <w:tcW w:w="960" w:type="dxa"/>
            <w:tcBorders>
              <w:bottom w:val="single" w:sz="4" w:space="0" w:color="000000"/>
              <w:right w:val="single" w:sz="4" w:space="0" w:color="000000"/>
            </w:tcBorders>
            <w:vAlign w:val="bottom"/>
          </w:tcPr>
          <w:p>
            <w:pPr>
              <w:pStyle w:val="TAC"/>
              <w:rPr/>
            </w:pPr>
            <w:r>
              <w:rPr/>
              <w:t>-0.61</w:t>
            </w:r>
          </w:p>
        </w:tc>
        <w:tc>
          <w:tcPr>
            <w:tcW w:w="794" w:type="dxa"/>
            <w:tcBorders>
              <w:bottom w:val="single" w:sz="4" w:space="0" w:color="000000"/>
              <w:right w:val="single" w:sz="4" w:space="0" w:color="000000"/>
            </w:tcBorders>
            <w:vAlign w:val="bottom"/>
          </w:tcPr>
          <w:p>
            <w:pPr>
              <w:pStyle w:val="TAC"/>
              <w:rPr/>
            </w:pPr>
            <w:r>
              <w:rPr/>
              <w:t>-4.057</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0.001*</w:t>
            </w:r>
          </w:p>
        </w:tc>
        <w:tc>
          <w:tcPr>
            <w:tcW w:w="1134" w:type="dxa"/>
            <w:tcBorders>
              <w:bottom w:val="single" w:sz="4" w:space="0" w:color="000000"/>
              <w:right w:val="single" w:sz="4" w:space="0" w:color="000000"/>
            </w:tcBorders>
            <w:vAlign w:val="bottom"/>
          </w:tcPr>
          <w:p>
            <w:pPr>
              <w:pStyle w:val="TAC"/>
              <w:rPr/>
            </w:pPr>
            <w:r>
              <w:rPr/>
              <w:t>-3.546</w:t>
            </w:r>
          </w:p>
        </w:tc>
        <w:tc>
          <w:tcPr>
            <w:tcW w:w="1275" w:type="dxa"/>
            <w:tcBorders>
              <w:bottom w:val="single" w:sz="4" w:space="0" w:color="000000"/>
              <w:right w:val="single" w:sz="4" w:space="0" w:color="000000"/>
            </w:tcBorders>
            <w:vAlign w:val="bottom"/>
          </w:tcPr>
          <w:p>
            <w:pPr>
              <w:pStyle w:val="TAC"/>
              <w:rPr/>
            </w:pPr>
            <w:r>
              <w:rPr/>
              <w:t>-6.019</w:t>
            </w:r>
          </w:p>
        </w:tc>
        <w:tc>
          <w:tcPr>
            <w:tcW w:w="1134" w:type="dxa"/>
            <w:tcBorders>
              <w:bottom w:val="single" w:sz="4" w:space="0" w:color="000000"/>
              <w:right w:val="single" w:sz="8" w:space="0" w:color="000000"/>
            </w:tcBorders>
            <w:vAlign w:val="bottom"/>
          </w:tcPr>
          <w:p>
            <w:pPr>
              <w:pStyle w:val="TAC"/>
              <w:rPr/>
            </w:pPr>
            <w:r>
              <w:rPr/>
              <w:t>-2.293</w:t>
            </w:r>
          </w:p>
        </w:tc>
      </w:tr>
      <w:tr>
        <w:trPr>
          <w:trHeight w:val="23" w:hRule="atLeast"/>
        </w:trPr>
        <w:tc>
          <w:tcPr>
            <w:tcW w:w="1780" w:type="dxa"/>
            <w:tcBorders>
              <w:left w:val="single" w:sz="8" w:space="0" w:color="000000"/>
              <w:bottom w:val="single" w:sz="4" w:space="0" w:color="000000"/>
              <w:right w:val="single" w:sz="4" w:space="0" w:color="000000"/>
            </w:tcBorders>
            <w:vAlign w:val="bottom"/>
          </w:tcPr>
          <w:p>
            <w:pPr>
              <w:pStyle w:val="TAC"/>
              <w:rPr/>
            </w:pPr>
            <w:r>
              <w:rPr/>
              <w:t>10000</w:t>
            </w:r>
          </w:p>
        </w:tc>
        <w:tc>
          <w:tcPr>
            <w:tcW w:w="960" w:type="dxa"/>
            <w:tcBorders>
              <w:bottom w:val="single" w:sz="4" w:space="0" w:color="000000"/>
              <w:right w:val="single" w:sz="4" w:space="0" w:color="000000"/>
            </w:tcBorders>
            <w:vAlign w:val="bottom"/>
          </w:tcPr>
          <w:p>
            <w:pPr>
              <w:pStyle w:val="TAC"/>
              <w:rPr/>
            </w:pPr>
            <w:r>
              <w:rPr/>
              <w:t>-4.14</w:t>
            </w:r>
          </w:p>
        </w:tc>
        <w:tc>
          <w:tcPr>
            <w:tcW w:w="794" w:type="dxa"/>
            <w:tcBorders>
              <w:bottom w:val="single" w:sz="4" w:space="0" w:color="000000"/>
              <w:right w:val="single" w:sz="4" w:space="0" w:color="000000"/>
            </w:tcBorders>
            <w:vAlign w:val="bottom"/>
          </w:tcPr>
          <w:p>
            <w:pPr>
              <w:pStyle w:val="TAC"/>
              <w:rPr/>
            </w:pPr>
            <w:r>
              <w:rPr/>
              <w:t>1.274</w:t>
            </w:r>
          </w:p>
        </w:tc>
        <w:tc>
          <w:tcPr>
            <w:tcW w:w="567" w:type="dxa"/>
            <w:tcBorders>
              <w:bottom w:val="single" w:sz="4" w:space="0" w:color="000000"/>
              <w:right w:val="single" w:sz="4" w:space="0" w:color="000000"/>
            </w:tcBorders>
            <w:vAlign w:val="bottom"/>
          </w:tcPr>
          <w:p>
            <w:pPr>
              <w:pStyle w:val="TAC"/>
              <w:rPr/>
            </w:pPr>
            <w:r>
              <w:rPr/>
              <w:t>15</w:t>
            </w:r>
          </w:p>
        </w:tc>
        <w:tc>
          <w:tcPr>
            <w:tcW w:w="1361" w:type="dxa"/>
            <w:tcBorders>
              <w:bottom w:val="single" w:sz="4" w:space="0" w:color="000000"/>
              <w:right w:val="single" w:sz="4" w:space="0" w:color="000000"/>
            </w:tcBorders>
            <w:vAlign w:val="bottom"/>
          </w:tcPr>
          <w:p>
            <w:pPr>
              <w:pStyle w:val="TAC"/>
              <w:rPr/>
            </w:pPr>
            <w:r>
              <w:rPr/>
              <w:t>0.222</w:t>
            </w:r>
          </w:p>
        </w:tc>
        <w:tc>
          <w:tcPr>
            <w:tcW w:w="1134" w:type="dxa"/>
            <w:tcBorders>
              <w:bottom w:val="single" w:sz="4" w:space="0" w:color="000000"/>
              <w:right w:val="single" w:sz="4" w:space="0" w:color="000000"/>
            </w:tcBorders>
            <w:vAlign w:val="bottom"/>
          </w:tcPr>
          <w:p>
            <w:pPr>
              <w:pStyle w:val="TAC"/>
              <w:rPr/>
            </w:pPr>
            <w:r>
              <w:rPr/>
              <w:t>1.328</w:t>
            </w:r>
          </w:p>
        </w:tc>
        <w:tc>
          <w:tcPr>
            <w:tcW w:w="1275" w:type="dxa"/>
            <w:tcBorders>
              <w:bottom w:val="single" w:sz="4" w:space="0" w:color="000000"/>
              <w:right w:val="single" w:sz="4" w:space="0" w:color="000000"/>
            </w:tcBorders>
            <w:vAlign w:val="bottom"/>
          </w:tcPr>
          <w:p>
            <w:pPr>
              <w:pStyle w:val="TAC"/>
              <w:rPr/>
            </w:pPr>
            <w:r>
              <w:rPr/>
              <w:t>-5.033</w:t>
            </w:r>
          </w:p>
        </w:tc>
        <w:tc>
          <w:tcPr>
            <w:tcW w:w="1134" w:type="dxa"/>
            <w:tcBorders>
              <w:bottom w:val="single" w:sz="4" w:space="0" w:color="000000"/>
              <w:right w:val="single" w:sz="8" w:space="0" w:color="000000"/>
            </w:tcBorders>
            <w:vAlign w:val="bottom"/>
          </w:tcPr>
          <w:p>
            <w:pPr>
              <w:pStyle w:val="TAC"/>
              <w:rPr/>
            </w:pPr>
            <w:r>
              <w:rPr/>
              <w:t>-0.592</w:t>
            </w:r>
          </w:p>
        </w:tc>
      </w:tr>
      <w:tr>
        <w:trPr>
          <w:trHeight w:val="23" w:hRule="atLeast"/>
        </w:trPr>
        <w:tc>
          <w:tcPr>
            <w:tcW w:w="1780" w:type="dxa"/>
            <w:tcBorders>
              <w:left w:val="single" w:sz="8" w:space="0" w:color="000000"/>
              <w:bottom w:val="single" w:sz="8" w:space="0" w:color="000000"/>
              <w:right w:val="single" w:sz="4" w:space="0" w:color="000000"/>
            </w:tcBorders>
            <w:vAlign w:val="bottom"/>
          </w:tcPr>
          <w:p>
            <w:pPr>
              <w:pStyle w:val="TAC"/>
              <w:rPr/>
            </w:pPr>
            <w:r>
              <w:rPr/>
              <w:t>12500</w:t>
            </w:r>
          </w:p>
        </w:tc>
        <w:tc>
          <w:tcPr>
            <w:tcW w:w="960" w:type="dxa"/>
            <w:tcBorders>
              <w:bottom w:val="single" w:sz="8" w:space="0" w:color="000000"/>
              <w:right w:val="single" w:sz="4" w:space="0" w:color="000000"/>
            </w:tcBorders>
            <w:vAlign w:val="bottom"/>
          </w:tcPr>
          <w:p>
            <w:pPr>
              <w:pStyle w:val="TAC"/>
              <w:rPr/>
            </w:pPr>
            <w:r>
              <w:rPr/>
              <w:t>5.98</w:t>
            </w:r>
          </w:p>
        </w:tc>
        <w:tc>
          <w:tcPr>
            <w:tcW w:w="794" w:type="dxa"/>
            <w:tcBorders>
              <w:bottom w:val="single" w:sz="8" w:space="0" w:color="000000"/>
              <w:right w:val="single" w:sz="4" w:space="0" w:color="000000"/>
            </w:tcBorders>
            <w:vAlign w:val="bottom"/>
          </w:tcPr>
          <w:p>
            <w:pPr>
              <w:pStyle w:val="TAC"/>
              <w:rPr/>
            </w:pPr>
            <w:r>
              <w:rPr/>
              <w:t>-9.464</w:t>
            </w:r>
          </w:p>
        </w:tc>
        <w:tc>
          <w:tcPr>
            <w:tcW w:w="567" w:type="dxa"/>
            <w:tcBorders>
              <w:bottom w:val="single" w:sz="8" w:space="0" w:color="000000"/>
              <w:right w:val="single" w:sz="4" w:space="0" w:color="000000"/>
            </w:tcBorders>
            <w:vAlign w:val="bottom"/>
          </w:tcPr>
          <w:p>
            <w:pPr>
              <w:pStyle w:val="TAC"/>
              <w:rPr/>
            </w:pPr>
            <w:r>
              <w:rPr/>
              <w:t>15</w:t>
            </w:r>
          </w:p>
        </w:tc>
        <w:tc>
          <w:tcPr>
            <w:tcW w:w="1361" w:type="dxa"/>
            <w:tcBorders>
              <w:top w:val="single" w:sz="4" w:space="0" w:color="000000"/>
              <w:left w:val="single" w:sz="4" w:space="0" w:color="000000"/>
              <w:bottom w:val="single" w:sz="8" w:space="0" w:color="000000"/>
              <w:right w:val="single" w:sz="4" w:space="0" w:color="000000"/>
            </w:tcBorders>
            <w:vAlign w:val="bottom"/>
          </w:tcPr>
          <w:p>
            <w:pPr>
              <w:pStyle w:val="TAC"/>
              <w:rPr/>
            </w:pPr>
            <w:r>
              <w:rPr/>
              <w:t>0.000*</w:t>
            </w:r>
          </w:p>
        </w:tc>
        <w:tc>
          <w:tcPr>
            <w:tcW w:w="1134" w:type="dxa"/>
            <w:tcBorders>
              <w:bottom w:val="single" w:sz="8" w:space="0" w:color="000000"/>
              <w:right w:val="single" w:sz="4" w:space="0" w:color="000000"/>
            </w:tcBorders>
            <w:vAlign w:val="bottom"/>
          </w:tcPr>
          <w:p>
            <w:pPr>
              <w:pStyle w:val="TAC"/>
              <w:rPr/>
            </w:pPr>
            <w:r>
              <w:rPr/>
              <w:t>-9.074</w:t>
            </w:r>
          </w:p>
        </w:tc>
        <w:tc>
          <w:tcPr>
            <w:tcW w:w="1275" w:type="dxa"/>
            <w:tcBorders>
              <w:bottom w:val="single" w:sz="8" w:space="0" w:color="000000"/>
              <w:right w:val="single" w:sz="4" w:space="0" w:color="000000"/>
            </w:tcBorders>
            <w:vAlign w:val="bottom"/>
          </w:tcPr>
          <w:p>
            <w:pPr>
              <w:pStyle w:val="TAC"/>
              <w:rPr/>
            </w:pPr>
            <w:r>
              <w:rPr/>
              <w:t>-5.137</w:t>
            </w:r>
          </w:p>
        </w:tc>
        <w:tc>
          <w:tcPr>
            <w:tcW w:w="1134" w:type="dxa"/>
            <w:tcBorders>
              <w:bottom w:val="single" w:sz="8" w:space="0" w:color="000000"/>
              <w:right w:val="single" w:sz="8" w:space="0" w:color="000000"/>
            </w:tcBorders>
            <w:vAlign w:val="bottom"/>
          </w:tcPr>
          <w:p>
            <w:pPr>
              <w:pStyle w:val="TAC"/>
              <w:rPr/>
            </w:pPr>
            <w:r>
              <w:rPr/>
              <w:t>-1.050</w:t>
            </w:r>
          </w:p>
        </w:tc>
      </w:tr>
    </w:tbl>
    <w:p>
      <w:pPr>
        <w:pStyle w:val="Normal"/>
        <w:rPr/>
      </w:pPr>
      <w:r>
        <w:rPr/>
      </w:r>
      <w:bookmarkStart w:id="72" w:name="historyclause"/>
      <w:bookmarkStart w:id="73" w:name="historyclause"/>
      <w:bookmarkEnd w:id="73"/>
      <w:r>
        <w:br w:type="page"/>
      </w:r>
    </w:p>
    <w:p>
      <w:pPr>
        <w:pStyle w:val="Heading9"/>
        <w:rPr/>
      </w:pPr>
      <w:bookmarkStart w:id="74" w:name="__RefHeading___Toc19266997"/>
      <w:bookmarkEnd w:id="74"/>
      <w:r>
        <w:rPr/>
        <w:t>Annex B:</w:t>
        <w:br/>
        <w:t>Change history</w:t>
      </w:r>
    </w:p>
    <w:p>
      <w:pPr>
        <w:pStyle w:val="TH"/>
        <w:rPr/>
      </w:pPr>
      <w:r>
        <w:rPr/>
      </w:r>
      <w:bookmarkStart w:id="75" w:name="historyclause"/>
      <w:bookmarkStart w:id="76" w:name="historyclause"/>
      <w:bookmarkEnd w:id="76"/>
    </w:p>
    <w:tbl>
      <w:tblPr>
        <w:tblW w:w="9639" w:type="dxa"/>
        <w:jc w:val="left"/>
        <w:tblInd w:w="-7" w:type="dxa"/>
        <w:tblLayout w:type="fixed"/>
        <w:tblCellMar>
          <w:top w:w="0" w:type="dxa"/>
          <w:left w:w="40" w:type="dxa"/>
          <w:bottom w:w="0" w:type="dxa"/>
          <w:right w:w="40" w:type="dxa"/>
        </w:tblCellMar>
      </w:tblPr>
      <w:tblGrid>
        <w:gridCol w:w="800"/>
        <w:gridCol w:w="800"/>
        <w:gridCol w:w="1094"/>
        <w:gridCol w:w="425"/>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SP-190645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Presented to TSG SA#85 for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Approved at TSG SA#85</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bl>
    <w:p>
      <w:pPr>
        <w:pStyle w:val="Normal"/>
        <w:rPr/>
      </w:pPr>
      <w:r>
        <w:rPr/>
      </w:r>
    </w:p>
    <w:p>
      <w:pPr>
        <w:pStyle w:val="Normal"/>
        <w:widowControl/>
        <w:overflowPunct w:val="false"/>
        <w:autoSpaceDE w:val="false"/>
        <w:bidi w:val="0"/>
        <w:spacing w:before="0" w:after="180"/>
        <w:textAlignment w:val="baseline"/>
        <w:rPr/>
      </w:pPr>
      <w:r>
        <w:rPr/>
        <w:t xml:space="preserve"> </w:t>
      </w:r>
    </w:p>
    <w:sectPr>
      <w:headerReference w:type="default" r:id="rId44"/>
      <w:footerReference w:type="default" r:id="rId45"/>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alibri">
    <w:charset w:val="00"/>
    <w:family w:val="swiss"/>
    <w:pitch w:val="variable"/>
  </w:font>
  <w:font w:name="Segoe UI">
    <w:charset w:val="00"/>
    <w:family w:val="swiss"/>
    <w:pitch w:val="variable"/>
  </w:font>
  <w:font w:name="Tahoma">
    <w:charset w:val="00"/>
    <w:family w:val="swiss"/>
    <w:pitch w:val="variable"/>
  </w:font>
  <w:font w:name="Liberation Sans">
    <w:altName w:val="Arial"/>
    <w:charset w:val="01"/>
    <w:family w:val="swiss"/>
    <w:pitch w:val="variable"/>
  </w:font>
  <w:font w:name="Calibri Light">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86">
              <wp:simplePos x="0" y="0"/>
              <wp:positionH relativeFrom="margin">
                <wp:align>right</wp:align>
              </wp:positionH>
              <wp:positionV relativeFrom="paragraph">
                <wp:posOffset>635</wp:posOffset>
              </wp:positionV>
              <wp:extent cx="1824990" cy="180340"/>
              <wp:effectExtent l="0" t="0" r="0" b="0"/>
              <wp:wrapSquare wrapText="largest"/>
              <wp:docPr id="52" name="Frame10"/>
              <a:graphic xmlns:a="http://schemas.openxmlformats.org/drawingml/2006/main">
                <a:graphicData uri="http://schemas.microsoft.com/office/word/2010/wordprocessingShape">
                  <wps:wsp>
                    <wps:cNvSpPr txBox="1"/>
                    <wps:spPr>
                      <a:xfrm>
                        <a:off x="0" y="0"/>
                        <a:ext cx="1824990" cy="180340"/>
                      </a:xfrm>
                      <a:prstGeom prst="rect"/>
                      <a:solidFill>
                        <a:srgbClr val="FFFFFF">
                          <a:alpha val="0"/>
                        </a:srgbClr>
                      </a:solidFill>
                    </wps:spPr>
                    <wps:txbx>
                      <w:txbxContent>
                        <w:p>
                          <w:pPr>
                            <w:pStyle w:val="Normal"/>
                            <w:widowControl/>
                            <w:overflowPunct w:val="false"/>
                            <w:autoSpaceDE w:val="false"/>
                            <w:bidi w:val="0"/>
                            <w:spacing w:before="0" w:after="180"/>
                            <w:textAlignment w:val="baseline"/>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26.801 V16.0.0 (2019-09)</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7pt;height:14.2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Normal"/>
                      <w:widowControl/>
                      <w:overflowPunct w:val="false"/>
                      <w:autoSpaceDE w:val="false"/>
                      <w:bidi w:val="0"/>
                      <w:spacing w:before="0" w:after="180"/>
                      <w:textAlignment w:val="baseline"/>
                      <w:rPr>
                        <w:rFonts w:ascii="Arial" w:hAnsi="Arial" w:cs="Arial"/>
                        <w:b/>
                        <w:b/>
                        <w:sz w:val="18"/>
                        <w:szCs w:val="18"/>
                      </w:rPr>
                    </w:pPr>
                    <w:r>
                      <w:fldChar w:fldCharType="begin"/>
                    </w:r>
                    <w:r>
                      <w:rPr>
                        <w:sz w:val="18"/>
                        <w:b/>
                        <w:szCs w:val="18"/>
                        <w:rFonts w:cs="Arial" w:ascii="Arial" w:hAnsi="Arial"/>
                        <w:lang w:val="en-US" w:eastAsia="en-US"/>
                      </w:rPr>
                      <w:instrText xml:space="preserve"> STYLEREF ZA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3GPP TR 26.801 V16.0.0 (2019-09)</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22">
              <wp:simplePos x="0" y="0"/>
              <wp:positionH relativeFrom="margin">
                <wp:align>center</wp:align>
              </wp:positionH>
              <wp:positionV relativeFrom="paragraph">
                <wp:posOffset>4445</wp:posOffset>
              </wp:positionV>
              <wp:extent cx="127635" cy="180340"/>
              <wp:effectExtent l="0" t="0" r="0" b="0"/>
              <wp:wrapSquare wrapText="largest"/>
              <wp:docPr id="53" name="Frame11"/>
              <a:graphic xmlns:a="http://schemas.openxmlformats.org/drawingml/2006/main">
                <a:graphicData uri="http://schemas.microsoft.com/office/word/2010/wordprocessingShape">
                  <wps:wsp>
                    <wps:cNvSpPr txBox="1"/>
                    <wps:spPr>
                      <a:xfrm>
                        <a:off x="0" y="0"/>
                        <a:ext cx="127635" cy="180340"/>
                      </a:xfrm>
                      <a:prstGeom prst="rect"/>
                      <a:solidFill>
                        <a:srgbClr val="FFFFFF">
                          <a:alpha val="0"/>
                        </a:srgbClr>
                      </a:solidFill>
                    </wps:spPr>
                    <wps:txbx>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37</w:t>
                          </w:r>
                          <w:r>
                            <w:rPr>
                              <w:sz w:val="18"/>
                              <w:b/>
                              <w:szCs w:val="18"/>
                              <w:rFonts w:cs="Arial" w:ascii="Arial" w:hAnsi="Arial"/>
                            </w:rPr>
                            <w:fldChar w:fldCharType="end"/>
                          </w:r>
                        </w:p>
                      </w:txbxContent>
                    </wps:txbx>
                    <wps:bodyPr anchor="t" lIns="0" tIns="0" rIns="0" bIns="0">
                      <a:noAutofit/>
                    </wps:bodyPr>
                  </wps:wsp>
                </a:graphicData>
              </a:graphic>
            </wp:anchor>
          </w:drawing>
        </mc:Choice>
        <mc:Fallback>
          <w:pict>
            <v:rect fillcolor="#FFFFFF" style="position:absolute;rotation:-0;width:10.05pt;height:14.2pt;mso-wrap-distance-left:0pt;mso-wrap-distance-right:0pt;mso-wrap-distance-top:0pt;mso-wrap-distance-bottom:0pt;margin-top:0.35pt;mso-position-vertical-relative:text;margin-left:236pt;mso-position-horizontal:center;mso-position-horizontal-relative:margin">
              <v:fill opacity="0f"/>
              <v:textbox inset="0in,0in,0in,0in">
                <w:txbxContent>
                  <w:p>
                    <w:pPr>
                      <w:pStyle w:val="Normal"/>
                      <w:spacing w:before="0" w:after="180"/>
                      <w:rPr>
                        <w:rFonts w:ascii="Arial" w:hAnsi="Arial" w:cs="Arial"/>
                        <w:b/>
                        <w:b/>
                        <w:sz w:val="18"/>
                        <w:szCs w:val="18"/>
                      </w:rPr>
                    </w:pPr>
                    <w:r>
                      <w:rPr>
                        <w:rFonts w:cs="Arial" w:ascii="Arial" w:hAnsi="Arial"/>
                        <w:b/>
                        <w:sz w:val="18"/>
                        <w:szCs w:val="18"/>
                      </w:rPr>
                      <w:fldChar w:fldCharType="begin"/>
                    </w:r>
                    <w:r>
                      <w:rPr>
                        <w:sz w:val="18"/>
                        <w:b/>
                        <w:szCs w:val="18"/>
                        <w:rFonts w:cs="Arial" w:ascii="Arial" w:hAnsi="Arial"/>
                      </w:rPr>
                      <w:instrText xml:space="preserve"> PAGE </w:instrText>
                    </w:r>
                    <w:r>
                      <w:rPr>
                        <w:sz w:val="18"/>
                        <w:b/>
                        <w:szCs w:val="18"/>
                        <w:rFonts w:cs="Arial" w:ascii="Arial" w:hAnsi="Arial"/>
                      </w:rPr>
                      <w:fldChar w:fldCharType="separate"/>
                    </w:r>
                    <w:r>
                      <w:rPr>
                        <w:sz w:val="18"/>
                        <w:b/>
                        <w:szCs w:val="18"/>
                        <w:rFonts w:cs="Arial" w:ascii="Arial" w:hAnsi="Arial"/>
                      </w:rPr>
                      <w:t>37</w:t>
                    </w:r>
                    <w:r>
                      <w:rPr>
                        <w:sz w:val="18"/>
                        <w:b/>
                        <w:szCs w:val="18"/>
                        <w:rFonts w:cs="Arial" w:ascii="Arial" w:hAnsi="Arial"/>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158">
              <wp:simplePos x="0" y="0"/>
              <wp:positionH relativeFrom="margin">
                <wp:align>left</wp:align>
              </wp:positionH>
              <wp:positionV relativeFrom="paragraph">
                <wp:posOffset>4445</wp:posOffset>
              </wp:positionV>
              <wp:extent cx="591820" cy="180340"/>
              <wp:effectExtent l="0" t="0" r="0" b="0"/>
              <wp:wrapSquare wrapText="largest"/>
              <wp:docPr id="54" name="Frame12"/>
              <a:graphic xmlns:a="http://schemas.openxmlformats.org/drawingml/2006/main">
                <a:graphicData uri="http://schemas.microsoft.com/office/word/2010/wordprocessingShape">
                  <wps:wsp>
                    <wps:cNvSpPr txBox="1"/>
                    <wps:spPr>
                      <a:xfrm>
                        <a:off x="0" y="0"/>
                        <a:ext cx="591820" cy="180340"/>
                      </a:xfrm>
                      <a:prstGeom prst="rect"/>
                      <a:solidFill>
                        <a:srgbClr val="FFFFFF">
                          <a:alpha val="0"/>
                        </a:srgbClr>
                      </a:solidFill>
                    </wps:spPr>
                    <wps:txbx>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4.2pt;mso-wrap-distance-left:0pt;mso-wrap-distance-right:0pt;mso-wrap-distance-top:0pt;mso-wrap-distance-bottom:0pt;margin-top:0.35pt;mso-position-vertical-relative:text;margin-left:0pt;mso-position-horizontal:left;mso-position-horizontal-relative:margin">
              <v:fill opacity="0f"/>
              <v:textbox inset="0in,0in,0in,0in">
                <w:txbxContent>
                  <w:p>
                    <w:pPr>
                      <w:pStyle w:val="Normal"/>
                      <w:spacing w:before="0" w:after="180"/>
                      <w:rPr>
                        <w:rFonts w:ascii="Arial" w:hAnsi="Arial" w:cs="Arial"/>
                        <w:b/>
                        <w:b/>
                        <w:sz w:val="18"/>
                        <w:szCs w:val="18"/>
                      </w:rPr>
                    </w:pPr>
                    <w:r>
                      <w:fldChar w:fldCharType="begin"/>
                    </w:r>
                    <w:r>
                      <w:rPr>
                        <w:sz w:val="18"/>
                        <w:b/>
                        <w:szCs w:val="18"/>
                        <w:rFonts w:cs="Arial" w:ascii="Arial" w:hAnsi="Arial"/>
                        <w:lang w:val="en-US" w:eastAsia="en-US"/>
                      </w:rPr>
                      <w:instrText xml:space="preserve"> STYLEREF ZGSM </w:instrText>
                    </w:r>
                    <w:r>
                      <w:rPr>
                        <w:rFonts w:cs="Arial" w:ascii="Arial" w:hAnsi="Arial"/>
                        <w:b/>
                        <w:sz w:val="18"/>
                        <w:szCs w:val="18"/>
                        <w:lang w:val="en-US" w:eastAsia="en-US"/>
                      </w:rPr>
                    </w:r>
                    <w:r>
                      <w:rPr>
                        <w:sz w:val="18"/>
                        <w:b/>
                        <w:szCs w:val="18"/>
                        <w:rFonts w:cs="Arial" w:ascii="Arial" w:hAnsi="Arial"/>
                        <w:lang w:val="en-US" w:eastAsia="en-US"/>
                      </w:rPr>
                      <w:fldChar w:fldCharType="separate"/>
                    </w:r>
                    <w:r>
                      <w:rPr>
                        <w:rFonts w:cs="Arial" w:ascii="Arial" w:hAnsi="Arial"/>
                        <w:b/>
                        <w:sz w:val="18"/>
                        <w:szCs w:val="18"/>
                        <w:lang w:val="en-US" w:eastAsia="en-US"/>
                      </w:rPr>
                      <w:t>Release 16</w:t>
                    </w:r>
                    <w:r>
                      <w:rPr>
                        <w:rFonts w:cs="Arial" w:ascii="Arial" w:hAnsi="Arial"/>
                        <w:b/>
                        <w:sz w:val="18"/>
                        <w:szCs w:val="18"/>
                        <w:lang w:val="en-US" w:eastAsia="en-US"/>
                      </w:rPr>
                    </w:r>
                    <w:r>
                      <w:rPr>
                        <w:sz w:val="18"/>
                        <w:b/>
                        <w:szCs w:val="18"/>
                        <w:rFonts w:cs="Arial" w:ascii="Arial" w:hAnsi="Arial"/>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overflowPunct w:val="false"/>
      <w:autoSpaceDE w:val="false"/>
      <w:bidi w:val="0"/>
      <w:spacing w:before="0" w:after="180"/>
      <w:textAlignment w:val="baseline"/>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overflowPunct w:val="false"/>
      <w:autoSpaceDE w:val="false"/>
      <w:bidi w:val="0"/>
      <w:spacing w:before="240" w:after="180"/>
      <w:ind w:left="1134" w:hanging="1134"/>
      <w:textAlignment w:val="baseline"/>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rPr>
  </w:style>
  <w:style w:type="character" w:styleId="WW8Num7z0">
    <w:name w:val="WW8Num7z0"/>
    <w:qFormat/>
    <w:rPr>
      <w:rFonts w:ascii="Symbol" w:hAnsi="Symbol" w:cs="Symbol"/>
    </w:rPr>
  </w:style>
  <w:style w:type="character" w:styleId="WW8Num9z0">
    <w:name w:val="WW8Num9z0"/>
    <w:qFormat/>
    <w:rPr/>
  </w:style>
  <w:style w:type="character" w:styleId="WW8Num11z0">
    <w:name w:val="WW8Num11z0"/>
    <w:qFormat/>
    <w:rPr>
      <w:rFonts w:ascii="Arial" w:hAnsi="Arial" w:eastAsia="Malgun Gothic" w:cs="Arial"/>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style>
  <w:style w:type="character" w:styleId="WW8Num13z0">
    <w:name w:val="WW8Num13z0"/>
    <w:qFormat/>
    <w:rPr>
      <w:rFonts w:ascii="Arial" w:hAnsi="Arial" w:cs="Arial"/>
    </w:rPr>
  </w:style>
  <w:style w:type="character" w:styleId="WW8Num14z0">
    <w:name w:val="WW8Num14z0"/>
    <w:qFormat/>
    <w:rPr>
      <w:rFonts w:ascii="Calibri" w:hAnsi="Calibri" w:eastAsia="Calibri" w:cs="Times New Roman"/>
    </w:rPr>
  </w:style>
  <w:style w:type="character" w:styleId="WW8Num15z0">
    <w:name w:val="WW8Num15z0"/>
    <w:qFormat/>
    <w:rPr>
      <w:rFonts w:ascii="Wingdings" w:hAnsi="Wingdings" w:cs="Wingdings"/>
    </w:rPr>
  </w:style>
  <w:style w:type="character" w:styleId="WW8Num15z1">
    <w:name w:val="WW8Num15z1"/>
    <w:qFormat/>
    <w:rPr>
      <w:rFonts w:ascii="Times New Roman" w:hAnsi="Times New Roman" w:cs="Times New Roman"/>
    </w:rPr>
  </w:style>
  <w:style w:type="character" w:styleId="WW8Num16z0">
    <w:name w:val="WW8Num16z0"/>
    <w:qFormat/>
    <w:rPr/>
  </w:style>
  <w:style w:type="character" w:styleId="WW8Num17z0">
    <w:name w:val="WW8Num17z0"/>
    <w:qFormat/>
    <w:rPr/>
  </w:style>
  <w:style w:type="character" w:styleId="WW8Num18z0">
    <w:name w:val="WW8Num18z0"/>
    <w:qFormat/>
    <w:rPr/>
  </w:style>
  <w:style w:type="character" w:styleId="WW8Num19z0">
    <w:name w:val="WW8Num19z0"/>
    <w:qFormat/>
    <w:rPr>
      <w:rFonts w:ascii="Symbol" w:hAnsi="Symbol" w:eastAsia="Times New Roman" w:cs="Times New Roman"/>
    </w:rPr>
  </w:style>
  <w:style w:type="character" w:styleId="WW8Num19z1">
    <w:name w:val="WW8Num19z1"/>
    <w:qFormat/>
    <w:rPr>
      <w:rFonts w:ascii="Courier New" w:hAnsi="Courier New" w:cs="Courier New"/>
    </w:rPr>
  </w:style>
  <w:style w:type="character" w:styleId="WW8Num19z2">
    <w:name w:val="WW8Num19z2"/>
    <w:qFormat/>
    <w:rPr>
      <w:rFonts w:ascii="Wingdings" w:hAnsi="Wingdings" w:cs="Wingdings"/>
    </w:rPr>
  </w:style>
  <w:style w:type="character" w:styleId="WW8Num19z3">
    <w:name w:val="WW8Num19z3"/>
    <w:qFormat/>
    <w:rPr>
      <w:rFonts w:ascii="Symbol" w:hAnsi="Symbol" w:cs="Symbol"/>
    </w:rPr>
  </w:style>
  <w:style w:type="character" w:styleId="WW8Num20z0">
    <w:name w:val="WW8Num20z0"/>
    <w:qFormat/>
    <w:rPr>
      <w:rFonts w:ascii="Symbol" w:hAnsi="Symbol" w:cs="Symbol"/>
    </w:rPr>
  </w:style>
  <w:style w:type="character" w:styleId="WW8Num20z1">
    <w:name w:val="WW8Num20z1"/>
    <w:qFormat/>
    <w:rPr>
      <w:rFonts w:ascii="Courier New" w:hAnsi="Courier New" w:cs="Courier New"/>
    </w:rPr>
  </w:style>
  <w:style w:type="character" w:styleId="WW8Num20z2">
    <w:name w:val="WW8Num20z2"/>
    <w:qFormat/>
    <w:rPr>
      <w:rFonts w:ascii="Wingdings" w:hAnsi="Wingdings" w:cs="Wingdings"/>
    </w:rPr>
  </w:style>
  <w:style w:type="character" w:styleId="WW8Num21z0">
    <w:name w:val="WW8Num21z0"/>
    <w:qFormat/>
    <w:rPr>
      <w:rFonts w:ascii="Symbol" w:hAnsi="Symbol" w:cs="Symbol"/>
      <w:color w:val="000000"/>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1z3">
    <w:name w:val="WW8Num21z3"/>
    <w:qFormat/>
    <w:rPr>
      <w:rFonts w:ascii="Symbol" w:hAnsi="Symbol" w:cs="Symbol"/>
    </w:rPr>
  </w:style>
  <w:style w:type="character" w:styleId="WW8Num22z0">
    <w:name w:val="WW8Num22z0"/>
    <w:qFormat/>
    <w:rPr/>
  </w:style>
  <w:style w:type="character" w:styleId="WW8Num22z1">
    <w:name w:val="WW8Num22z1"/>
    <w:qFormat/>
    <w:rPr>
      <w:rFonts w:ascii="Times New Roman" w:hAnsi="Times New Roman" w:cs="Times New Roman"/>
    </w:rPr>
  </w:style>
  <w:style w:type="character" w:styleId="WW8Num23z0">
    <w:name w:val="WW8Num23z0"/>
    <w:qFormat/>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b/>
      <w:sz w:val="24"/>
      <w:szCs w:val="24"/>
    </w:rPr>
  </w:style>
  <w:style w:type="character" w:styleId="WW8Num24z1">
    <w:name w:val="WW8Num24z1"/>
    <w:qFormat/>
    <w:rPr>
      <w:b/>
    </w:rPr>
  </w:style>
  <w:style w:type="character" w:styleId="WW8Num24z2">
    <w:name w:val="WW8Num24z2"/>
    <w:qFormat/>
    <w:rPr/>
  </w:style>
  <w:style w:type="character" w:styleId="WW8Num25z0">
    <w:name w:val="WW8Num25z0"/>
    <w:qFormat/>
    <w:rPr>
      <w:rFonts w:ascii="Times New Roman" w:hAnsi="Times New Roman" w:cs="Times New Roman"/>
    </w:rPr>
  </w:style>
  <w:style w:type="character" w:styleId="WW8Num25z1">
    <w:name w:val="WW8Num25z1"/>
    <w:qFormat/>
    <w:rPr>
      <w:rFonts w:ascii="Courier New" w:hAnsi="Courier New" w:cs="Courier New"/>
    </w:rPr>
  </w:style>
  <w:style w:type="character" w:styleId="WW8Num25z2">
    <w:name w:val="WW8Num25z2"/>
    <w:qFormat/>
    <w:rPr>
      <w:rFonts w:ascii="Wingdings" w:hAnsi="Wingdings" w:cs="Wingdings"/>
    </w:rPr>
  </w:style>
  <w:style w:type="character" w:styleId="WW8Num25z3">
    <w:name w:val="WW8Num25z3"/>
    <w:qFormat/>
    <w:rPr>
      <w:rFonts w:ascii="Symbol" w:hAnsi="Symbol" w:cs="Symbol"/>
    </w:rPr>
  </w:style>
  <w:style w:type="character" w:styleId="WW8Num26z0">
    <w:name w:val="WW8Num26z0"/>
    <w:qFormat/>
    <w:rPr>
      <w:rFonts w:ascii="Times New Roman" w:hAnsi="Times New Roman" w:eastAsia="Times New Roman" w:cs="Times New Roman"/>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6z3">
    <w:name w:val="WW8Num26z3"/>
    <w:qFormat/>
    <w:rPr>
      <w:rFonts w:ascii="Symbol" w:hAnsi="Symbol" w:cs="Symbol"/>
    </w:rPr>
  </w:style>
  <w:style w:type="character" w:styleId="WW8Num27z0">
    <w:name w:val="WW8Num27z0"/>
    <w:qFormat/>
    <w:rPr>
      <w:rFonts w:ascii="Symbol" w:hAnsi="Symbol" w:eastAsia="Times New Roman" w:cs="Times New Roman"/>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7z3">
    <w:name w:val="WW8Num27z3"/>
    <w:qFormat/>
    <w:rPr>
      <w:rFonts w:ascii="Symbol" w:hAnsi="Symbol" w:cs="Symbol"/>
    </w:rPr>
  </w:style>
  <w:style w:type="character" w:styleId="WW8Num28z0">
    <w:name w:val="WW8Num28z0"/>
    <w:qFormat/>
    <w:rPr>
      <w:rFonts w:ascii="Times New Roman" w:hAnsi="Times New Roman" w:eastAsia="SimSun;宋体" w:cs="Times New Roman"/>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8z3">
    <w:name w:val="WW8Num28z3"/>
    <w:qFormat/>
    <w:rPr>
      <w:rFonts w:ascii="Symbol" w:hAnsi="Symbol" w:cs="Symbol"/>
    </w:rPr>
  </w:style>
  <w:style w:type="character" w:styleId="WW8Num29z0">
    <w:name w:val="WW8Num29z0"/>
    <w:qFormat/>
    <w:rPr>
      <w:rFonts w:ascii="Courier New" w:hAnsi="Courier New" w:cs="Courier New"/>
    </w:rPr>
  </w:style>
  <w:style w:type="character" w:styleId="WW8Num29z1">
    <w:name w:val="WW8Num29z1"/>
    <w:qFormat/>
    <w:rPr>
      <w:rFonts w:ascii="Times New Roman" w:hAnsi="Times New Roman" w:cs="Times New Roman"/>
    </w:rPr>
  </w:style>
  <w:style w:type="character" w:styleId="WW8Num30z0">
    <w:name w:val="WW8Num30z0"/>
    <w:qFormat/>
    <w:rPr>
      <w:rFonts w:ascii="Symbol" w:hAnsi="Symbol" w:cs="Symbol"/>
    </w:rPr>
  </w:style>
  <w:style w:type="character" w:styleId="WW8Num30z1">
    <w:name w:val="WW8Num30z1"/>
    <w:qFormat/>
    <w:rPr>
      <w:rFonts w:ascii="Courier New" w:hAnsi="Courier New" w:cs="Courier New"/>
    </w:rPr>
  </w:style>
  <w:style w:type="character" w:styleId="WW8Num30z2">
    <w:name w:val="WW8Num30z2"/>
    <w:qFormat/>
    <w:rPr>
      <w:rFonts w:ascii="Wingdings" w:hAnsi="Wingdings" w:cs="Wingdings"/>
    </w:rPr>
  </w:style>
  <w:style w:type="character" w:styleId="WW8Num31z0">
    <w:name w:val="WW8Num31z0"/>
    <w:qFormat/>
    <w:rPr>
      <w:rFonts w:ascii="Times New Roman" w:hAnsi="Times New Roman" w:eastAsia="Times New Roman" w:cs="Times New Roman"/>
    </w:rPr>
  </w:style>
  <w:style w:type="character" w:styleId="WW8Num31z1">
    <w:name w:val="WW8Num31z1"/>
    <w:qFormat/>
    <w:rPr>
      <w:rFonts w:ascii="Courier New" w:hAnsi="Courier New" w:cs="Courier New"/>
    </w:rPr>
  </w:style>
  <w:style w:type="character" w:styleId="WW8Num31z2">
    <w:name w:val="WW8Num31z2"/>
    <w:qFormat/>
    <w:rPr>
      <w:rFonts w:ascii="Wingdings" w:hAnsi="Wingdings" w:cs="Wingdings"/>
    </w:rPr>
  </w:style>
  <w:style w:type="character" w:styleId="WW8Num31z3">
    <w:name w:val="WW8Num31z3"/>
    <w:qFormat/>
    <w:rPr>
      <w:rFonts w:ascii="Symbol" w:hAnsi="Symbol" w:cs="Symbol"/>
    </w:rPr>
  </w:style>
  <w:style w:type="character" w:styleId="WW8Num32z0">
    <w:name w:val="WW8Num32z0"/>
    <w:qFormat/>
    <w:rPr>
      <w:rFonts w:ascii="Symbol" w:hAnsi="Symbol" w:eastAsia="Times New Roman" w:cs="Times New Roman"/>
    </w:rPr>
  </w:style>
  <w:style w:type="character" w:styleId="WW8Num32z1">
    <w:name w:val="WW8Num32z1"/>
    <w:qFormat/>
    <w:rPr>
      <w:rFonts w:ascii="Courier New" w:hAnsi="Courier New" w:cs="Courier New"/>
    </w:rPr>
  </w:style>
  <w:style w:type="character" w:styleId="WW8Num32z2">
    <w:name w:val="WW8Num32z2"/>
    <w:qFormat/>
    <w:rPr>
      <w:rFonts w:ascii="Wingdings" w:hAnsi="Wingdings" w:cs="Wingdings"/>
    </w:rPr>
  </w:style>
  <w:style w:type="character" w:styleId="WW8Num32z3">
    <w:name w:val="WW8Num32z3"/>
    <w:qFormat/>
    <w:rPr>
      <w:rFonts w:ascii="Symbol" w:hAnsi="Symbol" w:cs="Symbol"/>
    </w:rPr>
  </w:style>
  <w:style w:type="character" w:styleId="WW8Num33z0">
    <w:name w:val="WW8Num33z0"/>
    <w:qFormat/>
    <w:rPr>
      <w:rFonts w:ascii="Arial" w:hAnsi="Arial" w:eastAsia="Times New Roman" w:cs="Arial"/>
    </w:rPr>
  </w:style>
  <w:style w:type="character" w:styleId="WW8Num33z1">
    <w:name w:val="WW8Num33z1"/>
    <w:qFormat/>
    <w:rPr>
      <w:rFonts w:ascii="Courier New" w:hAnsi="Courier New" w:cs="Courier New"/>
    </w:rPr>
  </w:style>
  <w:style w:type="character" w:styleId="WW8Num33z2">
    <w:name w:val="WW8Num33z2"/>
    <w:qFormat/>
    <w:rPr>
      <w:rFonts w:ascii="Wingdings" w:hAnsi="Wingdings" w:cs="Wingdings"/>
    </w:rPr>
  </w:style>
  <w:style w:type="character" w:styleId="WW8Num33z3">
    <w:name w:val="WW8Num33z3"/>
    <w:qFormat/>
    <w:rPr>
      <w:rFonts w:ascii="Symbol" w:hAnsi="Symbol" w:cs="Symbol"/>
    </w:rPr>
  </w:style>
  <w:style w:type="character" w:styleId="WW8Num34z0">
    <w:name w:val="WW8Num34z0"/>
    <w:qFormat/>
    <w:rPr>
      <w:rFonts w:ascii="Symbol" w:hAnsi="Symbol" w:cs="Symbol"/>
    </w:rPr>
  </w:style>
  <w:style w:type="character" w:styleId="WW8Num34z1">
    <w:name w:val="WW8Num34z1"/>
    <w:qFormat/>
    <w:rPr>
      <w:rFonts w:ascii="Courier New" w:hAnsi="Courier New" w:cs="Courier New"/>
    </w:rPr>
  </w:style>
  <w:style w:type="character" w:styleId="WW8Num34z2">
    <w:name w:val="WW8Num34z2"/>
    <w:qFormat/>
    <w:rPr>
      <w:rFonts w:ascii="Wingdings" w:hAnsi="Wingdings" w:cs="Wingdings"/>
    </w:rPr>
  </w:style>
  <w:style w:type="character" w:styleId="WW8Num35z0">
    <w:name w:val="WW8Num35z0"/>
    <w:qFormat/>
    <w:rPr/>
  </w:style>
  <w:style w:type="character" w:styleId="WW8Num37z0">
    <w:name w:val="WW8Num37z0"/>
    <w:qFormat/>
    <w:rPr>
      <w:rFonts w:ascii="Arial" w:hAnsi="Arial" w:eastAsia="Times New Roman" w:cs="Arial"/>
    </w:rPr>
  </w:style>
  <w:style w:type="character" w:styleId="WW8Num37z1">
    <w:name w:val="WW8Num37z1"/>
    <w:qFormat/>
    <w:rPr>
      <w:rFonts w:ascii="Courier New" w:hAnsi="Courier New" w:cs="Courier New"/>
    </w:rPr>
  </w:style>
  <w:style w:type="character" w:styleId="WW8Num37z2">
    <w:name w:val="WW8Num37z2"/>
    <w:qFormat/>
    <w:rPr>
      <w:rFonts w:ascii="Wingdings" w:hAnsi="Wingdings" w:cs="Wingdings"/>
    </w:rPr>
  </w:style>
  <w:style w:type="character" w:styleId="WW8Num37z3">
    <w:name w:val="WW8Num37z3"/>
    <w:qFormat/>
    <w:rPr>
      <w:rFonts w:ascii="Symbol" w:hAnsi="Symbol" w:cs="Symbol"/>
    </w:rPr>
  </w:style>
  <w:style w:type="character" w:styleId="WW8Num38z0">
    <w:name w:val="WW8Num38z0"/>
    <w:qFormat/>
    <w:rPr>
      <w:rFonts w:ascii="Times New Roman" w:hAnsi="Times New Roman" w:cs="Times New Roman"/>
    </w:rPr>
  </w:style>
  <w:style w:type="character" w:styleId="WW8Num39z0">
    <w:name w:val="WW8Num39z0"/>
    <w:qFormat/>
    <w:rPr>
      <w:rFonts w:ascii="Times New Roman" w:hAnsi="Times New Roman" w:eastAsia="Times New Roman" w:cs="Times New Roman"/>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39z3">
    <w:name w:val="WW8Num39z3"/>
    <w:qFormat/>
    <w:rPr>
      <w:rFonts w:ascii="Symbol" w:hAnsi="Symbol" w:cs="Symbol"/>
    </w:rPr>
  </w:style>
  <w:style w:type="character" w:styleId="WW8Num41z0">
    <w:name w:val="WW8Num41z0"/>
    <w:qFormat/>
    <w:rPr/>
  </w:style>
  <w:style w:type="character" w:styleId="WW8Num42z0">
    <w:name w:val="WW8Num42z0"/>
    <w:qFormat/>
    <w:rPr/>
  </w:style>
  <w:style w:type="character" w:styleId="WW8Num44z0">
    <w:name w:val="WW8Num44z0"/>
    <w:qFormat/>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CommentSubjectChar">
    <w:name w:val="Comment Subject Char"/>
    <w:qFormat/>
    <w:rPr>
      <w:b/>
      <w:bCs/>
      <w:lang w:val="en-GB"/>
    </w:rPr>
  </w:style>
  <w:style w:type="character" w:styleId="InternetLink">
    <w:name w:val="Hyperlink"/>
    <w:rPr>
      <w:color w:val="0563C1"/>
      <w:u w:val="single"/>
    </w:rPr>
  </w:style>
  <w:style w:type="character" w:styleId="EXChar">
    <w:name w:val="EX Char"/>
    <w:qFormat/>
    <w:rPr/>
  </w:style>
  <w:style w:type="character" w:styleId="B1Char">
    <w:name w:val="B1 Char"/>
    <w:qFormat/>
    <w:rPr/>
  </w:style>
  <w:style w:type="character" w:styleId="TFChar">
    <w:name w:val="TF Char"/>
    <w:qFormat/>
    <w:rPr>
      <w:rFonts w:ascii="Arial" w:hAnsi="Arial" w:cs="Arial"/>
      <w:b/>
    </w:rPr>
  </w:style>
  <w:style w:type="character" w:styleId="THChar">
    <w:name w:val="TH Char"/>
    <w:qFormat/>
    <w:rPr>
      <w:rFonts w:ascii="Arial" w:hAnsi="Arial" w:cs="Arial"/>
      <w:b/>
    </w:rPr>
  </w:style>
  <w:style w:type="character" w:styleId="BalloonTextChar">
    <w:name w:val="Balloon Text Char"/>
    <w:qFormat/>
    <w:rPr>
      <w:rFonts w:ascii="Segoe UI" w:hAnsi="Segoe UI" w:cs="Segoe UI"/>
      <w:sz w:val="18"/>
      <w:szCs w:val="18"/>
      <w:lang w:val="en-GB"/>
    </w:rPr>
  </w:style>
  <w:style w:type="character" w:styleId="NOChar">
    <w:name w:val="NO Char"/>
    <w:qFormat/>
    <w:rPr/>
  </w:style>
  <w:style w:type="character" w:styleId="TALCar">
    <w:name w:val="TAL Car"/>
    <w:qFormat/>
    <w:rPr>
      <w:rFonts w:ascii="Arial" w:hAnsi="Arial" w:cs="Arial"/>
      <w:sz w:val="18"/>
    </w:rPr>
  </w:style>
  <w:style w:type="character" w:styleId="TAHCar">
    <w:name w:val="TAH Car"/>
    <w:qFormat/>
    <w:rPr>
      <w:rFonts w:ascii="Arial" w:hAnsi="Arial" w:cs="Arial"/>
      <w:b/>
      <w:sz w:val="18"/>
    </w:rPr>
  </w:style>
  <w:style w:type="character" w:styleId="CommentReference">
    <w:name w:val="Comment Reference"/>
    <w:qFormat/>
    <w:rPr>
      <w:sz w:val="16"/>
    </w:rPr>
  </w:style>
  <w:style w:type="character" w:styleId="CommentTextChar">
    <w:name w:val="Comment Text Char"/>
    <w:qFormat/>
    <w:rPr>
      <w:lang w:val="en-GB"/>
    </w:rPr>
  </w:style>
  <w:style w:type="character" w:styleId="B1Car">
    <w:name w:val="B1+ Car"/>
    <w:qFormat/>
    <w:rPr/>
  </w:style>
  <w:style w:type="character" w:styleId="Heading9Char">
    <w:name w:val="Heading 9 Char"/>
    <w:qFormat/>
    <w:rPr>
      <w:rFonts w:ascii="Arial" w:hAnsi="Arial" w:cs="Arial"/>
      <w:sz w:val="36"/>
    </w:rPr>
  </w:style>
  <w:style w:type="character" w:styleId="FootnoteCharacters">
    <w:name w:val="Footnote Characters"/>
    <w:qFormat/>
    <w:rPr>
      <w:b/>
      <w:sz w:val="16"/>
      <w:vertAlign w:val="superscript"/>
    </w:rPr>
  </w:style>
  <w:style w:type="character" w:styleId="FootnoteTextChar">
    <w:name w:val="Footnote Text Char"/>
    <w:qFormat/>
    <w:rPr>
      <w:sz w:val="16"/>
    </w:rPr>
  </w:style>
  <w:style w:type="character" w:styleId="UnresolvedMention">
    <w:name w:val="Unresolved Mention"/>
    <w:qFormat/>
    <w:rPr>
      <w:color w:val="605E5C"/>
      <w:shd w:fill="E1DFDD" w:val="clear"/>
    </w:rPr>
  </w:style>
  <w:style w:type="character" w:styleId="VisitedInternetLink">
    <w:name w:val="FollowedHyperlink"/>
    <w:rPr>
      <w:color w:val="800080"/>
      <w:u w:val="single"/>
    </w:rPr>
  </w:style>
  <w:style w:type="character" w:styleId="DocumentMapChar">
    <w:name w:val="Document Map Char"/>
    <w:qFormat/>
    <w:rPr>
      <w:rFonts w:ascii="Tahoma" w:hAnsi="Tahoma" w:cs="Tahoma"/>
      <w:shd w:fill="000080" w:val="clear"/>
    </w:rPr>
  </w:style>
  <w:style w:type="character" w:styleId="B1Zchn">
    <w:name w:val="B1 Zchn"/>
    <w:qFormat/>
    <w:rPr/>
  </w:style>
  <w:style w:type="character" w:styleId="Heading3Char">
    <w:name w:val="Heading 3 Char"/>
    <w:qFormat/>
    <w:rPr>
      <w:rFonts w:ascii="Arial" w:hAnsi="Arial" w:cs="Arial"/>
      <w:sz w:val="28"/>
    </w:rPr>
  </w:style>
  <w:style w:type="character" w:styleId="Heading4Char">
    <w:name w:val="Heading 4 Char"/>
    <w:qFormat/>
    <w:rPr>
      <w:rFonts w:ascii="Arial" w:hAnsi="Arial" w:cs="Arial"/>
      <w:sz w:val="24"/>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Normal"/>
    <w:pPr>
      <w:ind w:left="568" w:hanging="284"/>
    </w:pPr>
    <w:rPr/>
  </w:style>
  <w:style w:type="paragraph" w:styleId="Caption">
    <w:name w:val="Caption"/>
    <w:basedOn w:val="Normal"/>
    <w:next w:val="Normal"/>
    <w:qFormat/>
    <w:pPr>
      <w:widowControl w:val="false"/>
      <w:spacing w:lineRule="atLeast" w:line="240" w:before="0" w:after="120"/>
      <w:jc w:val="both"/>
    </w:pPr>
    <w:rPr>
      <w:rFonts w:ascii="Arial" w:hAnsi="Arial" w:cs="Arial"/>
      <w:b/>
      <w:bCs/>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Lines/>
      <w:widowControl w:val="false"/>
      <w:tabs>
        <w:tab w:val="clear" w:pos="284"/>
        <w:tab w:val="right" w:pos="9639" w:leader="dot"/>
      </w:tabs>
      <w:overflowPunct w:val="false"/>
      <w:autoSpaceDE w:val="false"/>
      <w:bidi w:val="0"/>
      <w:spacing w:before="120" w:after="0"/>
      <w:ind w:left="567" w:right="425" w:hanging="567"/>
      <w:textAlignment w:val="baseline"/>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overflowPunct w:val="false"/>
      <w:autoSpaceDE w:val="false"/>
      <w:bidi w:val="0"/>
      <w:textAlignment w:val="baseline"/>
    </w:pPr>
    <w:rPr>
      <w:rFonts w:ascii="Arial" w:hAnsi="Arial" w:eastAsia="Times New Roman" w:cs="Arial"/>
      <w:b/>
      <w:color w:val="auto"/>
      <w:sz w:val="18"/>
      <w:szCs w:val="20"/>
      <w:lang w:val="en-GB" w:eastAsia="en-US" w:bidi="ar-SA"/>
    </w:rPr>
  </w:style>
  <w:style w:type="paragraph" w:styleId="ZD">
    <w:name w:val="ZD"/>
    <w:qFormat/>
    <w:pPr>
      <w:widowControl w:val="false"/>
      <w:overflowPunct w:val="false"/>
      <w:autoSpaceDE w:val="false"/>
      <w:bidi w:val="0"/>
      <w:textAlignment w:val="baseline"/>
    </w:pPr>
    <w:rPr>
      <w:rFonts w:ascii="Arial" w:hAnsi="Arial" w:eastAsia="Times New Roman" w:cs="Arial"/>
      <w:color w:val="auto"/>
      <w:sz w:val="32"/>
      <w:szCs w:val="20"/>
      <w:lang w:val="en-GB" w:eastAsia="en-US" w:bidi="ar-SA"/>
    </w:rPr>
  </w:style>
  <w:style w:type="paragraph" w:styleId="Contents2">
    <w:name w:val="TOC 2"/>
    <w:basedOn w:val="Contents1"/>
    <w:pPr>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Footer">
    <w:name w:val="Footer"/>
    <w:basedOn w:val="Header"/>
    <w:pPr>
      <w:jc w:val="center"/>
    </w:pPr>
    <w:rPr>
      <w:i/>
    </w:rPr>
  </w:style>
  <w:style w:type="paragraph" w:styleId="TT">
    <w:name w:val="TT"/>
    <w:basedOn w:val="Heading1"/>
    <w:next w:val="Normal"/>
    <w:qFormat/>
    <w:pPr>
      <w:numPr>
        <w:ilvl w:val="0"/>
        <w:numId w:val="0"/>
      </w:numPr>
      <w:ind w:left="1134" w:hanging="1134"/>
      <w:outlineLvl w:val="9"/>
    </w:pPr>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overflowPunct w:val="false"/>
      <w:autoSpaceDE w:val="false"/>
      <w:bidi w:val="0"/>
      <w:textAlignment w:val="baseline"/>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overflowPunct w:val="false"/>
      <w:autoSpaceDE w:val="false"/>
      <w:bidi w:val="0"/>
      <w:spacing w:lineRule="exact" w:line="180"/>
      <w:textAlignment w:val="baseline"/>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overflowPunct w:val="false"/>
      <w:autoSpaceDE w:val="false"/>
      <w:bidi w:val="0"/>
      <w:jc w:val="right"/>
      <w:textAlignment w:val="baseline"/>
    </w:pPr>
    <w:rPr>
      <w:rFonts w:ascii="Arial" w:hAnsi="Arial" w:eastAsia="Times New Roman" w:cs="Arial"/>
      <w:color w:val="auto"/>
      <w:sz w:val="40"/>
      <w:szCs w:val="20"/>
      <w:lang w:val="en-GB" w:eastAsia="en-US" w:bidi="ar-SA"/>
    </w:rPr>
  </w:style>
  <w:style w:type="paragraph" w:styleId="ZB">
    <w:name w:val="ZB"/>
    <w:qFormat/>
    <w:pPr>
      <w:widowControl w:val="false"/>
      <w:overflowPunct w:val="false"/>
      <w:autoSpaceDE w:val="false"/>
      <w:bidi w:val="0"/>
      <w:ind w:right="28" w:hanging="0"/>
      <w:jc w:val="right"/>
      <w:textAlignment w:val="baseline"/>
    </w:pPr>
    <w:rPr>
      <w:rFonts w:ascii="Arial" w:hAnsi="Arial" w:eastAsia="Times New Roman" w:cs="Arial"/>
      <w:i/>
      <w:color w:val="auto"/>
      <w:sz w:val="20"/>
      <w:szCs w:val="20"/>
      <w:lang w:val="en-GB" w:eastAsia="en-US" w:bidi="ar-SA"/>
    </w:rPr>
  </w:style>
  <w:style w:type="paragraph" w:styleId="ZT">
    <w:name w:val="ZT"/>
    <w:qFormat/>
    <w:pPr>
      <w:widowControl w:val="false"/>
      <w:overflowPunct w:val="false"/>
      <w:autoSpaceDE w:val="false"/>
      <w:bidi w:val="0"/>
      <w:spacing w:lineRule="atLeast" w:line="240"/>
      <w:jc w:val="right"/>
      <w:textAlignment w:val="baseline"/>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overflowPunct w:val="false"/>
      <w:autoSpaceDE w:val="false"/>
      <w:bidi w:val="0"/>
      <w:textAlignment w:val="baseline"/>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overflowPunct w:val="false"/>
      <w:autoSpaceDE w:val="false"/>
      <w:bidi w:val="0"/>
      <w:jc w:val="right"/>
      <w:textAlignment w:val="baseline"/>
    </w:pPr>
    <w:rPr>
      <w:rFonts w:ascii="Arial" w:hAnsi="Arial" w:eastAsia="Times New Roman" w:cs="Arial"/>
      <w:color w:val="auto"/>
      <w:sz w:val="20"/>
      <w:szCs w:val="20"/>
      <w:lang w:val="en-GB" w:eastAsia="en-US" w:bidi="ar-SA"/>
    </w:rPr>
  </w:style>
  <w:style w:type="paragraph" w:styleId="List2">
    <w:name w:val="List Bullet 3"/>
    <w:basedOn w:val="List"/>
    <w:pPr>
      <w:ind w:left="851" w:hanging="284"/>
    </w:pPr>
    <w:rPr/>
  </w:style>
  <w:style w:type="paragraph" w:styleId="B2">
    <w:name w:val="B2"/>
    <w:basedOn w:val="List2"/>
    <w:qFormat/>
    <w:pPr/>
    <w:rPr/>
  </w:style>
  <w:style w:type="paragraph" w:styleId="List3">
    <w:name w:val="List Bullet 4"/>
    <w:basedOn w:val="List2"/>
    <w:pPr>
      <w:ind w:left="1135" w:hanging="284"/>
    </w:pPr>
    <w:rPr/>
  </w:style>
  <w:style w:type="paragraph" w:styleId="B3">
    <w:name w:val="B3"/>
    <w:basedOn w:val="List3"/>
    <w:qFormat/>
    <w:pPr/>
    <w:rPr/>
  </w:style>
  <w:style w:type="paragraph" w:styleId="List4">
    <w:name w:val="List Bullet 5"/>
    <w:basedOn w:val="List3"/>
    <w:pPr>
      <w:ind w:left="1418" w:hanging="284"/>
    </w:pPr>
    <w:rPr/>
  </w:style>
  <w:style w:type="paragraph" w:styleId="B4">
    <w:name w:val="B4"/>
    <w:basedOn w:val="List4"/>
    <w:qFormat/>
    <w:pPr/>
    <w:rPr/>
  </w:style>
  <w:style w:type="paragraph" w:styleId="List5">
    <w:name w:val="List Number"/>
    <w:basedOn w:val="List4"/>
    <w:pPr>
      <w:ind w:left="1702" w:hanging="284"/>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TOCHeading">
    <w:name w:val="TOC Heading"/>
    <w:basedOn w:val="Heading1"/>
    <w:next w:val="Normal"/>
    <w:qFormat/>
    <w:pPr>
      <w:numPr>
        <w:ilvl w:val="0"/>
        <w:numId w:val="0"/>
      </w:numPr>
      <w:pBdr>
        <w:top w:val="nil"/>
      </w:pBdr>
      <w:spacing w:lineRule="auto" w:line="256" w:before="240" w:after="0"/>
      <w:ind w:left="0" w:hanging="0"/>
      <w:outlineLvl w:val="9"/>
    </w:pPr>
    <w:rPr>
      <w:rFonts w:ascii="Calibri Light" w:hAnsi="Calibri Light" w:eastAsia="Times New Roman" w:cs="Times New Roman"/>
      <w:color w:val="2E74B5"/>
      <w:sz w:val="32"/>
      <w:szCs w:val="32"/>
      <w:lang w:val="en-US"/>
    </w:rPr>
  </w:style>
  <w:style w:type="paragraph" w:styleId="BalloonText">
    <w:name w:val="Balloon Text"/>
    <w:basedOn w:val="Normal"/>
    <w:qFormat/>
    <w:pPr>
      <w:spacing w:before="0" w:after="0"/>
    </w:pPr>
    <w:rPr>
      <w:rFonts w:ascii="Segoe UI" w:hAnsi="Segoe UI" w:cs="Segoe UI"/>
      <w:sz w:val="18"/>
      <w:szCs w:val="18"/>
    </w:rPr>
  </w:style>
  <w:style w:type="paragraph" w:styleId="AsciiDiagram">
    <w:name w:val="AsciiDiagram"/>
    <w:basedOn w:val="Normal"/>
    <w:qFormat/>
    <w:pPr>
      <w:keepLines/>
      <w:spacing w:before="160" w:after="160"/>
    </w:pPr>
    <w:rPr>
      <w:rFonts w:ascii="Courier New" w:hAnsi="Courier New" w:cs="Courier New"/>
    </w:rPr>
  </w:style>
  <w:style w:type="paragraph" w:styleId="ListParagraph">
    <w:name w:val="List Paragraph"/>
    <w:basedOn w:val="Normal"/>
    <w:qFormat/>
    <w:pPr>
      <w:spacing w:before="120" w:after="0"/>
      <w:ind w:left="720" w:hanging="0"/>
      <w:contextualSpacing/>
    </w:pPr>
    <w:rPr>
      <w:rFonts w:eastAsia="SimSun;宋体"/>
      <w:sz w:val="24"/>
      <w:szCs w:val="24"/>
      <w:lang w:eastAsia="ja-JP"/>
    </w:rPr>
  </w:style>
  <w:style w:type="paragraph" w:styleId="B11">
    <w:name w:val="B1+"/>
    <w:basedOn w:val="B1"/>
    <w:qFormat/>
    <w:pPr>
      <w:tabs>
        <w:tab w:val="clear" w:pos="284"/>
        <w:tab w:val="left" w:pos="737" w:leader="none"/>
      </w:tabs>
      <w:ind w:left="737" w:hanging="453"/>
    </w:pPr>
    <w:rPr/>
  </w:style>
  <w:style w:type="paragraph" w:styleId="Footnote">
    <w:name w:val="Footnote Text"/>
    <w:basedOn w:val="Normal"/>
    <w:pPr>
      <w:keepLines/>
      <w:ind w:left="454" w:hanging="454"/>
    </w:pPr>
    <w:rPr>
      <w:sz w:val="16"/>
    </w:rPr>
  </w:style>
  <w:style w:type="paragraph" w:styleId="Index1">
    <w:name w:val="Index 1"/>
    <w:basedOn w:val="Normal"/>
    <w:pPr>
      <w:keepLines/>
    </w:pPr>
    <w:rPr/>
  </w:style>
  <w:style w:type="paragraph" w:styleId="Index2">
    <w:name w:val="Index 2"/>
    <w:basedOn w:val="Index1"/>
    <w:pPr>
      <w:ind w:left="284" w:hanging="0"/>
    </w:pPr>
    <w:rPr/>
  </w:style>
  <w:style w:type="paragraph" w:styleId="ListBullet">
    <w:name w:val="List Bullet"/>
    <w:basedOn w:val="List"/>
    <w:qFormat/>
    <w:pPr>
      <w:numPr>
        <w:ilvl w:val="0"/>
        <w:numId w:val="2"/>
      </w:numPr>
    </w:pPr>
    <w:rPr/>
  </w:style>
  <w:style w:type="paragraph" w:styleId="ListBullet2">
    <w:name w:val="List Bullet 2"/>
    <w:basedOn w:val="ListBullet"/>
    <w:qFormat/>
    <w:pPr>
      <w:numPr>
        <w:ilvl w:val="0"/>
        <w:numId w:val="3"/>
      </w:numPr>
      <w:ind w:left="851" w:hanging="284"/>
    </w:pPr>
    <w:rPr/>
  </w:style>
  <w:style w:type="paragraph" w:styleId="ListBullet3">
    <w:name w:val="List Bullet 3"/>
    <w:basedOn w:val="ListBullet2"/>
    <w:qFormat/>
    <w:pPr>
      <w:ind w:left="1135"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ListNumber">
    <w:name w:val="List Number"/>
    <w:basedOn w:val="List"/>
    <w:qFormat/>
    <w:pPr>
      <w:numPr>
        <w:ilvl w:val="0"/>
        <w:numId w:val="4"/>
      </w:numPr>
    </w:pPr>
    <w:rPr/>
  </w:style>
  <w:style w:type="paragraph" w:styleId="ListNumber2">
    <w:name w:val="List Number 2"/>
    <w:basedOn w:val="ListNumber"/>
    <w:qFormat/>
    <w:pPr>
      <w:numPr>
        <w:ilvl w:val="0"/>
        <w:numId w:val="5"/>
      </w:numPr>
      <w:ind w:left="851" w:hanging="284"/>
    </w:pPr>
    <w:rPr/>
  </w:style>
  <w:style w:type="paragraph" w:styleId="FL">
    <w:name w:val="FL"/>
    <w:basedOn w:val="Normal"/>
    <w:qFormat/>
    <w:pPr>
      <w:keepNext w:val="true"/>
      <w:keepLines/>
      <w:spacing w:before="60" w:after="180"/>
      <w:jc w:val="center"/>
    </w:pPr>
    <w:rPr>
      <w:rFonts w:ascii="Arial" w:hAnsi="Arial" w:cs="Arial"/>
      <w:b/>
    </w:rPr>
  </w:style>
  <w:style w:type="paragraph" w:styleId="Revision">
    <w:name w:val="Revision"/>
    <w:qFormat/>
    <w:pPr>
      <w:widowControl/>
      <w:bidi w:val="0"/>
    </w:pPr>
    <w:rPr>
      <w:rFonts w:ascii="Times New Roman" w:hAnsi="Times New Roman" w:eastAsia="Times New Roman" w:cs="Times New Roman"/>
      <w:color w:val="auto"/>
      <w:sz w:val="20"/>
      <w:szCs w:val="20"/>
      <w:lang w:val="en-GB" w:bidi="ar-SA" w:eastAsia="zh-CN"/>
    </w:rPr>
  </w:style>
  <w:style w:type="paragraph" w:styleId="NormalWeb">
    <w:name w:val="Normal (Web)"/>
    <w:basedOn w:val="Normal"/>
    <w:qFormat/>
    <w:pPr>
      <w:overflowPunct w:val="true"/>
      <w:autoSpaceDE w:val="true"/>
      <w:spacing w:before="100" w:after="100"/>
      <w:textAlignment w:val="auto"/>
    </w:pPr>
    <w:rPr>
      <w:rFonts w:eastAsia="SimSun;宋体"/>
      <w:sz w:val="24"/>
      <w:szCs w:val="24"/>
      <w:lang w:val="en-US"/>
    </w:rPr>
  </w:style>
  <w:style w:type="paragraph" w:styleId="DocumentMap">
    <w:name w:val="Document Map"/>
    <w:basedOn w:val="Normal"/>
    <w:qFormat/>
    <w:pPr>
      <w:shd w:fill="000080" w:val="clear"/>
    </w:pPr>
    <w:rPr>
      <w:rFonts w:ascii="Tahoma" w:hAnsi="Tahoma" w:cs="Tahoma"/>
    </w:rPr>
  </w:style>
  <w:style w:type="paragraph" w:styleId="Guidance">
    <w:name w:val="Guidance"/>
    <w:basedOn w:val="Normal"/>
    <w:qFormat/>
    <w:pPr>
      <w:overflowPunct w:val="true"/>
      <w:autoSpaceDE w:val="true"/>
      <w:textAlignment w:val="auto"/>
    </w:pPr>
    <w:rPr>
      <w:i/>
      <w:color w:val="0000FF"/>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Num44">
    <w:name w:val="WW8Num44"/>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image" Target="media/image5.jpe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jpe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jpe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jpe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header" Target="header1.xml"/><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116</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2019-09-04T07:08:00Z</dcterms:created>
  <dc:creator>TSG SA WG4 Codec</dc:creator>
  <dc:description/>
  <cp:keywords>UE non-traditional earpiece</cp:keywords>
  <dc:language>en-US</dc:language>
  <cp:lastModifiedBy>USAI</cp:lastModifiedBy>
  <dcterms:modified xsi:type="dcterms:W3CDTF">2019-09-13T09:35:00Z</dcterms:modified>
  <cp:revision>20</cp:revision>
  <dc:subject>3GPP TS 26801 User Equipment (UE) supporting handset mode with non-traditional earpieces (Release 16)</dc:subject>
  <dc:title>3GPP TS 26.801 v. 16.0.0</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TPClassification">
    <vt:lpwstr>CTP_IC</vt:lpwstr>
  </property>
  <property fmtid="{D5CDD505-2E9C-101B-9397-08002B2CF9AE}" pid="3" name="CTP_BU">
    <vt:lpwstr>NEXT GEN AND STANDARDS GROUP</vt:lpwstr>
  </property>
  <property fmtid="{D5CDD505-2E9C-101B-9397-08002B2CF9AE}" pid="4" name="CTP_TimeStamp">
    <vt:lpwstr>2018-04-11 08:17:29Z</vt:lpwstr>
  </property>
  <property fmtid="{D5CDD505-2E9C-101B-9397-08002B2CF9AE}" pid="5" name="TitusGUID">
    <vt:lpwstr>b69f9934-85af-4b9f-8145-2e0247c548ce</vt:lpwstr>
  </property>
</Properties>
</file>