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0.png" ContentType="image/png"/>
  <Override PartName="/word/media/image51.png" ContentType="image/png"/>
  <Override PartName="/word/media/image49.wmf" ContentType="image/x-wmf"/>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39.wmf" ContentType="image/x-wmf"/>
  <Override PartName="/word/media/image38.wmf" ContentType="image/x-wmf"/>
  <Override PartName="/word/media/image37.wmf" ContentType="image/x-wmf"/>
  <Override PartName="/word/media/image36.wmf" ContentType="image/x-wmf"/>
  <Override PartName="/word/media/image15.png" ContentType="image/png"/>
  <Override PartName="/word/media/image23.png" ContentType="image/png"/>
  <Override PartName="/word/media/image60.png" ContentType="image/png"/>
  <Override PartName="/word/media/image59.png" ContentType="image/png"/>
  <Override PartName="/word/media/image22.png" ContentType="image/png"/>
  <Override PartName="/word/media/image24.png" ContentType="image/png"/>
  <Override PartName="/word/media/image61.png" ContentType="image/png"/>
  <Override PartName="/word/media/image62.png" ContentType="image/png"/>
  <Override PartName="/word/media/image26.png" ContentType="image/png"/>
  <Override PartName="/word/media/image63.png" ContentType="image/png"/>
  <Override PartName="/word/media/image64.png" ContentType="image/png"/>
  <Override PartName="/word/media/image57.png" ContentType="image/png"/>
  <Override PartName="/word/media/image20.png" ContentType="image/png"/>
  <Override PartName="/word/media/image77.wmf" ContentType="image/x-wmf"/>
  <Override PartName="/word/media/image19.png" ContentType="image/png"/>
  <Override PartName="/word/media/image7.png" ContentType="image/png"/>
  <Override PartName="/word/media/image66.png" ContentType="image/png"/>
  <Override PartName="/word/media/image76.wmf" ContentType="image/x-wmf"/>
  <Override PartName="/word/media/image18.png" ContentType="image/png"/>
  <Override PartName="/word/media/image40.wmf" ContentType="image/x-wmf"/>
  <Override PartName="/word/media/image6.png" ContentType="image/png"/>
  <Override PartName="/word/media/image75.wmf" ContentType="image/x-wmf"/>
  <Override PartName="/word/media/image35.png" ContentType="image/png"/>
  <Override PartName="/word/media/image28.png" ContentType="image/png"/>
  <Override PartName="/word/media/image70.png" ContentType="image/png"/>
  <Override PartName="/word/media/image65.png" ContentType="image/png"/>
  <Override PartName="/word/media/image5.png" ContentType="image/png"/>
  <Override PartName="/word/media/image17.png" ContentType="image/png"/>
  <Override PartName="/word/media/image74.wmf" ContentType="image/x-wmf"/>
  <Override PartName="/word/media/image3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10.png" ContentType="image/png"/>
  <Override PartName="/word/media/image47.png" ContentType="image/png"/>
  <Override PartName="/word/media/image1.jpeg" ContentType="image/jpeg"/>
  <Override PartName="/word/media/image21.png" ContentType="image/png"/>
  <Override PartName="/word/media/image3.wmf" ContentType="image/x-wmf"/>
  <Override PartName="/word/media/image58.png" ContentType="image/png"/>
  <Override PartName="/word/media/image25.png" ContentType="image/png"/>
  <Override PartName="/word/media/image2.png" ContentType="image/png"/>
  <Override PartName="/word/media/image14.png" ContentType="image/png"/>
  <Override PartName="/word/media/image27.png" ContentType="image/png"/>
  <Override PartName="/word/media/image4.png" ContentType="image/png"/>
  <Override PartName="/word/media/image16.png" ContentType="image/png"/>
  <Override PartName="/word/media/image11.png" ContentType="image/png"/>
  <Override PartName="/word/media/image48.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26.843 </w:t>
                            </w:r>
                            <w:r>
                              <w:rPr>
                                <w:lang w:val="en-GB" w:eastAsia="en-US"/>
                              </w:rPr>
                              <w:t xml:space="preserve">V16.0.0 </w:t>
                            </w:r>
                            <w:r>
                              <w:rPr>
                                <w:sz w:val="32"/>
                                <w:lang w:val="en-GB" w:eastAsia="en-US"/>
                              </w:rPr>
                              <w:t>(2018-09)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26.843 </w:t>
                      </w:r>
                      <w:r>
                        <w:rPr>
                          <w:lang w:val="en-GB" w:eastAsia="en-US"/>
                        </w:rPr>
                        <w:t xml:space="preserve">V16.0.0 </w:t>
                      </w:r>
                      <w:r>
                        <w:rPr>
                          <w:sz w:val="32"/>
                          <w:lang w:val="en-GB" w:eastAsia="en-US"/>
                        </w:rPr>
                        <w:t>(2018-09)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Codec for Enhanced Voice Services (EVS);</w:t>
                            </w:r>
                          </w:p>
                          <w:p>
                            <w:pPr>
                              <w:pStyle w:val="ZT"/>
                              <w:rPr/>
                            </w:pPr>
                            <w:r>
                              <w:rPr/>
                              <w:t>Study on non-bit-exact conformance criteria and tools for floating-point EVS codec</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Codec for Enhanced Voice Services (EVS);</w:t>
                      </w:r>
                    </w:p>
                    <w:p>
                      <w:pPr>
                        <w:pStyle w:val="ZT"/>
                        <w:rPr/>
                      </w:pPr>
                      <w:r>
                        <w:rPr/>
                        <w:t>Study on non-bit-exact conformance criteria and tools for floating-point EVS codec</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1844" w:hanging="0"/>
                              <w:jc w:val="center"/>
                              <w:rPr>
                                <w:rFonts w:ascii="Arial" w:hAnsi="Arial" w:cs="Arial"/>
                                <w:sz w:val="18"/>
                              </w:rPr>
                            </w:pPr>
                            <w:r>
                              <w:rPr>
                                <w:rFonts w:cs="Arial" w:ascii="Arial" w:hAnsi="Arial"/>
                                <w:sz w:val="18"/>
                              </w:rPr>
                              <w:t>Non Bit-Exact Conformance, Floating-Point EVS Codec</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1844" w:hanging="0"/>
                        <w:jc w:val="center"/>
                        <w:rPr>
                          <w:rFonts w:ascii="Arial" w:hAnsi="Arial" w:cs="Arial"/>
                          <w:sz w:val="18"/>
                        </w:rPr>
                      </w:pPr>
                      <w:r>
                        <w:rPr>
                          <w:rFonts w:cs="Arial" w:ascii="Arial" w:hAnsi="Arial"/>
                          <w:sz w:val="18"/>
                        </w:rPr>
                        <w:t>Non Bit-Exact Conformance, Floating-Point EVS Codec</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24274757">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524274758">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24274759">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24274760">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24274761">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24274762">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24274763">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w:t>
            <w:tab/>
          </w:r>
          <w:hyperlink w:anchor="__RefHeading___Toc524274764">
            <w:r>
              <w:rPr>
                <w:rStyle w:val="IndexLink"/>
              </w:rPr>
              <w:t>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524274765">
            <w:r>
              <w:rPr>
                <w:rStyle w:val="IndexLink"/>
              </w:rPr>
              <w:t>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Methods Description</w:t>
            <w:tab/>
          </w:r>
          <w:hyperlink w:anchor="__RefHeading___Toc524274766">
            <w:r>
              <w:rPr>
                <w:rStyle w:val="IndexLink"/>
              </w:rPr>
              <w:t>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Description</w:t>
            <w:tab/>
          </w:r>
          <w:hyperlink w:anchor="__RefHeading___Toc524274767">
            <w:r>
              <w:rPr>
                <w:rStyle w:val="IndexLink"/>
              </w:rPr>
              <w:t>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Signal Based Methods</w:t>
            <w:tab/>
          </w:r>
          <w:hyperlink w:anchor="__RefHeading___Toc524274768">
            <w:r>
              <w:rPr>
                <w:rStyle w:val="IndexLink"/>
              </w:rPr>
              <w:t>8</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General considerations</w:t>
            <w:tab/>
          </w:r>
          <w:hyperlink w:anchor="__RefHeading___Toc524274769">
            <w:r>
              <w:rPr>
                <w:rStyle w:val="IndexLink"/>
              </w:rPr>
              <w:t>8</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SNR</w:t>
            <w:tab/>
          </w:r>
          <w:hyperlink w:anchor="__RefHeading___Toc524274770">
            <w:r>
              <w:rPr>
                <w:rStyle w:val="IndexLink"/>
              </w:rPr>
              <w:t>9</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Methodology</w:t>
            <w:tab/>
          </w:r>
          <w:hyperlink w:anchor="__RefHeading___Toc524274771">
            <w:r>
              <w:rPr>
                <w:rStyle w:val="IndexLink"/>
              </w:rPr>
              <w:t>9</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Thresholds and Criteria</w:t>
            <w:tab/>
          </w:r>
          <w:hyperlink w:anchor="__RefHeading___Toc524274772">
            <w:r>
              <w:rPr>
                <w:rStyle w:val="IndexLink"/>
              </w:rPr>
              <w:t>9</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RMS error threshold</w:t>
            <w:tab/>
          </w:r>
          <w:hyperlink w:anchor="__RefHeading___Toc524274773">
            <w:r>
              <w:rPr>
                <w:rStyle w:val="IndexLink"/>
              </w:rPr>
              <w:t>10</w:t>
            </w:r>
          </w:hyperlink>
        </w:p>
        <w:p>
          <w:pPr>
            <w:pStyle w:val="Contents4"/>
            <w:rPr>
              <w:rFonts w:ascii="Calibri" w:hAnsi="Calibri" w:cs="Calibri"/>
              <w:sz w:val="22"/>
              <w:szCs w:val="22"/>
              <w:lang w:val="en-US" w:eastAsia="en-US"/>
            </w:rPr>
          </w:pPr>
          <w:r>
            <w:rPr/>
            <w:t>5.2.3.1</w:t>
          </w:r>
          <w:r>
            <w:rPr>
              <w:rFonts w:cs="Calibri" w:ascii="Calibri" w:hAnsi="Calibri"/>
              <w:sz w:val="22"/>
              <w:szCs w:val="22"/>
              <w:lang w:val="en-US" w:eastAsia="en-US"/>
            </w:rPr>
            <w:tab/>
          </w:r>
          <w:r>
            <w:rPr/>
            <w:t>Methodology</w:t>
            <w:tab/>
          </w:r>
          <w:hyperlink w:anchor="__RefHeading___Toc524274774">
            <w:r>
              <w:rPr>
                <w:rStyle w:val="IndexLink"/>
              </w:rPr>
              <w:t>10</w:t>
            </w:r>
          </w:hyperlink>
        </w:p>
        <w:p>
          <w:pPr>
            <w:pStyle w:val="Contents4"/>
            <w:rPr>
              <w:rFonts w:ascii="Calibri" w:hAnsi="Calibri" w:cs="Calibri"/>
              <w:sz w:val="22"/>
              <w:szCs w:val="22"/>
              <w:lang w:val="en-US" w:eastAsia="en-US"/>
            </w:rPr>
          </w:pPr>
          <w:r>
            <w:rPr/>
            <w:t>5.2.3.2</w:t>
          </w:r>
          <w:r>
            <w:rPr>
              <w:rFonts w:cs="Calibri" w:ascii="Calibri" w:hAnsi="Calibri"/>
              <w:sz w:val="22"/>
              <w:szCs w:val="22"/>
              <w:lang w:val="en-US" w:eastAsia="en-US"/>
            </w:rPr>
            <w:tab/>
          </w:r>
          <w:r>
            <w:rPr/>
            <w:t>Thresholds and Criteria</w:t>
            <w:tab/>
          </w:r>
          <w:hyperlink w:anchor="__RefHeading___Toc524274775">
            <w:r>
              <w:rPr>
                <w:rStyle w:val="IndexLink"/>
              </w:rPr>
              <w:t>10</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Spectral Distortion</w:t>
            <w:tab/>
          </w:r>
          <w:hyperlink w:anchor="__RefHeading___Toc524274776">
            <w:r>
              <w:rPr>
                <w:rStyle w:val="IndexLink"/>
              </w:rPr>
              <w:t>10</w:t>
            </w:r>
          </w:hyperlink>
        </w:p>
        <w:p>
          <w:pPr>
            <w:pStyle w:val="Contents4"/>
            <w:rPr>
              <w:rFonts w:ascii="Calibri" w:hAnsi="Calibri" w:cs="Calibri"/>
              <w:sz w:val="22"/>
              <w:szCs w:val="22"/>
              <w:lang w:val="en-US" w:eastAsia="en-US"/>
            </w:rPr>
          </w:pPr>
          <w:r>
            <w:rPr/>
            <w:t>5.2.4.1</w:t>
          </w:r>
          <w:r>
            <w:rPr>
              <w:rFonts w:cs="Calibri" w:ascii="Calibri" w:hAnsi="Calibri"/>
              <w:sz w:val="22"/>
              <w:szCs w:val="22"/>
              <w:lang w:val="en-US" w:eastAsia="en-US"/>
            </w:rPr>
            <w:tab/>
          </w:r>
          <w:r>
            <w:rPr/>
            <w:t>Methodology</w:t>
            <w:tab/>
          </w:r>
          <w:hyperlink w:anchor="__RefHeading___Toc524274777">
            <w:r>
              <w:rPr>
                <w:rStyle w:val="IndexLink"/>
              </w:rPr>
              <w:t>10</w:t>
            </w:r>
          </w:hyperlink>
        </w:p>
        <w:p>
          <w:pPr>
            <w:pStyle w:val="Contents4"/>
            <w:rPr>
              <w:rFonts w:ascii="Calibri" w:hAnsi="Calibri" w:cs="Calibri"/>
              <w:sz w:val="22"/>
              <w:szCs w:val="22"/>
              <w:lang w:val="en-US" w:eastAsia="en-US"/>
            </w:rPr>
          </w:pPr>
          <w:r>
            <w:rPr/>
            <w:t>5.2.4.2</w:t>
          </w:r>
          <w:r>
            <w:rPr>
              <w:rFonts w:cs="Calibri" w:ascii="Calibri" w:hAnsi="Calibri"/>
              <w:sz w:val="22"/>
              <w:szCs w:val="22"/>
              <w:lang w:val="en-US" w:eastAsia="en-US"/>
            </w:rPr>
            <w:tab/>
          </w:r>
          <w:r>
            <w:rPr/>
            <w:t>Thresholds and Criteria</w:t>
            <w:tab/>
          </w:r>
          <w:hyperlink w:anchor="__RefHeading___Toc524274778">
            <w:r>
              <w:rPr>
                <w:rStyle w:val="IndexLink"/>
              </w:rPr>
              <w:t>11</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Analysis Flow and Reporting</w:t>
            <w:tab/>
          </w:r>
          <w:hyperlink w:anchor="__RefHeading___Toc524274779">
            <w:r>
              <w:rPr>
                <w:rStyle w:val="IndexLink"/>
              </w:rPr>
              <w:t>11</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List of Thresholds</w:t>
            <w:tab/>
          </w:r>
          <w:hyperlink w:anchor="__RefHeading___Toc524274780">
            <w:r>
              <w:rPr>
                <w:rStyle w:val="IndexLink"/>
              </w:rPr>
              <w:t>12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Perceptually Based methods</w:t>
            <w:tab/>
          </w:r>
          <w:hyperlink w:anchor="__RefHeading___Toc524274781">
            <w:r>
              <w:rPr>
                <w:rStyle w:val="IndexLink"/>
              </w:rPr>
              <w:t>13</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General Consideration</w:t>
            <w:tab/>
          </w:r>
          <w:hyperlink w:anchor="__RefHeading___Toc524274782">
            <w:r>
              <w:rPr>
                <w:rStyle w:val="IndexLink"/>
              </w:rPr>
              <w:t>13</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MOS-LQO Validation</w:t>
            <w:tab/>
          </w:r>
          <w:hyperlink w:anchor="__RefHeading___Toc524274783">
            <w:r>
              <w:rPr>
                <w:rStyle w:val="IndexLink"/>
              </w:rPr>
              <w:t>13</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General Methodology</w:t>
            <w:tab/>
          </w:r>
          <w:hyperlink w:anchor="__RefHeading___Toc524274784">
            <w:r>
              <w:rPr>
                <w:rStyle w:val="IndexLink"/>
              </w:rPr>
              <w:t>13</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Test Cases</w:t>
            <w:tab/>
          </w:r>
          <w:hyperlink w:anchor="__RefHeading___Toc524274785">
            <w:r>
              <w:rPr>
                <w:rStyle w:val="IndexLink"/>
              </w:rPr>
              <w:t>14</w:t>
            </w:r>
          </w:hyperlink>
        </w:p>
        <w:p>
          <w:pPr>
            <w:pStyle w:val="Contents4"/>
            <w:rPr>
              <w:rFonts w:ascii="Calibri" w:hAnsi="Calibri" w:cs="Calibri"/>
              <w:sz w:val="22"/>
              <w:szCs w:val="22"/>
              <w:lang w:val="en-US" w:eastAsia="en-US"/>
            </w:rPr>
          </w:pPr>
          <w:r>
            <w:rPr/>
            <w:t>5.3.2.3</w:t>
          </w:r>
          <w:r>
            <w:rPr>
              <w:rFonts w:cs="Calibri" w:ascii="Calibri" w:hAnsi="Calibri"/>
              <w:sz w:val="22"/>
              <w:szCs w:val="22"/>
              <w:lang w:val="en-US" w:eastAsia="en-US"/>
            </w:rPr>
            <w:tab/>
          </w:r>
          <w:r>
            <w:rPr/>
            <w:t>Scores Reporting and Analysis</w:t>
            <w:tab/>
          </w:r>
          <w:hyperlink w:anchor="__RefHeading___Toc524274786">
            <w:r>
              <w:rPr>
                <w:rStyle w:val="IndexLink"/>
              </w:rPr>
              <w:t>14</w:t>
            </w:r>
          </w:hyperlink>
        </w:p>
        <w:p>
          <w:pPr>
            <w:pStyle w:val="Contents4"/>
            <w:rPr>
              <w:rFonts w:ascii="Calibri" w:hAnsi="Calibri" w:cs="Calibri"/>
              <w:sz w:val="22"/>
              <w:szCs w:val="22"/>
              <w:lang w:val="en-US" w:eastAsia="en-US"/>
            </w:rPr>
          </w:pPr>
          <w:r>
            <w:rPr/>
            <w:t>5.3.2.4</w:t>
          </w:r>
          <w:r>
            <w:rPr>
              <w:rFonts w:cs="Calibri" w:ascii="Calibri" w:hAnsi="Calibri"/>
              <w:sz w:val="22"/>
              <w:szCs w:val="22"/>
              <w:lang w:val="en-US" w:eastAsia="en-US"/>
            </w:rPr>
            <w:tab/>
          </w:r>
          <w:r>
            <w:rPr/>
            <w:t>Thresholds and Criteria</w:t>
            <w:tab/>
          </w:r>
          <w:hyperlink w:anchor="__RefHeading___Toc524274787">
            <w:r>
              <w:rPr>
                <w:rStyle w:val="IndexLink"/>
              </w:rPr>
              <w:t>15</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Maximum Loudness Difference</w:t>
            <w:tab/>
          </w:r>
          <w:hyperlink w:anchor="__RefHeading___Toc524274788">
            <w:r>
              <w:rPr>
                <w:rStyle w:val="IndexLink"/>
              </w:rPr>
              <w:t>18</w:t>
            </w:r>
          </w:hyperlink>
        </w:p>
        <w:p>
          <w:pPr>
            <w:pStyle w:val="Contents4"/>
            <w:rPr>
              <w:rFonts w:ascii="Calibri" w:hAnsi="Calibri" w:cs="Calibri"/>
              <w:sz w:val="22"/>
              <w:szCs w:val="22"/>
              <w:lang w:val="en-US" w:eastAsia="en-US"/>
            </w:rPr>
          </w:pPr>
          <w:r>
            <w:rPr/>
            <w:t>5.3.3.1</w:t>
          </w:r>
          <w:r>
            <w:rPr>
              <w:rFonts w:cs="Calibri" w:ascii="Calibri" w:hAnsi="Calibri"/>
              <w:sz w:val="22"/>
              <w:szCs w:val="22"/>
              <w:lang w:val="en-US" w:eastAsia="en-US"/>
            </w:rPr>
            <w:tab/>
          </w:r>
          <w:r>
            <w:rPr/>
            <w:t>General Methodology</w:t>
            <w:tab/>
          </w:r>
          <w:hyperlink w:anchor="__RefHeading___Toc524274789">
            <w:r>
              <w:rPr>
                <w:rStyle w:val="IndexLink"/>
              </w:rPr>
              <w:t>18</w:t>
            </w:r>
          </w:hyperlink>
        </w:p>
        <w:p>
          <w:pPr>
            <w:pStyle w:val="Contents4"/>
            <w:rPr>
              <w:rFonts w:ascii="Calibri" w:hAnsi="Calibri" w:cs="Calibri"/>
              <w:sz w:val="22"/>
              <w:szCs w:val="22"/>
              <w:lang w:val="en-US" w:eastAsia="en-US"/>
            </w:rPr>
          </w:pPr>
          <w:r>
            <w:rPr/>
            <w:t>5.3.3.2</w:t>
          </w:r>
          <w:r>
            <w:rPr>
              <w:rFonts w:cs="Calibri" w:ascii="Calibri" w:hAnsi="Calibri"/>
              <w:sz w:val="22"/>
              <w:szCs w:val="22"/>
              <w:lang w:val="en-US" w:eastAsia="en-US"/>
            </w:rPr>
            <w:tab/>
          </w:r>
          <w:r>
            <w:rPr/>
            <w:t>Proposed Encoder Conformance Test</w:t>
            <w:tab/>
          </w:r>
          <w:hyperlink w:anchor="__RefHeading___Toc524274790">
            <w:r>
              <w:rPr>
                <w:rStyle w:val="IndexLink"/>
              </w:rPr>
              <w:t>18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Results</w:t>
            <w:tab/>
          </w:r>
          <w:hyperlink w:anchor="__RefHeading___Toc524274791">
            <w:r>
              <w:rPr>
                <w:rStyle w:val="IndexLink"/>
              </w:rPr>
              <w:t>19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Experiment A</w:t>
            <w:tab/>
          </w:r>
          <w:hyperlink w:anchor="__RefHeading___Toc524274792">
            <w:r>
              <w:rPr>
                <w:rStyle w:val="IndexLink"/>
              </w:rPr>
              <w:t>19</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Compiler Options</w:t>
            <w:tab/>
          </w:r>
          <w:hyperlink w:anchor="__RefHeading___Toc524274793">
            <w:r>
              <w:rPr>
                <w:rStyle w:val="IndexLink"/>
              </w:rPr>
              <w:t>19</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MOS-LQO Results</w:t>
            <w:tab/>
          </w:r>
          <w:hyperlink w:anchor="__RefHeading___Toc524274794">
            <w:r>
              <w:rPr>
                <w:rStyle w:val="IndexLink"/>
              </w:rPr>
              <w:t>19</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Experiment B</w:t>
            <w:tab/>
          </w:r>
          <w:hyperlink w:anchor="__RefHeading___Toc524274795">
            <w:r>
              <w:rPr>
                <w:rStyle w:val="IndexLink"/>
              </w:rPr>
              <w:t>23</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Compiler Options</w:t>
            <w:tab/>
          </w:r>
          <w:hyperlink w:anchor="__RefHeading___Toc524274796">
            <w:r>
              <w:rPr>
                <w:rStyle w:val="IndexLink"/>
              </w:rPr>
              <w:t>23</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lang w:val="en-US" w:eastAsia="en-US"/>
            </w:rPr>
            <w:t>Results</w:t>
          </w:r>
          <w:r>
            <w:rPr/>
            <w:tab/>
          </w:r>
          <w:hyperlink w:anchor="__RefHeading___Toc524274797">
            <w:r>
              <w:rPr>
                <w:rStyle w:val="IndexLink"/>
              </w:rPr>
              <w:t>23</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lang w:val="en-US" w:eastAsia="en-US"/>
            </w:rPr>
            <w:t>Restricted Results</w:t>
          </w:r>
          <w:r>
            <w:rPr/>
            <w:tab/>
          </w:r>
          <w:hyperlink w:anchor="__RefHeading___Toc524274798">
            <w:r>
              <w:rPr>
                <w:rStyle w:val="IndexLink"/>
              </w:rPr>
              <w:t>26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Experiment C</w:t>
            <w:tab/>
          </w:r>
          <w:hyperlink w:anchor="__RefHeading___Toc524274799">
            <w:r>
              <w:rPr>
                <w:rStyle w:val="IndexLink"/>
              </w:rPr>
              <w:t>27</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Compiler Options</w:t>
            <w:tab/>
          </w:r>
          <w:hyperlink w:anchor="__RefHeading___Toc524274800">
            <w:r>
              <w:rPr>
                <w:rStyle w:val="IndexLink"/>
              </w:rPr>
              <w:t>27</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Introduction</w:t>
            <w:tab/>
          </w:r>
          <w:hyperlink w:anchor="__RefHeading___Toc524274801">
            <w:r>
              <w:rPr>
                <w:rStyle w:val="IndexLink"/>
              </w:rPr>
              <w:t>27</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Icc Compiler on Atom Platform</w:t>
            <w:tab/>
          </w:r>
          <w:hyperlink w:anchor="__RefHeading___Toc524274802">
            <w:r>
              <w:rPr>
                <w:rStyle w:val="IndexLink"/>
              </w:rPr>
              <w:t>28</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lang w:val="en-US" w:eastAsia="en-US"/>
            </w:rPr>
            <w:t>Gcc compiler on Xeon platform</w:t>
          </w:r>
          <w:r>
            <w:rPr/>
            <w:tab/>
          </w:r>
          <w:hyperlink w:anchor="__RefHeading___Toc524274803">
            <w:r>
              <w:rPr>
                <w:rStyle w:val="IndexLink"/>
              </w:rPr>
              <w:t>28</w:t>
            </w:r>
          </w:hyperlink>
        </w:p>
        <w:p>
          <w:pPr>
            <w:pStyle w:val="Contents4"/>
            <w:rPr>
              <w:rFonts w:ascii="Calibri" w:hAnsi="Calibri" w:cs="Calibri"/>
              <w:sz w:val="22"/>
              <w:szCs w:val="22"/>
              <w:lang w:val="en-US" w:eastAsia="en-US"/>
            </w:rPr>
          </w:pPr>
          <w:r>
            <w:rPr/>
            <w:t>6.3.1.4</w:t>
          </w:r>
          <w:r>
            <w:rPr>
              <w:rFonts w:cs="Calibri" w:ascii="Calibri" w:hAnsi="Calibri"/>
              <w:sz w:val="22"/>
              <w:szCs w:val="22"/>
              <w:lang w:val="en-US" w:eastAsia="en-US"/>
            </w:rPr>
            <w:tab/>
          </w:r>
          <w:r>
            <w:rPr>
              <w:lang w:val="en-US" w:eastAsia="en-US"/>
            </w:rPr>
            <w:t>Gcc compiler on ARM platform</w:t>
          </w:r>
          <w:r>
            <w:rPr/>
            <w:tab/>
          </w:r>
          <w:hyperlink w:anchor="__RefHeading___Toc524274804">
            <w:r>
              <w:rPr>
                <w:rStyle w:val="IndexLink"/>
              </w:rPr>
              <w:t>28</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Decoder Test Results</w:t>
            <w:tab/>
          </w:r>
          <w:hyperlink w:anchor="__RefHeading___Toc524274805">
            <w:r>
              <w:rPr>
                <w:rStyle w:val="IndexLink"/>
              </w:rPr>
              <w:t>28</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Robustness Decoder Test Results</w:t>
            <w:tab/>
          </w:r>
          <w:hyperlink w:anchor="__RefHeading___Toc524274806">
            <w:r>
              <w:rPr>
                <w:rStyle w:val="IndexLink"/>
              </w:rPr>
              <w:t>30</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Experiment D</w:t>
            <w:tab/>
          </w:r>
          <w:hyperlink w:anchor="__RefHeading___Toc524274807">
            <w:r>
              <w:rPr>
                <w:rStyle w:val="IndexLink"/>
              </w:rPr>
              <w:t>30</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Delta-MOS-LQO Behaviour for Mixed-Music Signals</w:t>
            <w:tab/>
          </w:r>
          <w:hyperlink w:anchor="__RefHeading___Toc524274808">
            <w:r>
              <w:rPr>
                <w:rStyle w:val="IndexLink"/>
              </w:rPr>
              <w:t>30</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Clean Speech Input Example</w:t>
            <w:tab/>
          </w:r>
          <w:hyperlink w:anchor="__RefHeading___Toc524274809">
            <w:r>
              <w:rPr>
                <w:rStyle w:val="IndexLink"/>
              </w:rPr>
              <w:t>32</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MOS LQO evaluation</w:t>
            <w:tab/>
          </w:r>
          <w:hyperlink w:anchor="__RefHeading___Toc524274810">
            <w:r>
              <w:rPr>
                <w:rStyle w:val="IndexLink"/>
              </w:rPr>
              <w:t>33</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Decoder test results</w:t>
            <w:tab/>
          </w:r>
          <w:hyperlink w:anchor="__RefHeading___Toc524274811">
            <w:r>
              <w:rPr>
                <w:rStyle w:val="IndexLink"/>
              </w:rPr>
              <w:t>35</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Experiment E</w:t>
            <w:tab/>
          </w:r>
          <w:hyperlink w:anchor="__RefHeading___Toc524274812">
            <w:r>
              <w:rPr>
                <w:rStyle w:val="IndexLink"/>
              </w:rPr>
              <w:t>36</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Delta-POLQA Limitations with Noisy Speech and Frame Erasures</w:t>
            <w:tab/>
          </w:r>
          <w:hyperlink w:anchor="__RefHeading___Toc524274813">
            <w:r>
              <w:rPr>
                <w:rStyle w:val="IndexLink"/>
              </w:rPr>
              <w:t>36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MOS-LQO Verification test</w:t>
            <w:tab/>
          </w:r>
          <w:hyperlink w:anchor="__RefHeading___Toc524274814">
            <w:r>
              <w:rPr>
                <w:rStyle w:val="IndexLink"/>
              </w:rPr>
              <w:t>37</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Decoder Test</w:t>
            <w:tab/>
          </w:r>
          <w:hyperlink w:anchor="__RefHeading___Toc524274815">
            <w:r>
              <w:rPr>
                <w:rStyle w:val="IndexLink"/>
              </w:rPr>
              <w:t>39</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Experiment F</w:t>
            <w:tab/>
          </w:r>
          <w:hyperlink w:anchor="__RefHeading___Toc524274816">
            <w:r>
              <w:rPr>
                <w:rStyle w:val="IndexLink"/>
              </w:rPr>
              <w:t>40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Conformance Process</w:t>
            <w:tab/>
          </w:r>
          <w:hyperlink w:anchor="__RefHeading___Toc524274817">
            <w:r>
              <w:rPr>
                <w:rStyle w:val="IndexLink"/>
              </w:rPr>
              <w:t>42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Description</w:t>
            <w:tab/>
          </w:r>
          <w:hyperlink w:anchor="__RefHeading___Toc524274818">
            <w:r>
              <w:rPr>
                <w:rStyle w:val="IndexLink"/>
              </w:rPr>
              <w:t>42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Interoperability</w:t>
            <w:tab/>
          </w:r>
          <w:hyperlink w:anchor="__RefHeading___Toc524274819">
            <w:r>
              <w:rPr>
                <w:rStyle w:val="IndexLink"/>
              </w:rPr>
              <w:t>43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Description</w:t>
            <w:tab/>
          </w:r>
          <w:hyperlink w:anchor="__RefHeading___Toc524274820">
            <w:r>
              <w:rPr>
                <w:rStyle w:val="IndexLink"/>
              </w:rPr>
              <w:t>43</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Interoperability Testing</w:t>
            <w:tab/>
          </w:r>
          <w:hyperlink w:anchor="__RefHeading___Toc524274821">
            <w:r>
              <w:rPr>
                <w:rStyle w:val="IndexLink"/>
              </w:rPr>
              <w:t>43</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Conclusion</w:t>
            <w:tab/>
          </w:r>
          <w:hyperlink w:anchor="__RefHeading___Toc524274822">
            <w:r>
              <w:rPr>
                <w:rStyle w:val="IndexLink"/>
              </w:rPr>
              <w:t>45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Coverage Assessment</w:t>
            <w:tab/>
          </w:r>
          <w:hyperlink w:anchor="__RefHeading___Toc524274823">
            <w:r>
              <w:rPr>
                <w:rStyle w:val="IndexLink"/>
              </w:rPr>
              <w:t>46</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Conclusions</w:t>
            <w:tab/>
          </w:r>
          <w:hyperlink w:anchor="__RefHeading___Toc524274824">
            <w:r>
              <w:rPr>
                <w:rStyle w:val="IndexLink"/>
              </w:rPr>
              <w:t>46</w:t>
            </w:r>
          </w:hyperlink>
        </w:p>
        <w:p>
          <w:pPr>
            <w:pStyle w:val="Contents9"/>
            <w:rPr>
              <w:rFonts w:ascii="Calibri" w:hAnsi="Calibri" w:cs="Calibri"/>
              <w:b w:val="false"/>
              <w:b w:val="false"/>
              <w:szCs w:val="22"/>
              <w:lang w:val="en-US" w:eastAsia="en-US"/>
            </w:rPr>
          </w:pPr>
          <w:r>
            <w:rPr/>
            <w:t>Annex A:</w:t>
            <w:tab/>
            <w:t>POLQA Considerations for Conformance Test</w:t>
            <w:tab/>
          </w:r>
          <w:hyperlink w:anchor="__RefHeading___Toc524274825">
            <w:r>
              <w:rPr>
                <w:rStyle w:val="IndexLink"/>
              </w:rPr>
              <w:t>47</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rFonts w:eastAsia="SimSun;宋体"/>
            </w:rPr>
            <w:t>Specific Recommendation from ITU-T P.863.1 [9]</w:t>
          </w:r>
          <w:r>
            <w:rPr/>
            <w:tab/>
          </w:r>
          <w:hyperlink w:anchor="__RefHeading___Toc524274826">
            <w:r>
              <w:rPr>
                <w:rStyle w:val="IndexLink"/>
              </w:rPr>
              <w:t>47</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rFonts w:eastAsia="SimSun;宋体"/>
            </w:rPr>
            <w:t>Averaging of MOS-LQO Scores Over Long Inputs</w:t>
          </w:r>
          <w:r>
            <w:rPr/>
            <w:tab/>
          </w:r>
          <w:hyperlink w:anchor="__RefHeading___Toc524274827">
            <w:r>
              <w:rPr>
                <w:rStyle w:val="IndexLink"/>
              </w:rPr>
              <w:t>47</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rFonts w:eastAsia="SimSun;宋体"/>
            </w:rPr>
            <w:t>Concerns over the Suitability of Perceptually Based Methods</w:t>
          </w:r>
          <w:r>
            <w:rPr/>
            <w:tab/>
          </w:r>
          <w:hyperlink w:anchor="__RefHeading___Toc524274828">
            <w:r>
              <w:rPr>
                <w:rStyle w:val="IndexLink"/>
              </w:rPr>
              <w:t>48</w:t>
            </w:r>
          </w:hyperlink>
        </w:p>
        <w:p>
          <w:pPr>
            <w:pStyle w:val="Contents9"/>
            <w:rPr>
              <w:rFonts w:ascii="Calibri" w:hAnsi="Calibri" w:cs="Calibri"/>
              <w:szCs w:val="22"/>
              <w:lang w:val="en-US" w:eastAsia="en-US"/>
            </w:rPr>
          </w:pPr>
          <w:r>
            <w:rPr>
              <w:b w:val="false"/>
            </w:rPr>
            <w:t>Annex B:</w:t>
            <w:tab/>
            <w:t>Change history</w:t>
            <w:tab/>
          </w:r>
          <w:hyperlink w:anchor="__RefHeading___Toc524274829">
            <w:r>
              <w:rPr>
                <w:rStyle w:val="IndexLink"/>
                <w:b w:val="false"/>
              </w:rPr>
              <w:t>49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524274757"/>
      <w:bookmarkEnd w:id="8"/>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524274758"/>
      <w:bookmarkEnd w:id="9"/>
      <w:r>
        <w:rPr/>
        <w:t>Introduction</w:t>
      </w:r>
    </w:p>
    <w:p>
      <w:pPr>
        <w:pStyle w:val="Normal"/>
        <w:rPr/>
      </w:pPr>
      <w:r>
        <w:rPr/>
        <w:t>The EVS coder (TS 26.441) provides enhanced quality for speech and audio communications compared to AMR-WB and 3GPP has standardized both a fixed-point version (TS 26.442) and a floating-point version (TS 26.443). Currently in TS 26.444 (Codec for Enhanced Voice Services (EVS); Test sequences) the conformance of the EVS coder implementation is achieved by checking the bit-exactness of output test vectors with the reference test vectors for both encoder and decoder, for both the fixed-point and floating-point implementations.</w:t>
      </w:r>
    </w:p>
    <w:p>
      <w:pPr>
        <w:pStyle w:val="Normal"/>
        <w:rPr/>
      </w:pPr>
      <w:r>
        <w:rPr/>
        <w:t xml:space="preserve">However, the bit-exact criteria defined in TS 26.444 is of very limited use for the floating-point implementation in TS 26.443, as the output values will change slightly without affecting the speech/audio quality - depending on the compiler, compile options, OS and platform - and therefore failing the bit-exactness test. This has the effect that the EVS floating-point code cannot generally be used for 3GPP voice services as the test vectors have been generated using Microsoft Visual Studio version 10 which is unlikely to match the target platform. </w:t>
      </w:r>
    </w:p>
    <w:p>
      <w:pPr>
        <w:pStyle w:val="Normal"/>
        <w:rPr/>
      </w:pPr>
      <w:r>
        <w:rPr/>
        <w:t xml:space="preserve">The product and application space using voice services is changing, resulting in different architectures using a variety of different types of core processing units. Being able to use either fixed-point or floating-point embedded implementation based on architectural capabilities would allow a wider and faster proliferation of EVS, thereby benefiting end user experience. In addition, it would provide more flexibility in architectural implementations regarding factors such as power and cost. </w:t>
      </w:r>
    </w:p>
    <w:p>
      <w:pPr>
        <w:pStyle w:val="Normal"/>
        <w:rPr/>
      </w:pPr>
      <w:r>
        <w:rPr/>
        <w:t xml:space="preserve">The present document investigates possible tools and criteria </w:t>
      </w:r>
      <w:r>
        <w:rPr>
          <w:lang w:eastAsia="zh-CN"/>
        </w:rPr>
        <w:t>to develop non bit-exact conformance for the floating-point code in TS 26.443, ensuring that high quality floating-point implementations preserve the quality of EVS.</w:t>
      </w:r>
      <w:r>
        <w:br w:type="page"/>
      </w:r>
    </w:p>
    <w:p>
      <w:pPr>
        <w:pStyle w:val="Heading1"/>
        <w:ind w:left="1134" w:hanging="1134"/>
        <w:rPr/>
      </w:pPr>
      <w:bookmarkStart w:id="10" w:name="__RefHeading___Toc524274759"/>
      <w:bookmarkEnd w:id="10"/>
      <w:r>
        <w:rPr/>
        <w:t>1</w:t>
        <w:tab/>
        <w:t>Scope</w:t>
      </w:r>
    </w:p>
    <w:p>
      <w:pPr>
        <w:pStyle w:val="Normal"/>
        <w:rPr/>
      </w:pPr>
      <w:r>
        <w:rPr/>
        <w:t>The present document provides a study on the Conformance of Non Bit Exact implementation for EVS floating point standard in TS. 26.443. The study focuses on:</w:t>
      </w:r>
    </w:p>
    <w:p>
      <w:pPr>
        <w:pStyle w:val="B1"/>
        <w:rPr/>
      </w:pPr>
      <w:r>
        <w:rPr/>
        <w:t>-</w:t>
        <w:tab/>
        <w:t>To investigate the behaviour of different implementations of the floating-point reference code (TS 26.443), for example, those built with different versions / settings of various compilers and running on various floating-point architectures.</w:t>
      </w:r>
    </w:p>
    <w:p>
      <w:pPr>
        <w:pStyle w:val="B1"/>
        <w:rPr/>
      </w:pPr>
      <w:r>
        <w:rPr/>
        <w:t>-</w:t>
        <w:tab/>
        <w:t>To do the investigation using different test material, including clean speech, noisy speech, mixed/music content and taking into account interoperability aspects including floating-point - fixed-point and among various floating-point implementations.</w:t>
      </w:r>
    </w:p>
    <w:p>
      <w:pPr>
        <w:pStyle w:val="B1"/>
        <w:rPr/>
      </w:pPr>
      <w:r>
        <w:rPr/>
        <w:t>-</w:t>
        <w:tab/>
        <w:t xml:space="preserve">To identify and propose reliable conformance criteria and methodologies that would be able to reject any undesirable deviation, i.e. bad implementation. </w:t>
      </w:r>
    </w:p>
    <w:p>
      <w:pPr>
        <w:pStyle w:val="B1"/>
        <w:rPr/>
      </w:pPr>
      <w:r>
        <w:rPr/>
        <w:t>-</w:t>
        <w:tab/>
        <w:t xml:space="preserve">To develop one or more tools, in the form of scripts or executables, that could be used for determining acceptance/rejection based on the provided conformance criteria. </w:t>
      </w:r>
    </w:p>
    <w:p>
      <w:pPr>
        <w:pStyle w:val="B1"/>
        <w:rPr/>
      </w:pPr>
      <w:r>
        <w:rPr/>
        <w:t>-</w:t>
        <w:tab/>
        <w:t>To develop any potential additional test vectors that would be needed.</w:t>
      </w:r>
    </w:p>
    <w:p>
      <w:pPr>
        <w:pStyle w:val="B1"/>
        <w:rPr/>
      </w:pPr>
      <w:r>
        <w:rPr/>
        <w:t>-</w:t>
        <w:tab/>
        <w:t>To propose recommendation(s) on the suitability of the potential new non bit-exact conformance process for 3GPP services (e.g., gives carrier-grade quality).</w:t>
      </w:r>
    </w:p>
    <w:p>
      <w:pPr>
        <w:pStyle w:val="Heading1"/>
        <w:ind w:left="1134" w:hanging="1134"/>
        <w:rPr/>
      </w:pPr>
      <w:bookmarkStart w:id="11" w:name="__RefHeading___Toc524274760"/>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r>
      <w:r>
        <w:rPr>
          <w:lang w:eastAsia="ko-KR"/>
        </w:rPr>
        <w:t>3GPP TS 26.442: "Codec for Enhanced Voice Services (EVS); ANSI C code (fixed point)".</w:t>
      </w:r>
    </w:p>
    <w:p>
      <w:pPr>
        <w:pStyle w:val="EX"/>
        <w:rPr/>
      </w:pPr>
      <w:r>
        <w:rPr>
          <w:lang w:eastAsia="ko-KR"/>
        </w:rPr>
        <w:t>[3]</w:t>
        <w:tab/>
        <w:t>3GPP TS 26.443: "Codec for Enhanced Voice Services (EVS); ANSI C code (floating point)".</w:t>
      </w:r>
    </w:p>
    <w:p>
      <w:pPr>
        <w:pStyle w:val="EX"/>
        <w:rPr/>
      </w:pPr>
      <w:r>
        <w:rPr>
          <w:lang w:eastAsia="ko-KR"/>
        </w:rPr>
        <w:t>[4]</w:t>
        <w:tab/>
        <w:t>3GPP TS 26.444: "Codec for Enhanced Voice Services (EVS); Test Sequences".</w:t>
      </w:r>
    </w:p>
    <w:p>
      <w:pPr>
        <w:pStyle w:val="EX"/>
        <w:rPr/>
      </w:pPr>
      <w:r>
        <w:rPr>
          <w:lang w:eastAsia="ko-KR"/>
        </w:rPr>
        <w:t>[5]</w:t>
        <w:tab/>
        <w:t>Tdoc S4-</w:t>
      </w:r>
      <w:r>
        <w:rPr/>
        <w:t>141287: "Verification of the EVS Floating Point Code".</w:t>
      </w:r>
    </w:p>
    <w:p>
      <w:pPr>
        <w:pStyle w:val="EX"/>
        <w:rPr/>
      </w:pPr>
      <w:r>
        <w:rPr>
          <w:lang w:eastAsia="ko-KR"/>
        </w:rPr>
        <w:t>[6]</w:t>
        <w:tab/>
        <w:t>Tdoc S4-141392: "EVS Permanent Document EVS-7c: Processing functions for characterization phase".</w:t>
      </w:r>
    </w:p>
    <w:p>
      <w:pPr>
        <w:pStyle w:val="EX"/>
        <w:rPr/>
      </w:pPr>
      <w:r>
        <w:rPr>
          <w:lang w:eastAsia="ko-KR"/>
        </w:rPr>
        <w:t>[7]</w:t>
        <w:tab/>
        <w:t>3GPP TR 26.952: "Codec for Enhanced Voice Services (EVS); Performance Characterization".</w:t>
      </w:r>
    </w:p>
    <w:p>
      <w:pPr>
        <w:pStyle w:val="EX"/>
        <w:rPr>
          <w:lang w:eastAsia="ko-KR"/>
        </w:rPr>
      </w:pPr>
      <w:r>
        <w:rPr>
          <w:lang w:eastAsia="ko-KR"/>
        </w:rPr>
        <w:t>[8]</w:t>
        <w:tab/>
        <w:t>Proc. IEEE Digital Signal Processing Workshop. "Comparison of distance measures in discrete spectral modelling", B. Wei and J. D. Gibson, Oct. 2000.</w:t>
      </w:r>
    </w:p>
    <w:p>
      <w:pPr>
        <w:pStyle w:val="EX"/>
        <w:rPr/>
      </w:pPr>
      <w:r>
        <w:rPr>
          <w:lang w:val="fr-FR" w:eastAsia="ko-KR"/>
        </w:rPr>
        <w:t>[9]</w:t>
        <w:tab/>
        <w:t xml:space="preserve">ITU-T Recommendation P.863.1 </w:t>
      </w:r>
      <w:r>
        <w:rPr>
          <w:lang w:val="fr-FR"/>
        </w:rPr>
        <w:t xml:space="preserve">(09/2014): </w:t>
      </w:r>
      <w:r>
        <w:rPr>
          <w:lang w:val="fr-FR" w:eastAsia="ko-KR"/>
        </w:rPr>
        <w:t>"Application guide for recommendation ITU-T P.863".</w:t>
      </w:r>
    </w:p>
    <w:p>
      <w:pPr>
        <w:pStyle w:val="EX"/>
        <w:rPr/>
      </w:pPr>
      <w:r>
        <w:rPr>
          <w:lang w:eastAsia="ko-KR"/>
        </w:rPr>
        <w:t>[10]</w:t>
        <w:tab/>
      </w:r>
      <w:r>
        <w:rPr/>
        <w:t>ISO/IEC 14496-26:2010: "Information technology -- Coding of audio-visual objects -- Part 26: Audio conformance".</w:t>
      </w:r>
    </w:p>
    <w:p>
      <w:pPr>
        <w:pStyle w:val="EX"/>
        <w:rPr/>
      </w:pPr>
      <w:r>
        <w:rPr/>
        <w:t>[11]</w:t>
        <w:tab/>
        <w:t xml:space="preserve">ITU-R </w:t>
      </w:r>
      <w:r>
        <w:rPr>
          <w:lang w:eastAsia="ko-KR"/>
        </w:rPr>
        <w:t xml:space="preserve">Recommendation </w:t>
      </w:r>
      <w:r>
        <w:rPr/>
        <w:t>BS.1387-1 (11/2001): "Method for objective measurements of perceived audio quality".</w:t>
      </w:r>
    </w:p>
    <w:p>
      <w:pPr>
        <w:pStyle w:val="EX"/>
        <w:rPr/>
      </w:pPr>
      <w:r>
        <w:rPr/>
        <w:t>[12]</w:t>
        <w:tab/>
        <w:t>ITU-T Recommendation P.863 (03/2018): "Perceptual objective listening quality assessment".</w:t>
      </w:r>
    </w:p>
    <w:p>
      <w:pPr>
        <w:pStyle w:val="Heading1"/>
        <w:ind w:left="1134" w:hanging="1134"/>
        <w:rPr/>
      </w:pPr>
      <w:bookmarkStart w:id="12" w:name="__RefHeading___Toc524274761"/>
      <w:bookmarkEnd w:id="12"/>
      <w:r>
        <w:rPr/>
        <w:t>3</w:t>
        <w:tab/>
        <w:t>Definitions and abbreviations</w:t>
      </w:r>
    </w:p>
    <w:p>
      <w:pPr>
        <w:pStyle w:val="Heading2"/>
        <w:rPr/>
      </w:pPr>
      <w:bookmarkStart w:id="13" w:name="__RefHeading___Toc524274762"/>
      <w:bookmarkEnd w:id="13"/>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4" w:name="__RefHeading___Toc524274763"/>
      <w:bookmarkEnd w:id="14"/>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X"/>
        <w:rPr/>
      </w:pPr>
      <w:r>
        <w:rPr/>
        <w:t>UL</w:t>
        <w:tab/>
        <w:t>Up-link</w:t>
      </w:r>
    </w:p>
    <w:p>
      <w:pPr>
        <w:pStyle w:val="Heading1"/>
        <w:ind w:left="1134" w:hanging="1134"/>
        <w:rPr/>
      </w:pPr>
      <w:bookmarkStart w:id="15" w:name="__RefHeading___Toc524274764"/>
      <w:bookmarkEnd w:id="15"/>
      <w:r>
        <w:rPr/>
        <w:t>4</w:t>
        <w:tab/>
        <w:t>Overview</w:t>
      </w:r>
    </w:p>
    <w:p>
      <w:pPr>
        <w:pStyle w:val="Heading2"/>
        <w:rPr/>
      </w:pPr>
      <w:bookmarkStart w:id="16" w:name="__RefHeading___Toc524274765"/>
      <w:bookmarkEnd w:id="16"/>
      <w:r>
        <w:rPr/>
        <w:t>4.1</w:t>
        <w:tab/>
        <w:t>Introduction</w:t>
      </w:r>
    </w:p>
    <w:p>
      <w:pPr>
        <w:pStyle w:val="Normal"/>
        <w:rPr/>
      </w:pPr>
      <w:r>
        <w:rPr/>
        <w:t>The EVS coder (TS 26.441) provides enhanced quality for speech and audio communications relative to AMR-WB and 3GPP has standardized both a fixed-point version (TS 26.442) and a floating-point version (TS 26.443). Currently in TS 26.444 (Codec for Enhanced Voice Services (EVS); Test sequences) the conformance of the EVS coder implementation is achieved by checking the bit-exactness of output test vectors with the reference test vectors for both encoder and decoder, for both the fixed-point and floating-point implementations.</w:t>
      </w:r>
    </w:p>
    <w:p>
      <w:pPr>
        <w:pStyle w:val="Normal"/>
        <w:rPr/>
      </w:pPr>
      <w:r>
        <w:rPr/>
        <w:t>The bit-exact criteria defined in TS 26.444 are of very limited use for the floating-point implementation in TS 26.443 as the output values will be similar but not bit-exact for different compilers, compile options, OS and platform used and therefore failing the bit-exactness test.</w:t>
      </w:r>
    </w:p>
    <w:p>
      <w:pPr>
        <w:pStyle w:val="Normal"/>
        <w:rPr/>
      </w:pPr>
      <w:r>
        <w:rPr>
          <w:lang w:eastAsia="zh-CN"/>
        </w:rPr>
        <w:t xml:space="preserve">This technical report aims at documenting possible methods for non bit-exact conformance process for floating-point implementation that would allow conforming implementations to be used in all </w:t>
      </w:r>
      <w:r>
        <w:rPr/>
        <w:t>scenarios acceptable for bit-exact implementations of fixed-point version (TS 26.442) and floating-point version (TS 26.443).</w:t>
      </w:r>
    </w:p>
    <w:p>
      <w:pPr>
        <w:pStyle w:val="Normal"/>
        <w:rPr>
          <w:lang w:eastAsia="zh-CN"/>
        </w:rPr>
      </w:pPr>
      <w:r>
        <w:rPr/>
        <w:t xml:space="preserve">The scope of the study item is to assess the use of various floating-point processing cores and compilers with various levels of optimization, and establish potential conformance criteria and a tool(s) that could be used for confirming conformance under those variations. The scope of the intended conformance tool(s) is to assess the conformance of implementations to the developed criteria. The conformance criteria to be developed will aim at accepting proper floating-point processing compute core and compiler optimizations, while rejecting all bad implementations, for example coming from functional or code changes, too aggressive optimization of the compiler or insufficient arithmetic precision. </w:t>
      </w:r>
    </w:p>
    <w:p>
      <w:pPr>
        <w:pStyle w:val="Normal"/>
        <w:rPr/>
      </w:pPr>
      <w:r>
        <w:rPr/>
        <w:t>In Clause 5 various methods are described.</w:t>
      </w:r>
    </w:p>
    <w:p>
      <w:pPr>
        <w:pStyle w:val="Normal"/>
        <w:rPr/>
      </w:pPr>
      <w:r>
        <w:rPr/>
        <w:t>In Clause 6 results obtained with the various methods described in Clause 5 are presented..</w:t>
      </w:r>
    </w:p>
    <w:p>
      <w:pPr>
        <w:pStyle w:val="Normal"/>
        <w:rPr/>
      </w:pPr>
      <w:r>
        <w:rPr/>
        <w:t>In Clause 7 possible conformance process and criteria are discussed.</w:t>
      </w:r>
    </w:p>
    <w:p>
      <w:pPr>
        <w:pStyle w:val="Normal"/>
        <w:rPr/>
      </w:pPr>
      <w:r>
        <w:rPr/>
        <w:t>Interoperability is an important feature of the coder, and implication for non bit-exact conformance will be investigated in Clause 8.</w:t>
      </w:r>
    </w:p>
    <w:p>
      <w:pPr>
        <w:pStyle w:val="Normal"/>
        <w:rPr/>
      </w:pPr>
      <w:r>
        <w:rPr/>
        <w:t>Clause 9 will look at coverage of the proposed method.</w:t>
      </w:r>
    </w:p>
    <w:p>
      <w:pPr>
        <w:pStyle w:val="Normal"/>
        <w:rPr/>
      </w:pPr>
      <w:r>
        <w:rPr/>
        <w:t>Clause 10 will address any other topics relevant to the context of this study.</w:t>
      </w:r>
    </w:p>
    <w:p>
      <w:pPr>
        <w:pStyle w:val="Normal"/>
        <w:rPr/>
      </w:pPr>
      <w:r>
        <w:rPr/>
        <w:t>Clause 11 will conclude on the feasibility of using non bit-exact tools and criteria for EVS floating point conformance.</w:t>
      </w:r>
    </w:p>
    <w:p>
      <w:pPr>
        <w:pStyle w:val="Heading1"/>
        <w:ind w:left="1134" w:hanging="1134"/>
        <w:rPr/>
      </w:pPr>
      <w:bookmarkStart w:id="17" w:name="__RefHeading___Toc524274766"/>
      <w:bookmarkEnd w:id="17"/>
      <w:r>
        <w:rPr/>
        <w:t>5</w:t>
        <w:tab/>
        <w:t>Methods Description</w:t>
      </w:r>
    </w:p>
    <w:p>
      <w:pPr>
        <w:pStyle w:val="Heading2"/>
        <w:rPr/>
      </w:pPr>
      <w:bookmarkStart w:id="18" w:name="__RefHeading___Toc524274767"/>
      <w:bookmarkEnd w:id="18"/>
      <w:r>
        <w:rPr/>
        <w:t>5.1</w:t>
        <w:tab/>
        <w:t>Description</w:t>
      </w:r>
    </w:p>
    <w:p>
      <w:pPr>
        <w:pStyle w:val="Normal"/>
        <w:rPr/>
      </w:pPr>
      <w:r>
        <w:rPr/>
        <w:t>The EVS codec uses multiple coding schemes to get the best coding efficiency. For the decoder, these different modes are defined by the parameters in the bit-stream. Methods based on comparison of decoded PCM signal that are close to bit exactness, could be used to assess the quality of EVS decoder implementation.</w:t>
      </w:r>
    </w:p>
    <w:p>
      <w:pPr>
        <w:pStyle w:val="Normal"/>
        <w:rPr/>
      </w:pPr>
      <w:r>
        <w:rPr/>
        <w:t xml:space="preserve">EVS encoder is using many different modes for encoding efficiency that are based on threshold decision. </w:t>
      </w:r>
      <w:r>
        <w:rPr>
          <w:rFonts w:eastAsia="SimSun;宋体"/>
        </w:rPr>
        <w:t xml:space="preserve">A non bit-exact computation of the threshold based decision may result in selecting a different mode, which may impact strongly the signal characteristic, without necessarily affecting the perceived quality. </w:t>
      </w:r>
      <w:r>
        <w:rPr/>
        <w:t>In this case analysis methods based on perceptual consideration could be more adequate to assess the encoder implementation.</w:t>
      </w:r>
    </w:p>
    <w:p>
      <w:pPr>
        <w:pStyle w:val="Heading2"/>
        <w:rPr/>
      </w:pPr>
      <w:bookmarkStart w:id="19" w:name="__RefHeading___Toc524274768"/>
      <w:bookmarkEnd w:id="19"/>
      <w:r>
        <w:rPr/>
        <w:t>5.2</w:t>
        <w:tab/>
        <w:t>Signal Based Methods</w:t>
      </w:r>
    </w:p>
    <w:p>
      <w:pPr>
        <w:pStyle w:val="Heading3"/>
        <w:rPr/>
      </w:pPr>
      <w:bookmarkStart w:id="20" w:name="__RefHeading___Toc524274769"/>
      <w:bookmarkEnd w:id="20"/>
      <w:r>
        <w:rPr/>
        <w:t>5.2.1</w:t>
        <w:tab/>
        <w:t>General considerations</w:t>
      </w:r>
    </w:p>
    <w:p>
      <w:pPr>
        <w:pStyle w:val="Normal"/>
        <w:rPr/>
      </w:pPr>
      <w:r>
        <w:rPr/>
        <w:t>The reference PCM signals are taken from the decoded floating point test vector library of TS 26.444. The PCM signal under test are obtained by running the floating point bit-stream included in TS 26.444 through the Decoder under Test (Figure 1). The reference decoder is the floating-point code of TS 26.443.</w:t>
      </w:r>
    </w:p>
    <w:p>
      <w:pPr>
        <w:pStyle w:val="TH"/>
        <w:rPr/>
      </w:pPr>
      <w:r>
        <w:rPr/>
        <w:object w:dxaOrig="6949" w:dyaOrig="249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47.55pt;height:124.55pt" filled="f" o:ole="">
            <v:imagedata r:id="rId7" o:title=""/>
          </v:shape>
          <o:OLEObject Type="Embed" ProgID="" ShapeID="ole_rId6" DrawAspect="Content" ObjectID="_911159791" r:id="rId6"/>
        </w:object>
      </w:r>
    </w:p>
    <w:p>
      <w:pPr>
        <w:pStyle w:val="TF"/>
        <w:rPr/>
      </w:pPr>
      <w:r>
        <w:rPr/>
        <w:t>Figure 1: Flow diagram for the decoder test using signal based metrics</w:t>
      </w:r>
    </w:p>
    <w:p>
      <w:pPr>
        <w:pStyle w:val="Normal"/>
        <w:rPr/>
      </w:pPr>
      <w:r>
        <w:rPr/>
        <w:t xml:space="preserve">All metrics are calculated on the reference PCM signal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488950" cy="177800"/>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8"/>
                    <a:srcRect l="-74" t="-203" r="-74" b="-203"/>
                    <a:stretch>
                      <a:fillRect/>
                    </a:stretch>
                  </pic:blipFill>
                  <pic:spPr bwMode="auto">
                    <a:xfrm>
                      <a:off x="0" y="0"/>
                      <a:ext cx="488950" cy="177800"/>
                    </a:xfrm>
                    <a:prstGeom prst="rect">
                      <a:avLst/>
                    </a:prstGeom>
                  </pic:spPr>
                </pic:pic>
              </a:graphicData>
            </a:graphic>
          </wp:inline>
        </w:drawing>
      </w:r>
      <w:r>
        <w:rPr>
          <w:position w:val="-6"/>
        </w:rPr>
      </w:r>
      <w:r>
        <w:rPr>
          <w:position w:val="-6"/>
        </w:rPr>
        <w:fldChar w:fldCharType="end"/>
      </w:r>
      <w:r>
        <w:rPr/>
        <w:t xml:space="preserve"> and the PCM signal under test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476250" cy="17780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9"/>
                    <a:srcRect l="-76" t="-203" r="-76" b="-203"/>
                    <a:stretch>
                      <a:fillRect/>
                    </a:stretch>
                  </pic:blipFill>
                  <pic:spPr bwMode="auto">
                    <a:xfrm>
                      <a:off x="0" y="0"/>
                      <a:ext cx="476250" cy="177800"/>
                    </a:xfrm>
                    <a:prstGeom prst="rect">
                      <a:avLst/>
                    </a:prstGeom>
                  </pic:spPr>
                </pic:pic>
              </a:graphicData>
            </a:graphic>
          </wp:inline>
        </w:drawing>
      </w:r>
      <w:r>
        <w:rPr>
          <w:position w:val="-6"/>
        </w:rPr>
      </w:r>
      <w:r>
        <w:rPr>
          <w:position w:val="-6"/>
        </w:rPr>
        <w:fldChar w:fldCharType="end"/>
      </w:r>
      <w:r>
        <w:rPr/>
        <w:t xml:space="preserve"> based on 20ms frames. The frames of the two signals will be time aligned, this means the delay compensation in EVS encoder and decoder remains ON (the default configuration). Furthermore the frame processing is aligned with the encoded frame by adding the decoder delay. Table 1 shows the delay values used for the different sampling frequencies.</w:t>
      </w:r>
    </w:p>
    <w:p>
      <w:pPr>
        <w:pStyle w:val="TH"/>
        <w:rPr/>
      </w:pPr>
      <w:r>
        <w:rPr/>
        <w:t>Table 1: Delay used for alignment of processing frames with encoded frames</w:t>
      </w:r>
    </w:p>
    <w:tbl>
      <w:tblPr>
        <w:tblW w:w="9571" w:type="dxa"/>
        <w:jc w:val="center"/>
        <w:tblInd w:w="0" w:type="dxa"/>
        <w:tblLayout w:type="fixed"/>
        <w:tblCellMar>
          <w:top w:w="0" w:type="dxa"/>
          <w:left w:w="28" w:type="dxa"/>
          <w:bottom w:w="0" w:type="dxa"/>
          <w:right w:w="108" w:type="dxa"/>
        </w:tblCellMar>
      </w:tblPr>
      <w:tblGrid>
        <w:gridCol w:w="2325"/>
        <w:gridCol w:w="1800"/>
        <w:gridCol w:w="1855"/>
        <w:gridCol w:w="1939"/>
        <w:gridCol w:w="1652"/>
      </w:tblGrid>
      <w:tr>
        <w:trPr/>
        <w:tc>
          <w:tcPr>
            <w:tcW w:w="2325" w:type="dxa"/>
            <w:tcBorders>
              <w:top w:val="single" w:sz="4" w:space="0" w:color="000000"/>
              <w:left w:val="single" w:sz="4" w:space="0" w:color="000000"/>
              <w:bottom w:val="single" w:sz="4" w:space="0" w:color="000000"/>
              <w:right w:val="single" w:sz="4" w:space="0" w:color="000000"/>
            </w:tcBorders>
          </w:tcPr>
          <w:p>
            <w:pPr>
              <w:pStyle w:val="TAL"/>
              <w:rPr/>
            </w:pPr>
            <w:r>
              <w:rPr/>
              <w:t>Sampling frequency</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8000 Hz</w:t>
            </w:r>
          </w:p>
        </w:tc>
        <w:tc>
          <w:tcPr>
            <w:tcW w:w="1855" w:type="dxa"/>
            <w:tcBorders>
              <w:top w:val="single" w:sz="4" w:space="0" w:color="000000"/>
              <w:left w:val="single" w:sz="4" w:space="0" w:color="000000"/>
              <w:bottom w:val="single" w:sz="4" w:space="0" w:color="000000"/>
              <w:right w:val="single" w:sz="4" w:space="0" w:color="000000"/>
            </w:tcBorders>
          </w:tcPr>
          <w:p>
            <w:pPr>
              <w:pStyle w:val="TAC"/>
              <w:rPr/>
            </w:pPr>
            <w:r>
              <w:rPr/>
              <w:t>16000 Hz</w:t>
            </w:r>
          </w:p>
        </w:tc>
        <w:tc>
          <w:tcPr>
            <w:tcW w:w="1939" w:type="dxa"/>
            <w:tcBorders>
              <w:top w:val="single" w:sz="4" w:space="0" w:color="000000"/>
              <w:left w:val="single" w:sz="4" w:space="0" w:color="000000"/>
              <w:bottom w:val="single" w:sz="4" w:space="0" w:color="000000"/>
              <w:right w:val="single" w:sz="4" w:space="0" w:color="000000"/>
            </w:tcBorders>
          </w:tcPr>
          <w:p>
            <w:pPr>
              <w:pStyle w:val="TAC"/>
              <w:rPr/>
            </w:pPr>
            <w:r>
              <w:rPr/>
              <w:t>32000 Hz</w:t>
            </w:r>
          </w:p>
        </w:tc>
        <w:tc>
          <w:tcPr>
            <w:tcW w:w="1652" w:type="dxa"/>
            <w:tcBorders>
              <w:top w:val="single" w:sz="4" w:space="0" w:color="000000"/>
              <w:left w:val="single" w:sz="4" w:space="0" w:color="000000"/>
              <w:bottom w:val="single" w:sz="4" w:space="0" w:color="000000"/>
              <w:right w:val="single" w:sz="4" w:space="0" w:color="000000"/>
            </w:tcBorders>
          </w:tcPr>
          <w:p>
            <w:pPr>
              <w:pStyle w:val="TAC"/>
              <w:rPr/>
            </w:pPr>
            <w:r>
              <w:rPr/>
              <w:t>48000 Hz</w:t>
            </w:r>
          </w:p>
        </w:tc>
      </w:tr>
      <w:tr>
        <w:trPr/>
        <w:tc>
          <w:tcPr>
            <w:tcW w:w="2325" w:type="dxa"/>
            <w:tcBorders>
              <w:top w:val="single" w:sz="4" w:space="0" w:color="000000"/>
              <w:left w:val="single" w:sz="4" w:space="0" w:color="000000"/>
              <w:bottom w:val="single" w:sz="4" w:space="0" w:color="000000"/>
              <w:right w:val="single" w:sz="4" w:space="0" w:color="000000"/>
            </w:tcBorders>
          </w:tcPr>
          <w:p>
            <w:pPr>
              <w:pStyle w:val="TAL"/>
              <w:rPr/>
            </w:pPr>
            <w:r>
              <w:rPr/>
              <w:t>Delay (samples)</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855" w:type="dxa"/>
            <w:tcBorders>
              <w:top w:val="single" w:sz="4" w:space="0" w:color="000000"/>
              <w:left w:val="single" w:sz="4" w:space="0" w:color="000000"/>
              <w:bottom w:val="single" w:sz="4" w:space="0" w:color="000000"/>
              <w:right w:val="single" w:sz="4" w:space="0" w:color="000000"/>
            </w:tcBorders>
          </w:tcPr>
          <w:p>
            <w:pPr>
              <w:pStyle w:val="TAC"/>
              <w:rPr/>
            </w:pPr>
            <w:r>
              <w:rPr/>
              <w:t>37</w:t>
            </w:r>
          </w:p>
        </w:tc>
        <w:tc>
          <w:tcPr>
            <w:tcW w:w="1939" w:type="dxa"/>
            <w:tcBorders>
              <w:top w:val="single" w:sz="4" w:space="0" w:color="000000"/>
              <w:left w:val="single" w:sz="4" w:space="0" w:color="000000"/>
              <w:bottom w:val="single" w:sz="4" w:space="0" w:color="000000"/>
              <w:right w:val="single" w:sz="4" w:space="0" w:color="000000"/>
            </w:tcBorders>
          </w:tcPr>
          <w:p>
            <w:pPr>
              <w:pStyle w:val="TAC"/>
              <w:rPr/>
            </w:pPr>
            <w:r>
              <w:rPr/>
              <w:t>74</w:t>
            </w:r>
          </w:p>
        </w:tc>
        <w:tc>
          <w:tcPr>
            <w:tcW w:w="1652" w:type="dxa"/>
            <w:tcBorders>
              <w:top w:val="single" w:sz="4" w:space="0" w:color="000000"/>
              <w:left w:val="single" w:sz="4" w:space="0" w:color="000000"/>
              <w:bottom w:val="single" w:sz="4" w:space="0" w:color="000000"/>
              <w:right w:val="single" w:sz="4" w:space="0" w:color="000000"/>
            </w:tcBorders>
          </w:tcPr>
          <w:p>
            <w:pPr>
              <w:pStyle w:val="TAC"/>
              <w:rPr/>
            </w:pPr>
            <w:r>
              <w:rPr/>
              <w:t>111</w:t>
            </w:r>
          </w:p>
        </w:tc>
      </w:tr>
    </w:tbl>
    <w:p>
      <w:pPr>
        <w:pStyle w:val="Normal"/>
        <w:rPr/>
      </w:pPr>
      <w:r>
        <w:rPr/>
      </w:r>
    </w:p>
    <w:p>
      <w:pPr>
        <w:pStyle w:val="Normal"/>
        <w:rPr/>
      </w:pPr>
      <w:r>
        <w:rPr/>
        <w:t xml:space="preserve">The number of samples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114300" cy="177800"/>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0"/>
                    <a:srcRect l="-315" t="-203" r="-315" b="-203"/>
                    <a:stretch>
                      <a:fillRect/>
                    </a:stretch>
                  </pic:blipFill>
                  <pic:spPr bwMode="auto">
                    <a:xfrm>
                      <a:off x="0" y="0"/>
                      <a:ext cx="114300" cy="177800"/>
                    </a:xfrm>
                    <a:prstGeom prst="rect">
                      <a:avLst/>
                    </a:prstGeom>
                  </pic:spPr>
                </pic:pic>
              </a:graphicData>
            </a:graphic>
          </wp:inline>
        </w:drawing>
      </w:r>
      <w:r>
        <w:rPr>
          <w:position w:val="-5"/>
        </w:rPr>
      </w:r>
      <w:r>
        <w:rPr>
          <w:position w:val="-5"/>
        </w:rPr>
        <w:fldChar w:fldCharType="end"/>
      </w:r>
      <w:r>
        <w:rPr/>
        <w:t xml:space="preserve"> for a 20ms frame size is defined by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819150" cy="17780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1"/>
                    <a:srcRect l="-44" t="-203" r="-44" b="-203"/>
                    <a:stretch>
                      <a:fillRect/>
                    </a:stretch>
                  </pic:blipFill>
                  <pic:spPr bwMode="auto">
                    <a:xfrm>
                      <a:off x="0" y="0"/>
                      <a:ext cx="819150" cy="177800"/>
                    </a:xfrm>
                    <a:prstGeom prst="rect">
                      <a:avLst/>
                    </a:prstGeom>
                  </pic:spPr>
                </pic:pic>
              </a:graphicData>
            </a:graphic>
          </wp:inline>
        </w:drawing>
      </w:r>
      <w:r>
        <w:rPr>
          <w:position w:val="-6"/>
        </w:rPr>
      </w:r>
      <w:r>
        <w:rPr>
          <w:position w:val="-6"/>
        </w:rPr>
        <w:fldChar w:fldCharType="end"/>
      </w:r>
      <w:r>
        <w:rPr/>
        <w:t xml:space="preserve">, where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114300" cy="17780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2"/>
                    <a:srcRect l="-315" t="-203" r="-315" b="-203"/>
                    <a:stretch>
                      <a:fillRect/>
                    </a:stretch>
                  </pic:blipFill>
                  <pic:spPr bwMode="auto">
                    <a:xfrm>
                      <a:off x="0" y="0"/>
                      <a:ext cx="114300" cy="177800"/>
                    </a:xfrm>
                    <a:prstGeom prst="rect">
                      <a:avLst/>
                    </a:prstGeom>
                  </pic:spPr>
                </pic:pic>
              </a:graphicData>
            </a:graphic>
          </wp:inline>
        </w:drawing>
      </w:r>
      <w:r>
        <w:rPr>
          <w:position w:val="-6"/>
        </w:rPr>
      </w:r>
      <w:r>
        <w:rPr>
          <w:position w:val="-6"/>
        </w:rPr>
        <w:fldChar w:fldCharType="end"/>
      </w:r>
      <w:r>
        <w:rPr/>
        <w:t xml:space="preserve"> represents the sampling rate.</w:t>
      </w:r>
    </w:p>
    <w:p>
      <w:pPr>
        <w:pStyle w:val="Normal"/>
        <w:rPr/>
      </w:pPr>
      <w:r>
        <w:rPr/>
        <w:t xml:space="preserve">The PCM signals </w:t>
      </w:r>
      <w:r>
        <w:rPr/>
        <w:drawing>
          <wp:inline distT="0" distB="0" distL="0" distR="0">
            <wp:extent cx="488950" cy="177800"/>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3"/>
                    <a:srcRect l="-74" t="-203" r="-74" b="-203"/>
                    <a:stretch>
                      <a:fillRect/>
                    </a:stretch>
                  </pic:blipFill>
                  <pic:spPr bwMode="auto">
                    <a:xfrm>
                      <a:off x="0" y="0"/>
                      <a:ext cx="488950" cy="177800"/>
                    </a:xfrm>
                    <a:prstGeom prst="rect">
                      <a:avLst/>
                    </a:prstGeom>
                  </pic:spPr>
                </pic:pic>
              </a:graphicData>
            </a:graphic>
          </wp:inline>
        </w:drawing>
      </w:r>
      <w:r>
        <w:rPr/>
        <w:t xml:space="preserve"> and </w:t>
      </w:r>
      <w:r>
        <w:rPr/>
        <w:drawing>
          <wp:inline distT="0" distB="0" distL="0" distR="0">
            <wp:extent cx="476250" cy="177800"/>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14"/>
                    <a:srcRect l="-76" t="-203" r="-76" b="-203"/>
                    <a:stretch>
                      <a:fillRect/>
                    </a:stretch>
                  </pic:blipFill>
                  <pic:spPr bwMode="auto">
                    <a:xfrm>
                      <a:off x="0" y="0"/>
                      <a:ext cx="476250" cy="177800"/>
                    </a:xfrm>
                    <a:prstGeom prst="rect">
                      <a:avLst/>
                    </a:prstGeom>
                  </pic:spPr>
                </pic:pic>
              </a:graphicData>
            </a:graphic>
          </wp:inline>
        </w:drawing>
      </w:r>
      <w:r>
        <w:rPr/>
        <w:t xml:space="preserve"> should be scaled between -1 and 1.</w:t>
      </w:r>
    </w:p>
    <w:p>
      <w:pPr>
        <w:pStyle w:val="Heading3"/>
        <w:rPr/>
      </w:pPr>
      <w:bookmarkStart w:id="21" w:name="__RefHeading___Toc524274770"/>
      <w:bookmarkEnd w:id="21"/>
      <w:r>
        <w:rPr/>
        <w:t>5.2.2</w:t>
        <w:tab/>
        <w:t>SNR</w:t>
      </w:r>
    </w:p>
    <w:p>
      <w:pPr>
        <w:pStyle w:val="Heading4"/>
        <w:ind w:left="1418" w:hanging="1418"/>
        <w:rPr/>
      </w:pPr>
      <w:bookmarkStart w:id="22" w:name="__RefHeading___Toc524274771"/>
      <w:bookmarkEnd w:id="22"/>
      <w:r>
        <w:rPr/>
        <w:t>5.2.2.1</w:t>
        <w:tab/>
        <w:t>Methodology</w:t>
      </w:r>
    </w:p>
    <w:p>
      <w:pPr>
        <w:pStyle w:val="Normal"/>
        <w:rPr/>
      </w:pPr>
      <w:r>
        <w:rPr/>
        <w:t>The segmental SNR method is derived from the decoder conformance used in ISO/IEC 14496-26 [10]. For each 20 ms segment, the following values need to be calculated:</w:t>
      </w:r>
    </w:p>
    <w:p>
      <w:pPr>
        <w:pStyle w:val="EQ"/>
        <w:rPr>
          <w:lang w:val="en-GB" w:eastAsia="en-US"/>
        </w:rPr>
      </w:pPr>
      <w:r>
        <w:rPr>
          <w:lang w:val="en-GB" w:eastAsia="en-US"/>
        </w:rPr>
        <w:t>Energy of reference signal:</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800100" cy="228600"/>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15"/>
                    <a:srcRect l="-45" t="-157" r="-45" b="-157"/>
                    <a:stretch>
                      <a:fillRect/>
                    </a:stretch>
                  </pic:blipFill>
                  <pic:spPr bwMode="auto">
                    <a:xfrm>
                      <a:off x="0" y="0"/>
                      <a:ext cx="800100" cy="228600"/>
                    </a:xfrm>
                    <a:prstGeom prst="rect">
                      <a:avLst/>
                    </a:prstGeom>
                  </pic:spPr>
                </pic:pic>
              </a:graphicData>
            </a:graphic>
          </wp:inline>
        </w:drawing>
      </w:r>
      <w:r>
        <w:rPr>
          <w:lang w:val="en-GB" w:eastAsia="en-US"/>
        </w:rPr>
      </w:r>
      <w:r>
        <w:rPr>
          <w:lang w:val="en-GB" w:eastAsia="en-US"/>
        </w:rPr>
        <w:fldChar w:fldCharType="end"/>
      </w:r>
    </w:p>
    <w:p>
      <w:pPr>
        <w:pStyle w:val="EQ"/>
        <w:rPr>
          <w:lang w:val="en-GB" w:eastAsia="en-US"/>
        </w:rPr>
      </w:pPr>
      <w:r>
        <w:rPr>
          <w:lang w:val="en-GB" w:eastAsia="en-US"/>
        </w:rPr>
        <w:t>Noise energy:</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1225550" cy="22860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16"/>
                    <a:srcRect l="-29" t="-157" r="-29" b="-157"/>
                    <a:stretch>
                      <a:fillRect/>
                    </a:stretch>
                  </pic:blipFill>
                  <pic:spPr bwMode="auto">
                    <a:xfrm>
                      <a:off x="0" y="0"/>
                      <a:ext cx="1225550" cy="228600"/>
                    </a:xfrm>
                    <a:prstGeom prst="rect">
                      <a:avLst/>
                    </a:prstGeom>
                  </pic:spPr>
                </pic:pic>
              </a:graphicData>
            </a:graphic>
          </wp:inline>
        </w:drawing>
      </w:r>
      <w:r>
        <w:rPr>
          <w:lang w:val="en-GB" w:eastAsia="en-US"/>
        </w:rPr>
      </w:r>
      <w:r>
        <w:rPr>
          <w:lang w:val="en-GB" w:eastAsia="en-US"/>
        </w:rPr>
        <w:fldChar w:fldCharType="end"/>
      </w:r>
    </w:p>
    <w:p>
      <w:pPr>
        <w:pStyle w:val="EQ"/>
        <w:rPr>
          <w:lang w:val="en-GB" w:eastAsia="en-US"/>
        </w:rPr>
      </w:pPr>
      <w:r>
        <w:rPr>
          <w:lang w:val="en-GB" w:eastAsia="en-US"/>
        </w:rPr>
        <w:t xml:space="preserve">Signal to noise ratio </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1384300" cy="317500"/>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17"/>
                    <a:srcRect l="-26" t="-114" r="-26" b="-114"/>
                    <a:stretch>
                      <a:fillRect/>
                    </a:stretch>
                  </pic:blipFill>
                  <pic:spPr bwMode="auto">
                    <a:xfrm>
                      <a:off x="0" y="0"/>
                      <a:ext cx="1384300" cy="317500"/>
                    </a:xfrm>
                    <a:prstGeom prst="rect">
                      <a:avLst/>
                    </a:prstGeom>
                  </pic:spPr>
                </pic:pic>
              </a:graphicData>
            </a:graphic>
          </wp:inline>
        </w:drawing>
      </w:r>
      <w:r>
        <w:rPr>
          <w:lang w:val="en-GB" w:eastAsia="en-US"/>
        </w:rPr>
      </w:r>
      <w:r>
        <w:rPr>
          <w:lang w:val="en-GB" w:eastAsia="en-US"/>
        </w:rPr>
        <w:fldChar w:fldCharType="end"/>
      </w:r>
      <w:r>
        <w:rPr>
          <w:lang w:val="en-GB" w:eastAsia="en-US"/>
        </w:rPr>
        <w:t xml:space="preserve"> with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654050" cy="228600"/>
            <wp:effectExtent l="0" t="0" r="0" b="0"/>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18"/>
                    <a:srcRect l="-55" t="-157" r="-55" b="-157"/>
                    <a:stretch>
                      <a:fillRect/>
                    </a:stretch>
                  </pic:blipFill>
                  <pic:spPr bwMode="auto">
                    <a:xfrm>
                      <a:off x="0" y="0"/>
                      <a:ext cx="654050" cy="228600"/>
                    </a:xfrm>
                    <a:prstGeom prst="rect">
                      <a:avLst/>
                    </a:prstGeom>
                  </pic:spPr>
                </pic:pic>
              </a:graphicData>
            </a:graphic>
          </wp:inline>
        </w:drawing>
      </w:r>
      <w:r>
        <w:rPr>
          <w:position w:val="-4"/>
          <w:lang w:val="en-GB" w:eastAsia="en-US"/>
        </w:rPr>
      </w:r>
      <w:r>
        <w:rPr>
          <w:position w:val="-4"/>
          <w:lang w:val="en-GB" w:eastAsia="en-US"/>
        </w:rPr>
        <w:fldChar w:fldCharType="end"/>
      </w:r>
    </w:p>
    <w:p>
      <w:pPr>
        <w:pStyle w:val="Normal"/>
        <w:rPr/>
      </w:pPr>
      <w:r>
        <w:rPr/>
        <w:t>As EVS is a switched codec containing a LPC based speech coder and a MDCT based transform coder, the SNR values vary significantly depending on the used coding mode. Therefore, a constant threshold for the SNR is not suitable but instead, a reference value per frame and test vector should be specified. The SNR should be compared against the thresholds by</w:t>
      </w:r>
    </w:p>
    <w:p>
      <w:pPr>
        <w:pStyle w:val="EQ"/>
        <w:rPr/>
      </w:pP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r>
      <w:r>
        <w:rPr>
          <w:lang w:val="en-GB" w:eastAsia="en-US"/>
        </w:rPr>
        <w:fldChar w:fldCharType="end"/>
      </w:r>
      <w:r>
        <w:rPr>
          <w:lang w:val="en-GB" w:eastAsia="en-US"/>
        </w:rPr>
        <w:t xml:space="preserve"> </w:t>
      </w:r>
      <w:r>
        <w:rPr>
          <w:rFonts w:eastAsia="SimSun;宋体"/>
          <w:kern w:val="2"/>
          <w:lang w:val="en-GB" w:eastAsia="zh-CN"/>
        </w:rPr>
        <w:drawing>
          <wp:inline distT="0" distB="0" distL="0" distR="0">
            <wp:extent cx="2546350" cy="209550"/>
            <wp:effectExtent l="0" t="0" r="0" b="0"/>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19"/>
                    <a:srcRect l="-14" t="-172" r="-14" b="-172"/>
                    <a:stretch>
                      <a:fillRect/>
                    </a:stretch>
                  </pic:blipFill>
                  <pic:spPr bwMode="auto">
                    <a:xfrm>
                      <a:off x="0" y="0"/>
                      <a:ext cx="2546350" cy="209550"/>
                    </a:xfrm>
                    <a:prstGeom prst="rect">
                      <a:avLst/>
                    </a:prstGeom>
                  </pic:spPr>
                </pic:pic>
              </a:graphicData>
            </a:graphic>
          </wp:inline>
        </w:drawing>
      </w:r>
      <w:r>
        <w:rPr>
          <w:lang w:val="en-GB" w:eastAsia="en-US"/>
        </w:rPr>
        <w:t xml:space="preserve">where </w:t>
      </w:r>
      <w:r>
        <w:fldChar w:fldCharType="begin"/>
      </w:r>
      <w:r>
        <w:rPr>
          <w:position w:val="-5"/>
          <w:lang w:val="en-GB" w:eastAsia="en-US"/>
        </w:rPr>
        <w:instrText xml:space="preserve"> QUOTE _x0001_ </w:instrText>
      </w:r>
      <w:r>
        <w:rPr>
          <w:position w:val="-5"/>
          <w:lang w:val="en-GB" w:eastAsia="en-US"/>
        </w:rPr>
      </w:r>
      <w:r>
        <w:rPr>
          <w:position w:val="-5"/>
          <w:lang w:val="en-GB" w:eastAsia="en-US"/>
        </w:rPr>
        <w:fldChar w:fldCharType="separate"/>
      </w:r>
      <w:r>
        <w:rPr>
          <w:position w:val="-5"/>
          <w:lang w:val="en-GB" w:eastAsia="en-US"/>
        </w:rPr>
      </w:r>
      <w:r>
        <w:rPr>
          <w:position w:val="-5"/>
          <w:lang w:val="en-GB" w:eastAsia="en-US"/>
        </w:rPr>
        <w:drawing>
          <wp:inline distT="0" distB="0" distL="0" distR="0">
            <wp:extent cx="76200" cy="222250"/>
            <wp:effectExtent l="0" t="0" r="0" b="0"/>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0"/>
                    <a:srcRect l="-474" t="-162" r="-474" b="-162"/>
                    <a:stretch>
                      <a:fillRect/>
                    </a:stretch>
                  </pic:blipFill>
                  <pic:spPr bwMode="auto">
                    <a:xfrm>
                      <a:off x="0" y="0"/>
                      <a:ext cx="76200" cy="222250"/>
                    </a:xfrm>
                    <a:prstGeom prst="rect">
                      <a:avLst/>
                    </a:prstGeom>
                  </pic:spPr>
                </pic:pic>
              </a:graphicData>
            </a:graphic>
          </wp:inline>
        </w:drawing>
      </w:r>
      <w:r>
        <w:rPr>
          <w:position w:val="-5"/>
          <w:lang w:val="en-GB" w:eastAsia="en-US"/>
        </w:rPr>
      </w:r>
      <w:r>
        <w:rPr>
          <w:position w:val="-5"/>
          <w:lang w:val="en-GB" w:eastAsia="en-US"/>
        </w:rPr>
        <w:fldChar w:fldCharType="end"/>
      </w:r>
      <w:r>
        <w:rPr>
          <w:lang w:val="en-GB" w:eastAsia="en-US"/>
        </w:rPr>
        <w:t xml:space="preserve"> is a 20 ms frame index and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69850" cy="222250"/>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1"/>
                    <a:srcRect l="-515" t="-162" r="-515" b="-162"/>
                    <a:stretch>
                      <a:fillRect/>
                    </a:stretch>
                  </pic:blipFill>
                  <pic:spPr bwMode="auto">
                    <a:xfrm>
                      <a:off x="0" y="0"/>
                      <a:ext cx="69850" cy="22225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 xml:space="preserve"> is the test vector index</w:t>
      </w:r>
    </w:p>
    <w:p>
      <w:pPr>
        <w:pStyle w:val="Normal"/>
        <w:rPr/>
      </w:pPr>
      <w:r>
        <w:rPr/>
        <w:t xml:space="preserve">This means, a potential conformance package needs to provide the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292100" cy="177800"/>
            <wp:effectExtent l="0" t="0" r="0" b="0"/>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2"/>
                    <a:srcRect l="-123" t="-203" r="-123" b="-203"/>
                    <a:stretch>
                      <a:fillRect/>
                    </a:stretch>
                  </pic:blipFill>
                  <pic:spPr bwMode="auto">
                    <a:xfrm>
                      <a:off x="0" y="0"/>
                      <a:ext cx="292100" cy="177800"/>
                    </a:xfrm>
                    <a:prstGeom prst="rect">
                      <a:avLst/>
                    </a:prstGeom>
                  </pic:spPr>
                </pic:pic>
              </a:graphicData>
            </a:graphic>
          </wp:inline>
        </w:drawing>
      </w:r>
      <w:r>
        <w:rPr>
          <w:position w:val="-6"/>
        </w:rPr>
      </w:r>
      <w:r>
        <w:rPr>
          <w:position w:val="-6"/>
        </w:rPr>
        <w:fldChar w:fldCharType="end"/>
      </w:r>
      <w:r>
        <w:rPr/>
        <w:t xml:space="preserve"> values for all test vectors and frames.</w:t>
      </w:r>
    </w:p>
    <w:p>
      <w:pPr>
        <w:pStyle w:val="Heading4"/>
        <w:ind w:left="1418" w:hanging="1418"/>
        <w:rPr/>
      </w:pPr>
      <w:bookmarkStart w:id="23" w:name="__RefHeading___Toc524274772"/>
      <w:bookmarkEnd w:id="23"/>
      <w:r>
        <w:rPr/>
        <w:t>5.2.2.2</w:t>
        <w:tab/>
        <w:t>Thresholds and Criteria</w:t>
      </w:r>
    </w:p>
    <w:p>
      <w:pPr>
        <w:pStyle w:val="Normal"/>
        <w:rPr>
          <w:szCs w:val="24"/>
        </w:rPr>
      </w:pPr>
      <w:r>
        <w:rPr/>
        <w:t xml:space="preserve">The SNR reference values are created per test vector </w:t>
      </w:r>
      <w:r>
        <w:fldChar w:fldCharType="begin"/>
      </w:r>
      <w:r>
        <w:rPr>
          <w:position w:val="-5"/>
          <w:kern w:val="2"/>
          <w:rFonts w:eastAsia="SimSun;宋体" w:cs="Arial"/>
          <w:color w:val="0000FF"/>
          <w:lang w:eastAsia="zh-CN"/>
        </w:rPr>
        <w:instrText xml:space="preserve"> QUOTE _x0001_ </w:instrText>
      </w:r>
      <w:r>
        <w:rPr>
          <w:rFonts w:eastAsia="SimSun;宋体" w:cs="Arial"/>
          <w:color w:val="0000FF"/>
          <w:kern w:val="2"/>
          <w:position w:val="-5"/>
          <w:lang w:eastAsia="zh-CN"/>
        </w:rPr>
      </w:r>
      <w:r>
        <w:rPr>
          <w:position w:val="-5"/>
          <w:kern w:val="2"/>
          <w:rFonts w:eastAsia="SimSun;宋体" w:cs="Arial"/>
          <w:color w:val="0000FF"/>
          <w:lang w:eastAsia="zh-CN"/>
        </w:rPr>
        <w:fldChar w:fldCharType="separate"/>
      </w:r>
      <w:r>
        <w:rPr>
          <w:rFonts w:eastAsia="SimSun;宋体" w:cs="Arial"/>
          <w:color w:val="0000FF"/>
          <w:kern w:val="2"/>
          <w:position w:val="-5"/>
          <w:lang w:eastAsia="zh-CN"/>
        </w:rPr>
      </w:r>
      <w:r>
        <w:rPr>
          <w:rFonts w:eastAsia="SimSun;宋体" w:cs="Arial"/>
          <w:color w:val="0000FF"/>
          <w:kern w:val="2"/>
          <w:position w:val="-5"/>
          <w:lang w:eastAsia="zh-CN"/>
        </w:rPr>
        <w:drawing>
          <wp:inline distT="0" distB="0" distL="0" distR="0">
            <wp:extent cx="82550" cy="190500"/>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3"/>
                    <a:srcRect l="-437" t="-189" r="-437" b="-189"/>
                    <a:stretch>
                      <a:fillRect/>
                    </a:stretch>
                  </pic:blipFill>
                  <pic:spPr bwMode="auto">
                    <a:xfrm>
                      <a:off x="0" y="0"/>
                      <a:ext cx="82550" cy="190500"/>
                    </a:xfrm>
                    <a:prstGeom prst="rect">
                      <a:avLst/>
                    </a:prstGeom>
                  </pic:spPr>
                </pic:pic>
              </a:graphicData>
            </a:graphic>
          </wp:inline>
        </w:drawing>
      </w:r>
      <w:r>
        <w:rPr>
          <w:rFonts w:eastAsia="SimSun;宋体" w:cs="Arial"/>
          <w:color w:val="0000FF"/>
          <w:kern w:val="2"/>
          <w:position w:val="-5"/>
          <w:lang w:eastAsia="zh-CN"/>
        </w:rPr>
      </w:r>
      <w:r>
        <w:rPr>
          <w:position w:val="-5"/>
          <w:kern w:val="2"/>
          <w:rFonts w:eastAsia="SimSun;宋体" w:cs="Arial"/>
          <w:color w:val="0000FF"/>
          <w:lang w:eastAsia="zh-CN"/>
        </w:rPr>
        <w:fldChar w:fldCharType="end"/>
      </w:r>
      <w:r>
        <w:rPr/>
        <w:t xml:space="preserve"> and frame </w:t>
      </w:r>
      <w:r>
        <w:fldChar w:fldCharType="begin"/>
      </w:r>
      <w:r>
        <w:rPr>
          <w:position w:val="-5"/>
          <w:kern w:val="2"/>
          <w:rFonts w:eastAsia="SimSun;宋体" w:cs="Arial"/>
          <w:color w:val="0000FF"/>
          <w:lang w:eastAsia="zh-CN"/>
        </w:rPr>
        <w:instrText xml:space="preserve"> QUOTE _x0001_ </w:instrText>
      </w:r>
      <w:r>
        <w:rPr>
          <w:rFonts w:eastAsia="SimSun;宋体" w:cs="Arial"/>
          <w:color w:val="0000FF"/>
          <w:kern w:val="2"/>
          <w:position w:val="-5"/>
          <w:lang w:eastAsia="zh-CN"/>
        </w:rPr>
      </w:r>
      <w:r>
        <w:rPr>
          <w:position w:val="-5"/>
          <w:kern w:val="2"/>
          <w:rFonts w:eastAsia="SimSun;宋体" w:cs="Arial"/>
          <w:color w:val="0000FF"/>
          <w:lang w:eastAsia="zh-CN"/>
        </w:rPr>
        <w:fldChar w:fldCharType="separate"/>
      </w:r>
      <w:r>
        <w:rPr>
          <w:rFonts w:eastAsia="SimSun;宋体" w:cs="Arial"/>
          <w:color w:val="0000FF"/>
          <w:kern w:val="2"/>
          <w:position w:val="-5"/>
          <w:lang w:eastAsia="zh-CN"/>
        </w:rPr>
      </w:r>
      <w:r>
        <w:rPr>
          <w:rFonts w:eastAsia="SimSun;宋体" w:cs="Arial"/>
          <w:color w:val="0000FF"/>
          <w:kern w:val="2"/>
          <w:position w:val="-5"/>
          <w:lang w:eastAsia="zh-CN"/>
        </w:rPr>
        <w:drawing>
          <wp:inline distT="0" distB="0" distL="0" distR="0">
            <wp:extent cx="82550" cy="190500"/>
            <wp:effectExtent l="0" t="0" r="0" b="0"/>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4"/>
                    <a:srcRect l="-437" t="-189" r="-437" b="-189"/>
                    <a:stretch>
                      <a:fillRect/>
                    </a:stretch>
                  </pic:blipFill>
                  <pic:spPr bwMode="auto">
                    <a:xfrm>
                      <a:off x="0" y="0"/>
                      <a:ext cx="82550" cy="190500"/>
                    </a:xfrm>
                    <a:prstGeom prst="rect">
                      <a:avLst/>
                    </a:prstGeom>
                  </pic:spPr>
                </pic:pic>
              </a:graphicData>
            </a:graphic>
          </wp:inline>
        </w:drawing>
      </w:r>
      <w:r>
        <w:rPr>
          <w:rFonts w:eastAsia="SimSun;宋体" w:cs="Arial"/>
          <w:color w:val="0000FF"/>
          <w:kern w:val="2"/>
          <w:position w:val="-5"/>
          <w:lang w:eastAsia="zh-CN"/>
        </w:rPr>
      </w:r>
      <w:r>
        <w:rPr>
          <w:position w:val="-5"/>
          <w:kern w:val="2"/>
          <w:rFonts w:eastAsia="SimSun;宋体" w:cs="Arial"/>
          <w:color w:val="0000FF"/>
          <w:lang w:eastAsia="zh-CN"/>
        </w:rPr>
        <w:fldChar w:fldCharType="end"/>
      </w:r>
      <w:r>
        <w:rPr/>
        <w:t xml:space="preserve"> </w:t>
      </w:r>
      <w:r>
        <w:fldChar w:fldCharType="begin"/>
      </w:r>
      <w:r>
        <w:rPr>
          <w:position w:val="-8"/>
          <w:kern w:val="2"/>
          <w:rFonts w:eastAsia="SimSun;宋体" w:cs="Arial"/>
          <w:color w:val="0000FF"/>
          <w:lang w:eastAsia="zh-CN"/>
        </w:rPr>
        <w:instrText xml:space="preserve"> QUOTE _x0001_ </w:instrText>
      </w:r>
      <w:r>
        <w:rPr>
          <w:rFonts w:eastAsia="SimSun;宋体" w:cs="Arial"/>
          <w:color w:val="0000FF"/>
          <w:kern w:val="2"/>
          <w:position w:val="-8"/>
          <w:lang w:eastAsia="zh-CN"/>
        </w:rPr>
      </w:r>
      <w:r>
        <w:rPr>
          <w:position w:val="-8"/>
          <w:kern w:val="2"/>
          <w:rFonts w:eastAsia="SimSun;宋体" w:cs="Arial"/>
          <w:color w:val="0000FF"/>
          <w:lang w:eastAsia="zh-CN"/>
        </w:rPr>
        <w:fldChar w:fldCharType="separate"/>
      </w:r>
      <w:r>
        <w:rPr>
          <w:rFonts w:eastAsia="SimSun;宋体" w:cs="Arial"/>
          <w:color w:val="0000FF"/>
          <w:kern w:val="2"/>
          <w:position w:val="-8"/>
          <w:lang w:eastAsia="zh-CN"/>
        </w:rPr>
      </w:r>
      <w:r>
        <w:rPr>
          <w:rFonts w:eastAsia="SimSun;宋体" w:cs="Arial"/>
          <w:color w:val="0000FF"/>
          <w:kern w:val="2"/>
          <w:position w:val="-8"/>
          <w:lang w:eastAsia="zh-CN"/>
        </w:rPr>
        <w:drawing>
          <wp:inline distT="0" distB="0" distL="0" distR="0">
            <wp:extent cx="812800" cy="234950"/>
            <wp:effectExtent l="0" t="0" r="0" b="0"/>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25"/>
                    <a:srcRect l="-44" t="-153" r="-44" b="-153"/>
                    <a:stretch>
                      <a:fillRect/>
                    </a:stretch>
                  </pic:blipFill>
                  <pic:spPr bwMode="auto">
                    <a:xfrm>
                      <a:off x="0" y="0"/>
                      <a:ext cx="812800" cy="234950"/>
                    </a:xfrm>
                    <a:prstGeom prst="rect">
                      <a:avLst/>
                    </a:prstGeom>
                  </pic:spPr>
                </pic:pic>
              </a:graphicData>
            </a:graphic>
          </wp:inline>
        </w:drawing>
      </w:r>
      <w:r>
        <w:rPr>
          <w:rFonts w:eastAsia="SimSun;宋体" w:cs="Arial"/>
          <w:color w:val="0000FF"/>
          <w:kern w:val="2"/>
          <w:position w:val="-8"/>
          <w:lang w:eastAsia="zh-CN"/>
        </w:rPr>
      </w:r>
      <w:r>
        <w:rPr>
          <w:position w:val="-8"/>
          <w:kern w:val="2"/>
          <w:rFonts w:eastAsia="SimSun;宋体" w:cs="Arial"/>
          <w:color w:val="0000FF"/>
          <w:lang w:eastAsia="zh-CN"/>
        </w:rPr>
        <w:fldChar w:fldCharType="end"/>
      </w:r>
      <w:r>
        <w:rPr/>
        <w:t xml:space="preserve"> Three example platforms are compared to the test vectors created using the reference platform (Windows). The final SNR references are the minimum values out of the three example platforms. </w:t>
      </w:r>
    </w:p>
    <w:p>
      <w:pPr>
        <w:pStyle w:val="Normal"/>
        <w:rPr/>
      </w:pPr>
      <w:r>
        <w:rPr/>
        <w:t>The three example platforms are listed in the following:</w:t>
      </w:r>
    </w:p>
    <w:p>
      <w:pPr>
        <w:pStyle w:val="B1"/>
        <w:rPr/>
      </w:pPr>
      <w:r>
        <w:rPr/>
        <w:t>-</w:t>
        <w:tab/>
        <w:t>Linux, GCC, OPTIM=3, TARGET_PLATFORM=x86_64</w:t>
      </w:r>
    </w:p>
    <w:p>
      <w:pPr>
        <w:pStyle w:val="B1"/>
        <w:rPr/>
      </w:pPr>
      <w:r>
        <w:rPr/>
        <w:t>-</w:t>
        <w:tab/>
        <w:t>macOS, CLANG, OPTIM=3, TARGET_PLATFORM=x86_64</w:t>
      </w:r>
    </w:p>
    <w:p>
      <w:pPr>
        <w:pStyle w:val="B1"/>
        <w:rPr/>
      </w:pPr>
      <w:r>
        <w:rPr>
          <w:rFonts w:cs="Arial"/>
          <w:color w:val="333333"/>
          <w:shd w:fill="FFFFFF" w:val="clear"/>
        </w:rPr>
        <w:t>-</w:t>
        <w:tab/>
        <w:t>arm-linux-gnueabihf_armv7, OPTIM=3</w:t>
      </w:r>
    </w:p>
    <w:p>
      <w:pPr>
        <w:pStyle w:val="Normal"/>
        <w:rPr>
          <w:szCs w:val="22"/>
        </w:rPr>
      </w:pPr>
      <w:r>
        <w:rPr>
          <w:szCs w:val="22"/>
        </w:rPr>
        <w:t xml:space="preserve">For all platform, the default test vectors are processed by </w:t>
      </w:r>
    </w:p>
    <w:p>
      <w:pPr>
        <w:pStyle w:val="B1"/>
        <w:rPr/>
      </w:pPr>
      <w:r>
        <w:rPr>
          <w:shd w:fill="FFFFFF" w:val="clear"/>
        </w:rPr>
        <w:t>-</w:t>
        <w:tab/>
        <w:t xml:space="preserve">./Readme_AMRWB_IO_dec_multi.txt; </w:t>
      </w:r>
    </w:p>
    <w:p>
      <w:pPr>
        <w:pStyle w:val="B1"/>
        <w:rPr/>
      </w:pPr>
      <w:r>
        <w:rPr>
          <w:shd w:fill="FFFFFF" w:val="clear"/>
        </w:rPr>
        <w:t>-</w:t>
        <w:tab/>
        <w:t xml:space="preserve">./Readme_EVS_dec_multi.txt; </w:t>
      </w:r>
    </w:p>
    <w:p>
      <w:pPr>
        <w:pStyle w:val="B1"/>
        <w:rPr/>
      </w:pPr>
      <w:r>
        <w:rPr>
          <w:shd w:fill="FFFFFF" w:val="clear"/>
        </w:rPr>
        <w:t>-</w:t>
        <w:tab/>
        <w:t>./Readme_JBM_dec_multi.txt</w:t>
      </w:r>
    </w:p>
    <w:p>
      <w:pPr>
        <w:pStyle w:val="Normal"/>
        <w:rPr>
          <w:szCs w:val="22"/>
        </w:rPr>
      </w:pPr>
      <w:r>
        <w:rPr>
          <w:szCs w:val="22"/>
        </w:rPr>
        <w:t xml:space="preserve">For each platform </w:t>
      </w:r>
      <w:r>
        <w:fldChar w:fldCharType="begin"/>
      </w:r>
      <w:r>
        <w:rPr>
          <w:position w:val="-5"/>
          <w:kern w:val="2"/>
          <w:rFonts w:eastAsia="SimSun;宋体" w:cs="Arial"/>
          <w:color w:val="0000FF"/>
          <w:lang w:eastAsia="zh-CN"/>
        </w:rPr>
        <w:instrText xml:space="preserve"> QUOTE _x0001_ </w:instrText>
      </w:r>
      <w:r>
        <w:rPr>
          <w:rFonts w:eastAsia="SimSun;宋体" w:cs="Arial"/>
          <w:color w:val="0000FF"/>
          <w:kern w:val="2"/>
          <w:position w:val="-5"/>
          <w:lang w:eastAsia="zh-CN"/>
        </w:rPr>
      </w:r>
      <w:r>
        <w:rPr>
          <w:position w:val="-5"/>
          <w:kern w:val="2"/>
          <w:rFonts w:eastAsia="SimSun;宋体" w:cs="Arial"/>
          <w:color w:val="0000FF"/>
          <w:lang w:eastAsia="zh-CN"/>
        </w:rPr>
        <w:fldChar w:fldCharType="separate"/>
      </w:r>
      <w:r>
        <w:rPr>
          <w:rFonts w:eastAsia="SimSun;宋体" w:cs="Arial"/>
          <w:color w:val="0000FF"/>
          <w:kern w:val="2"/>
          <w:position w:val="-5"/>
          <w:lang w:eastAsia="zh-CN"/>
        </w:rPr>
      </w:r>
      <w:r>
        <w:rPr>
          <w:rFonts w:eastAsia="SimSun;宋体" w:cs="Arial"/>
          <w:color w:val="0000FF"/>
          <w:kern w:val="2"/>
          <w:position w:val="-5"/>
          <w:lang w:eastAsia="zh-CN"/>
        </w:rPr>
        <w:drawing>
          <wp:inline distT="0" distB="0" distL="0" distR="0">
            <wp:extent cx="82550" cy="190500"/>
            <wp:effectExtent l="0" t="0" r="0" b="0"/>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26"/>
                    <a:srcRect l="-437" t="-189" r="-437" b="-189"/>
                    <a:stretch>
                      <a:fillRect/>
                    </a:stretch>
                  </pic:blipFill>
                  <pic:spPr bwMode="auto">
                    <a:xfrm>
                      <a:off x="0" y="0"/>
                      <a:ext cx="82550" cy="190500"/>
                    </a:xfrm>
                    <a:prstGeom prst="rect">
                      <a:avLst/>
                    </a:prstGeom>
                  </pic:spPr>
                </pic:pic>
              </a:graphicData>
            </a:graphic>
          </wp:inline>
        </w:drawing>
      </w:r>
      <w:r>
        <w:rPr>
          <w:rFonts w:eastAsia="SimSun;宋体" w:cs="Arial"/>
          <w:color w:val="0000FF"/>
          <w:kern w:val="2"/>
          <w:position w:val="-5"/>
          <w:lang w:eastAsia="zh-CN"/>
        </w:rPr>
      </w:r>
      <w:r>
        <w:rPr>
          <w:position w:val="-5"/>
          <w:kern w:val="2"/>
          <w:rFonts w:eastAsia="SimSun;宋体" w:cs="Arial"/>
          <w:color w:val="0000FF"/>
          <w:lang w:eastAsia="zh-CN"/>
        </w:rPr>
        <w:fldChar w:fldCharType="end"/>
      </w:r>
      <w:r>
        <w:rPr>
          <w:szCs w:val="22"/>
        </w:rPr>
        <w:t xml:space="preserve"> the SNR values are determined for each frame and vector by:</w:t>
      </w:r>
    </w:p>
    <w:p>
      <w:pPr>
        <w:pStyle w:val="EQ"/>
        <w:rPr>
          <w:lang w:val="en-GB" w:eastAsia="en-US"/>
        </w:rPr>
      </w:pPr>
      <w:r>
        <w:fldChar w:fldCharType="begin"/>
      </w:r>
      <w:r>
        <w:rPr>
          <w:kern w:val="2"/>
          <w:lang w:val="en-GB" w:eastAsia="zh-CN"/>
        </w:rPr>
        <w:instrText xml:space="preserve"> QUOTE _x0001_ </w:instrText>
      </w:r>
      <w:r>
        <w:rPr>
          <w:kern w:val="2"/>
          <w:lang w:val="en-GB" w:eastAsia="zh-CN"/>
        </w:rPr>
      </w:r>
      <w:r>
        <w:rPr>
          <w:kern w:val="2"/>
          <w:lang w:val="en-GB" w:eastAsia="zh-CN"/>
        </w:rPr>
        <w:fldChar w:fldCharType="separate"/>
      </w:r>
      <w:r>
        <w:rPr>
          <w:kern w:val="2"/>
          <w:lang w:val="en-GB" w:eastAsia="zh-CN"/>
        </w:rPr>
      </w:r>
      <w:r>
        <w:rPr>
          <w:kern w:val="2"/>
          <w:lang w:val="en-GB" w:eastAsia="zh-CN"/>
        </w:rPr>
        <w:drawing>
          <wp:inline distT="0" distB="0" distL="0" distR="0">
            <wp:extent cx="3670300" cy="292100"/>
            <wp:effectExtent l="0" t="0" r="0" b="0"/>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27"/>
                    <a:srcRect l="-10" t="-123" r="-10" b="-123"/>
                    <a:stretch>
                      <a:fillRect/>
                    </a:stretch>
                  </pic:blipFill>
                  <pic:spPr bwMode="auto">
                    <a:xfrm>
                      <a:off x="0" y="0"/>
                      <a:ext cx="3670300" cy="292100"/>
                    </a:xfrm>
                    <a:prstGeom prst="rect">
                      <a:avLst/>
                    </a:prstGeom>
                  </pic:spPr>
                </pic:pic>
              </a:graphicData>
            </a:graphic>
          </wp:inline>
        </w:drawing>
      </w:r>
      <w:r>
        <w:rPr>
          <w:kern w:val="2"/>
          <w:lang w:val="en-GB" w:eastAsia="zh-CN"/>
        </w:rPr>
      </w:r>
      <w:r>
        <w:rPr>
          <w:kern w:val="2"/>
          <w:lang w:val="en-GB" w:eastAsia="zh-CN"/>
        </w:rPr>
        <w:fldChar w:fldCharType="end"/>
      </w:r>
    </w:p>
    <w:p>
      <w:pPr>
        <w:pStyle w:val="Normal"/>
        <w:rPr/>
      </w:pPr>
      <w:r>
        <w:rPr/>
        <w:t>The combined SNR reference value is then given by:</w:t>
      </w:r>
    </w:p>
    <w:p>
      <w:pPr>
        <w:pStyle w:val="EQ"/>
        <w:rPr>
          <w:lang w:val="en-GB" w:eastAsia="en-US"/>
        </w:rPr>
      </w:pPr>
      <w:r>
        <w:fldChar w:fldCharType="begin"/>
      </w:r>
      <w:r>
        <w:rPr>
          <w:kern w:val="2"/>
          <w:lang w:val="en-GB" w:eastAsia="zh-CN"/>
        </w:rPr>
        <w:instrText xml:space="preserve"> QUOTE _x0001_ </w:instrText>
      </w:r>
      <w:r>
        <w:rPr>
          <w:kern w:val="2"/>
          <w:lang w:val="en-GB" w:eastAsia="zh-CN"/>
        </w:rPr>
      </w:r>
      <w:r>
        <w:rPr>
          <w:kern w:val="2"/>
          <w:lang w:val="en-GB" w:eastAsia="zh-CN"/>
        </w:rPr>
        <w:fldChar w:fldCharType="separate"/>
      </w:r>
      <w:r>
        <w:rPr>
          <w:kern w:val="2"/>
          <w:lang w:val="en-GB" w:eastAsia="zh-CN"/>
        </w:rPr>
      </w:r>
      <w:r>
        <w:rPr>
          <w:kern w:val="2"/>
          <w:lang w:val="en-GB" w:eastAsia="zh-CN"/>
        </w:rPr>
        <w:drawing>
          <wp:inline distT="0" distB="0" distL="0" distR="0">
            <wp:extent cx="3860800" cy="279400"/>
            <wp:effectExtent l="0" t="0" r="0" b="0"/>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28"/>
                    <a:srcRect l="-9" t="-129" r="-9" b="-129"/>
                    <a:stretch>
                      <a:fillRect/>
                    </a:stretch>
                  </pic:blipFill>
                  <pic:spPr bwMode="auto">
                    <a:xfrm>
                      <a:off x="0" y="0"/>
                      <a:ext cx="3860800" cy="279400"/>
                    </a:xfrm>
                    <a:prstGeom prst="rect">
                      <a:avLst/>
                    </a:prstGeom>
                  </pic:spPr>
                </pic:pic>
              </a:graphicData>
            </a:graphic>
          </wp:inline>
        </w:drawing>
      </w:r>
      <w:r>
        <w:rPr>
          <w:kern w:val="2"/>
          <w:lang w:val="en-GB" w:eastAsia="zh-CN"/>
        </w:rPr>
      </w:r>
      <w:r>
        <w:rPr>
          <w:kern w:val="2"/>
          <w:lang w:val="en-GB" w:eastAsia="zh-CN"/>
        </w:rPr>
        <w:fldChar w:fldCharType="end"/>
      </w:r>
    </w:p>
    <w:p>
      <w:pPr>
        <w:pStyle w:val="Heading3"/>
        <w:rPr/>
      </w:pPr>
      <w:bookmarkStart w:id="24" w:name="__RefHeading___Toc524274773"/>
      <w:bookmarkEnd w:id="24"/>
      <w:r>
        <w:rPr/>
        <w:t>5.2.3</w:t>
        <w:tab/>
        <w:t>RMS error threshold</w:t>
      </w:r>
    </w:p>
    <w:p>
      <w:pPr>
        <w:pStyle w:val="Heading4"/>
        <w:ind w:left="1418" w:hanging="1418"/>
        <w:rPr/>
      </w:pPr>
      <w:bookmarkStart w:id="25" w:name="__RefHeading___Toc524274774"/>
      <w:bookmarkEnd w:id="25"/>
      <w:r>
        <w:rPr/>
        <w:t>5.2.3.1</w:t>
        <w:tab/>
        <w:t>Methodology</w:t>
      </w:r>
    </w:p>
    <w:p>
      <w:pPr>
        <w:pStyle w:val="Normal"/>
        <w:rPr/>
      </w:pPr>
      <w:r>
        <w:rPr/>
        <w:t>The RMS method is derived from the decoder conformance used in ISO/IEC 14496-26 [10]. The RMS error is calculated for each 20ms frame and compared to a threshold according to:</w:t>
      </w:r>
    </w:p>
    <w:p>
      <w:pPr>
        <w:pStyle w:val="EQ"/>
        <w:rPr>
          <w:lang w:val="en-GB" w:eastAsia="en-US"/>
        </w:rPr>
      </w:pPr>
      <w:r>
        <w:rPr>
          <w:lang w:val="en-GB" w:eastAsia="en-US"/>
        </w:rPr>
      </w:r>
    </w:p>
    <w:p>
      <w:pPr>
        <w:pStyle w:val="Heading4"/>
        <w:ind w:left="1418" w:hanging="1418"/>
        <w:rPr/>
      </w:pPr>
      <w:bookmarkStart w:id="26" w:name="__RefHeading___Toc524274775"/>
      <w:bookmarkEnd w:id="26"/>
      <w:r>
        <w:rPr/>
        <w:t>5.2.3.2</w:t>
        <w:tab/>
        <w:t>Thresholds and Criteria</w:t>
      </w:r>
    </w:p>
    <w:p>
      <w:pPr>
        <w:pStyle w:val="Normal"/>
        <w:rPr/>
      </w:pPr>
      <w:r>
        <w:rPr/>
        <w:t>Ideally the difference between fixed-point and floating-point implementation will be due to rounding in mathematical operation. One obvious value to choose for an RMS error threshold is to assume change on the last bit of the audio signal:</w:t>
      </w:r>
    </w:p>
    <w:p>
      <w:pPr>
        <w:pStyle w:val="EQ"/>
        <w:rPr>
          <w:lang w:val="en-GB" w:eastAsia="en-US"/>
        </w:rPr>
      </w:pP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1695450" cy="304800"/>
            <wp:effectExtent l="0" t="0" r="0" b="0"/>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29"/>
                    <a:srcRect l="-21" t="-118" r="-21" b="-118"/>
                    <a:stretch>
                      <a:fillRect/>
                    </a:stretch>
                  </pic:blipFill>
                  <pic:spPr bwMode="auto">
                    <a:xfrm>
                      <a:off x="0" y="0"/>
                      <a:ext cx="1695450" cy="304800"/>
                    </a:xfrm>
                    <a:prstGeom prst="rect">
                      <a:avLst/>
                    </a:prstGeom>
                  </pic:spPr>
                </pic:pic>
              </a:graphicData>
            </a:graphic>
          </wp:inline>
        </w:drawing>
      </w:r>
      <w:r>
        <w:rPr>
          <w:lang w:val="en-GB" w:eastAsia="en-US"/>
        </w:rPr>
      </w:r>
      <w:r>
        <w:rPr>
          <w:lang w:val="en-GB" w:eastAsia="en-US"/>
        </w:rPr>
        <w:fldChar w:fldCharType="end"/>
      </w:r>
      <w:r>
        <w:rPr>
          <w:lang w:val="en-GB" w:eastAsia="en-US"/>
        </w:rPr>
        <w:t xml:space="preserve"> with </w:t>
      </w:r>
      <w:r>
        <w:fldChar w:fldCharType="begin"/>
      </w:r>
      <w:r>
        <w:rPr>
          <w:position w:val="-6"/>
          <w:lang w:val="en-GB" w:eastAsia="en-US"/>
        </w:rPr>
        <w:instrText xml:space="preserve"> QUOTE _x0001_ </w:instrText>
      </w:r>
      <w:r>
        <w:rPr>
          <w:position w:val="-6"/>
          <w:lang w:val="en-GB" w:eastAsia="en-US"/>
        </w:rPr>
      </w:r>
      <w:r>
        <w:rPr>
          <w:position w:val="-6"/>
          <w:lang w:val="en-GB" w:eastAsia="en-US"/>
        </w:rPr>
        <w:fldChar w:fldCharType="separate"/>
      </w:r>
      <w:r>
        <w:rPr>
          <w:position w:val="-6"/>
          <w:lang w:val="en-GB" w:eastAsia="en-US"/>
        </w:rPr>
      </w:r>
      <w:r>
        <w:rPr>
          <w:position w:val="-6"/>
          <w:lang w:val="en-GB" w:eastAsia="en-US"/>
        </w:rPr>
        <w:drawing>
          <wp:inline distT="0" distB="0" distL="0" distR="0">
            <wp:extent cx="476250" cy="180975"/>
            <wp:effectExtent l="0" t="0" r="0" b="0"/>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0"/>
                    <a:srcRect l="-76" t="-199" r="-76" b="-199"/>
                    <a:stretch>
                      <a:fillRect/>
                    </a:stretch>
                  </pic:blipFill>
                  <pic:spPr bwMode="auto">
                    <a:xfrm>
                      <a:off x="0" y="0"/>
                      <a:ext cx="476250" cy="180975"/>
                    </a:xfrm>
                    <a:prstGeom prst="rect">
                      <a:avLst/>
                    </a:prstGeom>
                  </pic:spPr>
                </pic:pic>
              </a:graphicData>
            </a:graphic>
          </wp:inline>
        </w:drawing>
      </w:r>
      <w:r>
        <w:rPr>
          <w:position w:val="-6"/>
          <w:lang w:val="en-GB" w:eastAsia="en-US"/>
        </w:rPr>
      </w:r>
      <w:r>
        <w:rPr>
          <w:position w:val="-6"/>
          <w:lang w:val="en-GB" w:eastAsia="en-US"/>
        </w:rPr>
        <w:fldChar w:fldCharType="end"/>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r>
      <w:r>
        <w:rPr>
          <w:lang w:val="en-GB" w:eastAsia="en-US"/>
        </w:rPr>
        <w:fldChar w:fldCharType="end"/>
      </w:r>
    </w:p>
    <w:p>
      <w:pPr>
        <w:pStyle w:val="Heading3"/>
        <w:rPr/>
      </w:pPr>
      <w:bookmarkStart w:id="27" w:name="__RefHeading___Toc524274776"/>
      <w:bookmarkEnd w:id="27"/>
      <w:r>
        <w:rPr/>
        <w:t>5.2.4</w:t>
        <w:tab/>
        <w:t>Spectral Distortion</w:t>
      </w:r>
    </w:p>
    <w:p>
      <w:pPr>
        <w:pStyle w:val="Heading4"/>
        <w:ind w:left="1418" w:hanging="1418"/>
        <w:rPr/>
      </w:pPr>
      <w:bookmarkStart w:id="28" w:name="__RefHeading___Toc524274777"/>
      <w:bookmarkEnd w:id="28"/>
      <w:r>
        <w:rPr/>
        <w:t>5.2.4.1</w:t>
        <w:tab/>
        <w:t>Methodology</w:t>
      </w:r>
    </w:p>
    <w:p>
      <w:pPr>
        <w:pStyle w:val="Normal"/>
        <w:rPr/>
      </w:pPr>
      <w:r>
        <w:rPr/>
        <w:t>The spectral distortion method can be conducted on a 20 ms frame base by the following steps:</w:t>
      </w:r>
    </w:p>
    <w:p>
      <w:pPr>
        <w:pStyle w:val="B1"/>
        <w:rPr/>
      </w:pPr>
      <w:r>
        <w:rPr/>
        <w:t xml:space="preserve">Calculate the absolute FFT spectrum of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47650" cy="222250"/>
            <wp:effectExtent l="0" t="0" r="0" b="0"/>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1"/>
                    <a:srcRect l="-146" t="-162" r="-146" b="-162"/>
                    <a:stretch>
                      <a:fillRect/>
                    </a:stretch>
                  </pic:blipFill>
                  <pic:spPr bwMode="auto">
                    <a:xfrm>
                      <a:off x="0" y="0"/>
                      <a:ext cx="247650" cy="222250"/>
                    </a:xfrm>
                    <a:prstGeom prst="rect">
                      <a:avLst/>
                    </a:prstGeom>
                  </pic:spPr>
                </pic:pic>
              </a:graphicData>
            </a:graphic>
          </wp:inline>
        </w:drawing>
      </w:r>
      <w:r>
        <w:rPr>
          <w:position w:val="-5"/>
        </w:rPr>
      </w:r>
      <w:r>
        <w:rPr>
          <w:position w:val="-5"/>
        </w:rPr>
        <w:fldChar w:fldCharType="end"/>
      </w:r>
      <w:r>
        <w:rPr/>
        <w:t xml:space="preserve"> 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34950" cy="222250"/>
            <wp:effectExtent l="0" t="0" r="0" b="0"/>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2"/>
                    <a:srcRect l="-153" t="-162" r="-153" b="-162"/>
                    <a:stretch>
                      <a:fillRect/>
                    </a:stretch>
                  </pic:blipFill>
                  <pic:spPr bwMode="auto">
                    <a:xfrm>
                      <a:off x="0" y="0"/>
                      <a:ext cx="234950" cy="222250"/>
                    </a:xfrm>
                    <a:prstGeom prst="rect">
                      <a:avLst/>
                    </a:prstGeom>
                  </pic:spPr>
                </pic:pic>
              </a:graphicData>
            </a:graphic>
          </wp:inline>
        </w:drawing>
      </w:r>
      <w:r>
        <w:rPr>
          <w:position w:val="-5"/>
        </w:rPr>
      </w:r>
      <w:r>
        <w:rPr>
          <w:position w:val="-5"/>
        </w:rPr>
        <w:fldChar w:fldCharType="end"/>
      </w:r>
      <w:r>
        <w:rPr/>
        <w:t xml:space="preserve"> using a Hanning window</w:t>
      </w:r>
    </w:p>
    <w:p>
      <w:pPr>
        <w:pStyle w:val="EQ"/>
        <w:rPr>
          <w:lang w:val="en-GB" w:eastAsia="en-US"/>
        </w:rPr>
      </w:pP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3860800" cy="349250"/>
            <wp:effectExtent l="0" t="0" r="0" b="0"/>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33"/>
                    <a:srcRect l="-9" t="-103" r="-9" b="-103"/>
                    <a:stretch>
                      <a:fillRect/>
                    </a:stretch>
                  </pic:blipFill>
                  <pic:spPr bwMode="auto">
                    <a:xfrm>
                      <a:off x="0" y="0"/>
                      <a:ext cx="3860800" cy="349250"/>
                    </a:xfrm>
                    <a:prstGeom prst="rect">
                      <a:avLst/>
                    </a:prstGeom>
                  </pic:spPr>
                </pic:pic>
              </a:graphicData>
            </a:graphic>
          </wp:inline>
        </w:drawing>
      </w:r>
      <w:r>
        <w:rPr>
          <w:lang w:val="en-GB" w:eastAsia="en-US"/>
        </w:rPr>
      </w:r>
      <w:r>
        <w:rPr>
          <w:lang w:val="en-GB" w:eastAsia="en-US"/>
        </w:rPr>
        <w:fldChar w:fldCharType="end"/>
      </w:r>
    </w:p>
    <w:p>
      <w:pPr>
        <w:pStyle w:val="EQ"/>
        <w:rPr>
          <w:lang w:val="en-GB" w:eastAsia="en-US"/>
        </w:rPr>
      </w:pP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3841750" cy="349250"/>
            <wp:effectExtent l="0" t="0" r="0" b="0"/>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34"/>
                    <a:srcRect l="-9" t="-103" r="-9" b="-103"/>
                    <a:stretch>
                      <a:fillRect/>
                    </a:stretch>
                  </pic:blipFill>
                  <pic:spPr bwMode="auto">
                    <a:xfrm>
                      <a:off x="0" y="0"/>
                      <a:ext cx="3841750" cy="349250"/>
                    </a:xfrm>
                    <a:prstGeom prst="rect">
                      <a:avLst/>
                    </a:prstGeom>
                  </pic:spPr>
                </pic:pic>
              </a:graphicData>
            </a:graphic>
          </wp:inline>
        </w:drawing>
      </w:r>
      <w:r>
        <w:rPr>
          <w:lang w:val="en-GB" w:eastAsia="en-US"/>
        </w:rPr>
      </w:r>
      <w:r>
        <w:rPr>
          <w:lang w:val="en-GB" w:eastAsia="en-US"/>
        </w:rPr>
        <w:fldChar w:fldCharType="end"/>
      </w:r>
    </w:p>
    <w:p>
      <w:pPr>
        <w:pStyle w:val="EQ"/>
        <w:rPr>
          <w:lang w:val="en-GB" w:eastAsia="en-US"/>
        </w:rPr>
      </w:pPr>
      <w:r>
        <w:rPr>
          <w:lang w:val="en-GB" w:eastAsia="en-US"/>
        </w:rPr>
        <w:t xml:space="preserve">with </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1943100" cy="304800"/>
            <wp:effectExtent l="0" t="0" r="0" b="0"/>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35"/>
                    <a:srcRect l="-19" t="-118" r="-19" b="-118"/>
                    <a:stretch>
                      <a:fillRect/>
                    </a:stretch>
                  </pic:blipFill>
                  <pic:spPr bwMode="auto">
                    <a:xfrm>
                      <a:off x="0" y="0"/>
                      <a:ext cx="1943100" cy="304800"/>
                    </a:xfrm>
                    <a:prstGeom prst="rect">
                      <a:avLst/>
                    </a:prstGeom>
                  </pic:spPr>
                </pic:pic>
              </a:graphicData>
            </a:graphic>
          </wp:inline>
        </w:drawing>
      </w:r>
      <w:r>
        <w:rPr>
          <w:lang w:val="en-GB" w:eastAsia="en-US"/>
        </w:rPr>
      </w:r>
      <w:r>
        <w:rPr>
          <w:lang w:val="en-GB" w:eastAsia="en-US"/>
        </w:rPr>
        <w:fldChar w:fldCharType="end"/>
      </w:r>
      <w:r>
        <w:rPr>
          <w:lang w:val="en-GB" w:eastAsia="en-US"/>
        </w:rPr>
        <w:t xml:space="preserve">   </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952500" cy="222250"/>
            <wp:effectExtent l="0" t="0" r="0" b="0"/>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36"/>
                    <a:srcRect l="-38" t="-162" r="-38" b="-162"/>
                    <a:stretch>
                      <a:fillRect/>
                    </a:stretch>
                  </pic:blipFill>
                  <pic:spPr bwMode="auto">
                    <a:xfrm>
                      <a:off x="0" y="0"/>
                      <a:ext cx="952500" cy="222250"/>
                    </a:xfrm>
                    <a:prstGeom prst="rect">
                      <a:avLst/>
                    </a:prstGeom>
                  </pic:spPr>
                </pic:pic>
              </a:graphicData>
            </a:graphic>
          </wp:inline>
        </w:drawing>
      </w:r>
      <w:r>
        <w:rPr>
          <w:lang w:val="en-GB" w:eastAsia="en-US"/>
        </w:rPr>
      </w:r>
      <w:r>
        <w:rPr>
          <w:lang w:val="en-GB" w:eastAsia="en-US"/>
        </w:rPr>
        <w:fldChar w:fldCharType="end"/>
      </w:r>
    </w:p>
    <w:p>
      <w:pPr>
        <w:pStyle w:val="Normal"/>
        <w:rPr>
          <w:lang w:val="en-GB" w:eastAsia="en-US"/>
        </w:rPr>
      </w:pPr>
      <w:r>
        <w:rPr>
          <w:lang w:val="en-GB" w:eastAsia="en-US"/>
        </w:rPr>
      </w:r>
    </w:p>
    <w:p>
      <w:pPr>
        <w:pStyle w:val="Normal"/>
        <w:rPr/>
      </w:pPr>
      <w:r>
        <w:rPr/>
        <w:t xml:space="preserve">The 32768 is due to MATLAB scaling and to align to 16bit PCM C-code. This scaling is dependent on the input value range. </w:t>
      </w:r>
    </w:p>
    <w:p>
      <w:pPr>
        <w:pStyle w:val="Normal"/>
        <w:rPr/>
      </w:pPr>
      <w:r>
        <w:rPr/>
        <w:t>For all spectral bins the distortion d is calculated according to the following pseudo code:</w:t>
      </w:r>
    </w:p>
    <w:p>
      <w:pPr>
        <w:pStyle w:val="PL"/>
        <w:rPr>
          <w:lang w:val="en-GB" w:eastAsia="en-US"/>
        </w:rPr>
      </w:pPr>
      <w:r>
        <w:rPr>
          <w:lang w:val="en-GB" w:eastAsia="en-US"/>
        </w:rPr>
        <w:t>cnt=0</w:t>
      </w:r>
    </w:p>
    <w:p>
      <w:pPr>
        <w:pStyle w:val="PL"/>
        <w:rPr/>
      </w:pPr>
      <w:r>
        <w:rPr>
          <w:rStyle w:val="S1"/>
          <w:rFonts w:cs="Courier;Courier New" w:ascii="Courier;Courier New" w:hAnsi="Courier;Courier New"/>
          <w:color w:val="000000"/>
          <w:lang w:val="en-GB" w:eastAsia="en-US"/>
        </w:rPr>
        <w:t>d=0</w:t>
      </w:r>
    </w:p>
    <w:p>
      <w:pPr>
        <w:pStyle w:val="PL"/>
        <w:rPr/>
      </w:pPr>
      <w:r>
        <w:rPr>
          <w:rStyle w:val="S1"/>
          <w:rFonts w:cs="Courier;Courier New" w:ascii="Courier;Courier New" w:hAnsi="Courier;Courier New"/>
          <w:color w:val="000000"/>
          <w:lang w:val="en-GB" w:eastAsia="en-US"/>
        </w:rPr>
        <w:t>for</w:t>
      </w:r>
      <w:r>
        <w:rPr>
          <w:lang w:val="en-GB" w:eastAsia="en-US"/>
        </w:rPr>
        <w:t xml:space="preserve"> k=1..N/2-1</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if</w:t>
      </w:r>
      <w:r>
        <w:rPr>
          <w:lang w:val="en-GB" w:eastAsia="en-US"/>
        </w:rPr>
        <w:t xml:space="preserve">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37"/>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 xml:space="preserve">==0 &amp;&amp;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38"/>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==0)</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X_Y = 1;</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Y_X = 1;</w:t>
      </w:r>
    </w:p>
    <w:p>
      <w:pPr>
        <w:pStyle w:val="PL"/>
        <w:rPr>
          <w:lang w:val="en-GB" w:eastAsia="en-US"/>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else</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if</w:t>
      </w:r>
      <w:r>
        <w:rPr>
          <w:lang w:val="en-GB" w:eastAsia="en-US"/>
        </w:rPr>
        <w:t xml:space="preserve">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pic:cNvPicPr>
                      <a:picLocks noChangeAspect="1" noChangeArrowheads="1"/>
                    </pic:cNvPicPr>
                  </pic:nvPicPr>
                  <pic:blipFill>
                    <a:blip r:embed="rId39"/>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==0)</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X_Y = 0;</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Y_X = 2;</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else if</w:t>
      </w:r>
      <w:r>
        <w:rPr>
          <w:lang w:val="en-GB" w:eastAsia="en-US"/>
        </w:rPr>
        <w:t xml:space="preserve">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0"/>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==0)</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fr-FR" w:eastAsia="en-US"/>
        </w:rPr>
        <w:t>X_Y = 2;</w:t>
      </w:r>
    </w:p>
    <w:p>
      <w:pPr>
        <w:pStyle w:val="PL"/>
        <w:rPr/>
      </w:pP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lang w:val="fr-FR" w:eastAsia="en-US"/>
        </w:rPr>
        <w:t>Y_X = 0;</w:t>
      </w:r>
    </w:p>
    <w:p>
      <w:pPr>
        <w:pStyle w:val="PL"/>
        <w:rPr>
          <w:lang w:val="fr-FR" w:eastAsia="en-US"/>
        </w:rPr>
      </w:pP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S1"/>
          <w:rFonts w:cs="Courier;Courier New" w:ascii="Courier;Courier New" w:hAnsi="Courier;Courier New"/>
          <w:color w:val="000000"/>
          <w:lang w:val="fr-FR" w:eastAsia="en-US"/>
        </w:rPr>
        <w:t>else</w:t>
      </w:r>
    </w:p>
    <w:p>
      <w:pPr>
        <w:pStyle w:val="PL"/>
        <w:rPr/>
      </w:pP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lang w:val="fr-FR" w:eastAsia="en-US"/>
        </w:rPr>
        <w:t>X_Y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41"/>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fr-FR" w:eastAsia="en-US"/>
        </w:rPr>
        <w:t xml:space="preserve">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42"/>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fr-FR" w:eastAsia="en-US"/>
        </w:rPr>
        <w:t>)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43"/>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fr-FR" w:eastAsia="en-US"/>
        </w:rPr>
        <w:t xml:space="preserve">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4"/>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fr-FR" w:eastAsia="en-US"/>
        </w:rPr>
        <w:t>);</w:t>
      </w:r>
    </w:p>
    <w:p>
      <w:pPr>
        <w:pStyle w:val="PL"/>
        <w:rPr/>
      </w:pP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rStyle w:val="Appleconvertedspace"/>
          <w:rFonts w:cs="Courier;Courier New" w:ascii="Courier;Courier New" w:hAnsi="Courier;Courier New"/>
          <w:lang w:val="fr-FR" w:eastAsia="en-US"/>
        </w:rPr>
        <w:t> </w:t>
      </w:r>
      <w:r>
        <w:rPr>
          <w:rStyle w:val="Appleconvertedspace"/>
          <w:rFonts w:eastAsia="Courier;Courier New" w:cs="Courier;Courier New" w:ascii="Courier;Courier New" w:hAnsi="Courier;Courier New"/>
          <w:lang w:val="fr-FR" w:eastAsia="en-US"/>
        </w:rPr>
        <w:t xml:space="preserve"> </w:t>
      </w:r>
      <w:r>
        <w:rPr>
          <w:lang w:val="en-GB" w:eastAsia="en-US"/>
        </w:rPr>
        <w:t>Y_X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45"/>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 xml:space="preserve">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1150" cy="114300"/>
            <wp:effectExtent l="0" t="0" r="0" b="0"/>
            <wp:docPr id="5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pic:cNvPicPr>
                      <a:picLocks noChangeAspect="1" noChangeArrowheads="1"/>
                    </pic:cNvPicPr>
                  </pic:nvPicPr>
                  <pic:blipFill>
                    <a:blip r:embed="rId46"/>
                    <a:srcRect l="-116" t="-315" r="-116" b="-315"/>
                    <a:stretch>
                      <a:fillRect/>
                    </a:stretch>
                  </pic:blipFill>
                  <pic:spPr bwMode="auto">
                    <a:xfrm>
                      <a:off x="0" y="0"/>
                      <a:ext cx="31115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47"/>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 xml:space="preserve"> * </w:t>
      </w:r>
      <w:r>
        <w:fldChar w:fldCharType="begin"/>
      </w:r>
      <w:r>
        <w:rPr>
          <w:position w:val="-4"/>
          <w:lang w:val="en-GB" w:eastAsia="en-US"/>
        </w:rPr>
        <w:instrText xml:space="preserve"> QUOTE _x0001_ </w:instrText>
      </w:r>
      <w:r>
        <w:rPr>
          <w:position w:val="-4"/>
          <w:lang w:val="en-GB" w:eastAsia="en-US"/>
        </w:rPr>
      </w:r>
      <w:r>
        <w:rPr>
          <w:position w:val="-4"/>
          <w:lang w:val="en-GB" w:eastAsia="en-US"/>
        </w:rPr>
        <w:fldChar w:fldCharType="separate"/>
      </w:r>
      <w:r>
        <w:rPr>
          <w:position w:val="-4"/>
          <w:lang w:val="en-GB" w:eastAsia="en-US"/>
        </w:rPr>
      </w:r>
      <w:r>
        <w:rPr>
          <w:position w:val="-4"/>
          <w:lang w:val="en-GB" w:eastAsia="en-US"/>
        </w:rPr>
        <w:drawing>
          <wp:inline distT="0" distB="0" distL="0" distR="0">
            <wp:extent cx="317500" cy="114300"/>
            <wp:effectExtent l="0" t="0" r="0" b="0"/>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48"/>
                    <a:srcRect l="-114" t="-315" r="-114" b="-315"/>
                    <a:stretch>
                      <a:fillRect/>
                    </a:stretch>
                  </pic:blipFill>
                  <pic:spPr bwMode="auto">
                    <a:xfrm>
                      <a:off x="0" y="0"/>
                      <a:ext cx="317500" cy="114300"/>
                    </a:xfrm>
                    <a:prstGeom prst="rect">
                      <a:avLst/>
                    </a:prstGeom>
                  </pic:spPr>
                </pic:pic>
              </a:graphicData>
            </a:graphic>
          </wp:inline>
        </w:drawing>
      </w:r>
      <w:r>
        <w:rPr>
          <w:position w:val="-4"/>
          <w:lang w:val="en-GB" w:eastAsia="en-US"/>
        </w:rPr>
      </w:r>
      <w:r>
        <w:rPr>
          <w:position w:val="-4"/>
          <w:lang w:val="en-GB" w:eastAsia="en-US"/>
        </w:rPr>
        <w:fldChar w:fldCharType="end"/>
      </w:r>
      <w:r>
        <w:rPr>
          <w:lang w:val="en-GB" w:eastAsia="en-US"/>
        </w:rPr>
        <w:t>);</w:t>
      </w:r>
    </w:p>
    <w:p>
      <w:pPr>
        <w:pStyle w:val="PL"/>
        <w:rPr>
          <w:lang w:val="en-GB" w:eastAsia="en-US"/>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end</w:t>
      </w:r>
    </w:p>
    <w:p>
      <w:pPr>
        <w:pStyle w:val="PL"/>
        <w:rPr>
          <w:lang w:val="en-GB" w:eastAsia="en-US"/>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S1"/>
          <w:rFonts w:cs="Courier;Courier New" w:ascii="Courier;Courier New" w:hAnsi="Courier;Courier New"/>
          <w:color w:val="000000"/>
          <w:lang w:val="en-GB" w:eastAsia="en-US"/>
        </w:rPr>
        <w:t>end</w:t>
      </w:r>
    </w:p>
    <w:p>
      <w:pPr>
        <w:pStyle w:val="PL"/>
        <w:rPr>
          <w:lang w:val="en-GB" w:eastAsia="en-US"/>
        </w:rPr>
      </w:pPr>
      <w:r>
        <w:rPr>
          <w:rFonts w:eastAsia="Courier New"/>
          <w:lang w:val="en-GB" w:eastAsia="en-US"/>
        </w:rPr>
        <w:t xml:space="preserve">    </w:t>
      </w:r>
      <w:r>
        <w:rPr>
          <w:lang w:val="en-GB" w:eastAsia="en-US"/>
        </w:rPr>
        <w:t>COSH = (X_Y + Y_X - 2)/2;</w:t>
      </w:r>
      <w:r>
        <w:rPr>
          <w:rStyle w:val="Appleconvertedspace"/>
          <w:rFonts w:cs="Courier;Courier New" w:ascii="Courier;Courier New" w:hAnsi="Courier;Courier New"/>
          <w:lang w:val="en-GB" w:eastAsia="en-US"/>
        </w:rPr>
        <w:t>   </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d = d + COSH;</w:t>
      </w:r>
    </w:p>
    <w:p>
      <w:pPr>
        <w:pStyle w:val="PL"/>
        <w:rPr/>
      </w:pP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rStyle w:val="Appleconvertedspace"/>
          <w:rFonts w:cs="Courier;Courier New" w:ascii="Courier;Courier New" w:hAnsi="Courier;Courier New"/>
          <w:lang w:val="en-GB" w:eastAsia="en-US"/>
        </w:rPr>
        <w:t> </w:t>
      </w:r>
      <w:r>
        <w:rPr>
          <w:rStyle w:val="Appleconvertedspace"/>
          <w:rFonts w:eastAsia="Courier;Courier New" w:cs="Courier;Courier New" w:ascii="Courier;Courier New" w:hAnsi="Courier;Courier New"/>
          <w:lang w:val="en-GB" w:eastAsia="en-US"/>
        </w:rPr>
        <w:t xml:space="preserve"> </w:t>
      </w:r>
      <w:r>
        <w:rPr>
          <w:lang w:val="en-GB" w:eastAsia="en-US"/>
        </w:rPr>
        <w:t>cnt = cnt+1;</w:t>
      </w:r>
    </w:p>
    <w:p>
      <w:pPr>
        <w:pStyle w:val="PL"/>
        <w:rPr>
          <w:lang w:val="en-GB" w:eastAsia="en-US"/>
        </w:rPr>
      </w:pPr>
      <w:r>
        <w:rPr>
          <w:lang w:val="en-GB" w:eastAsia="en-US"/>
        </w:rPr>
        <w:t>end</w:t>
      </w:r>
    </w:p>
    <w:p>
      <w:pPr>
        <w:pStyle w:val="PL"/>
        <w:rPr>
          <w:lang w:val="en-GB" w:eastAsia="en-US"/>
        </w:rPr>
      </w:pPr>
      <w:r>
        <w:rPr>
          <w:lang w:val="en-GB" w:eastAsia="en-US"/>
        </w:rPr>
        <w:t>d = d/cnt;</w:t>
      </w:r>
    </w:p>
    <w:p>
      <w:pPr>
        <w:pStyle w:val="Normal"/>
        <w:rPr/>
      </w:pPr>
      <w:r>
        <w:rPr/>
        <w:t xml:space="preserve">The distortion value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95250" cy="177800"/>
            <wp:effectExtent l="0" t="0" r="0" b="0"/>
            <wp:docPr id="5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pic:cNvPicPr>
                      <a:picLocks noChangeAspect="1" noChangeArrowheads="1"/>
                    </pic:cNvPicPr>
                  </pic:nvPicPr>
                  <pic:blipFill>
                    <a:blip r:embed="rId49"/>
                    <a:srcRect l="-379" t="-203" r="-379" b="-203"/>
                    <a:stretch>
                      <a:fillRect/>
                    </a:stretch>
                  </pic:blipFill>
                  <pic:spPr bwMode="auto">
                    <a:xfrm>
                      <a:off x="0" y="0"/>
                      <a:ext cx="95250" cy="177800"/>
                    </a:xfrm>
                    <a:prstGeom prst="rect">
                      <a:avLst/>
                    </a:prstGeom>
                  </pic:spPr>
                </pic:pic>
              </a:graphicData>
            </a:graphic>
          </wp:inline>
        </w:drawing>
      </w:r>
      <w:r>
        <w:rPr>
          <w:position w:val="-5"/>
        </w:rPr>
      </w:r>
      <w:r>
        <w:rPr>
          <w:position w:val="-5"/>
        </w:rPr>
        <w:fldChar w:fldCharType="end"/>
      </w:r>
      <w:r>
        <w:rPr/>
        <w:t xml:space="preserve"> is to be compared against a threshold.</w:t>
      </w:r>
    </w:p>
    <w:p>
      <w:pPr>
        <w:pStyle w:val="Heading4"/>
        <w:ind w:left="1418" w:hanging="1418"/>
        <w:rPr/>
      </w:pPr>
      <w:bookmarkStart w:id="29" w:name="__RefHeading___Toc524274778"/>
      <w:bookmarkEnd w:id="29"/>
      <w:r>
        <w:rPr/>
        <w:t>5.2.4.2</w:t>
        <w:tab/>
        <w:t>Thresholds and Criteria</w:t>
      </w:r>
    </w:p>
    <w:p>
      <w:pPr>
        <w:pStyle w:val="Normal"/>
        <w:rPr/>
      </w:pPr>
      <w:r>
        <w:rPr/>
        <w:t xml:space="preserve">The frame will be considered as pass if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1892300" cy="177800"/>
            <wp:effectExtent l="0" t="0" r="0" b="0"/>
            <wp:docPr id="5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pic:cNvPicPr>
                      <a:picLocks noChangeAspect="1" noChangeArrowheads="1"/>
                    </pic:cNvPicPr>
                  </pic:nvPicPr>
                  <pic:blipFill>
                    <a:blip r:embed="rId50"/>
                    <a:srcRect l="-19" t="-203" r="-19" b="-203"/>
                    <a:stretch>
                      <a:fillRect/>
                    </a:stretch>
                  </pic:blipFill>
                  <pic:spPr bwMode="auto">
                    <a:xfrm>
                      <a:off x="0" y="0"/>
                      <a:ext cx="1892300" cy="177800"/>
                    </a:xfrm>
                    <a:prstGeom prst="rect">
                      <a:avLst/>
                    </a:prstGeom>
                  </pic:spPr>
                </pic:pic>
              </a:graphicData>
            </a:graphic>
          </wp:inline>
        </w:drawing>
      </w:r>
      <w:r>
        <w:rPr>
          <w:position w:val="-6"/>
        </w:rPr>
      </w:r>
      <w:r>
        <w:rPr>
          <w:position w:val="-6"/>
        </w:rPr>
        <w:fldChar w:fldCharType="end"/>
      </w:r>
      <w:r>
        <w:rPr/>
        <w:t xml:space="preserve"> </w:t>
      </w:r>
    </w:p>
    <w:p>
      <w:pPr>
        <w:pStyle w:val="EQ"/>
        <w:rPr>
          <w:lang w:val="en-GB" w:eastAsia="en-US"/>
        </w:rPr>
      </w:pPr>
      <w:r>
        <w:rPr>
          <w:lang w:val="en-GB" w:eastAsia="en-US"/>
        </w:rPr>
        <w:t xml:space="preserve">with </w:t>
      </w:r>
      <w:r>
        <w:fldChar w:fldCharType="begin"/>
      </w:r>
      <w:r>
        <w:rPr>
          <w:lang w:val="en-GB" w:eastAsia="en-US"/>
        </w:rPr>
        <w:instrText xml:space="preserve"> QUOTE _x0001_ </w:instrText>
      </w:r>
      <w:r>
        <w:rPr>
          <w:lang w:val="en-GB" w:eastAsia="en-US"/>
        </w:rPr>
      </w:r>
      <w:r>
        <w:rPr>
          <w:lang w:val="en-GB" w:eastAsia="en-US"/>
        </w:rPr>
        <w:fldChar w:fldCharType="separate"/>
      </w:r>
      <w:r>
        <w:rPr>
          <w:lang w:val="en-GB" w:eastAsia="en-US"/>
        </w:rPr>
      </w:r>
      <w:r>
        <w:rPr>
          <w:lang w:val="en-GB" w:eastAsia="en-US"/>
        </w:rPr>
        <w:drawing>
          <wp:inline distT="0" distB="0" distL="0" distR="0">
            <wp:extent cx="5943600" cy="520700"/>
            <wp:effectExtent l="0" t="0" r="0" b="0"/>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51"/>
                    <a:srcRect l="-6" t="-69" r="-6" b="-69"/>
                    <a:stretch>
                      <a:fillRect/>
                    </a:stretch>
                  </pic:blipFill>
                  <pic:spPr bwMode="auto">
                    <a:xfrm>
                      <a:off x="0" y="0"/>
                      <a:ext cx="5943600" cy="520700"/>
                    </a:xfrm>
                    <a:prstGeom prst="rect">
                      <a:avLst/>
                    </a:prstGeom>
                  </pic:spPr>
                </pic:pic>
              </a:graphicData>
            </a:graphic>
          </wp:inline>
        </w:drawing>
      </w:r>
      <w:r>
        <w:rPr>
          <w:lang w:val="en-GB" w:eastAsia="en-US"/>
        </w:rPr>
      </w:r>
      <w:r>
        <w:rPr>
          <w:lang w:val="en-GB" w:eastAsia="en-US"/>
        </w:rPr>
        <w:fldChar w:fldCharType="end"/>
      </w:r>
    </w:p>
    <w:p>
      <w:pPr>
        <w:pStyle w:val="Heading3"/>
        <w:rPr/>
      </w:pPr>
      <w:bookmarkStart w:id="30" w:name="__RefHeading___Toc524274779"/>
      <w:bookmarkEnd w:id="30"/>
      <w:r>
        <w:rPr/>
        <w:t>5.2.5</w:t>
        <w:tab/>
        <w:t>Analysis Flow and Reporting</w:t>
      </w:r>
    </w:p>
    <w:p>
      <w:pPr>
        <w:pStyle w:val="Normal"/>
        <w:rPr/>
      </w:pPr>
      <w:r>
        <w:rPr/>
        <w:t>The three metrics are computed in a specific order, as shown in Figure 2. Once a frame passes a metrics, the process is stopped and the next frame is analysed. The SNR metrics is computed on the frames failing the RMS error criteria. Similarly the Spectral Distortion metrics is computed on the frames failing the SNR criteria.</w:t>
      </w:r>
    </w:p>
    <w:p>
      <w:pPr>
        <w:pStyle w:val="TH"/>
        <w:rPr/>
      </w:pPr>
      <w:r>
        <w:rPr/>
        <w:object w:dxaOrig="7780" w:dyaOrig="665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89.05pt;height:332.55pt" filled="f" o:ole="">
            <v:imagedata r:id="rId53" o:title=""/>
          </v:shape>
          <o:OLEObject Type="Embed" ProgID="" ShapeID="ole_rId52" DrawAspect="Content" ObjectID="_1229161068" r:id="rId52"/>
        </w:object>
      </w:r>
    </w:p>
    <w:p>
      <w:pPr>
        <w:pStyle w:val="TF"/>
        <w:rPr/>
      </w:pPr>
      <w:r>
        <w:rPr/>
        <w:t>Figure 2: Flow chart for decoder tool</w:t>
      </w:r>
    </w:p>
    <w:p>
      <w:pPr>
        <w:pStyle w:val="Normal"/>
        <w:rPr/>
      </w:pPr>
      <w:r>
        <w:rPr/>
        <w:t>In a file one or two frames could slightly be above the threshold. To avoid to relax the threshold, a criteria could be to add a constraint on the number of frames failing per file.</w:t>
      </w:r>
    </w:p>
    <w:p>
      <w:pPr>
        <w:pStyle w:val="Normal"/>
        <w:rPr/>
      </w:pPr>
      <w:r>
        <w:rPr/>
        <w:t xml:space="preserve">if number_of_frames_failing =&lt; THRESH_GOOD_FRAMES_TO_PASS * number_of_frame_in file, the test signal will be considered equivalent to the reference signal. </w:t>
      </w:r>
    </w:p>
    <w:p>
      <w:pPr>
        <w:pStyle w:val="Normal"/>
        <w:rPr/>
      </w:pPr>
      <w:r>
        <w:rPr/>
        <w:t>All the test vectors need to pass for the implementation to be conformant.</w:t>
      </w:r>
    </w:p>
    <w:p>
      <w:pPr>
        <w:pStyle w:val="Normal"/>
        <w:rPr/>
      </w:pPr>
      <w:r>
        <w:rPr/>
        <w:t>In addition to the number of fail/pass test vectors, the statistics from the three methods should be displayed. Table x2 shows an example of reporting.</w:t>
      </w:r>
    </w:p>
    <w:p>
      <w:pPr>
        <w:pStyle w:val="TH"/>
        <w:rPr/>
      </w:pPr>
      <w:r>
        <w:rPr/>
        <w:t>Table 2: Template for result presentation</w:t>
      </w:r>
    </w:p>
    <w:tbl>
      <w:tblPr>
        <w:tblW w:w="9571" w:type="dxa"/>
        <w:jc w:val="center"/>
        <w:tblInd w:w="0" w:type="dxa"/>
        <w:tblLayout w:type="fixed"/>
        <w:tblCellMar>
          <w:top w:w="0" w:type="dxa"/>
          <w:left w:w="28" w:type="dxa"/>
          <w:bottom w:w="0" w:type="dxa"/>
          <w:right w:w="108" w:type="dxa"/>
        </w:tblCellMar>
      </w:tblPr>
      <w:tblGrid>
        <w:gridCol w:w="2808"/>
        <w:gridCol w:w="2254"/>
        <w:gridCol w:w="2254"/>
        <w:gridCol w:w="2255"/>
      </w:tblGrid>
      <w:tr>
        <w:trPr/>
        <w:tc>
          <w:tcPr>
            <w:tcW w:w="280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RMS</w:t>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WSNR</w:t>
            </w:r>
          </w:p>
        </w:tc>
        <w:tc>
          <w:tcPr>
            <w:tcW w:w="2255" w:type="dxa"/>
            <w:tcBorders>
              <w:top w:val="single" w:sz="4" w:space="0" w:color="000000"/>
              <w:left w:val="single" w:sz="4" w:space="0" w:color="000000"/>
              <w:bottom w:val="single" w:sz="4" w:space="0" w:color="000000"/>
              <w:right w:val="single" w:sz="4" w:space="0" w:color="000000"/>
            </w:tcBorders>
          </w:tcPr>
          <w:p>
            <w:pPr>
              <w:pStyle w:val="TAH"/>
              <w:rPr/>
            </w:pPr>
            <w:r>
              <w:rPr/>
              <w:t>Spectral Distortion</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tested</w:t>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passing</w:t>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 xml:space="preserve">Ratio of frames passing </w:t>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Ratio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 xml:space="preserve">As part of conformance criteria, thresholds could be set for the ratio of frames passing with RMS and WNR tests (Ratio_RMSframespassing_and RatioWSNRframespassing respectively). </w:t>
      </w:r>
    </w:p>
    <w:p>
      <w:pPr>
        <w:pStyle w:val="Normal"/>
        <w:rPr/>
      </w:pPr>
      <w:r>
        <w:rPr/>
        <w:t xml:space="preserve">To illustrate the need for the RMS criterion the following histogram (Figure 3) shows SNR values for frames passing the RMS criterion for a platform considered conformant (GCC, O3). The total ratio of RMS frames passing is around 48%. As can be seen, the majority of those frames show a very low SNR value (e.g. &lt;5 dB), not useful for a secure classification of the frame. </w:t>
      </w:r>
    </w:p>
    <w:p>
      <w:pPr>
        <w:pStyle w:val="Normal"/>
        <w:rPr/>
      </w:pPr>
      <w:r>
        <w:rPr/>
        <w:t>The second plot shows the correlation of the SNR values to the actual signal power. As one can see, a low signal power corresponds to a low SNR value, indicating that in order to use the SNR criterion in a reliable way, a certain amount of signal power is required. It would therefore be good if the RMS criterion be able to capture at least all low-power frames. To ensure that these low-power frames would not be handled by the by SNR criterion in an uncertain way, a dedicated number of frames is expected to pass the RMS criterion based on all the files tested.</w:t>
      </w:r>
    </w:p>
    <w:p>
      <w:pPr>
        <w:pStyle w:val="TH"/>
        <w:rPr/>
      </w:pPr>
      <w:r>
        <w:rPr/>
        <w:drawing>
          <wp:inline distT="0" distB="0" distL="0" distR="0">
            <wp:extent cx="5906770" cy="3757930"/>
            <wp:effectExtent l="0" t="0" r="0" b="0"/>
            <wp:docPr id="5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
                    <pic:cNvPicPr>
                      <a:picLocks noChangeAspect="1" noChangeArrowheads="1"/>
                    </pic:cNvPicPr>
                  </pic:nvPicPr>
                  <pic:blipFill>
                    <a:blip r:embed="rId54"/>
                    <a:srcRect l="-5" t="24585" r="-5" b="25073"/>
                    <a:stretch>
                      <a:fillRect/>
                    </a:stretch>
                  </pic:blipFill>
                  <pic:spPr bwMode="auto">
                    <a:xfrm>
                      <a:off x="0" y="0"/>
                      <a:ext cx="5906770" cy="3757930"/>
                    </a:xfrm>
                    <a:prstGeom prst="rect">
                      <a:avLst/>
                    </a:prstGeom>
                  </pic:spPr>
                </pic:pic>
              </a:graphicData>
            </a:graphic>
          </wp:inline>
        </w:drawing>
      </w:r>
    </w:p>
    <w:p>
      <w:pPr>
        <w:pStyle w:val="TF"/>
        <w:rPr/>
      </w:pPr>
      <w:r>
        <w:rPr/>
        <w:t>Figure 3: Plot of SNR passing the RMS criterion</w:t>
      </w:r>
    </w:p>
    <w:p>
      <w:pPr>
        <w:pStyle w:val="Heading3"/>
        <w:rPr/>
      </w:pPr>
      <w:bookmarkStart w:id="31" w:name="__RefHeading___Toc524274780"/>
      <w:bookmarkEnd w:id="31"/>
      <w:r>
        <w:rPr/>
        <w:t>5.2.6</w:t>
        <w:tab/>
        <w:t>List of Thresholds</w:t>
      </w:r>
    </w:p>
    <w:p>
      <w:pPr>
        <w:pStyle w:val="Normal"/>
        <w:rPr/>
      </w:pPr>
      <w:r>
        <w:rPr/>
        <w:t>The list of the thresholds used in decoder test are summarized in table 3 with example values.</w:t>
      </w:r>
    </w:p>
    <w:p>
      <w:pPr>
        <w:pStyle w:val="TH"/>
        <w:rPr/>
      </w:pPr>
      <w:r>
        <w:rPr/>
        <w:t>Table 3: List of thresholds</w:t>
      </w:r>
    </w:p>
    <w:tbl>
      <w:tblPr>
        <w:tblW w:w="9857" w:type="dxa"/>
        <w:jc w:val="center"/>
        <w:tblInd w:w="0" w:type="dxa"/>
        <w:tblLayout w:type="fixed"/>
        <w:tblCellMar>
          <w:top w:w="0" w:type="dxa"/>
          <w:left w:w="28" w:type="dxa"/>
          <w:bottom w:w="0" w:type="dxa"/>
          <w:right w:w="108" w:type="dxa"/>
        </w:tblCellMar>
      </w:tblPr>
      <w:tblGrid>
        <w:gridCol w:w="3387"/>
        <w:gridCol w:w="4767"/>
        <w:gridCol w:w="1703"/>
      </w:tblGrid>
      <w:tr>
        <w:trPr/>
        <w:tc>
          <w:tcPr>
            <w:tcW w:w="3387" w:type="dxa"/>
            <w:tcBorders>
              <w:top w:val="single" w:sz="4" w:space="0" w:color="000000"/>
              <w:left w:val="single" w:sz="4" w:space="0" w:color="000000"/>
              <w:bottom w:val="single" w:sz="4" w:space="0" w:color="000000"/>
              <w:right w:val="single" w:sz="4" w:space="0" w:color="000000"/>
            </w:tcBorders>
          </w:tcPr>
          <w:p>
            <w:pPr>
              <w:pStyle w:val="TAH"/>
              <w:rPr/>
            </w:pPr>
            <w:r>
              <w:rPr/>
              <w:t>Thresholds</w:t>
            </w:r>
          </w:p>
        </w:tc>
        <w:tc>
          <w:tcPr>
            <w:tcW w:w="476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1703" w:type="dxa"/>
            <w:tcBorders>
              <w:top w:val="single" w:sz="4" w:space="0" w:color="000000"/>
              <w:left w:val="single" w:sz="4" w:space="0" w:color="000000"/>
              <w:bottom w:val="single" w:sz="4" w:space="0" w:color="000000"/>
              <w:right w:val="single" w:sz="4" w:space="0" w:color="000000"/>
            </w:tcBorders>
          </w:tcPr>
          <w:p>
            <w:pPr>
              <w:pStyle w:val="TAH"/>
              <w:rPr/>
            </w:pPr>
            <w:r>
              <w:rPr/>
              <w:t>Example value</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SNRHEADROOM</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Headroom compare to the Tsnr threshold</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3 dB</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CDSNRMAX</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Limit of SNR for the spectral distortion test</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0 dB</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CDSNRHEADROOM</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Headroom compare to Tsnr threshold for the spectral distortion test</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10 dB</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Tsd</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Threshold for the spectral distance</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6.6</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THRESH_GOOD_FRAMES_TO_PASS</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Factor for number of failing frame per file</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0.005</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Ratio_RMSframespassing</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Minimal percentage for frames passing RMS error test</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47%</w:t>
            </w:r>
          </w:p>
        </w:tc>
      </w:tr>
      <w:tr>
        <w:trPr/>
        <w:tc>
          <w:tcPr>
            <w:tcW w:w="3387" w:type="dxa"/>
            <w:tcBorders>
              <w:top w:val="single" w:sz="4" w:space="0" w:color="000000"/>
              <w:left w:val="single" w:sz="4" w:space="0" w:color="000000"/>
              <w:bottom w:val="single" w:sz="4" w:space="0" w:color="000000"/>
              <w:right w:val="single" w:sz="4" w:space="0" w:color="000000"/>
            </w:tcBorders>
          </w:tcPr>
          <w:p>
            <w:pPr>
              <w:pStyle w:val="TAL"/>
              <w:rPr/>
            </w:pPr>
            <w:r>
              <w:rPr/>
              <w:t>RatioWSNRframespassing</w:t>
            </w:r>
          </w:p>
        </w:tc>
        <w:tc>
          <w:tcPr>
            <w:tcW w:w="4767" w:type="dxa"/>
            <w:tcBorders>
              <w:top w:val="single" w:sz="4" w:space="0" w:color="000000"/>
              <w:left w:val="single" w:sz="4" w:space="0" w:color="000000"/>
              <w:bottom w:val="single" w:sz="4" w:space="0" w:color="000000"/>
              <w:right w:val="single" w:sz="4" w:space="0" w:color="000000"/>
            </w:tcBorders>
          </w:tcPr>
          <w:p>
            <w:pPr>
              <w:pStyle w:val="TAC"/>
              <w:rPr/>
            </w:pPr>
            <w:r>
              <w:rPr/>
              <w:t>Minimal percentage for frames passing WSNR test</w: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95%</w:t>
            </w:r>
          </w:p>
        </w:tc>
      </w:tr>
    </w:tbl>
    <w:p>
      <w:pPr>
        <w:pStyle w:val="FP"/>
        <w:rPr/>
      </w:pPr>
      <w:r>
        <w:rPr/>
      </w:r>
    </w:p>
    <w:p>
      <w:pPr>
        <w:pStyle w:val="Heading2"/>
        <w:rPr/>
      </w:pPr>
      <w:bookmarkStart w:id="32" w:name="__RefHeading___Toc524274781"/>
      <w:bookmarkEnd w:id="32"/>
      <w:r>
        <w:rPr/>
        <w:t>5.3</w:t>
        <w:tab/>
        <w:t>Perceptually Based methods</w:t>
      </w:r>
    </w:p>
    <w:p>
      <w:pPr>
        <w:pStyle w:val="Heading3"/>
        <w:rPr/>
      </w:pPr>
      <w:bookmarkStart w:id="33" w:name="__RefHeading___Toc524274782"/>
      <w:bookmarkEnd w:id="33"/>
      <w:r>
        <w:rPr/>
        <w:t>5.3.1</w:t>
        <w:tab/>
        <w:t>General Consideration</w:t>
      </w:r>
    </w:p>
    <w:p>
      <w:pPr>
        <w:pStyle w:val="Normal"/>
        <w:rPr/>
      </w:pPr>
      <w:r>
        <w:rPr/>
        <w:t xml:space="preserve">For perceptual metrics, the fixed-point code should be the target scores to achieve, as the fixed-point code is considered as the reference in TS 26.444. </w:t>
      </w:r>
    </w:p>
    <w:p>
      <w:pPr>
        <w:pStyle w:val="Heading3"/>
        <w:rPr/>
      </w:pPr>
      <w:bookmarkStart w:id="34" w:name="__RefHeading___Toc524274783"/>
      <w:bookmarkEnd w:id="34"/>
      <w:r>
        <w:rPr/>
        <w:t>5.3.2</w:t>
        <w:tab/>
        <w:t>MOS-LQO Validation</w:t>
      </w:r>
    </w:p>
    <w:p>
      <w:pPr>
        <w:pStyle w:val="Heading4"/>
        <w:ind w:left="1418" w:hanging="1418"/>
        <w:rPr/>
      </w:pPr>
      <w:bookmarkStart w:id="35" w:name="__RefHeading___Toc524274784"/>
      <w:bookmarkEnd w:id="35"/>
      <w:r>
        <w:rPr/>
        <w:t>5.3.2.1</w:t>
        <w:tab/>
        <w:t>General Methodology</w:t>
      </w:r>
    </w:p>
    <w:p>
      <w:pPr>
        <w:pStyle w:val="Normal"/>
        <w:rPr/>
      </w:pPr>
      <w:r>
        <w:rPr/>
        <w:t xml:space="preserve">EVS floating point standard has been validated using comparison of MOS-LQO scores between the fixed point implementation and the floating point implementation for various combinations of encoder / decoder [4]. The same methodology could be used to assess EVS floating-point implementations. For this validation, four combinations of encoder/decoder are used (3GPP EVS encoder/decoder executables are taken from TS 26.442): </w:t>
      </w:r>
    </w:p>
    <w:p>
      <w:pPr>
        <w:pStyle w:val="B1"/>
        <w:rPr/>
      </w:pPr>
      <w:r>
        <w:rPr/>
        <w:t>a)</w:t>
        <w:tab/>
        <w:t>3GPP fixed-point encoder and 3GPP fixed-point decoder (FX/FX),</w:t>
      </w:r>
    </w:p>
    <w:p>
      <w:pPr>
        <w:pStyle w:val="B1"/>
        <w:rPr/>
      </w:pPr>
      <w:r>
        <w:rPr/>
        <w:t>b)</w:t>
        <w:tab/>
        <w:t>floating-point Encoder under Test and floating-point Decoder under Test (FL/FL),</w:t>
      </w:r>
    </w:p>
    <w:p>
      <w:pPr>
        <w:pStyle w:val="B1"/>
        <w:rPr/>
      </w:pPr>
      <w:r>
        <w:rPr/>
        <w:t>c)</w:t>
        <w:tab/>
        <w:t xml:space="preserve">3GPP fixed-point encoder and floating-point Decoder under Test (FX/FL), </w:t>
      </w:r>
    </w:p>
    <w:p>
      <w:pPr>
        <w:pStyle w:val="B1"/>
        <w:rPr/>
      </w:pPr>
      <w:r>
        <w:rPr/>
        <w:t>d)</w:t>
        <w:tab/>
        <w:t>floating-point Encoder under Test and 3GPP fixed-point decoder (FL/FX).</w:t>
      </w:r>
    </w:p>
    <w:p>
      <w:pPr>
        <w:pStyle w:val="Normal"/>
        <w:rPr/>
      </w:pPr>
      <w:r>
        <w:rPr/>
        <w:t>The MOS-LQO scores are computed for each of the four cases using the decoded files and the original test files.</w:t>
      </w:r>
    </w:p>
    <w:p>
      <w:pPr>
        <w:pStyle w:val="Normal"/>
        <w:rPr/>
      </w:pPr>
      <w:r>
        <w:rPr/>
        <w:t>The test files are based on P.501 Annex D to be compliant with POLQA tool. 30 files representing various talkers and languages are used for each test conditions, and the average MOS-LQO scores are reported.</w:t>
      </w:r>
    </w:p>
    <w:p>
      <w:pPr>
        <w:pStyle w:val="Normal"/>
        <w:rPr/>
      </w:pPr>
      <w:r>
        <w:rPr/>
        <w:t xml:space="preserve">When using POLQA, one need to be aware of limitation of the current tool. Annex A highlights some issues that could be relevant to the conformance process. </w:t>
      </w:r>
    </w:p>
    <w:p>
      <w:pPr>
        <w:pStyle w:val="Normal"/>
        <w:rPr/>
      </w:pPr>
      <w:r>
        <w:rPr/>
        <w:t>As the EVS extensive subjective test reported in TR 26.952 has been carried out using the fixed point implementation, the average MOS-LQO score obtained for scenario a) is considered the reference score. For the three other scenarios (b, c and d), the difference in MOS-LQO of a) are then computed:</w:t>
      </w:r>
    </w:p>
    <w:p>
      <w:pPr>
        <w:pStyle w:val="B1"/>
        <w:rPr/>
      </w:pPr>
      <w:r>
        <w:rPr/>
        <w:t>-</w:t>
        <w:tab/>
        <w:t>a) - b)</w:t>
      </w:r>
    </w:p>
    <w:p>
      <w:pPr>
        <w:pStyle w:val="B1"/>
        <w:rPr/>
      </w:pPr>
      <w:r>
        <w:rPr/>
        <w:t>-</w:t>
        <w:tab/>
        <w:t>a) - c)</w:t>
      </w:r>
    </w:p>
    <w:p>
      <w:pPr>
        <w:pStyle w:val="B1"/>
        <w:rPr/>
      </w:pPr>
      <w:r>
        <w:rPr/>
        <w:t>-</w:t>
        <w:tab/>
        <w:t>a) - d)</w:t>
      </w:r>
    </w:p>
    <w:p>
      <w:pPr>
        <w:pStyle w:val="Normal"/>
        <w:rPr/>
      </w:pPr>
      <w:r>
        <w:rPr/>
        <w:t>The difference a) - b) assesses the encoder + decoder floating-point implementation, the difference a) - c) assesses the decoder implementation and a) - d) assesses the encoder implementation.</w:t>
      </w:r>
    </w:p>
    <w:p>
      <w:pPr>
        <w:pStyle w:val="Normal"/>
        <w:rPr/>
      </w:pPr>
      <w:r>
        <w:rPr/>
        <w:t>Figure 4 represents the flow diagram to obtain the MOS-LQO in the various scenario.</w:t>
      </w:r>
    </w:p>
    <w:p>
      <w:pPr>
        <w:pStyle w:val="TH"/>
        <w:rPr/>
      </w:pPr>
      <w:r>
        <w:rPr/>
        <w:object w:dxaOrig="9859" w:dyaOrig="2409">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67.4pt;height:114.25pt" filled="f" o:ole="">
            <v:imagedata r:id="rId56" o:title=""/>
          </v:shape>
          <o:OLEObject Type="Embed" ProgID="" ShapeID="ole_rId55" DrawAspect="Content" ObjectID="_252124915" r:id="rId55"/>
        </w:object>
      </w:r>
    </w:p>
    <w:p>
      <w:pPr>
        <w:pStyle w:val="TH"/>
        <w:rPr/>
      </w:pPr>
      <w:r>
        <w:rPr/>
        <w:object w:dxaOrig="9859" w:dyaOrig="240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67.4pt;height:114.25pt" filled="f" o:ole="">
            <v:imagedata r:id="rId58" o:title=""/>
          </v:shape>
          <o:OLEObject Type="Embed" ProgID="" ShapeID="ole_rId57" DrawAspect="Content" ObjectID="_584837826" r:id="rId57"/>
        </w:object>
      </w:r>
    </w:p>
    <w:p>
      <w:pPr>
        <w:pStyle w:val="TH"/>
        <w:rPr/>
      </w:pPr>
      <w:r>
        <w:rPr/>
        <w:object w:dxaOrig="9859" w:dyaOrig="2409">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67.4pt;height:114.25pt" filled="f" o:ole="">
            <v:imagedata r:id="rId60" o:title=""/>
          </v:shape>
          <o:OLEObject Type="Embed" ProgID="" ShapeID="ole_rId59" DrawAspect="Content" ObjectID="_972354237" r:id="rId59"/>
        </w:object>
      </w:r>
    </w:p>
    <w:p>
      <w:pPr>
        <w:pStyle w:val="TF"/>
        <w:rPr/>
      </w:pPr>
      <w:r>
        <w:rPr/>
        <w:t>Figure 4: Flow diagram to obtain the MOS-LQO in the three scenario</w:t>
      </w:r>
    </w:p>
    <w:p>
      <w:pPr>
        <w:pStyle w:val="Heading4"/>
        <w:ind w:left="1418" w:hanging="1418"/>
        <w:rPr/>
      </w:pPr>
      <w:bookmarkStart w:id="36" w:name="__RefHeading___Toc524274785"/>
      <w:bookmarkEnd w:id="36"/>
      <w:r>
        <w:rPr/>
        <w:t>5.3.2.2</w:t>
        <w:tab/>
        <w:t>Test Cases</w:t>
      </w:r>
    </w:p>
    <w:p>
      <w:pPr>
        <w:pStyle w:val="Normal"/>
        <w:rPr/>
      </w:pPr>
      <w:r>
        <w:rPr/>
        <w:t>The differences are computed for various test conditions:</w:t>
      </w:r>
    </w:p>
    <w:p>
      <w:pPr>
        <w:pStyle w:val="B1"/>
        <w:rPr/>
      </w:pPr>
      <w:r>
        <w:rPr/>
        <w:t>-</w:t>
        <w:tab/>
        <w:t>All the codec modes of EVS</w:t>
      </w:r>
    </w:p>
    <w:p>
      <w:pPr>
        <w:pStyle w:val="B1"/>
        <w:rPr/>
      </w:pPr>
      <w:r>
        <w:rPr/>
        <w:t>-</w:t>
        <w:tab/>
        <w:t>All the bandwidths of EVS</w:t>
      </w:r>
    </w:p>
    <w:p>
      <w:pPr>
        <w:pStyle w:val="B1"/>
        <w:rPr/>
      </w:pPr>
      <w:r>
        <w:rPr/>
        <w:t>-</w:t>
        <w:tab/>
        <w:t>All the bit-rates of EVS, including bit-rate switching</w:t>
      </w:r>
    </w:p>
    <w:p>
      <w:pPr>
        <w:pStyle w:val="B1"/>
        <w:rPr/>
      </w:pPr>
      <w:r>
        <w:rPr/>
        <w:t>-</w:t>
        <w:tab/>
        <w:t>DTX ON and OFF</w:t>
      </w:r>
    </w:p>
    <w:p>
      <w:pPr>
        <w:pStyle w:val="B1"/>
        <w:rPr/>
      </w:pPr>
      <w:r>
        <w:rPr/>
        <w:t>-</w:t>
        <w:tab/>
        <w:t>Various levels: -26 dB, -36 dB, -16 dB</w:t>
      </w:r>
    </w:p>
    <w:p>
      <w:pPr>
        <w:pStyle w:val="B1"/>
        <w:rPr/>
      </w:pPr>
      <w:r>
        <w:rPr/>
        <w:t>-</w:t>
        <w:tab/>
        <w:t>Various noise conditions</w:t>
      </w:r>
    </w:p>
    <w:p>
      <w:pPr>
        <w:pStyle w:val="B1"/>
        <w:rPr/>
      </w:pPr>
      <w:r>
        <w:rPr/>
        <w:t>-</w:t>
        <w:tab/>
        <w:t>Various impairment conditions</w:t>
      </w:r>
    </w:p>
    <w:p>
      <w:pPr>
        <w:pStyle w:val="Normal"/>
        <w:rPr/>
      </w:pPr>
      <w:r>
        <w:rPr/>
        <w:t>The files have been processed according to EVS-7c (EVS processing plan) for the various test conditions [6].</w:t>
      </w:r>
    </w:p>
    <w:p>
      <w:pPr>
        <w:pStyle w:val="Normal"/>
        <w:rPr/>
      </w:pPr>
      <w:r>
        <w:rPr/>
        <w:t>In all, 941 test conditions are assessed, representing 225,600 second of speech, or a little bit more than 62 hours.</w:t>
      </w:r>
    </w:p>
    <w:p>
      <w:pPr>
        <w:pStyle w:val="Heading4"/>
        <w:ind w:left="1418" w:hanging="1418"/>
        <w:rPr/>
      </w:pPr>
      <w:bookmarkStart w:id="37" w:name="__RefHeading___Toc524274786"/>
      <w:bookmarkEnd w:id="37"/>
      <w:r>
        <w:rPr/>
        <w:t>5.3.2.3</w:t>
        <w:tab/>
        <w:t>Scores Reporting and Analysis</w:t>
      </w:r>
    </w:p>
    <w:p>
      <w:pPr>
        <w:pStyle w:val="Normal"/>
        <w:rPr/>
      </w:pPr>
      <w:r>
        <w:rPr/>
        <w:t>The score difference for all the test conditions could be reported using template shown in Table 4</w:t>
      </w:r>
    </w:p>
    <w:p>
      <w:pPr>
        <w:pStyle w:val="TH"/>
        <w:rPr/>
      </w:pPr>
      <w:r>
        <w:rPr/>
        <w:t>Table 4: Template for result presentation</w:t>
      </w:r>
    </w:p>
    <w:tbl>
      <w:tblPr>
        <w:tblW w:w="9892" w:type="dxa"/>
        <w:jc w:val="center"/>
        <w:tblInd w:w="0" w:type="dxa"/>
        <w:tblLayout w:type="fixed"/>
        <w:tblCellMar>
          <w:top w:w="0" w:type="dxa"/>
          <w:left w:w="28" w:type="dxa"/>
          <w:bottom w:w="0" w:type="dxa"/>
          <w:right w:w="70" w:type="dxa"/>
        </w:tblCellMar>
      </w:tblPr>
      <w:tblGrid>
        <w:gridCol w:w="1540"/>
        <w:gridCol w:w="1060"/>
        <w:gridCol w:w="1120"/>
        <w:gridCol w:w="600"/>
        <w:gridCol w:w="1008"/>
        <w:gridCol w:w="1111"/>
        <w:gridCol w:w="1151"/>
        <w:gridCol w:w="1151"/>
        <w:gridCol w:w="1151"/>
      </w:tblGrid>
      <w:tr>
        <w:trPr/>
        <w:tc>
          <w:tcPr>
            <w:tcW w:w="1540"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de-DE"/>
              </w:rPr>
              <w:t>Input signal</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Bandwidth</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de-DE"/>
              </w:rPr>
              <w:t>Bit rate</w:t>
            </w:r>
          </w:p>
        </w:tc>
        <w:tc>
          <w:tcPr>
            <w:tcW w:w="60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DTX</w:t>
            </w:r>
          </w:p>
        </w:tc>
        <w:tc>
          <w:tcPr>
            <w:tcW w:w="1008"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Level</w:t>
            </w:r>
          </w:p>
        </w:tc>
        <w:tc>
          <w:tcPr>
            <w:tcW w:w="1111"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FER/Profile</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rFonts w:eastAsia="Arial"/>
                <w:lang w:eastAsia="de-DE"/>
              </w:rPr>
              <w:t xml:space="preserve"> </w:t>
            </w:r>
            <w:r>
              <w:rPr>
                <w:lang w:eastAsia="de-DE"/>
              </w:rPr>
              <w:t xml:space="preserve">a) - b) </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rFonts w:eastAsia="Arial"/>
                <w:lang w:eastAsia="de-DE"/>
              </w:rPr>
              <w:t xml:space="preserve"> </w:t>
            </w:r>
            <w:r>
              <w:rPr>
                <w:lang w:eastAsia="de-DE"/>
              </w:rPr>
              <w:t xml:space="preserve">a) - c) </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rFonts w:eastAsia="Arial"/>
                <w:lang w:eastAsia="de-DE"/>
              </w:rPr>
              <w:t xml:space="preserve"> </w:t>
            </w:r>
            <w:r>
              <w:rPr>
                <w:lang w:eastAsia="de-DE"/>
              </w:rPr>
              <w:t xml:space="preserve">a) - d) </w:t>
            </w:r>
          </w:p>
        </w:tc>
      </w:tr>
      <w:tr>
        <w:trPr/>
        <w:tc>
          <w:tcPr>
            <w:tcW w:w="154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clean speech, noisy speech, mixed/music</w:t>
            </w:r>
          </w:p>
        </w:tc>
        <w:tc>
          <w:tcPr>
            <w:tcW w:w="106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NB, WB, SWB, or FB</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e.g. 7,2</w:t>
            </w:r>
          </w:p>
        </w:tc>
        <w:tc>
          <w:tcPr>
            <w:tcW w:w="60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off or on</w:t>
            </w:r>
          </w:p>
        </w:tc>
        <w:tc>
          <w:tcPr>
            <w:tcW w:w="100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-26, -16, or -36 dBov</w:t>
            </w:r>
          </w:p>
        </w:tc>
        <w:tc>
          <w:tcPr>
            <w:tcW w:w="111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No errors, 3%, 6%, or JBM profiles</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MOS-LQO(FX/FX) - MOS-LQO(FL/FL)</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MOS-LQO(FX/FX) - MOS-LQO(FX/FL)</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MOS-LQO(FX/FX) - MOS-LQO(FL/FX)</w:t>
            </w:r>
          </w:p>
        </w:tc>
      </w:tr>
    </w:tbl>
    <w:p>
      <w:pPr>
        <w:pStyle w:val="Normal"/>
        <w:rPr/>
      </w:pPr>
      <w:r>
        <w:rPr/>
      </w:r>
    </w:p>
    <w:p>
      <w:pPr>
        <w:pStyle w:val="Normal"/>
        <w:rPr/>
      </w:pPr>
      <w:r>
        <w:rPr/>
        <w:t>The distribution of the difference for the decoder under test should be similar to the distribution of the floating point standard decoder.</w:t>
      </w:r>
    </w:p>
    <w:p>
      <w:pPr>
        <w:pStyle w:val="Normal"/>
        <w:rPr/>
      </w:pPr>
      <w:r>
        <w:rPr/>
        <w:t xml:space="preserve">The histogram of the MOS-LQO difference can be plotted for the three scenarios (a)-b), a)-c), a)-d)). </w:t>
      </w:r>
    </w:p>
    <w:p>
      <w:pPr>
        <w:pStyle w:val="Normal"/>
        <w:rPr/>
      </w:pPr>
      <w:r>
        <w:rPr/>
        <w:t>One way of assessing the distribution is to look at the mean, standard deviation, 95% percentile and maximum value.</w:t>
      </w:r>
    </w:p>
    <w:p>
      <w:pPr>
        <w:pStyle w:val="Normal"/>
        <w:rPr/>
      </w:pPr>
      <w:r>
        <w:rPr/>
        <w:t>Another option is to plot the Cumulative Distribution Frequency (CDF) of the MOS-LQO difference. In this case the absolute difference is used.</w:t>
      </w:r>
    </w:p>
    <w:p>
      <w:pPr>
        <w:pStyle w:val="Heading4"/>
        <w:ind w:left="1418" w:hanging="1418"/>
        <w:rPr/>
      </w:pPr>
      <w:bookmarkStart w:id="38" w:name="__RefHeading___Toc524274787"/>
      <w:bookmarkEnd w:id="38"/>
      <w:r>
        <w:rPr/>
        <w:t>5.3.2.4</w:t>
        <w:tab/>
        <w:t>Thresholds and Criteria</w:t>
      </w:r>
    </w:p>
    <w:p>
      <w:pPr>
        <w:pStyle w:val="Normal"/>
        <w:rPr/>
      </w:pPr>
      <w:r>
        <w:rPr>
          <w:szCs w:val="22"/>
        </w:rPr>
        <w:t>From the MOS-LQO differences of the test condition reported in clause 5.3.2.3, the average, 95%, 99% and Maximum are computed for all bandwidths combined, as well as for each set of bandwidth condition. The number of test condition for each bandwidth and the total are summarized in Table 5.</w:t>
      </w:r>
    </w:p>
    <w:p>
      <w:pPr>
        <w:pStyle w:val="TH"/>
        <w:rPr/>
      </w:pPr>
      <w:r>
        <w:rPr/>
        <w:t>Table 5: Number of test conditions per bandwidth</w:t>
      </w:r>
    </w:p>
    <w:tbl>
      <w:tblPr>
        <w:tblW w:w="9571" w:type="dxa"/>
        <w:jc w:val="center"/>
        <w:tblInd w:w="0" w:type="dxa"/>
        <w:tblLayout w:type="fixed"/>
        <w:tblCellMar>
          <w:top w:w="0" w:type="dxa"/>
          <w:left w:w="28" w:type="dxa"/>
          <w:bottom w:w="0" w:type="dxa"/>
          <w:right w:w="108" w:type="dxa"/>
        </w:tblCellMar>
      </w:tblPr>
      <w:tblGrid>
        <w:gridCol w:w="1367"/>
        <w:gridCol w:w="1367"/>
        <w:gridCol w:w="1367"/>
        <w:gridCol w:w="1367"/>
        <w:gridCol w:w="1367"/>
        <w:gridCol w:w="1368"/>
        <w:gridCol w:w="1368"/>
      </w:tblGrid>
      <w:tr>
        <w:trPr/>
        <w:tc>
          <w:tcPr>
            <w:tcW w:w="1367" w:type="dxa"/>
            <w:tcBorders>
              <w:top w:val="single" w:sz="4" w:space="0" w:color="000000"/>
              <w:left w:val="single" w:sz="4" w:space="0" w:color="000000"/>
              <w:bottom w:val="single" w:sz="4" w:space="0" w:color="000000"/>
              <w:right w:val="single" w:sz="4" w:space="0" w:color="000000"/>
            </w:tcBorders>
          </w:tcPr>
          <w:p>
            <w:pPr>
              <w:pStyle w:val="TAH"/>
              <w:rPr/>
            </w:pPr>
            <w:r>
              <w:rPr/>
              <w:t>Bandwidth</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NB</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WB</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WBIO</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SWB</w:t>
            </w:r>
          </w:p>
        </w:tc>
        <w:tc>
          <w:tcPr>
            <w:tcW w:w="1368" w:type="dxa"/>
            <w:tcBorders>
              <w:top w:val="single" w:sz="4" w:space="0" w:color="000000"/>
              <w:left w:val="single" w:sz="4" w:space="0" w:color="000000"/>
              <w:bottom w:val="single" w:sz="4" w:space="0" w:color="000000"/>
              <w:right w:val="single" w:sz="4" w:space="0" w:color="000000"/>
            </w:tcBorders>
          </w:tcPr>
          <w:p>
            <w:pPr>
              <w:pStyle w:val="TAC"/>
              <w:rPr/>
            </w:pPr>
            <w:r>
              <w:rPr/>
              <w:t>FB</w:t>
            </w:r>
          </w:p>
        </w:tc>
        <w:tc>
          <w:tcPr>
            <w:tcW w:w="1368" w:type="dxa"/>
            <w:tcBorders>
              <w:top w:val="single" w:sz="4" w:space="0" w:color="000000"/>
              <w:left w:val="single" w:sz="4" w:space="0" w:color="000000"/>
              <w:bottom w:val="single" w:sz="4" w:space="0" w:color="000000"/>
              <w:right w:val="single" w:sz="4" w:space="0" w:color="000000"/>
            </w:tcBorders>
          </w:tcPr>
          <w:p>
            <w:pPr>
              <w:pStyle w:val="TAC"/>
              <w:rPr/>
            </w:pPr>
            <w:r>
              <w:rPr/>
              <w:t>All</w:t>
            </w:r>
          </w:p>
        </w:tc>
      </w:tr>
      <w:tr>
        <w:trPr/>
        <w:tc>
          <w:tcPr>
            <w:tcW w:w="1367" w:type="dxa"/>
            <w:tcBorders>
              <w:top w:val="single" w:sz="4" w:space="0" w:color="000000"/>
              <w:left w:val="single" w:sz="4" w:space="0" w:color="000000"/>
              <w:bottom w:val="single" w:sz="4" w:space="0" w:color="000000"/>
              <w:right w:val="single" w:sz="4" w:space="0" w:color="000000"/>
            </w:tcBorders>
          </w:tcPr>
          <w:p>
            <w:pPr>
              <w:pStyle w:val="TAH"/>
              <w:rPr/>
            </w:pPr>
            <w:r>
              <w:rPr/>
              <w:t>Number</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136</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236</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216</w:t>
            </w:r>
          </w:p>
        </w:tc>
        <w:tc>
          <w:tcPr>
            <w:tcW w:w="1367" w:type="dxa"/>
            <w:tcBorders>
              <w:top w:val="single" w:sz="4" w:space="0" w:color="000000"/>
              <w:left w:val="single" w:sz="4" w:space="0" w:color="000000"/>
              <w:bottom w:val="single" w:sz="4" w:space="0" w:color="000000"/>
              <w:right w:val="single" w:sz="4" w:space="0" w:color="000000"/>
            </w:tcBorders>
          </w:tcPr>
          <w:p>
            <w:pPr>
              <w:pStyle w:val="TAC"/>
              <w:rPr/>
            </w:pPr>
            <w:r>
              <w:rPr/>
              <w:t>192</w:t>
            </w:r>
          </w:p>
        </w:tc>
        <w:tc>
          <w:tcPr>
            <w:tcW w:w="1368" w:type="dxa"/>
            <w:tcBorders>
              <w:top w:val="single" w:sz="4" w:space="0" w:color="000000"/>
              <w:left w:val="single" w:sz="4" w:space="0" w:color="000000"/>
              <w:bottom w:val="single" w:sz="4" w:space="0" w:color="000000"/>
              <w:right w:val="single" w:sz="4" w:space="0" w:color="000000"/>
            </w:tcBorders>
          </w:tcPr>
          <w:p>
            <w:pPr>
              <w:pStyle w:val="TAC"/>
              <w:rPr/>
            </w:pPr>
            <w:r>
              <w:rPr/>
              <w:t>161</w:t>
            </w:r>
          </w:p>
        </w:tc>
        <w:tc>
          <w:tcPr>
            <w:tcW w:w="1368" w:type="dxa"/>
            <w:tcBorders>
              <w:top w:val="single" w:sz="4" w:space="0" w:color="000000"/>
              <w:left w:val="single" w:sz="4" w:space="0" w:color="000000"/>
              <w:bottom w:val="single" w:sz="4" w:space="0" w:color="000000"/>
              <w:right w:val="single" w:sz="4" w:space="0" w:color="000000"/>
            </w:tcBorders>
          </w:tcPr>
          <w:p>
            <w:pPr>
              <w:pStyle w:val="TAC"/>
              <w:rPr/>
            </w:pPr>
            <w:r>
              <w:rPr/>
              <w:t>941</w:t>
            </w:r>
          </w:p>
        </w:tc>
      </w:tr>
    </w:tbl>
    <w:p>
      <w:pPr>
        <w:pStyle w:val="Normal"/>
        <w:rPr>
          <w:szCs w:val="22"/>
        </w:rPr>
      </w:pPr>
      <w:r>
        <w:rPr>
          <w:szCs w:val="22"/>
        </w:rPr>
      </w:r>
    </w:p>
    <w:p>
      <w:pPr>
        <w:pStyle w:val="Normal"/>
        <w:rPr/>
      </w:pPr>
      <w:r>
        <w:rPr>
          <w:szCs w:val="22"/>
        </w:rPr>
        <w:t>For a possible conformance criteria, it is proposed to have thresholds on the Average, 95%, 99% and Maximum of the MOS-LQO differences for the three scenarios (A-B, A-C and A-D). Thresholds are defined for all conditions combined, as well as for each set of bandwidth conditions. Table 6 summarizes the various thresholds.</w:t>
      </w:r>
    </w:p>
    <w:p>
      <w:pPr>
        <w:pStyle w:val="Normal"/>
        <w:rPr/>
      </w:pPr>
      <w:r>
        <w:rPr>
          <w:szCs w:val="22"/>
        </w:rPr>
        <w:t>An implementation will be considered passing the MOS-LQO verification if all the average, 95 percentile, 99 percentile and maximum MOS-LQO differences are below the thresholds proposed in Table 6 for all conditions.</w:t>
      </w:r>
    </w:p>
    <w:p>
      <w:pPr>
        <w:pStyle w:val="TH"/>
        <w:rPr/>
      </w:pPr>
      <w:r>
        <w:rPr/>
        <w:t>Table 6: Possible thresholds for MOS_LQO difference</w:t>
      </w:r>
    </w:p>
    <w:tbl>
      <w:tblPr>
        <w:tblW w:w="5348" w:type="dxa"/>
        <w:jc w:val="center"/>
        <w:tblInd w:w="0" w:type="dxa"/>
        <w:tblLayout w:type="fixed"/>
        <w:tblCellMar>
          <w:top w:w="0" w:type="dxa"/>
          <w:left w:w="28" w:type="dxa"/>
          <w:bottom w:w="0" w:type="dxa"/>
          <w:right w:w="108" w:type="dxa"/>
        </w:tblCellMar>
      </w:tblPr>
      <w:tblGrid>
        <w:gridCol w:w="1061"/>
        <w:gridCol w:w="1143"/>
        <w:gridCol w:w="1048"/>
        <w:gridCol w:w="1048"/>
        <w:gridCol w:w="1048"/>
      </w:tblGrid>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All</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Average</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95%</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99%</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0.07</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0.12</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0.06</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0.08</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0.17</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NB</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H"/>
              <w:rPr/>
            </w:pPr>
            <w:r>
              <w:rPr/>
              <w:t>Average</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pPr>
            <w:r>
              <w:rPr/>
              <w:t>95%</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pPr>
            <w:r>
              <w:rPr/>
              <w:t>99%</w:t>
            </w:r>
          </w:p>
        </w:tc>
        <w:tc>
          <w:tcPr>
            <w:tcW w:w="1048"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0.009</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0.07</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0.08</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0.11</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0.04</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0.06</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0.011</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0.07</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0.09</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0.12</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WB</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Average</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95%</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99%</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0.07</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0.08</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0.06</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0.07</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0.17</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WBIO</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H"/>
              <w:rPr/>
            </w:pPr>
            <w:r>
              <w:rPr/>
              <w:t>Average</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pPr>
            <w:r>
              <w:rPr/>
              <w:t>95%</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pPr>
            <w:r>
              <w:rPr/>
              <w:t>99%</w:t>
            </w:r>
          </w:p>
        </w:tc>
        <w:tc>
          <w:tcPr>
            <w:tcW w:w="1048"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0.06</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0.08</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0.03</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0.07</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0.02</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b/>
                <w:b/>
              </w:rPr>
            </w:pPr>
            <w:r>
              <w:rPr/>
              <w:t>0.03</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0.08</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SWB</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Average</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95%</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99%</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0.06</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0.12</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0.003</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0.03</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0.04</w:t>
            </w:r>
          </w:p>
        </w:tc>
      </w:tr>
      <w:tr>
        <w:trPr/>
        <w:tc>
          <w:tcPr>
            <w:tcW w:w="10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0.07</w:t>
            </w:r>
          </w:p>
        </w:tc>
        <w:tc>
          <w:tcPr>
            <w:tcW w:w="1048"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0.08</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rFonts w:ascii="Calibri" w:hAnsi="Calibri" w:cs="Calibri"/>
                <w:color w:val="000000"/>
              </w:rPr>
            </w:pPr>
            <w:r>
              <w:rPr/>
              <w:t>FB</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H"/>
              <w:rPr>
                <w:rFonts w:ascii="Calibri" w:hAnsi="Calibri" w:cs="Calibri"/>
                <w:color w:val="000000"/>
              </w:rPr>
            </w:pPr>
            <w:r>
              <w:rPr/>
              <w:t>Average</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rFonts w:ascii="Calibri" w:hAnsi="Calibri" w:cs="Calibri"/>
                <w:color w:val="000000"/>
              </w:rPr>
            </w:pPr>
            <w:r>
              <w:rPr/>
              <w:t>95%</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H"/>
              <w:rPr>
                <w:rFonts w:ascii="Calibri" w:hAnsi="Calibri" w:cs="Calibri"/>
                <w:color w:val="000000"/>
              </w:rPr>
            </w:pPr>
            <w:r>
              <w:rPr/>
              <w:t>99%</w:t>
            </w:r>
          </w:p>
        </w:tc>
        <w:tc>
          <w:tcPr>
            <w:tcW w:w="1048" w:type="dxa"/>
            <w:tcBorders>
              <w:top w:val="single" w:sz="4" w:space="0" w:color="000000"/>
              <w:left w:val="single" w:sz="4" w:space="0" w:color="000000"/>
              <w:bottom w:val="single" w:sz="4" w:space="0" w:color="000000"/>
              <w:right w:val="single" w:sz="4" w:space="0" w:color="000000"/>
            </w:tcBorders>
          </w:tcPr>
          <w:p>
            <w:pPr>
              <w:pStyle w:val="TAH"/>
              <w:rPr/>
            </w:pPr>
            <w:r>
              <w:rPr/>
              <w:t>Max</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A-B</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pPr>
            <w:r>
              <w:rPr/>
              <w:t>0.006</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0.08</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A-C</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pPr>
            <w:r>
              <w:rPr/>
              <w:t>0.005</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0.05</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0.06</w:t>
            </w:r>
          </w:p>
        </w:tc>
      </w:tr>
      <w:tr>
        <w:trPr/>
        <w:tc>
          <w:tcPr>
            <w:tcW w:w="1061" w:type="dxa"/>
            <w:tcBorders>
              <w:top w:val="single" w:sz="4" w:space="0" w:color="000000"/>
              <w:left w:val="single" w:sz="4" w:space="0" w:color="000000"/>
              <w:bottom w:val="single" w:sz="4" w:space="0" w:color="000000"/>
              <w:right w:val="single" w:sz="4" w:space="0" w:color="000000"/>
            </w:tcBorders>
            <w:vAlign w:val="bottom"/>
          </w:tcPr>
          <w:p>
            <w:pPr>
              <w:pStyle w:val="TAH"/>
              <w:rPr/>
            </w:pPr>
            <w:r>
              <w:rPr/>
              <w:t>A-D</w:t>
            </w:r>
          </w:p>
        </w:tc>
        <w:tc>
          <w:tcPr>
            <w:tcW w:w="1143" w:type="dxa"/>
            <w:tcBorders>
              <w:top w:val="single" w:sz="4" w:space="0" w:color="000000"/>
              <w:left w:val="single" w:sz="4" w:space="0" w:color="000000"/>
              <w:bottom w:val="single" w:sz="4" w:space="0" w:color="000000"/>
              <w:right w:val="single" w:sz="4" w:space="0" w:color="000000"/>
            </w:tcBorders>
            <w:vAlign w:val="bottom"/>
          </w:tcPr>
          <w:p>
            <w:pPr>
              <w:pStyle w:val="TAC"/>
              <w:rPr/>
            </w:pPr>
            <w:r>
              <w:rPr/>
              <w:t>0.005</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1048" w:type="dxa"/>
            <w:tcBorders>
              <w:top w:val="single" w:sz="4" w:space="0" w:color="000000"/>
              <w:left w:val="single" w:sz="4" w:space="0" w:color="000000"/>
              <w:bottom w:val="single" w:sz="4" w:space="0" w:color="000000"/>
              <w:right w:val="single" w:sz="4" w:space="0" w:color="000000"/>
            </w:tcBorders>
            <w:vAlign w:val="bottom"/>
          </w:tcPr>
          <w:p>
            <w:pPr>
              <w:pStyle w:val="TAC"/>
              <w:rPr/>
            </w:pPr>
            <w:r>
              <w:rPr/>
              <w:t>0.06</w:t>
            </w:r>
          </w:p>
        </w:tc>
        <w:tc>
          <w:tcPr>
            <w:tcW w:w="1048" w:type="dxa"/>
            <w:tcBorders>
              <w:top w:val="single" w:sz="4" w:space="0" w:color="000000"/>
              <w:left w:val="single" w:sz="4" w:space="0" w:color="000000"/>
              <w:bottom w:val="single" w:sz="4" w:space="0" w:color="000000"/>
              <w:right w:val="single" w:sz="4" w:space="0" w:color="000000"/>
            </w:tcBorders>
          </w:tcPr>
          <w:p>
            <w:pPr>
              <w:pStyle w:val="TAC"/>
              <w:rPr/>
            </w:pPr>
            <w:r>
              <w:rPr/>
              <w:t>0.08</w:t>
            </w:r>
          </w:p>
        </w:tc>
      </w:tr>
    </w:tbl>
    <w:p>
      <w:pPr>
        <w:pStyle w:val="Normal"/>
        <w:rPr>
          <w:szCs w:val="22"/>
        </w:rPr>
      </w:pPr>
      <w:r>
        <w:rPr>
          <w:szCs w:val="22"/>
        </w:rPr>
      </w:r>
    </w:p>
    <w:p>
      <w:pPr>
        <w:pStyle w:val="Normal"/>
        <w:rPr>
          <w:szCs w:val="22"/>
        </w:rPr>
      </w:pPr>
      <w:r>
        <w:rPr>
          <w:szCs w:val="22"/>
        </w:rPr>
        <w:t>These proposed thresholds have been obtained by using the good implementations tested in Clause 6:</w:t>
      </w:r>
    </w:p>
    <w:p>
      <w:pPr>
        <w:pStyle w:val="B1"/>
        <w:rPr/>
      </w:pPr>
      <w:r>
        <w:rPr/>
        <w:t>-</w:t>
        <w:tab/>
        <w:t>EVS C80 Reference code</w:t>
      </w:r>
    </w:p>
    <w:p>
      <w:pPr>
        <w:pStyle w:val="B1"/>
        <w:rPr/>
      </w:pPr>
      <w:r>
        <w:rPr/>
        <w:t>-</w:t>
        <w:tab/>
        <w:t>EVS C90 Reference code</w:t>
      </w:r>
    </w:p>
    <w:p>
      <w:pPr>
        <w:pStyle w:val="B1"/>
        <w:rPr/>
      </w:pPr>
      <w:r>
        <w:rPr/>
        <w:t>-</w:t>
        <w:tab/>
        <w:t>EVS CA0 Reference code</w:t>
      </w:r>
    </w:p>
    <w:p>
      <w:pPr>
        <w:pStyle w:val="B1"/>
        <w:rPr/>
      </w:pPr>
      <w:r>
        <w:rPr/>
        <w:t>-</w:t>
        <w:tab/>
        <w:t xml:space="preserve">EVS C80 code compiled for Atom 32 bits platform using icc without optimization </w:t>
      </w:r>
    </w:p>
    <w:p>
      <w:pPr>
        <w:pStyle w:val="B1"/>
        <w:rPr/>
      </w:pPr>
      <w:r>
        <w:rPr/>
        <w:t>-</w:t>
        <w:tab/>
        <w:t xml:space="preserve">EVS C80 code compiled for Atom 32 bits platform using icc with normal optimization level </w:t>
      </w:r>
    </w:p>
    <w:p>
      <w:pPr>
        <w:pStyle w:val="B1"/>
        <w:rPr/>
      </w:pPr>
      <w:r>
        <w:rPr/>
        <w:t>-</w:t>
        <w:tab/>
        <w:t>EVS C90 code compiled for Mac_OS 64bits using clang with -o2 optimization</w:t>
      </w:r>
    </w:p>
    <w:p>
      <w:pPr>
        <w:pStyle w:val="B1"/>
        <w:rPr/>
      </w:pPr>
      <w:r>
        <w:rPr/>
        <w:t>-</w:t>
        <w:tab/>
        <w:t xml:space="preserve">EVS C90 code compiled for Xeon 64 bits platform using gcc with -o2 optimization </w:t>
      </w:r>
    </w:p>
    <w:p>
      <w:pPr>
        <w:pStyle w:val="Normal"/>
        <w:rPr/>
      </w:pPr>
      <w:r>
        <w:rPr>
          <w:szCs w:val="22"/>
        </w:rPr>
        <w:t>For each case the maximum score difference among the six implementations, rounded to higher digit, was used. For average the threshold is rounded to the 3</w:t>
      </w:r>
      <w:r>
        <w:rPr>
          <w:szCs w:val="22"/>
          <w:vertAlign w:val="superscript"/>
        </w:rPr>
        <w:t>rd</w:t>
      </w:r>
      <w:r>
        <w:rPr>
          <w:szCs w:val="22"/>
        </w:rPr>
        <w:t xml:space="preserve"> next digit (e.g. 0.0082 -&gt; 0.009), and for the other metrics the threshold is rounded to the 2</w:t>
      </w:r>
      <w:r>
        <w:rPr>
          <w:szCs w:val="22"/>
          <w:vertAlign w:val="superscript"/>
        </w:rPr>
        <w:t>nd</w:t>
      </w:r>
      <w:r>
        <w:rPr>
          <w:szCs w:val="22"/>
        </w:rPr>
        <w:t xml:space="preserve"> next digit (e.g. 0.036 -&gt; 0.04). The statistics for each of the 7 implementations are presented in Table 7.</w:t>
      </w:r>
    </w:p>
    <w:p>
      <w:pPr>
        <w:pStyle w:val="TH"/>
        <w:rPr/>
      </w:pPr>
      <w:r>
        <w:rPr/>
        <w:t>Table 7: Statistics of MOS-LQO difference</w:t>
      </w:r>
    </w:p>
    <w:tbl>
      <w:tblPr>
        <w:tblW w:w="10243" w:type="dxa"/>
        <w:jc w:val="center"/>
        <w:tblInd w:w="0" w:type="dxa"/>
        <w:tblLayout w:type="fixed"/>
        <w:tblCellMar>
          <w:top w:w="0" w:type="dxa"/>
          <w:left w:w="28" w:type="dxa"/>
          <w:bottom w:w="0" w:type="dxa"/>
          <w:right w:w="108" w:type="dxa"/>
        </w:tblCellMar>
      </w:tblPr>
      <w:tblGrid>
        <w:gridCol w:w="1220"/>
        <w:gridCol w:w="830"/>
        <w:gridCol w:w="737"/>
        <w:gridCol w:w="737"/>
        <w:gridCol w:w="737"/>
        <w:gridCol w:w="802"/>
        <w:gridCol w:w="713"/>
        <w:gridCol w:w="713"/>
        <w:gridCol w:w="713"/>
        <w:gridCol w:w="830"/>
        <w:gridCol w:w="737"/>
        <w:gridCol w:w="737"/>
        <w:gridCol w:w="737"/>
      </w:tblGrid>
      <w:tr>
        <w:trPr/>
        <w:tc>
          <w:tcPr>
            <w:tcW w:w="1220" w:type="dxa"/>
            <w:tcBorders/>
            <w:shd w:fill="D9D9D9" w:val="clear"/>
            <w:vAlign w:val="bottom"/>
          </w:tcPr>
          <w:p>
            <w:pPr>
              <w:pStyle w:val="TAH"/>
              <w:rPr/>
            </w:pPr>
            <w:r>
              <w:rPr/>
              <w:t>All</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tcBorders>
            <w:vAlign w:val="bottom"/>
          </w:tcPr>
          <w:p>
            <w:pPr>
              <w:pStyle w:val="TAC"/>
              <w:rPr/>
            </w:pPr>
            <w:r>
              <w:rPr/>
              <w:t>0.061</w:t>
            </w:r>
          </w:p>
        </w:tc>
        <w:tc>
          <w:tcPr>
            <w:tcW w:w="737" w:type="dxa"/>
            <w:tcBorders>
              <w:left w:val="single" w:sz="4" w:space="0" w:color="000000"/>
              <w:bottom w:val="single" w:sz="4" w:space="0" w:color="000000"/>
              <w:right w:val="single" w:sz="8" w:space="0" w:color="000000"/>
            </w:tcBorders>
            <w:vAlign w:val="bottom"/>
          </w:tcPr>
          <w:p>
            <w:pPr>
              <w:pStyle w:val="TAC"/>
              <w:rPr/>
            </w:pPr>
            <w:r>
              <w:rPr/>
              <w:t>0.108</w:t>
            </w:r>
          </w:p>
        </w:tc>
        <w:tc>
          <w:tcPr>
            <w:tcW w:w="802" w:type="dxa"/>
            <w:tcBorders>
              <w:bottom w:val="single" w:sz="4" w:space="0" w:color="000000"/>
            </w:tcBorders>
            <w:vAlign w:val="bottom"/>
          </w:tcPr>
          <w:p>
            <w:pPr>
              <w:pStyle w:val="TAC"/>
              <w:rPr/>
            </w:pPr>
            <w:r>
              <w:rPr/>
              <w:t>0.001</w:t>
            </w:r>
          </w:p>
        </w:tc>
        <w:tc>
          <w:tcPr>
            <w:tcW w:w="713" w:type="dxa"/>
            <w:tcBorders>
              <w:bottom w:val="single" w:sz="4" w:space="0" w:color="000000"/>
            </w:tcBorders>
            <w:vAlign w:val="bottom"/>
          </w:tcPr>
          <w:p>
            <w:pPr>
              <w:pStyle w:val="TAC"/>
              <w:rPr/>
            </w:pPr>
            <w:r>
              <w:rPr/>
              <w:t>0.020</w:t>
            </w:r>
          </w:p>
        </w:tc>
        <w:tc>
          <w:tcPr>
            <w:tcW w:w="713" w:type="dxa"/>
            <w:tcBorders>
              <w:bottom w:val="single" w:sz="4" w:space="0" w:color="000000"/>
            </w:tcBorders>
            <w:vAlign w:val="bottom"/>
          </w:tcPr>
          <w:p>
            <w:pPr>
              <w:pStyle w:val="TAC"/>
              <w:rPr/>
            </w:pPr>
            <w:r>
              <w:rPr/>
              <w:t>0.035</w:t>
            </w:r>
          </w:p>
        </w:tc>
        <w:tc>
          <w:tcPr>
            <w:tcW w:w="713" w:type="dxa"/>
            <w:tcBorders>
              <w:left w:val="single" w:sz="4" w:space="0" w:color="000000"/>
              <w:bottom w:val="single" w:sz="4" w:space="0" w:color="000000"/>
              <w:right w:val="single" w:sz="8" w:space="0" w:color="000000"/>
            </w:tcBorders>
            <w:vAlign w:val="bottom"/>
          </w:tcPr>
          <w:p>
            <w:pPr>
              <w:pStyle w:val="TAC"/>
              <w:rPr/>
            </w:pPr>
            <w:r>
              <w:rPr/>
              <w:t>0.061</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0.036</w:t>
            </w:r>
          </w:p>
        </w:tc>
        <w:tc>
          <w:tcPr>
            <w:tcW w:w="737" w:type="dxa"/>
            <w:tcBorders>
              <w:bottom w:val="single" w:sz="4" w:space="0" w:color="000000"/>
            </w:tcBorders>
            <w:vAlign w:val="bottom"/>
          </w:tcPr>
          <w:p>
            <w:pPr>
              <w:pStyle w:val="TAC"/>
              <w:rPr/>
            </w:pPr>
            <w:r>
              <w:rPr/>
              <w:t>0.059</w:t>
            </w:r>
          </w:p>
        </w:tc>
        <w:tc>
          <w:tcPr>
            <w:tcW w:w="737" w:type="dxa"/>
            <w:tcBorders>
              <w:left w:val="single" w:sz="4" w:space="0" w:color="000000"/>
              <w:bottom w:val="single" w:sz="4" w:space="0" w:color="000000"/>
              <w:right w:val="single" w:sz="8" w:space="0" w:color="000000"/>
            </w:tcBorders>
            <w:vAlign w:val="bottom"/>
          </w:tcPr>
          <w:p>
            <w:pPr>
              <w:pStyle w:val="TAC"/>
              <w:rPr/>
            </w:pPr>
            <w:r>
              <w:rPr/>
              <w:t>0.114</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0.036</w:t>
            </w:r>
          </w:p>
        </w:tc>
        <w:tc>
          <w:tcPr>
            <w:tcW w:w="737" w:type="dxa"/>
            <w:tcBorders>
              <w:bottom w:val="single" w:sz="4" w:space="0" w:color="000000"/>
            </w:tcBorders>
            <w:vAlign w:val="bottom"/>
          </w:tcPr>
          <w:p>
            <w:pPr>
              <w:pStyle w:val="TAC"/>
              <w:rPr/>
            </w:pPr>
            <w:r>
              <w:rPr/>
              <w:t>0.061</w:t>
            </w:r>
          </w:p>
        </w:tc>
        <w:tc>
          <w:tcPr>
            <w:tcW w:w="737" w:type="dxa"/>
            <w:tcBorders>
              <w:left w:val="single" w:sz="4" w:space="0" w:color="000000"/>
              <w:bottom w:val="single" w:sz="4" w:space="0" w:color="000000"/>
              <w:right w:val="single" w:sz="8" w:space="0" w:color="000000"/>
            </w:tcBorders>
            <w:vAlign w:val="bottom"/>
          </w:tcPr>
          <w:p>
            <w:pPr>
              <w:pStyle w:val="TAC"/>
              <w:rPr/>
            </w:pPr>
            <w:r>
              <w:rPr/>
              <w:t>0.082</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0.020</w:t>
            </w:r>
          </w:p>
        </w:tc>
        <w:tc>
          <w:tcPr>
            <w:tcW w:w="713" w:type="dxa"/>
            <w:tcBorders>
              <w:bottom w:val="single" w:sz="4" w:space="0" w:color="000000"/>
            </w:tcBorders>
            <w:vAlign w:val="bottom"/>
          </w:tcPr>
          <w:p>
            <w:pPr>
              <w:pStyle w:val="TAC"/>
              <w:rPr/>
            </w:pPr>
            <w:r>
              <w:rPr/>
              <w:t>0.036</w:t>
            </w:r>
          </w:p>
        </w:tc>
        <w:tc>
          <w:tcPr>
            <w:tcW w:w="713" w:type="dxa"/>
            <w:tcBorders>
              <w:left w:val="single" w:sz="4" w:space="0" w:color="000000"/>
              <w:bottom w:val="single" w:sz="4" w:space="0" w:color="000000"/>
              <w:right w:val="single" w:sz="8" w:space="0" w:color="000000"/>
            </w:tcBorders>
            <w:vAlign w:val="bottom"/>
          </w:tcPr>
          <w:p>
            <w:pPr>
              <w:pStyle w:val="TAC"/>
              <w:rPr/>
            </w:pPr>
            <w:r>
              <w:rPr/>
              <w:t>0.063</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0.037</w:t>
            </w:r>
          </w:p>
        </w:tc>
        <w:tc>
          <w:tcPr>
            <w:tcW w:w="737" w:type="dxa"/>
            <w:tcBorders>
              <w:bottom w:val="single" w:sz="4" w:space="0" w:color="000000"/>
            </w:tcBorders>
            <w:vAlign w:val="bottom"/>
          </w:tcPr>
          <w:p>
            <w:pPr>
              <w:pStyle w:val="TAC"/>
              <w:rPr/>
            </w:pPr>
            <w:r>
              <w:rPr/>
              <w:t>0.064</w:t>
            </w:r>
          </w:p>
        </w:tc>
        <w:tc>
          <w:tcPr>
            <w:tcW w:w="737" w:type="dxa"/>
            <w:tcBorders>
              <w:left w:val="single" w:sz="4" w:space="0" w:color="000000"/>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0.038</w:t>
            </w:r>
          </w:p>
        </w:tc>
        <w:tc>
          <w:tcPr>
            <w:tcW w:w="737" w:type="dxa"/>
            <w:tcBorders>
              <w:bottom w:val="single" w:sz="4" w:space="0" w:color="000000"/>
            </w:tcBorders>
            <w:vAlign w:val="bottom"/>
          </w:tcPr>
          <w:p>
            <w:pPr>
              <w:pStyle w:val="TAC"/>
              <w:rPr/>
            </w:pPr>
            <w:r>
              <w:rPr/>
              <w:t>0.061</w:t>
            </w:r>
          </w:p>
        </w:tc>
        <w:tc>
          <w:tcPr>
            <w:tcW w:w="737" w:type="dxa"/>
            <w:tcBorders>
              <w:left w:val="single" w:sz="4" w:space="0" w:color="000000"/>
              <w:bottom w:val="single" w:sz="4" w:space="0" w:color="000000"/>
              <w:right w:val="single" w:sz="8" w:space="0" w:color="000000"/>
            </w:tcBorders>
            <w:vAlign w:val="bottom"/>
          </w:tcPr>
          <w:p>
            <w:pPr>
              <w:pStyle w:val="TAC"/>
              <w:rPr/>
            </w:pPr>
            <w:r>
              <w:rPr/>
              <w:t>0.082</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0.019</w:t>
            </w:r>
          </w:p>
        </w:tc>
        <w:tc>
          <w:tcPr>
            <w:tcW w:w="713" w:type="dxa"/>
            <w:tcBorders>
              <w:bottom w:val="single" w:sz="4" w:space="0" w:color="000000"/>
            </w:tcBorders>
            <w:vAlign w:val="bottom"/>
          </w:tcPr>
          <w:p>
            <w:pPr>
              <w:pStyle w:val="TAC"/>
              <w:rPr/>
            </w:pPr>
            <w:r>
              <w:rPr/>
              <w:t>0.036</w:t>
            </w:r>
          </w:p>
        </w:tc>
        <w:tc>
          <w:tcPr>
            <w:tcW w:w="713" w:type="dxa"/>
            <w:tcBorders>
              <w:left w:val="single" w:sz="4" w:space="0" w:color="000000"/>
              <w:bottom w:val="single" w:sz="4" w:space="0" w:color="000000"/>
              <w:right w:val="single" w:sz="8" w:space="0" w:color="000000"/>
            </w:tcBorders>
            <w:vAlign w:val="bottom"/>
          </w:tcPr>
          <w:p>
            <w:pPr>
              <w:pStyle w:val="TAC"/>
              <w:rPr/>
            </w:pPr>
            <w:r>
              <w:rPr/>
              <w:t>0.059</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0.037</w:t>
            </w:r>
          </w:p>
        </w:tc>
        <w:tc>
          <w:tcPr>
            <w:tcW w:w="737" w:type="dxa"/>
            <w:tcBorders>
              <w:bottom w:val="single" w:sz="4" w:space="0" w:color="000000"/>
            </w:tcBorders>
            <w:vAlign w:val="bottom"/>
          </w:tcPr>
          <w:p>
            <w:pPr>
              <w:pStyle w:val="TAC"/>
              <w:rPr/>
            </w:pPr>
            <w:r>
              <w:rPr/>
              <w:t>0.064</w:t>
            </w:r>
          </w:p>
        </w:tc>
        <w:tc>
          <w:tcPr>
            <w:tcW w:w="737" w:type="dxa"/>
            <w:tcBorders>
              <w:left w:val="single" w:sz="4" w:space="0" w:color="000000"/>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tcBorders>
            <w:vAlign w:val="bottom"/>
          </w:tcPr>
          <w:p>
            <w:pPr>
              <w:pStyle w:val="TAC"/>
              <w:rPr/>
            </w:pPr>
            <w:r>
              <w:rPr/>
              <w:t>0.059</w:t>
            </w:r>
          </w:p>
        </w:tc>
        <w:tc>
          <w:tcPr>
            <w:tcW w:w="737" w:type="dxa"/>
            <w:tcBorders>
              <w:left w:val="single" w:sz="4" w:space="0" w:color="000000"/>
              <w:bottom w:val="single" w:sz="4" w:space="0" w:color="000000"/>
              <w:right w:val="single" w:sz="8" w:space="0" w:color="000000"/>
            </w:tcBorders>
            <w:vAlign w:val="bottom"/>
          </w:tcPr>
          <w:p>
            <w:pPr>
              <w:pStyle w:val="TAC"/>
              <w:rPr/>
            </w:pPr>
            <w:r>
              <w:rPr/>
              <w:t>0.120</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0.020</w:t>
            </w:r>
          </w:p>
        </w:tc>
        <w:tc>
          <w:tcPr>
            <w:tcW w:w="713" w:type="dxa"/>
            <w:tcBorders>
              <w:bottom w:val="single" w:sz="4" w:space="0" w:color="000000"/>
            </w:tcBorders>
            <w:vAlign w:val="bottom"/>
          </w:tcPr>
          <w:p>
            <w:pPr>
              <w:pStyle w:val="TAC"/>
              <w:rPr/>
            </w:pPr>
            <w:r>
              <w:rPr/>
              <w:t>0.035</w:t>
            </w:r>
          </w:p>
        </w:tc>
        <w:tc>
          <w:tcPr>
            <w:tcW w:w="713" w:type="dxa"/>
            <w:tcBorders>
              <w:left w:val="single" w:sz="4" w:space="0" w:color="000000"/>
              <w:bottom w:val="single" w:sz="4" w:space="0" w:color="000000"/>
              <w:right w:val="single" w:sz="8" w:space="0" w:color="000000"/>
            </w:tcBorders>
            <w:vAlign w:val="bottom"/>
          </w:tcPr>
          <w:p>
            <w:pPr>
              <w:pStyle w:val="TAC"/>
              <w:rPr/>
            </w:pPr>
            <w:r>
              <w:rPr/>
              <w:t>0.061</w:t>
            </w:r>
          </w:p>
        </w:tc>
        <w:tc>
          <w:tcPr>
            <w:tcW w:w="830" w:type="dxa"/>
            <w:tcBorders>
              <w:bottom w:val="single" w:sz="4" w:space="0" w:color="000000"/>
              <w:right w:val="single" w:sz="4" w:space="0" w:color="000000"/>
            </w:tcBorders>
            <w:vAlign w:val="bottom"/>
          </w:tcPr>
          <w:p>
            <w:pPr>
              <w:pStyle w:val="TAC"/>
              <w:rPr/>
            </w:pPr>
            <w:r>
              <w:rPr/>
              <w:t>0.000</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tcBorders>
            <w:vAlign w:val="bottom"/>
          </w:tcPr>
          <w:p>
            <w:pPr>
              <w:pStyle w:val="TAC"/>
              <w:rPr/>
            </w:pPr>
            <w:r>
              <w:rPr/>
              <w:t>0.057</w:t>
            </w:r>
          </w:p>
        </w:tc>
        <w:tc>
          <w:tcPr>
            <w:tcW w:w="737" w:type="dxa"/>
            <w:tcBorders>
              <w:left w:val="single" w:sz="4" w:space="0" w:color="000000"/>
              <w:bottom w:val="single" w:sz="4" w:space="0" w:color="000000"/>
              <w:right w:val="single" w:sz="8" w:space="0" w:color="000000"/>
            </w:tcBorders>
            <w:vAlign w:val="bottom"/>
          </w:tcPr>
          <w:p>
            <w:pPr>
              <w:pStyle w:val="TAC"/>
              <w:rPr/>
            </w:pPr>
            <w:r>
              <w:rPr/>
              <w:t>0.081</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0.001</w:t>
            </w:r>
          </w:p>
        </w:tc>
        <w:tc>
          <w:tcPr>
            <w:tcW w:w="737" w:type="dxa"/>
            <w:tcBorders>
              <w:bottom w:val="single" w:sz="4" w:space="0" w:color="000000"/>
              <w:right w:val="single" w:sz="4" w:space="0" w:color="000000"/>
            </w:tcBorders>
            <w:vAlign w:val="bottom"/>
          </w:tcPr>
          <w:p>
            <w:pPr>
              <w:pStyle w:val="TAC"/>
              <w:rPr>
                <w:color w:val="000000"/>
              </w:rPr>
            </w:pPr>
            <w:r>
              <w:rPr>
                <w:color w:val="000000"/>
              </w:rPr>
              <w:t>0.036</w:t>
            </w:r>
          </w:p>
        </w:tc>
        <w:tc>
          <w:tcPr>
            <w:tcW w:w="737" w:type="dxa"/>
            <w:tcBorders>
              <w:bottom w:val="single" w:sz="4" w:space="0" w:color="000000"/>
            </w:tcBorders>
            <w:vAlign w:val="bottom"/>
          </w:tcPr>
          <w:p>
            <w:pPr>
              <w:pStyle w:val="TAC"/>
              <w:rPr>
                <w:color w:val="000000"/>
              </w:rPr>
            </w:pPr>
            <w:r>
              <w:rPr>
                <w:color w:val="000000"/>
              </w:rPr>
              <w:t>0.064</w:t>
            </w:r>
          </w:p>
        </w:tc>
        <w:tc>
          <w:tcPr>
            <w:tcW w:w="737" w:type="dxa"/>
            <w:tcBorders>
              <w:left w:val="single" w:sz="4" w:space="0" w:color="000000"/>
              <w:bottom w:val="single" w:sz="4" w:space="0" w:color="000000"/>
              <w:right w:val="single" w:sz="8" w:space="0" w:color="000000"/>
            </w:tcBorders>
            <w:vAlign w:val="bottom"/>
          </w:tcPr>
          <w:p>
            <w:pPr>
              <w:pStyle w:val="TAC"/>
              <w:rPr>
                <w:color w:val="000000"/>
              </w:rPr>
            </w:pPr>
            <w:r>
              <w:rPr>
                <w:color w:val="000000"/>
              </w:rPr>
              <w:t>0.109</w:t>
            </w:r>
          </w:p>
        </w:tc>
        <w:tc>
          <w:tcPr>
            <w:tcW w:w="802" w:type="dxa"/>
            <w:tcBorders>
              <w:bottom w:val="single" w:sz="4" w:space="0" w:color="000000"/>
              <w:right w:val="single" w:sz="4" w:space="0" w:color="000000"/>
            </w:tcBorders>
            <w:vAlign w:val="bottom"/>
          </w:tcPr>
          <w:p>
            <w:pPr>
              <w:pStyle w:val="TAC"/>
              <w:rPr>
                <w:color w:val="000000"/>
              </w:rPr>
            </w:pPr>
            <w:r>
              <w:rPr>
                <w:color w:val="000000"/>
              </w:rPr>
              <w:t>0.001</w:t>
            </w:r>
          </w:p>
        </w:tc>
        <w:tc>
          <w:tcPr>
            <w:tcW w:w="713" w:type="dxa"/>
            <w:tcBorders>
              <w:bottom w:val="single" w:sz="4" w:space="0" w:color="000000"/>
              <w:right w:val="single" w:sz="4" w:space="0" w:color="000000"/>
            </w:tcBorders>
            <w:vAlign w:val="bottom"/>
          </w:tcPr>
          <w:p>
            <w:pPr>
              <w:pStyle w:val="TAC"/>
              <w:rPr>
                <w:color w:val="000000"/>
              </w:rPr>
            </w:pPr>
            <w:r>
              <w:rPr>
                <w:color w:val="000000"/>
              </w:rPr>
              <w:t>0.018</w:t>
            </w:r>
          </w:p>
        </w:tc>
        <w:tc>
          <w:tcPr>
            <w:tcW w:w="713" w:type="dxa"/>
            <w:tcBorders>
              <w:bottom w:val="single" w:sz="4" w:space="0" w:color="000000"/>
            </w:tcBorders>
            <w:vAlign w:val="bottom"/>
          </w:tcPr>
          <w:p>
            <w:pPr>
              <w:pStyle w:val="TAC"/>
              <w:rPr>
                <w:color w:val="000000"/>
              </w:rPr>
            </w:pPr>
            <w:r>
              <w:rPr>
                <w:color w:val="000000"/>
              </w:rPr>
              <w:t>0.035</w:t>
            </w:r>
          </w:p>
        </w:tc>
        <w:tc>
          <w:tcPr>
            <w:tcW w:w="713" w:type="dxa"/>
            <w:tcBorders>
              <w:left w:val="single" w:sz="4" w:space="0" w:color="000000"/>
              <w:bottom w:val="single" w:sz="4" w:space="0" w:color="000000"/>
              <w:right w:val="single" w:sz="8" w:space="0" w:color="000000"/>
            </w:tcBorders>
            <w:vAlign w:val="bottom"/>
          </w:tcPr>
          <w:p>
            <w:pPr>
              <w:pStyle w:val="TAC"/>
              <w:rPr>
                <w:color w:val="000000"/>
              </w:rPr>
            </w:pPr>
            <w:r>
              <w:rPr>
                <w:color w:val="000000"/>
              </w:rPr>
              <w:t>0.056</w:t>
            </w:r>
          </w:p>
        </w:tc>
        <w:tc>
          <w:tcPr>
            <w:tcW w:w="830" w:type="dxa"/>
            <w:tcBorders>
              <w:bottom w:val="single" w:sz="4" w:space="0" w:color="000000"/>
              <w:right w:val="single" w:sz="4" w:space="0" w:color="000000"/>
            </w:tcBorders>
            <w:vAlign w:val="bottom"/>
          </w:tcPr>
          <w:p>
            <w:pPr>
              <w:pStyle w:val="TAC"/>
              <w:rPr>
                <w:color w:val="000000"/>
              </w:rPr>
            </w:pPr>
            <w:r>
              <w:rPr>
                <w:color w:val="000000"/>
              </w:rPr>
              <w:t>0.001</w:t>
            </w:r>
          </w:p>
        </w:tc>
        <w:tc>
          <w:tcPr>
            <w:tcW w:w="737" w:type="dxa"/>
            <w:tcBorders>
              <w:bottom w:val="single" w:sz="4" w:space="0" w:color="000000"/>
              <w:right w:val="single" w:sz="4" w:space="0" w:color="000000"/>
            </w:tcBorders>
            <w:vAlign w:val="bottom"/>
          </w:tcPr>
          <w:p>
            <w:pPr>
              <w:pStyle w:val="TAC"/>
              <w:rPr>
                <w:color w:val="000000"/>
              </w:rPr>
            </w:pPr>
            <w:r>
              <w:rPr>
                <w:color w:val="000000"/>
              </w:rPr>
              <w:t>0.034</w:t>
            </w:r>
          </w:p>
        </w:tc>
        <w:tc>
          <w:tcPr>
            <w:tcW w:w="737" w:type="dxa"/>
            <w:tcBorders>
              <w:bottom w:val="single" w:sz="4" w:space="0" w:color="000000"/>
            </w:tcBorders>
            <w:vAlign w:val="bottom"/>
          </w:tcPr>
          <w:p>
            <w:pPr>
              <w:pStyle w:val="TAC"/>
              <w:rPr>
                <w:color w:val="000000"/>
              </w:rPr>
            </w:pPr>
            <w:r>
              <w:rPr>
                <w:color w:val="000000"/>
              </w:rPr>
              <w:t>0.075</w:t>
            </w:r>
          </w:p>
        </w:tc>
        <w:tc>
          <w:tcPr>
            <w:tcW w:w="737" w:type="dxa"/>
            <w:tcBorders>
              <w:left w:val="single" w:sz="4" w:space="0" w:color="000000"/>
              <w:bottom w:val="single" w:sz="4" w:space="0" w:color="000000"/>
              <w:right w:val="single" w:sz="8" w:space="0" w:color="000000"/>
            </w:tcBorders>
            <w:vAlign w:val="bottom"/>
          </w:tcPr>
          <w:p>
            <w:pPr>
              <w:pStyle w:val="TAC"/>
              <w:rPr>
                <w:color w:val="000000"/>
              </w:rPr>
            </w:pPr>
            <w:r>
              <w:rPr>
                <w:color w:val="000000"/>
              </w:rPr>
              <w:t>0.162</w:t>
            </w:r>
          </w:p>
        </w:tc>
      </w:tr>
      <w:tr>
        <w:trPr/>
        <w:tc>
          <w:tcPr>
            <w:tcW w:w="1220" w:type="dxa"/>
            <w:tcBorders>
              <w:left w:val="single" w:sz="4" w:space="0" w:color="000000"/>
              <w:bottom w:val="single" w:sz="4" w:space="0" w:color="000000"/>
            </w:tcBorders>
            <w:vAlign w:val="bottom"/>
          </w:tcPr>
          <w:p>
            <w:pPr>
              <w:pStyle w:val="TAL"/>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0.000</w:t>
            </w:r>
          </w:p>
        </w:tc>
        <w:tc>
          <w:tcPr>
            <w:tcW w:w="737" w:type="dxa"/>
            <w:tcBorders>
              <w:bottom w:val="single" w:sz="4" w:space="0" w:color="000000"/>
              <w:right w:val="single" w:sz="4" w:space="0" w:color="000000"/>
            </w:tcBorders>
            <w:vAlign w:val="bottom"/>
          </w:tcPr>
          <w:p>
            <w:pPr>
              <w:pStyle w:val="TAC"/>
              <w:rPr/>
            </w:pPr>
            <w:r>
              <w:rPr/>
              <w:t>0.036</w:t>
            </w:r>
          </w:p>
        </w:tc>
        <w:tc>
          <w:tcPr>
            <w:tcW w:w="737" w:type="dxa"/>
            <w:tcBorders>
              <w:bottom w:val="single" w:sz="4" w:space="0" w:color="000000"/>
            </w:tcBorders>
            <w:vAlign w:val="bottom"/>
          </w:tcPr>
          <w:p>
            <w:pPr>
              <w:pStyle w:val="TAC"/>
              <w:rPr/>
            </w:pPr>
            <w:r>
              <w:rPr/>
              <w:t>0.062</w:t>
            </w:r>
          </w:p>
        </w:tc>
        <w:tc>
          <w:tcPr>
            <w:tcW w:w="737" w:type="dxa"/>
            <w:tcBorders>
              <w:left w:val="single" w:sz="4" w:space="0" w:color="000000"/>
              <w:bottom w:val="single" w:sz="4" w:space="0" w:color="000000"/>
              <w:right w:val="single" w:sz="8" w:space="0" w:color="000000"/>
            </w:tcBorders>
            <w:vAlign w:val="bottom"/>
          </w:tcPr>
          <w:p>
            <w:pPr>
              <w:pStyle w:val="TAC"/>
              <w:rPr/>
            </w:pPr>
            <w:r>
              <w:rPr/>
              <w:t>0.081</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0.019</w:t>
            </w:r>
          </w:p>
        </w:tc>
        <w:tc>
          <w:tcPr>
            <w:tcW w:w="713" w:type="dxa"/>
            <w:tcBorders>
              <w:bottom w:val="single" w:sz="4" w:space="0" w:color="000000"/>
            </w:tcBorders>
            <w:vAlign w:val="bottom"/>
          </w:tcPr>
          <w:p>
            <w:pPr>
              <w:pStyle w:val="TAC"/>
              <w:rPr/>
            </w:pPr>
            <w:r>
              <w:rPr/>
              <w:t>0.036</w:t>
            </w:r>
          </w:p>
        </w:tc>
        <w:tc>
          <w:tcPr>
            <w:tcW w:w="713" w:type="dxa"/>
            <w:tcBorders>
              <w:left w:val="single" w:sz="4" w:space="0" w:color="000000"/>
              <w:bottom w:val="single" w:sz="4" w:space="0" w:color="000000"/>
              <w:right w:val="single" w:sz="8" w:space="0" w:color="000000"/>
            </w:tcBorders>
            <w:vAlign w:val="bottom"/>
          </w:tcPr>
          <w:p>
            <w:pPr>
              <w:pStyle w:val="TAC"/>
              <w:rPr/>
            </w:pPr>
            <w:r>
              <w:rPr/>
              <w:t>0.063</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0.037</w:t>
            </w:r>
          </w:p>
        </w:tc>
        <w:tc>
          <w:tcPr>
            <w:tcW w:w="737" w:type="dxa"/>
            <w:tcBorders>
              <w:bottom w:val="single" w:sz="4" w:space="0" w:color="000000"/>
            </w:tcBorders>
            <w:vAlign w:val="bottom"/>
          </w:tcPr>
          <w:p>
            <w:pPr>
              <w:pStyle w:val="TAC"/>
              <w:rPr/>
            </w:pPr>
            <w:r>
              <w:rPr/>
              <w:t>0.064</w:t>
            </w:r>
          </w:p>
        </w:tc>
        <w:tc>
          <w:tcPr>
            <w:tcW w:w="737" w:type="dxa"/>
            <w:tcBorders>
              <w:left w:val="single" w:sz="4" w:space="0" w:color="000000"/>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0.001</w:t>
            </w:r>
          </w:p>
        </w:tc>
        <w:tc>
          <w:tcPr>
            <w:tcW w:w="737" w:type="dxa"/>
            <w:tcBorders>
              <w:bottom w:val="single" w:sz="8" w:space="0" w:color="000000"/>
              <w:right w:val="single" w:sz="4" w:space="0" w:color="000000"/>
            </w:tcBorders>
            <w:vAlign w:val="bottom"/>
          </w:tcPr>
          <w:p>
            <w:pPr>
              <w:pStyle w:val="TAC"/>
              <w:rPr/>
            </w:pPr>
            <w:r>
              <w:rPr/>
              <w:t>0.036</w:t>
            </w:r>
          </w:p>
        </w:tc>
        <w:tc>
          <w:tcPr>
            <w:tcW w:w="737" w:type="dxa"/>
            <w:tcBorders>
              <w:bottom w:val="single" w:sz="8" w:space="0" w:color="000000"/>
            </w:tcBorders>
            <w:vAlign w:val="bottom"/>
          </w:tcPr>
          <w:p>
            <w:pPr>
              <w:pStyle w:val="TAC"/>
              <w:rPr/>
            </w:pPr>
            <w:r>
              <w:rPr/>
              <w:t>0.062</w:t>
            </w:r>
          </w:p>
        </w:tc>
        <w:tc>
          <w:tcPr>
            <w:tcW w:w="737" w:type="dxa"/>
            <w:tcBorders>
              <w:left w:val="single" w:sz="4" w:space="0" w:color="000000"/>
              <w:bottom w:val="single" w:sz="8" w:space="0" w:color="000000"/>
              <w:right w:val="single" w:sz="8" w:space="0" w:color="000000"/>
            </w:tcBorders>
            <w:vAlign w:val="bottom"/>
          </w:tcPr>
          <w:p>
            <w:pPr>
              <w:pStyle w:val="TAC"/>
              <w:rPr/>
            </w:pPr>
            <w:r>
              <w:rPr/>
              <w:t>0.082</w:t>
            </w:r>
          </w:p>
        </w:tc>
        <w:tc>
          <w:tcPr>
            <w:tcW w:w="802" w:type="dxa"/>
            <w:tcBorders>
              <w:bottom w:val="single" w:sz="8" w:space="0" w:color="000000"/>
              <w:right w:val="single" w:sz="4" w:space="0" w:color="000000"/>
            </w:tcBorders>
            <w:vAlign w:val="bottom"/>
          </w:tcPr>
          <w:p>
            <w:pPr>
              <w:pStyle w:val="TAC"/>
              <w:rPr/>
            </w:pPr>
            <w:r>
              <w:rPr/>
              <w:t>0.001</w:t>
            </w:r>
          </w:p>
        </w:tc>
        <w:tc>
          <w:tcPr>
            <w:tcW w:w="713" w:type="dxa"/>
            <w:tcBorders>
              <w:bottom w:val="single" w:sz="8" w:space="0" w:color="000000"/>
              <w:right w:val="single" w:sz="4" w:space="0" w:color="000000"/>
            </w:tcBorders>
            <w:vAlign w:val="bottom"/>
          </w:tcPr>
          <w:p>
            <w:pPr>
              <w:pStyle w:val="TAC"/>
              <w:rPr/>
            </w:pPr>
            <w:r>
              <w:rPr/>
              <w:t>0.019</w:t>
            </w:r>
          </w:p>
        </w:tc>
        <w:tc>
          <w:tcPr>
            <w:tcW w:w="713" w:type="dxa"/>
            <w:tcBorders>
              <w:bottom w:val="single" w:sz="8" w:space="0" w:color="000000"/>
            </w:tcBorders>
            <w:vAlign w:val="bottom"/>
          </w:tcPr>
          <w:p>
            <w:pPr>
              <w:pStyle w:val="TAC"/>
              <w:rPr/>
            </w:pPr>
            <w:r>
              <w:rPr/>
              <w:t>0.036</w:t>
            </w:r>
          </w:p>
        </w:tc>
        <w:tc>
          <w:tcPr>
            <w:tcW w:w="713" w:type="dxa"/>
            <w:tcBorders>
              <w:left w:val="single" w:sz="4" w:space="0" w:color="000000"/>
              <w:bottom w:val="single" w:sz="8" w:space="0" w:color="000000"/>
              <w:right w:val="single" w:sz="8" w:space="0" w:color="000000"/>
            </w:tcBorders>
            <w:vAlign w:val="bottom"/>
          </w:tcPr>
          <w:p>
            <w:pPr>
              <w:pStyle w:val="TAC"/>
              <w:rPr/>
            </w:pPr>
            <w:r>
              <w:rPr/>
              <w:t>0.063</w:t>
            </w:r>
          </w:p>
        </w:tc>
        <w:tc>
          <w:tcPr>
            <w:tcW w:w="830" w:type="dxa"/>
            <w:tcBorders>
              <w:bottom w:val="single" w:sz="8" w:space="0" w:color="000000"/>
              <w:right w:val="single" w:sz="4" w:space="0" w:color="000000"/>
            </w:tcBorders>
            <w:vAlign w:val="bottom"/>
          </w:tcPr>
          <w:p>
            <w:pPr>
              <w:pStyle w:val="TAC"/>
              <w:rPr/>
            </w:pPr>
            <w:r>
              <w:rPr/>
              <w:t>0.001</w:t>
            </w:r>
          </w:p>
        </w:tc>
        <w:tc>
          <w:tcPr>
            <w:tcW w:w="737" w:type="dxa"/>
            <w:tcBorders>
              <w:bottom w:val="single" w:sz="8" w:space="0" w:color="000000"/>
              <w:right w:val="single" w:sz="4" w:space="0" w:color="000000"/>
            </w:tcBorders>
            <w:vAlign w:val="bottom"/>
          </w:tcPr>
          <w:p>
            <w:pPr>
              <w:pStyle w:val="TAC"/>
              <w:rPr/>
            </w:pPr>
            <w:r>
              <w:rPr/>
              <w:t>0.038</w:t>
            </w:r>
          </w:p>
        </w:tc>
        <w:tc>
          <w:tcPr>
            <w:tcW w:w="737" w:type="dxa"/>
            <w:tcBorders>
              <w:bottom w:val="single" w:sz="8" w:space="0" w:color="000000"/>
            </w:tcBorders>
            <w:vAlign w:val="bottom"/>
          </w:tcPr>
          <w:p>
            <w:pPr>
              <w:pStyle w:val="TAC"/>
              <w:rPr/>
            </w:pPr>
            <w:r>
              <w:rPr/>
              <w:t>0.065</w:t>
            </w:r>
          </w:p>
        </w:tc>
        <w:tc>
          <w:tcPr>
            <w:tcW w:w="737" w:type="dxa"/>
            <w:tcBorders>
              <w:left w:val="single" w:sz="4" w:space="0" w:color="000000"/>
              <w:bottom w:val="single" w:sz="8" w:space="0" w:color="000000"/>
              <w:right w:val="single" w:sz="8" w:space="0" w:color="000000"/>
            </w:tcBorders>
            <w:vAlign w:val="bottom"/>
          </w:tcPr>
          <w:p>
            <w:pPr>
              <w:pStyle w:val="TAC"/>
              <w:rPr/>
            </w:pPr>
            <w:r>
              <w:rPr/>
              <w:t>0.083</w:t>
            </w:r>
          </w:p>
        </w:tc>
      </w:tr>
      <w:tr>
        <w:trPr/>
        <w:tc>
          <w:tcPr>
            <w:tcW w:w="1220" w:type="dxa"/>
            <w:tcBorders/>
            <w:shd w:fill="D9D9D9" w:val="clear"/>
            <w:vAlign w:val="bottom"/>
          </w:tcPr>
          <w:p>
            <w:pPr>
              <w:pStyle w:val="TAH"/>
              <w:rPr/>
            </w:pPr>
            <w:r>
              <w:rPr/>
              <w:t>NB</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0.007</w:t>
            </w:r>
          </w:p>
        </w:tc>
        <w:tc>
          <w:tcPr>
            <w:tcW w:w="737" w:type="dxa"/>
            <w:tcBorders>
              <w:bottom w:val="single" w:sz="4" w:space="0" w:color="000000"/>
              <w:right w:val="single" w:sz="4" w:space="0" w:color="000000"/>
            </w:tcBorders>
            <w:vAlign w:val="bottom"/>
          </w:tcPr>
          <w:p>
            <w:pPr>
              <w:pStyle w:val="TAC"/>
              <w:rPr/>
            </w:pPr>
            <w:r>
              <w:rPr/>
              <w:t>0.051</w:t>
            </w:r>
          </w:p>
        </w:tc>
        <w:tc>
          <w:tcPr>
            <w:tcW w:w="737" w:type="dxa"/>
            <w:tcBorders>
              <w:bottom w:val="single" w:sz="4" w:space="0" w:color="000000"/>
              <w:right w:val="single" w:sz="4" w:space="0" w:color="000000"/>
            </w:tcBorders>
            <w:vAlign w:val="bottom"/>
          </w:tcPr>
          <w:p>
            <w:pPr>
              <w:pStyle w:val="TAC"/>
              <w:rPr/>
            </w:pPr>
            <w:r>
              <w:rPr/>
              <w:t>0.072</w:t>
            </w:r>
          </w:p>
        </w:tc>
        <w:tc>
          <w:tcPr>
            <w:tcW w:w="737" w:type="dxa"/>
            <w:tcBorders>
              <w:bottom w:val="single" w:sz="4" w:space="0" w:color="000000"/>
              <w:right w:val="single" w:sz="8" w:space="0" w:color="000000"/>
            </w:tcBorders>
            <w:vAlign w:val="bottom"/>
          </w:tcPr>
          <w:p>
            <w:pPr>
              <w:pStyle w:val="TAC"/>
              <w:rPr/>
            </w:pPr>
            <w:r>
              <w:rPr/>
              <w:t>0.108</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0.020</w:t>
            </w:r>
          </w:p>
        </w:tc>
        <w:tc>
          <w:tcPr>
            <w:tcW w:w="713" w:type="dxa"/>
            <w:tcBorders>
              <w:bottom w:val="single" w:sz="4" w:space="0" w:color="000000"/>
              <w:right w:val="single" w:sz="4" w:space="0" w:color="000000"/>
            </w:tcBorders>
            <w:vAlign w:val="bottom"/>
          </w:tcPr>
          <w:p>
            <w:pPr>
              <w:pStyle w:val="TAC"/>
              <w:rPr/>
            </w:pPr>
            <w:r>
              <w:rPr/>
              <w:t>0.033</w:t>
            </w:r>
          </w:p>
        </w:tc>
        <w:tc>
          <w:tcPr>
            <w:tcW w:w="713" w:type="dxa"/>
            <w:tcBorders>
              <w:bottom w:val="single" w:sz="4" w:space="0" w:color="000000"/>
              <w:right w:val="single" w:sz="8" w:space="0" w:color="000000"/>
            </w:tcBorders>
            <w:vAlign w:val="bottom"/>
          </w:tcPr>
          <w:p>
            <w:pPr>
              <w:pStyle w:val="TAC"/>
              <w:rPr/>
            </w:pPr>
            <w:r>
              <w:rPr/>
              <w:t>0.046</w:t>
            </w:r>
          </w:p>
        </w:tc>
        <w:tc>
          <w:tcPr>
            <w:tcW w:w="830" w:type="dxa"/>
            <w:tcBorders>
              <w:bottom w:val="single" w:sz="4" w:space="0" w:color="000000"/>
              <w:right w:val="single" w:sz="4" w:space="0" w:color="000000"/>
            </w:tcBorders>
            <w:vAlign w:val="bottom"/>
          </w:tcPr>
          <w:p>
            <w:pPr>
              <w:pStyle w:val="TAC"/>
              <w:rPr/>
            </w:pPr>
            <w:r>
              <w:rPr/>
              <w:t>0.010</w:t>
            </w:r>
          </w:p>
        </w:tc>
        <w:tc>
          <w:tcPr>
            <w:tcW w:w="737" w:type="dxa"/>
            <w:tcBorders>
              <w:bottom w:val="single" w:sz="4" w:space="0" w:color="000000"/>
              <w:right w:val="single" w:sz="4" w:space="0" w:color="000000"/>
            </w:tcBorders>
            <w:vAlign w:val="bottom"/>
          </w:tcPr>
          <w:p>
            <w:pPr>
              <w:pStyle w:val="TAC"/>
              <w:rPr/>
            </w:pPr>
            <w:r>
              <w:rPr/>
              <w:t>0.057</w:t>
            </w:r>
          </w:p>
        </w:tc>
        <w:tc>
          <w:tcPr>
            <w:tcW w:w="737" w:type="dxa"/>
            <w:tcBorders>
              <w:bottom w:val="single" w:sz="4" w:space="0" w:color="000000"/>
              <w:right w:val="single" w:sz="4" w:space="0" w:color="000000"/>
            </w:tcBorders>
            <w:vAlign w:val="bottom"/>
          </w:tcPr>
          <w:p>
            <w:pPr>
              <w:pStyle w:val="TAC"/>
              <w:rPr/>
            </w:pPr>
            <w:r>
              <w:rPr/>
              <w:t>0.075</w:t>
            </w:r>
          </w:p>
        </w:tc>
        <w:tc>
          <w:tcPr>
            <w:tcW w:w="737" w:type="dxa"/>
            <w:tcBorders>
              <w:bottom w:val="single" w:sz="4" w:space="0" w:color="000000"/>
              <w:right w:val="single" w:sz="8" w:space="0" w:color="000000"/>
            </w:tcBorders>
            <w:vAlign w:val="bottom"/>
          </w:tcPr>
          <w:p>
            <w:pPr>
              <w:pStyle w:val="TAC"/>
              <w:rPr/>
            </w:pPr>
            <w:r>
              <w:rPr/>
              <w:t>0.114</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0.008</w:t>
            </w:r>
          </w:p>
        </w:tc>
        <w:tc>
          <w:tcPr>
            <w:tcW w:w="737" w:type="dxa"/>
            <w:tcBorders>
              <w:bottom w:val="single" w:sz="4" w:space="0" w:color="000000"/>
              <w:right w:val="single" w:sz="4" w:space="0" w:color="000000"/>
            </w:tcBorders>
            <w:vAlign w:val="bottom"/>
          </w:tcPr>
          <w:p>
            <w:pPr>
              <w:pStyle w:val="TAC"/>
              <w:rPr/>
            </w:pPr>
            <w:r>
              <w:rPr/>
              <w:t>0.054</w:t>
            </w:r>
          </w:p>
        </w:tc>
        <w:tc>
          <w:tcPr>
            <w:tcW w:w="737" w:type="dxa"/>
            <w:tcBorders>
              <w:bottom w:val="single" w:sz="4" w:space="0" w:color="000000"/>
              <w:right w:val="single" w:sz="4" w:space="0" w:color="000000"/>
            </w:tcBorders>
            <w:vAlign w:val="bottom"/>
          </w:tcPr>
          <w:p>
            <w:pPr>
              <w:pStyle w:val="TAC"/>
              <w:rPr/>
            </w:pPr>
            <w:r>
              <w:rPr/>
              <w:t>0.074</w:t>
            </w:r>
          </w:p>
        </w:tc>
        <w:tc>
          <w:tcPr>
            <w:tcW w:w="737" w:type="dxa"/>
            <w:tcBorders>
              <w:bottom w:val="single" w:sz="4" w:space="0" w:color="000000"/>
              <w:right w:val="single" w:sz="8" w:space="0" w:color="000000"/>
            </w:tcBorders>
            <w:vAlign w:val="bottom"/>
          </w:tcPr>
          <w:p>
            <w:pPr>
              <w:pStyle w:val="TAC"/>
              <w:rPr/>
            </w:pPr>
            <w:r>
              <w:rPr/>
              <w:t>0.082</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0.014</w:t>
            </w:r>
          </w:p>
        </w:tc>
        <w:tc>
          <w:tcPr>
            <w:tcW w:w="713" w:type="dxa"/>
            <w:tcBorders>
              <w:bottom w:val="single" w:sz="4" w:space="0" w:color="000000"/>
              <w:right w:val="single" w:sz="4" w:space="0" w:color="000000"/>
            </w:tcBorders>
            <w:vAlign w:val="bottom"/>
          </w:tcPr>
          <w:p>
            <w:pPr>
              <w:pStyle w:val="TAC"/>
              <w:rPr/>
            </w:pPr>
            <w:r>
              <w:rPr/>
              <w:t>0.033</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0.011</w:t>
            </w:r>
          </w:p>
        </w:tc>
        <w:tc>
          <w:tcPr>
            <w:tcW w:w="737" w:type="dxa"/>
            <w:tcBorders>
              <w:bottom w:val="single" w:sz="4" w:space="0" w:color="000000"/>
              <w:right w:val="single" w:sz="4" w:space="0" w:color="000000"/>
            </w:tcBorders>
            <w:vAlign w:val="bottom"/>
          </w:tcPr>
          <w:p>
            <w:pPr>
              <w:pStyle w:val="TAC"/>
              <w:rPr/>
            </w:pPr>
            <w:r>
              <w:rPr/>
              <w:t>0.061</w:t>
            </w:r>
          </w:p>
        </w:tc>
        <w:tc>
          <w:tcPr>
            <w:tcW w:w="737" w:type="dxa"/>
            <w:tcBorders>
              <w:bottom w:val="single" w:sz="4" w:space="0" w:color="000000"/>
              <w:right w:val="single" w:sz="4" w:space="0" w:color="000000"/>
            </w:tcBorders>
            <w:vAlign w:val="bottom"/>
          </w:tcPr>
          <w:p>
            <w:pPr>
              <w:pStyle w:val="TAC"/>
              <w:rPr/>
            </w:pPr>
            <w:r>
              <w:rPr/>
              <w:t>0.074</w:t>
            </w:r>
          </w:p>
        </w:tc>
        <w:tc>
          <w:tcPr>
            <w:tcW w:w="737" w:type="dxa"/>
            <w:tcBorders>
              <w:bottom w:val="single" w:sz="4" w:space="0" w:color="000000"/>
              <w:right w:val="single" w:sz="8" w:space="0" w:color="000000"/>
            </w:tcBorders>
            <w:vAlign w:val="bottom"/>
          </w:tcPr>
          <w:p>
            <w:pPr>
              <w:pStyle w:val="TAC"/>
              <w:rPr/>
            </w:pPr>
            <w:r>
              <w:rPr/>
              <w:t>0.080</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0.008</w:t>
            </w:r>
          </w:p>
        </w:tc>
        <w:tc>
          <w:tcPr>
            <w:tcW w:w="737" w:type="dxa"/>
            <w:tcBorders>
              <w:bottom w:val="single" w:sz="4" w:space="0" w:color="000000"/>
              <w:right w:val="single" w:sz="4" w:space="0" w:color="000000"/>
            </w:tcBorders>
            <w:vAlign w:val="bottom"/>
          </w:tcPr>
          <w:p>
            <w:pPr>
              <w:pStyle w:val="TAC"/>
              <w:rPr/>
            </w:pPr>
            <w:r>
              <w:rPr/>
              <w:t>0.055</w:t>
            </w:r>
          </w:p>
        </w:tc>
        <w:tc>
          <w:tcPr>
            <w:tcW w:w="737" w:type="dxa"/>
            <w:tcBorders>
              <w:bottom w:val="single" w:sz="4" w:space="0" w:color="000000"/>
              <w:right w:val="single" w:sz="4" w:space="0" w:color="000000"/>
            </w:tcBorders>
            <w:vAlign w:val="bottom"/>
          </w:tcPr>
          <w:p>
            <w:pPr>
              <w:pStyle w:val="TAC"/>
              <w:rPr/>
            </w:pPr>
            <w:r>
              <w:rPr/>
              <w:t>0.074</w:t>
            </w:r>
          </w:p>
        </w:tc>
        <w:tc>
          <w:tcPr>
            <w:tcW w:w="737" w:type="dxa"/>
            <w:tcBorders>
              <w:bottom w:val="single" w:sz="4" w:space="0" w:color="000000"/>
              <w:right w:val="single" w:sz="8" w:space="0" w:color="000000"/>
            </w:tcBorders>
            <w:vAlign w:val="bottom"/>
          </w:tcPr>
          <w:p>
            <w:pPr>
              <w:pStyle w:val="TAC"/>
              <w:rPr/>
            </w:pPr>
            <w:r>
              <w:rPr/>
              <w:t>0.082</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0.014</w:t>
            </w:r>
          </w:p>
        </w:tc>
        <w:tc>
          <w:tcPr>
            <w:tcW w:w="713" w:type="dxa"/>
            <w:tcBorders>
              <w:bottom w:val="single" w:sz="4" w:space="0" w:color="000000"/>
              <w:right w:val="single" w:sz="4" w:space="0" w:color="000000"/>
            </w:tcBorders>
            <w:vAlign w:val="bottom"/>
          </w:tcPr>
          <w:p>
            <w:pPr>
              <w:pStyle w:val="TAC"/>
              <w:rPr/>
            </w:pPr>
            <w:r>
              <w:rPr/>
              <w:t>0.033</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0.011</w:t>
            </w:r>
          </w:p>
        </w:tc>
        <w:tc>
          <w:tcPr>
            <w:tcW w:w="737" w:type="dxa"/>
            <w:tcBorders>
              <w:bottom w:val="single" w:sz="4" w:space="0" w:color="000000"/>
              <w:right w:val="single" w:sz="4" w:space="0" w:color="000000"/>
            </w:tcBorders>
            <w:vAlign w:val="bottom"/>
          </w:tcPr>
          <w:p>
            <w:pPr>
              <w:pStyle w:val="TAC"/>
              <w:rPr/>
            </w:pPr>
            <w:r>
              <w:rPr/>
              <w:t>0.061</w:t>
            </w:r>
          </w:p>
        </w:tc>
        <w:tc>
          <w:tcPr>
            <w:tcW w:w="737" w:type="dxa"/>
            <w:tcBorders>
              <w:bottom w:val="single" w:sz="4" w:space="0" w:color="000000"/>
              <w:right w:val="single" w:sz="4" w:space="0" w:color="000000"/>
            </w:tcBorders>
            <w:vAlign w:val="bottom"/>
          </w:tcPr>
          <w:p>
            <w:pPr>
              <w:pStyle w:val="TAC"/>
              <w:rPr/>
            </w:pPr>
            <w:r>
              <w:rPr/>
              <w:t>0.074</w:t>
            </w:r>
          </w:p>
        </w:tc>
        <w:tc>
          <w:tcPr>
            <w:tcW w:w="737" w:type="dxa"/>
            <w:tcBorders>
              <w:bottom w:val="single" w:sz="4" w:space="0" w:color="000000"/>
              <w:right w:val="single" w:sz="8" w:space="0" w:color="000000"/>
            </w:tcBorders>
            <w:vAlign w:val="bottom"/>
          </w:tcPr>
          <w:p>
            <w:pPr>
              <w:pStyle w:val="TAC"/>
              <w:rPr/>
            </w:pPr>
            <w:r>
              <w:rPr/>
              <w:t>0.080</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0.006</w:t>
            </w:r>
          </w:p>
        </w:tc>
        <w:tc>
          <w:tcPr>
            <w:tcW w:w="737" w:type="dxa"/>
            <w:tcBorders>
              <w:bottom w:val="single" w:sz="4" w:space="0" w:color="000000"/>
              <w:right w:val="single" w:sz="4" w:space="0" w:color="000000"/>
            </w:tcBorders>
            <w:vAlign w:val="bottom"/>
          </w:tcPr>
          <w:p>
            <w:pPr>
              <w:pStyle w:val="TAC"/>
              <w:rPr/>
            </w:pPr>
            <w:r>
              <w:rPr/>
              <w:t>0.050</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0.075</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0.020</w:t>
            </w:r>
          </w:p>
        </w:tc>
        <w:tc>
          <w:tcPr>
            <w:tcW w:w="713" w:type="dxa"/>
            <w:tcBorders>
              <w:bottom w:val="single" w:sz="4" w:space="0" w:color="000000"/>
              <w:right w:val="single" w:sz="4" w:space="0" w:color="000000"/>
            </w:tcBorders>
            <w:vAlign w:val="bottom"/>
          </w:tcPr>
          <w:p>
            <w:pPr>
              <w:pStyle w:val="TAC"/>
              <w:rPr/>
            </w:pPr>
            <w:r>
              <w:rPr/>
              <w:t>0.034</w:t>
            </w:r>
          </w:p>
        </w:tc>
        <w:tc>
          <w:tcPr>
            <w:tcW w:w="713" w:type="dxa"/>
            <w:tcBorders>
              <w:bottom w:val="single" w:sz="4" w:space="0" w:color="000000"/>
              <w:right w:val="single" w:sz="8" w:space="0" w:color="000000"/>
            </w:tcBorders>
            <w:vAlign w:val="bottom"/>
          </w:tcPr>
          <w:p>
            <w:pPr>
              <w:pStyle w:val="TAC"/>
              <w:rPr/>
            </w:pPr>
            <w:r>
              <w:rPr/>
              <w:t>0.038</w:t>
            </w:r>
          </w:p>
        </w:tc>
        <w:tc>
          <w:tcPr>
            <w:tcW w:w="830" w:type="dxa"/>
            <w:tcBorders>
              <w:bottom w:val="single" w:sz="4" w:space="0" w:color="000000"/>
              <w:right w:val="single" w:sz="4" w:space="0" w:color="000000"/>
            </w:tcBorders>
            <w:vAlign w:val="bottom"/>
          </w:tcPr>
          <w:p>
            <w:pPr>
              <w:pStyle w:val="TAC"/>
              <w:rPr/>
            </w:pPr>
            <w:r>
              <w:rPr/>
              <w:t>0.007</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4" w:space="0" w:color="000000"/>
            </w:tcBorders>
            <w:vAlign w:val="bottom"/>
          </w:tcPr>
          <w:p>
            <w:pPr>
              <w:pStyle w:val="TAC"/>
              <w:rPr/>
            </w:pPr>
            <w:r>
              <w:rPr/>
              <w:t>0.068</w:t>
            </w:r>
          </w:p>
        </w:tc>
        <w:tc>
          <w:tcPr>
            <w:tcW w:w="737" w:type="dxa"/>
            <w:tcBorders>
              <w:bottom w:val="single" w:sz="4" w:space="0" w:color="000000"/>
              <w:right w:val="single" w:sz="8" w:space="0" w:color="000000"/>
            </w:tcBorders>
            <w:vAlign w:val="bottom"/>
          </w:tcPr>
          <w:p>
            <w:pPr>
              <w:pStyle w:val="TAC"/>
              <w:rPr/>
            </w:pPr>
            <w:r>
              <w:rPr/>
              <w:t>0.081</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0.008</w:t>
            </w:r>
          </w:p>
        </w:tc>
        <w:tc>
          <w:tcPr>
            <w:tcW w:w="737" w:type="dxa"/>
            <w:tcBorders>
              <w:bottom w:val="single" w:sz="4" w:space="0" w:color="000000"/>
              <w:right w:val="single" w:sz="4" w:space="0" w:color="000000"/>
            </w:tcBorders>
            <w:vAlign w:val="bottom"/>
          </w:tcPr>
          <w:p>
            <w:pPr>
              <w:pStyle w:val="TAC"/>
              <w:rPr>
                <w:color w:val="000000"/>
              </w:rPr>
            </w:pPr>
            <w:r>
              <w:rPr>
                <w:color w:val="000000"/>
              </w:rPr>
              <w:t>0.062</w:t>
            </w:r>
          </w:p>
        </w:tc>
        <w:tc>
          <w:tcPr>
            <w:tcW w:w="737" w:type="dxa"/>
            <w:tcBorders>
              <w:bottom w:val="single" w:sz="4" w:space="0" w:color="000000"/>
              <w:right w:val="single" w:sz="4" w:space="0" w:color="000000"/>
            </w:tcBorders>
            <w:vAlign w:val="bottom"/>
          </w:tcPr>
          <w:p>
            <w:pPr>
              <w:pStyle w:val="TAC"/>
              <w:rPr>
                <w:color w:val="000000"/>
              </w:rPr>
            </w:pPr>
            <w:r>
              <w:rPr>
                <w:color w:val="000000"/>
              </w:rPr>
              <w:t>0.079</w:t>
            </w:r>
          </w:p>
        </w:tc>
        <w:tc>
          <w:tcPr>
            <w:tcW w:w="737" w:type="dxa"/>
            <w:tcBorders>
              <w:bottom w:val="single" w:sz="4" w:space="0" w:color="000000"/>
              <w:right w:val="single" w:sz="8" w:space="0" w:color="000000"/>
            </w:tcBorders>
            <w:vAlign w:val="bottom"/>
          </w:tcPr>
          <w:p>
            <w:pPr>
              <w:pStyle w:val="TAC"/>
              <w:rPr>
                <w:color w:val="000000"/>
              </w:rPr>
            </w:pPr>
            <w:r>
              <w:rPr>
                <w:color w:val="000000"/>
              </w:rPr>
              <w:t>0.109</w:t>
            </w:r>
          </w:p>
        </w:tc>
        <w:tc>
          <w:tcPr>
            <w:tcW w:w="802" w:type="dxa"/>
            <w:tcBorders>
              <w:bottom w:val="single" w:sz="4" w:space="0" w:color="000000"/>
              <w:right w:val="single" w:sz="4" w:space="0" w:color="000000"/>
            </w:tcBorders>
            <w:vAlign w:val="bottom"/>
          </w:tcPr>
          <w:p>
            <w:pPr>
              <w:pStyle w:val="TAC"/>
              <w:rPr>
                <w:color w:val="000000"/>
              </w:rPr>
            </w:pPr>
            <w:r>
              <w:rPr>
                <w:color w:val="000000"/>
              </w:rPr>
              <w:t>0.001</w:t>
            </w:r>
          </w:p>
        </w:tc>
        <w:tc>
          <w:tcPr>
            <w:tcW w:w="713" w:type="dxa"/>
            <w:tcBorders>
              <w:bottom w:val="single" w:sz="4" w:space="0" w:color="000000"/>
              <w:right w:val="single" w:sz="4" w:space="0" w:color="000000"/>
            </w:tcBorders>
            <w:vAlign w:val="bottom"/>
          </w:tcPr>
          <w:p>
            <w:pPr>
              <w:pStyle w:val="TAC"/>
              <w:rPr>
                <w:color w:val="000000"/>
              </w:rPr>
            </w:pPr>
            <w:r>
              <w:rPr>
                <w:color w:val="000000"/>
              </w:rPr>
              <w:t>0.013</w:t>
            </w:r>
          </w:p>
        </w:tc>
        <w:tc>
          <w:tcPr>
            <w:tcW w:w="713" w:type="dxa"/>
            <w:tcBorders>
              <w:bottom w:val="single" w:sz="4" w:space="0" w:color="000000"/>
              <w:right w:val="single" w:sz="4" w:space="0" w:color="000000"/>
            </w:tcBorders>
            <w:vAlign w:val="bottom"/>
          </w:tcPr>
          <w:p>
            <w:pPr>
              <w:pStyle w:val="TAC"/>
              <w:rPr>
                <w:color w:val="000000"/>
              </w:rPr>
            </w:pPr>
            <w:r>
              <w:rPr>
                <w:color w:val="000000"/>
              </w:rPr>
              <w:t>0.033</w:t>
            </w:r>
          </w:p>
        </w:tc>
        <w:tc>
          <w:tcPr>
            <w:tcW w:w="713" w:type="dxa"/>
            <w:tcBorders>
              <w:bottom w:val="single" w:sz="4" w:space="0" w:color="000000"/>
              <w:right w:val="single" w:sz="8" w:space="0" w:color="000000"/>
            </w:tcBorders>
            <w:vAlign w:val="bottom"/>
          </w:tcPr>
          <w:p>
            <w:pPr>
              <w:pStyle w:val="TAC"/>
              <w:rPr>
                <w:color w:val="000000"/>
              </w:rPr>
            </w:pPr>
            <w:r>
              <w:rPr>
                <w:color w:val="000000"/>
              </w:rPr>
              <w:t>0.048</w:t>
            </w:r>
          </w:p>
        </w:tc>
        <w:tc>
          <w:tcPr>
            <w:tcW w:w="830" w:type="dxa"/>
            <w:tcBorders>
              <w:bottom w:val="single" w:sz="4" w:space="0" w:color="000000"/>
              <w:right w:val="single" w:sz="4" w:space="0" w:color="000000"/>
            </w:tcBorders>
            <w:vAlign w:val="bottom"/>
          </w:tcPr>
          <w:p>
            <w:pPr>
              <w:pStyle w:val="TAC"/>
              <w:rPr>
                <w:color w:val="000000"/>
              </w:rPr>
            </w:pPr>
            <w:r>
              <w:rPr>
                <w:color w:val="000000"/>
              </w:rPr>
              <w:t>0.011</w:t>
            </w:r>
          </w:p>
        </w:tc>
        <w:tc>
          <w:tcPr>
            <w:tcW w:w="737" w:type="dxa"/>
            <w:tcBorders>
              <w:bottom w:val="single" w:sz="4" w:space="0" w:color="000000"/>
              <w:right w:val="single" w:sz="4" w:space="0" w:color="000000"/>
            </w:tcBorders>
            <w:vAlign w:val="bottom"/>
          </w:tcPr>
          <w:p>
            <w:pPr>
              <w:pStyle w:val="TAC"/>
              <w:rPr>
                <w:color w:val="000000"/>
              </w:rPr>
            </w:pPr>
            <w:r>
              <w:rPr>
                <w:color w:val="000000"/>
              </w:rPr>
              <w:t>0.065</w:t>
            </w:r>
          </w:p>
        </w:tc>
        <w:tc>
          <w:tcPr>
            <w:tcW w:w="737" w:type="dxa"/>
            <w:tcBorders>
              <w:bottom w:val="single" w:sz="4" w:space="0" w:color="000000"/>
              <w:right w:val="single" w:sz="4" w:space="0" w:color="000000"/>
            </w:tcBorders>
            <w:vAlign w:val="bottom"/>
          </w:tcPr>
          <w:p>
            <w:pPr>
              <w:pStyle w:val="TAC"/>
              <w:rPr>
                <w:color w:val="000000"/>
              </w:rPr>
            </w:pPr>
            <w:r>
              <w:rPr>
                <w:color w:val="000000"/>
              </w:rPr>
              <w:t>0.081</w:t>
            </w:r>
          </w:p>
        </w:tc>
        <w:tc>
          <w:tcPr>
            <w:tcW w:w="737" w:type="dxa"/>
            <w:tcBorders>
              <w:bottom w:val="single" w:sz="4" w:space="0" w:color="000000"/>
              <w:right w:val="single" w:sz="8" w:space="0" w:color="000000"/>
            </w:tcBorders>
            <w:vAlign w:val="bottom"/>
          </w:tcPr>
          <w:p>
            <w:pPr>
              <w:pStyle w:val="TAC"/>
              <w:rPr>
                <w:color w:val="000000"/>
              </w:rPr>
            </w:pPr>
            <w:r>
              <w:rPr>
                <w:color w:val="000000"/>
              </w:rPr>
              <w:t>0.103</w:t>
            </w:r>
          </w:p>
        </w:tc>
      </w:tr>
      <w:tr>
        <w:trPr/>
        <w:tc>
          <w:tcPr>
            <w:tcW w:w="1220" w:type="dxa"/>
            <w:tcBorders>
              <w:left w:val="single" w:sz="4" w:space="0" w:color="000000"/>
              <w:bottom w:val="single" w:sz="4" w:space="0" w:color="000000"/>
            </w:tcBorders>
            <w:vAlign w:val="bottom"/>
          </w:tcPr>
          <w:p>
            <w:pPr>
              <w:pStyle w:val="TAL"/>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0.008</w:t>
            </w:r>
          </w:p>
        </w:tc>
        <w:tc>
          <w:tcPr>
            <w:tcW w:w="737" w:type="dxa"/>
            <w:tcBorders>
              <w:bottom w:val="single" w:sz="4" w:space="0" w:color="000000"/>
              <w:right w:val="single" w:sz="4" w:space="0" w:color="000000"/>
            </w:tcBorders>
            <w:vAlign w:val="bottom"/>
          </w:tcPr>
          <w:p>
            <w:pPr>
              <w:pStyle w:val="TAC"/>
              <w:rPr/>
            </w:pPr>
            <w:r>
              <w:rPr/>
              <w:t>0.054</w:t>
            </w:r>
          </w:p>
        </w:tc>
        <w:tc>
          <w:tcPr>
            <w:tcW w:w="737" w:type="dxa"/>
            <w:tcBorders>
              <w:bottom w:val="single" w:sz="4" w:space="0" w:color="000000"/>
              <w:right w:val="single" w:sz="4" w:space="0" w:color="000000"/>
            </w:tcBorders>
            <w:vAlign w:val="bottom"/>
          </w:tcPr>
          <w:p>
            <w:pPr>
              <w:pStyle w:val="TAC"/>
              <w:rPr/>
            </w:pPr>
            <w:r>
              <w:rPr/>
              <w:t>0.073</w:t>
            </w:r>
          </w:p>
        </w:tc>
        <w:tc>
          <w:tcPr>
            <w:tcW w:w="737" w:type="dxa"/>
            <w:tcBorders>
              <w:bottom w:val="single" w:sz="4" w:space="0" w:color="000000"/>
              <w:right w:val="single" w:sz="8" w:space="0" w:color="000000"/>
            </w:tcBorders>
            <w:vAlign w:val="bottom"/>
          </w:tcPr>
          <w:p>
            <w:pPr>
              <w:pStyle w:val="TAC"/>
              <w:rPr/>
            </w:pPr>
            <w:r>
              <w:rPr/>
              <w:t>0.081</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0.013</w:t>
            </w:r>
          </w:p>
        </w:tc>
        <w:tc>
          <w:tcPr>
            <w:tcW w:w="713" w:type="dxa"/>
            <w:tcBorders>
              <w:bottom w:val="single" w:sz="4" w:space="0" w:color="000000"/>
              <w:right w:val="single" w:sz="4" w:space="0" w:color="000000"/>
            </w:tcBorders>
            <w:vAlign w:val="bottom"/>
          </w:tcPr>
          <w:p>
            <w:pPr>
              <w:pStyle w:val="TAC"/>
              <w:rPr/>
            </w:pPr>
            <w:r>
              <w:rPr/>
              <w:t>0.033</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0.010</w:t>
            </w:r>
          </w:p>
        </w:tc>
        <w:tc>
          <w:tcPr>
            <w:tcW w:w="737" w:type="dxa"/>
            <w:tcBorders>
              <w:bottom w:val="single" w:sz="4" w:space="0" w:color="000000"/>
              <w:right w:val="single" w:sz="4" w:space="0" w:color="000000"/>
            </w:tcBorders>
            <w:vAlign w:val="bottom"/>
          </w:tcPr>
          <w:p>
            <w:pPr>
              <w:pStyle w:val="TAC"/>
              <w:rPr/>
            </w:pPr>
            <w:r>
              <w:rPr/>
              <w:t>0.061</w:t>
            </w:r>
          </w:p>
        </w:tc>
        <w:tc>
          <w:tcPr>
            <w:tcW w:w="737" w:type="dxa"/>
            <w:tcBorders>
              <w:bottom w:val="single" w:sz="4" w:space="0" w:color="000000"/>
              <w:right w:val="single" w:sz="4" w:space="0" w:color="000000"/>
            </w:tcBorders>
            <w:vAlign w:val="bottom"/>
          </w:tcPr>
          <w:p>
            <w:pPr>
              <w:pStyle w:val="TAC"/>
              <w:rPr/>
            </w:pPr>
            <w:r>
              <w:rPr/>
              <w:t>0.075</w:t>
            </w:r>
          </w:p>
        </w:tc>
        <w:tc>
          <w:tcPr>
            <w:tcW w:w="737" w:type="dxa"/>
            <w:tcBorders>
              <w:bottom w:val="single" w:sz="4" w:space="0" w:color="000000"/>
              <w:right w:val="single" w:sz="8" w:space="0" w:color="000000"/>
            </w:tcBorders>
            <w:vAlign w:val="bottom"/>
          </w:tcPr>
          <w:p>
            <w:pPr>
              <w:pStyle w:val="TAC"/>
              <w:rPr/>
            </w:pPr>
            <w:r>
              <w:rPr/>
              <w:t>0.079</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0.008</w:t>
            </w:r>
          </w:p>
        </w:tc>
        <w:tc>
          <w:tcPr>
            <w:tcW w:w="737" w:type="dxa"/>
            <w:tcBorders>
              <w:bottom w:val="single" w:sz="8" w:space="0" w:color="000000"/>
              <w:right w:val="single" w:sz="4" w:space="0" w:color="000000"/>
            </w:tcBorders>
            <w:vAlign w:val="bottom"/>
          </w:tcPr>
          <w:p>
            <w:pPr>
              <w:pStyle w:val="TAC"/>
              <w:rPr/>
            </w:pPr>
            <w:r>
              <w:rPr/>
              <w:t>0.054</w:t>
            </w:r>
          </w:p>
        </w:tc>
        <w:tc>
          <w:tcPr>
            <w:tcW w:w="737" w:type="dxa"/>
            <w:tcBorders>
              <w:bottom w:val="single" w:sz="8" w:space="0" w:color="000000"/>
              <w:right w:val="single" w:sz="4" w:space="0" w:color="000000"/>
            </w:tcBorders>
            <w:vAlign w:val="bottom"/>
          </w:tcPr>
          <w:p>
            <w:pPr>
              <w:pStyle w:val="TAC"/>
              <w:rPr/>
            </w:pPr>
            <w:r>
              <w:rPr/>
              <w:t>0.078</w:t>
            </w:r>
          </w:p>
        </w:tc>
        <w:tc>
          <w:tcPr>
            <w:tcW w:w="737" w:type="dxa"/>
            <w:tcBorders>
              <w:bottom w:val="single" w:sz="8" w:space="0" w:color="000000"/>
              <w:right w:val="single" w:sz="8" w:space="0" w:color="000000"/>
            </w:tcBorders>
            <w:vAlign w:val="bottom"/>
          </w:tcPr>
          <w:p>
            <w:pPr>
              <w:pStyle w:val="TAC"/>
              <w:rPr/>
            </w:pPr>
            <w:r>
              <w:rPr/>
              <w:t>0.082</w:t>
            </w:r>
          </w:p>
        </w:tc>
        <w:tc>
          <w:tcPr>
            <w:tcW w:w="802" w:type="dxa"/>
            <w:tcBorders>
              <w:bottom w:val="single" w:sz="8" w:space="0" w:color="000000"/>
              <w:right w:val="single" w:sz="4" w:space="0" w:color="000000"/>
            </w:tcBorders>
            <w:vAlign w:val="bottom"/>
          </w:tcPr>
          <w:p>
            <w:pPr>
              <w:pStyle w:val="TAC"/>
              <w:rPr/>
            </w:pPr>
            <w:r>
              <w:rPr/>
              <w:t>0.001</w:t>
            </w:r>
          </w:p>
        </w:tc>
        <w:tc>
          <w:tcPr>
            <w:tcW w:w="713" w:type="dxa"/>
            <w:tcBorders>
              <w:bottom w:val="single" w:sz="8" w:space="0" w:color="000000"/>
              <w:right w:val="single" w:sz="4" w:space="0" w:color="000000"/>
            </w:tcBorders>
            <w:vAlign w:val="bottom"/>
          </w:tcPr>
          <w:p>
            <w:pPr>
              <w:pStyle w:val="TAC"/>
              <w:rPr/>
            </w:pPr>
            <w:r>
              <w:rPr/>
              <w:t>0.013</w:t>
            </w:r>
          </w:p>
        </w:tc>
        <w:tc>
          <w:tcPr>
            <w:tcW w:w="713" w:type="dxa"/>
            <w:tcBorders>
              <w:bottom w:val="single" w:sz="8" w:space="0" w:color="000000"/>
              <w:right w:val="single" w:sz="4" w:space="0" w:color="000000"/>
            </w:tcBorders>
            <w:vAlign w:val="bottom"/>
          </w:tcPr>
          <w:p>
            <w:pPr>
              <w:pStyle w:val="TAC"/>
              <w:rPr/>
            </w:pPr>
            <w:r>
              <w:rPr/>
              <w:t>0.038</w:t>
            </w:r>
          </w:p>
        </w:tc>
        <w:tc>
          <w:tcPr>
            <w:tcW w:w="713" w:type="dxa"/>
            <w:tcBorders>
              <w:bottom w:val="single" w:sz="8" w:space="0" w:color="000000"/>
              <w:right w:val="single" w:sz="8" w:space="0" w:color="000000"/>
            </w:tcBorders>
            <w:vAlign w:val="bottom"/>
          </w:tcPr>
          <w:p>
            <w:pPr>
              <w:pStyle w:val="TAC"/>
              <w:rPr/>
            </w:pPr>
            <w:r>
              <w:rPr/>
              <w:t>0.055</w:t>
            </w:r>
          </w:p>
        </w:tc>
        <w:tc>
          <w:tcPr>
            <w:tcW w:w="830" w:type="dxa"/>
            <w:tcBorders>
              <w:bottom w:val="single" w:sz="8" w:space="0" w:color="000000"/>
              <w:right w:val="single" w:sz="4" w:space="0" w:color="000000"/>
            </w:tcBorders>
            <w:vAlign w:val="bottom"/>
          </w:tcPr>
          <w:p>
            <w:pPr>
              <w:pStyle w:val="TAC"/>
              <w:rPr/>
            </w:pPr>
            <w:r>
              <w:rPr/>
              <w:t>0.011</w:t>
            </w:r>
          </w:p>
        </w:tc>
        <w:tc>
          <w:tcPr>
            <w:tcW w:w="737" w:type="dxa"/>
            <w:tcBorders>
              <w:bottom w:val="single" w:sz="8" w:space="0" w:color="000000"/>
              <w:right w:val="single" w:sz="4" w:space="0" w:color="000000"/>
            </w:tcBorders>
            <w:vAlign w:val="bottom"/>
          </w:tcPr>
          <w:p>
            <w:pPr>
              <w:pStyle w:val="TAC"/>
              <w:rPr/>
            </w:pPr>
            <w:r>
              <w:rPr/>
              <w:t>0.061</w:t>
            </w:r>
          </w:p>
        </w:tc>
        <w:tc>
          <w:tcPr>
            <w:tcW w:w="737" w:type="dxa"/>
            <w:tcBorders>
              <w:bottom w:val="single" w:sz="8" w:space="0" w:color="000000"/>
              <w:right w:val="single" w:sz="4" w:space="0" w:color="000000"/>
            </w:tcBorders>
            <w:vAlign w:val="bottom"/>
          </w:tcPr>
          <w:p>
            <w:pPr>
              <w:pStyle w:val="TAC"/>
              <w:rPr/>
            </w:pPr>
            <w:r>
              <w:rPr/>
              <w:t>0.079</w:t>
            </w:r>
          </w:p>
        </w:tc>
        <w:tc>
          <w:tcPr>
            <w:tcW w:w="737" w:type="dxa"/>
            <w:tcBorders>
              <w:bottom w:val="single" w:sz="8" w:space="0" w:color="000000"/>
              <w:right w:val="single" w:sz="8" w:space="0" w:color="000000"/>
            </w:tcBorders>
            <w:vAlign w:val="bottom"/>
          </w:tcPr>
          <w:p>
            <w:pPr>
              <w:pStyle w:val="TAC"/>
              <w:rPr/>
            </w:pPr>
            <w:r>
              <w:rPr/>
              <w:t>0.080</w:t>
            </w:r>
          </w:p>
        </w:tc>
      </w:tr>
      <w:tr>
        <w:trPr/>
        <w:tc>
          <w:tcPr>
            <w:tcW w:w="1220" w:type="dxa"/>
            <w:tcBorders/>
            <w:shd w:fill="D9D9D9" w:val="clear"/>
            <w:vAlign w:val="bottom"/>
          </w:tcPr>
          <w:p>
            <w:pPr>
              <w:pStyle w:val="TAH"/>
              <w:rPr/>
            </w:pPr>
            <w:r>
              <w:rPr/>
              <w:t>WB</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0.038</w:t>
            </w:r>
          </w:p>
        </w:tc>
        <w:tc>
          <w:tcPr>
            <w:tcW w:w="737" w:type="dxa"/>
            <w:tcBorders>
              <w:bottom w:val="single" w:sz="4" w:space="0" w:color="000000"/>
              <w:right w:val="single" w:sz="4" w:space="0" w:color="000000"/>
            </w:tcBorders>
            <w:vAlign w:val="bottom"/>
          </w:tcPr>
          <w:p>
            <w:pPr>
              <w:pStyle w:val="TAC"/>
              <w:rPr/>
            </w:pPr>
            <w:r>
              <w:rPr/>
              <w:t>0.062</w:t>
            </w:r>
          </w:p>
        </w:tc>
        <w:tc>
          <w:tcPr>
            <w:tcW w:w="737" w:type="dxa"/>
            <w:tcBorders>
              <w:bottom w:val="single" w:sz="4" w:space="0" w:color="000000"/>
              <w:right w:val="single" w:sz="8" w:space="0" w:color="000000"/>
            </w:tcBorders>
            <w:vAlign w:val="bottom"/>
          </w:tcPr>
          <w:p>
            <w:pPr>
              <w:pStyle w:val="TAC"/>
              <w:rPr/>
            </w:pPr>
            <w:r>
              <w:rPr/>
              <w:t>0.071</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0.014</w:t>
            </w:r>
          </w:p>
        </w:tc>
        <w:tc>
          <w:tcPr>
            <w:tcW w:w="713" w:type="dxa"/>
            <w:tcBorders>
              <w:bottom w:val="single" w:sz="4" w:space="0" w:color="000000"/>
              <w:right w:val="single" w:sz="4" w:space="0" w:color="000000"/>
            </w:tcBorders>
            <w:vAlign w:val="bottom"/>
          </w:tcPr>
          <w:p>
            <w:pPr>
              <w:pStyle w:val="TAC"/>
              <w:rPr/>
            </w:pPr>
            <w:r>
              <w:rPr/>
              <w:t>0.031</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0.039</w:t>
            </w:r>
          </w:p>
        </w:tc>
        <w:tc>
          <w:tcPr>
            <w:tcW w:w="737" w:type="dxa"/>
            <w:tcBorders>
              <w:bottom w:val="single" w:sz="4" w:space="0" w:color="000000"/>
              <w:right w:val="single" w:sz="4" w:space="0" w:color="000000"/>
            </w:tcBorders>
            <w:vAlign w:val="bottom"/>
          </w:tcPr>
          <w:p>
            <w:pPr>
              <w:pStyle w:val="TAC"/>
              <w:rPr/>
            </w:pPr>
            <w:r>
              <w:rPr/>
              <w:t>0.054</w:t>
            </w:r>
          </w:p>
        </w:tc>
        <w:tc>
          <w:tcPr>
            <w:tcW w:w="737" w:type="dxa"/>
            <w:tcBorders>
              <w:bottom w:val="single" w:sz="4" w:space="0" w:color="000000"/>
              <w:right w:val="single" w:sz="8" w:space="0" w:color="000000"/>
            </w:tcBorders>
            <w:vAlign w:val="bottom"/>
          </w:tcPr>
          <w:p>
            <w:pPr>
              <w:pStyle w:val="TAC"/>
              <w:rPr/>
            </w:pPr>
            <w:r>
              <w:rPr/>
              <w:t>0.059</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0.030</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8" w:space="0" w:color="000000"/>
            </w:tcBorders>
            <w:vAlign w:val="bottom"/>
          </w:tcPr>
          <w:p>
            <w:pPr>
              <w:pStyle w:val="TAC"/>
              <w:rPr/>
            </w:pPr>
            <w:r>
              <w:rPr/>
              <w:t>0.061</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0.017</w:t>
            </w:r>
          </w:p>
        </w:tc>
        <w:tc>
          <w:tcPr>
            <w:tcW w:w="713" w:type="dxa"/>
            <w:tcBorders>
              <w:bottom w:val="single" w:sz="4" w:space="0" w:color="000000"/>
              <w:right w:val="single" w:sz="4" w:space="0" w:color="000000"/>
            </w:tcBorders>
            <w:vAlign w:val="bottom"/>
          </w:tcPr>
          <w:p>
            <w:pPr>
              <w:pStyle w:val="TAC"/>
              <w:rPr/>
            </w:pPr>
            <w:r>
              <w:rPr/>
              <w:t>0.033</w:t>
            </w:r>
          </w:p>
        </w:tc>
        <w:tc>
          <w:tcPr>
            <w:tcW w:w="713" w:type="dxa"/>
            <w:tcBorders>
              <w:bottom w:val="single" w:sz="4" w:space="0" w:color="000000"/>
              <w:right w:val="single" w:sz="8" w:space="0" w:color="000000"/>
            </w:tcBorders>
            <w:vAlign w:val="bottom"/>
          </w:tcPr>
          <w:p>
            <w:pPr>
              <w:pStyle w:val="TAC"/>
              <w:rPr/>
            </w:pPr>
            <w:r>
              <w:rPr/>
              <w:t>0.056</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0.059</w:t>
            </w:r>
          </w:p>
        </w:tc>
        <w:tc>
          <w:tcPr>
            <w:tcW w:w="737" w:type="dxa"/>
            <w:tcBorders>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0.032</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8" w:space="0" w:color="000000"/>
            </w:tcBorders>
            <w:vAlign w:val="bottom"/>
          </w:tcPr>
          <w:p>
            <w:pPr>
              <w:pStyle w:val="TAC"/>
              <w:rPr/>
            </w:pPr>
            <w:r>
              <w:rPr/>
              <w:t>0.061</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0.017</w:t>
            </w:r>
          </w:p>
        </w:tc>
        <w:tc>
          <w:tcPr>
            <w:tcW w:w="713" w:type="dxa"/>
            <w:tcBorders>
              <w:bottom w:val="single" w:sz="4" w:space="0" w:color="000000"/>
              <w:right w:val="single" w:sz="4" w:space="0" w:color="000000"/>
            </w:tcBorders>
            <w:vAlign w:val="bottom"/>
          </w:tcPr>
          <w:p>
            <w:pPr>
              <w:pStyle w:val="TAC"/>
              <w:rPr/>
            </w:pPr>
            <w:r>
              <w:rPr/>
              <w:t>0.032</w:t>
            </w:r>
          </w:p>
        </w:tc>
        <w:tc>
          <w:tcPr>
            <w:tcW w:w="713" w:type="dxa"/>
            <w:tcBorders>
              <w:bottom w:val="single" w:sz="4" w:space="0" w:color="000000"/>
              <w:right w:val="single" w:sz="8" w:space="0" w:color="000000"/>
            </w:tcBorders>
            <w:vAlign w:val="bottom"/>
          </w:tcPr>
          <w:p>
            <w:pPr>
              <w:pStyle w:val="TAC"/>
              <w:rPr/>
            </w:pPr>
            <w:r>
              <w:rPr/>
              <w:t>0.058</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0.059</w:t>
            </w:r>
          </w:p>
        </w:tc>
        <w:tc>
          <w:tcPr>
            <w:tcW w:w="737" w:type="dxa"/>
            <w:tcBorders>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0.031</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8" w:space="0" w:color="000000"/>
            </w:tcBorders>
            <w:vAlign w:val="bottom"/>
          </w:tcPr>
          <w:p>
            <w:pPr>
              <w:pStyle w:val="TAC"/>
              <w:rPr/>
            </w:pPr>
            <w:r>
              <w:rPr/>
              <w:t>0.064</w:t>
            </w:r>
          </w:p>
        </w:tc>
        <w:tc>
          <w:tcPr>
            <w:tcW w:w="802" w:type="dxa"/>
            <w:tcBorders>
              <w:bottom w:val="single" w:sz="4" w:space="0" w:color="000000"/>
              <w:right w:val="single" w:sz="4" w:space="0" w:color="000000"/>
            </w:tcBorders>
            <w:vAlign w:val="bottom"/>
          </w:tcPr>
          <w:p>
            <w:pPr>
              <w:pStyle w:val="TAC"/>
              <w:rPr/>
            </w:pPr>
            <w:r>
              <w:rPr/>
              <w:t>-0.001</w:t>
            </w:r>
          </w:p>
        </w:tc>
        <w:tc>
          <w:tcPr>
            <w:tcW w:w="713" w:type="dxa"/>
            <w:tcBorders>
              <w:bottom w:val="single" w:sz="4" w:space="0" w:color="000000"/>
              <w:right w:val="single" w:sz="4" w:space="0" w:color="000000"/>
            </w:tcBorders>
            <w:vAlign w:val="bottom"/>
          </w:tcPr>
          <w:p>
            <w:pPr>
              <w:pStyle w:val="TAC"/>
              <w:rPr/>
            </w:pPr>
            <w:r>
              <w:rPr/>
              <w:t>0.014</w:t>
            </w:r>
          </w:p>
        </w:tc>
        <w:tc>
          <w:tcPr>
            <w:tcW w:w="713" w:type="dxa"/>
            <w:tcBorders>
              <w:bottom w:val="single" w:sz="4" w:space="0" w:color="000000"/>
              <w:right w:val="single" w:sz="4" w:space="0" w:color="000000"/>
            </w:tcBorders>
            <w:vAlign w:val="bottom"/>
          </w:tcPr>
          <w:p>
            <w:pPr>
              <w:pStyle w:val="TAC"/>
              <w:rPr/>
            </w:pPr>
            <w:r>
              <w:rPr/>
              <w:t>0.031</w:t>
            </w:r>
          </w:p>
        </w:tc>
        <w:tc>
          <w:tcPr>
            <w:tcW w:w="713" w:type="dxa"/>
            <w:tcBorders>
              <w:bottom w:val="single" w:sz="4" w:space="0" w:color="000000"/>
              <w:right w:val="single" w:sz="8" w:space="0" w:color="000000"/>
            </w:tcBorders>
            <w:vAlign w:val="bottom"/>
          </w:tcPr>
          <w:p>
            <w:pPr>
              <w:pStyle w:val="TAC"/>
              <w:rPr/>
            </w:pPr>
            <w:r>
              <w:rPr/>
              <w:t>0.059</w:t>
            </w:r>
          </w:p>
        </w:tc>
        <w:tc>
          <w:tcPr>
            <w:tcW w:w="830" w:type="dxa"/>
            <w:tcBorders>
              <w:bottom w:val="single" w:sz="4" w:space="0" w:color="000000"/>
              <w:right w:val="single" w:sz="4" w:space="0" w:color="000000"/>
            </w:tcBorders>
            <w:vAlign w:val="bottom"/>
          </w:tcPr>
          <w:p>
            <w:pPr>
              <w:pStyle w:val="TAC"/>
              <w:rPr/>
            </w:pPr>
            <w:r>
              <w:rPr/>
              <w:t>0.000</w:t>
            </w:r>
          </w:p>
        </w:tc>
        <w:tc>
          <w:tcPr>
            <w:tcW w:w="737" w:type="dxa"/>
            <w:tcBorders>
              <w:bottom w:val="single" w:sz="4" w:space="0" w:color="000000"/>
              <w:right w:val="single" w:sz="4" w:space="0" w:color="000000"/>
            </w:tcBorders>
            <w:vAlign w:val="bottom"/>
          </w:tcPr>
          <w:p>
            <w:pPr>
              <w:pStyle w:val="TAC"/>
              <w:rPr/>
            </w:pPr>
            <w:r>
              <w:rPr/>
              <w:t>0.037</w:t>
            </w:r>
          </w:p>
        </w:tc>
        <w:tc>
          <w:tcPr>
            <w:tcW w:w="737" w:type="dxa"/>
            <w:tcBorders>
              <w:bottom w:val="single" w:sz="4" w:space="0" w:color="000000"/>
              <w:right w:val="single" w:sz="4" w:space="0" w:color="000000"/>
            </w:tcBorders>
            <w:vAlign w:val="bottom"/>
          </w:tcPr>
          <w:p>
            <w:pPr>
              <w:pStyle w:val="TAC"/>
              <w:rPr/>
            </w:pPr>
            <w:r>
              <w:rPr/>
              <w:t>0.057</w:t>
            </w:r>
          </w:p>
        </w:tc>
        <w:tc>
          <w:tcPr>
            <w:tcW w:w="737" w:type="dxa"/>
            <w:tcBorders>
              <w:bottom w:val="single" w:sz="4" w:space="0" w:color="000000"/>
              <w:right w:val="single" w:sz="8" w:space="0" w:color="000000"/>
            </w:tcBorders>
            <w:vAlign w:val="bottom"/>
          </w:tcPr>
          <w:p>
            <w:pPr>
              <w:pStyle w:val="TAC"/>
              <w:rPr/>
            </w:pPr>
            <w:r>
              <w:rPr/>
              <w:t>0.064</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0.000</w:t>
            </w:r>
          </w:p>
        </w:tc>
        <w:tc>
          <w:tcPr>
            <w:tcW w:w="737" w:type="dxa"/>
            <w:tcBorders>
              <w:bottom w:val="single" w:sz="4" w:space="0" w:color="000000"/>
              <w:right w:val="single" w:sz="4" w:space="0" w:color="000000"/>
            </w:tcBorders>
            <w:vAlign w:val="bottom"/>
          </w:tcPr>
          <w:p>
            <w:pPr>
              <w:pStyle w:val="TAC"/>
              <w:rPr>
                <w:color w:val="000000"/>
              </w:rPr>
            </w:pPr>
            <w:r>
              <w:rPr>
                <w:color w:val="000000"/>
              </w:rPr>
              <w:t>0.032</w:t>
            </w:r>
          </w:p>
        </w:tc>
        <w:tc>
          <w:tcPr>
            <w:tcW w:w="737" w:type="dxa"/>
            <w:tcBorders>
              <w:bottom w:val="single" w:sz="4" w:space="0" w:color="000000"/>
              <w:right w:val="single" w:sz="4" w:space="0" w:color="000000"/>
            </w:tcBorders>
            <w:vAlign w:val="bottom"/>
          </w:tcPr>
          <w:p>
            <w:pPr>
              <w:pStyle w:val="TAC"/>
              <w:rPr>
                <w:color w:val="000000"/>
              </w:rPr>
            </w:pPr>
            <w:r>
              <w:rPr>
                <w:color w:val="000000"/>
              </w:rPr>
              <w:t>0.047</w:t>
            </w:r>
          </w:p>
        </w:tc>
        <w:tc>
          <w:tcPr>
            <w:tcW w:w="737" w:type="dxa"/>
            <w:tcBorders>
              <w:bottom w:val="single" w:sz="4" w:space="0" w:color="000000"/>
              <w:right w:val="single" w:sz="8" w:space="0" w:color="000000"/>
            </w:tcBorders>
            <w:vAlign w:val="bottom"/>
          </w:tcPr>
          <w:p>
            <w:pPr>
              <w:pStyle w:val="TAC"/>
              <w:rPr>
                <w:color w:val="000000"/>
              </w:rPr>
            </w:pPr>
            <w:r>
              <w:rPr>
                <w:color w:val="000000"/>
              </w:rPr>
              <w:t>0.071</w:t>
            </w:r>
          </w:p>
        </w:tc>
        <w:tc>
          <w:tcPr>
            <w:tcW w:w="802" w:type="dxa"/>
            <w:tcBorders>
              <w:bottom w:val="single" w:sz="4" w:space="0" w:color="000000"/>
              <w:right w:val="single" w:sz="4" w:space="0" w:color="000000"/>
            </w:tcBorders>
            <w:vAlign w:val="bottom"/>
          </w:tcPr>
          <w:p>
            <w:pPr>
              <w:pStyle w:val="TAC"/>
              <w:rPr>
                <w:color w:val="000000"/>
              </w:rPr>
            </w:pPr>
            <w:r>
              <w:rPr>
                <w:color w:val="000000"/>
              </w:rPr>
              <w:t>-0.001</w:t>
            </w:r>
          </w:p>
        </w:tc>
        <w:tc>
          <w:tcPr>
            <w:tcW w:w="713" w:type="dxa"/>
            <w:tcBorders>
              <w:bottom w:val="single" w:sz="4" w:space="0" w:color="000000"/>
              <w:right w:val="single" w:sz="4" w:space="0" w:color="000000"/>
            </w:tcBorders>
            <w:vAlign w:val="bottom"/>
          </w:tcPr>
          <w:p>
            <w:pPr>
              <w:pStyle w:val="TAC"/>
              <w:rPr>
                <w:color w:val="000000"/>
              </w:rPr>
            </w:pPr>
            <w:r>
              <w:rPr>
                <w:color w:val="000000"/>
              </w:rPr>
              <w:t>0.016</w:t>
            </w:r>
          </w:p>
        </w:tc>
        <w:tc>
          <w:tcPr>
            <w:tcW w:w="713" w:type="dxa"/>
            <w:tcBorders>
              <w:bottom w:val="single" w:sz="4" w:space="0" w:color="000000"/>
              <w:right w:val="single" w:sz="4" w:space="0" w:color="000000"/>
            </w:tcBorders>
            <w:vAlign w:val="bottom"/>
          </w:tcPr>
          <w:p>
            <w:pPr>
              <w:pStyle w:val="TAC"/>
              <w:rPr>
                <w:color w:val="000000"/>
              </w:rPr>
            </w:pPr>
            <w:r>
              <w:rPr>
                <w:color w:val="000000"/>
              </w:rPr>
              <w:t>0.033</w:t>
            </w:r>
          </w:p>
        </w:tc>
        <w:tc>
          <w:tcPr>
            <w:tcW w:w="713" w:type="dxa"/>
            <w:tcBorders>
              <w:bottom w:val="single" w:sz="4" w:space="0" w:color="000000"/>
              <w:right w:val="single" w:sz="8" w:space="0" w:color="000000"/>
            </w:tcBorders>
            <w:vAlign w:val="bottom"/>
          </w:tcPr>
          <w:p>
            <w:pPr>
              <w:pStyle w:val="TAC"/>
              <w:rPr>
                <w:color w:val="000000"/>
              </w:rPr>
            </w:pPr>
            <w:r>
              <w:rPr>
                <w:color w:val="000000"/>
              </w:rPr>
              <w:t>0.056</w:t>
            </w:r>
          </w:p>
        </w:tc>
        <w:tc>
          <w:tcPr>
            <w:tcW w:w="830" w:type="dxa"/>
            <w:tcBorders>
              <w:bottom w:val="single" w:sz="4" w:space="0" w:color="000000"/>
              <w:right w:val="single" w:sz="4" w:space="0" w:color="000000"/>
            </w:tcBorders>
            <w:vAlign w:val="bottom"/>
          </w:tcPr>
          <w:p>
            <w:pPr>
              <w:pStyle w:val="TAC"/>
              <w:rPr>
                <w:color w:val="000000"/>
              </w:rPr>
            </w:pPr>
            <w:r>
              <w:rPr>
                <w:color w:val="000000"/>
              </w:rPr>
              <w:t>-0.002</w:t>
            </w:r>
          </w:p>
        </w:tc>
        <w:tc>
          <w:tcPr>
            <w:tcW w:w="737" w:type="dxa"/>
            <w:tcBorders>
              <w:bottom w:val="single" w:sz="4" w:space="0" w:color="000000"/>
              <w:right w:val="single" w:sz="4" w:space="0" w:color="000000"/>
            </w:tcBorders>
            <w:vAlign w:val="bottom"/>
          </w:tcPr>
          <w:p>
            <w:pPr>
              <w:pStyle w:val="TAC"/>
              <w:rPr>
                <w:color w:val="000000"/>
              </w:rPr>
            </w:pPr>
            <w:r>
              <w:rPr>
                <w:color w:val="000000"/>
              </w:rPr>
              <w:t>0.028</w:t>
            </w:r>
          </w:p>
        </w:tc>
        <w:tc>
          <w:tcPr>
            <w:tcW w:w="737" w:type="dxa"/>
            <w:tcBorders>
              <w:bottom w:val="single" w:sz="4" w:space="0" w:color="000000"/>
              <w:right w:val="single" w:sz="4" w:space="0" w:color="000000"/>
            </w:tcBorders>
            <w:vAlign w:val="bottom"/>
          </w:tcPr>
          <w:p>
            <w:pPr>
              <w:pStyle w:val="TAC"/>
              <w:rPr>
                <w:color w:val="000000"/>
              </w:rPr>
            </w:pPr>
            <w:r>
              <w:rPr>
                <w:color w:val="000000"/>
              </w:rPr>
              <w:t>0.057</w:t>
            </w:r>
          </w:p>
        </w:tc>
        <w:tc>
          <w:tcPr>
            <w:tcW w:w="737" w:type="dxa"/>
            <w:tcBorders>
              <w:bottom w:val="single" w:sz="4" w:space="0" w:color="000000"/>
              <w:right w:val="single" w:sz="8" w:space="0" w:color="000000"/>
            </w:tcBorders>
            <w:vAlign w:val="bottom"/>
          </w:tcPr>
          <w:p>
            <w:pPr>
              <w:pStyle w:val="TAC"/>
              <w:rPr>
                <w:color w:val="000000"/>
              </w:rPr>
            </w:pPr>
            <w:r>
              <w:rPr>
                <w:color w:val="000000"/>
              </w:rPr>
              <w:t>0.162</w:t>
            </w:r>
          </w:p>
        </w:tc>
      </w:tr>
      <w:tr>
        <w:trPr/>
        <w:tc>
          <w:tcPr>
            <w:tcW w:w="1220" w:type="dxa"/>
            <w:tcBorders>
              <w:left w:val="single" w:sz="4" w:space="0" w:color="000000"/>
              <w:bottom w:val="single" w:sz="4" w:space="0" w:color="000000"/>
            </w:tcBorders>
            <w:vAlign w:val="bottom"/>
          </w:tcPr>
          <w:p>
            <w:pPr>
              <w:pStyle w:val="TAL"/>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0.031</w:t>
            </w:r>
          </w:p>
        </w:tc>
        <w:tc>
          <w:tcPr>
            <w:tcW w:w="737" w:type="dxa"/>
            <w:tcBorders>
              <w:bottom w:val="single" w:sz="4" w:space="0" w:color="000000"/>
              <w:right w:val="single" w:sz="4" w:space="0" w:color="000000"/>
            </w:tcBorders>
            <w:vAlign w:val="bottom"/>
          </w:tcPr>
          <w:p>
            <w:pPr>
              <w:pStyle w:val="TAC"/>
              <w:rPr/>
            </w:pPr>
            <w:r>
              <w:rPr/>
              <w:t>0.054</w:t>
            </w:r>
          </w:p>
        </w:tc>
        <w:tc>
          <w:tcPr>
            <w:tcW w:w="737" w:type="dxa"/>
            <w:tcBorders>
              <w:bottom w:val="single" w:sz="4" w:space="0" w:color="000000"/>
              <w:right w:val="single" w:sz="8" w:space="0" w:color="000000"/>
            </w:tcBorders>
            <w:vAlign w:val="bottom"/>
          </w:tcPr>
          <w:p>
            <w:pPr>
              <w:pStyle w:val="TAC"/>
              <w:rPr/>
            </w:pPr>
            <w:r>
              <w:rPr/>
              <w:t>0.065</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0.018</w:t>
            </w:r>
          </w:p>
        </w:tc>
        <w:tc>
          <w:tcPr>
            <w:tcW w:w="713" w:type="dxa"/>
            <w:tcBorders>
              <w:bottom w:val="single" w:sz="4" w:space="0" w:color="000000"/>
              <w:right w:val="single" w:sz="4" w:space="0" w:color="000000"/>
            </w:tcBorders>
            <w:vAlign w:val="bottom"/>
          </w:tcPr>
          <w:p>
            <w:pPr>
              <w:pStyle w:val="TAC"/>
              <w:rPr/>
            </w:pPr>
            <w:r>
              <w:rPr/>
              <w:t>0.034</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0.033</w:t>
            </w:r>
          </w:p>
        </w:tc>
        <w:tc>
          <w:tcPr>
            <w:tcW w:w="737" w:type="dxa"/>
            <w:tcBorders>
              <w:bottom w:val="single" w:sz="4" w:space="0" w:color="000000"/>
              <w:right w:val="single" w:sz="4" w:space="0" w:color="000000"/>
            </w:tcBorders>
            <w:vAlign w:val="bottom"/>
          </w:tcPr>
          <w:p>
            <w:pPr>
              <w:pStyle w:val="TAC"/>
              <w:rPr/>
            </w:pPr>
            <w:r>
              <w:rPr/>
              <w:t>0.059</w:t>
            </w:r>
          </w:p>
        </w:tc>
        <w:tc>
          <w:tcPr>
            <w:tcW w:w="737" w:type="dxa"/>
            <w:tcBorders>
              <w:bottom w:val="single" w:sz="4" w:space="0" w:color="000000"/>
              <w:right w:val="single" w:sz="8" w:space="0" w:color="000000"/>
            </w:tcBorders>
            <w:vAlign w:val="bottom"/>
          </w:tcPr>
          <w:p>
            <w:pPr>
              <w:pStyle w:val="TAC"/>
              <w:rPr/>
            </w:pPr>
            <w:r>
              <w:rPr/>
              <w:t>0.083</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-0.003</w:t>
            </w:r>
          </w:p>
        </w:tc>
        <w:tc>
          <w:tcPr>
            <w:tcW w:w="737" w:type="dxa"/>
            <w:tcBorders>
              <w:bottom w:val="single" w:sz="8" w:space="0" w:color="000000"/>
              <w:right w:val="single" w:sz="4" w:space="0" w:color="000000"/>
            </w:tcBorders>
            <w:vAlign w:val="bottom"/>
          </w:tcPr>
          <w:p>
            <w:pPr>
              <w:pStyle w:val="TAC"/>
              <w:rPr/>
            </w:pPr>
            <w:r>
              <w:rPr/>
              <w:t>0.029</w:t>
            </w:r>
          </w:p>
        </w:tc>
        <w:tc>
          <w:tcPr>
            <w:tcW w:w="737" w:type="dxa"/>
            <w:tcBorders>
              <w:bottom w:val="single" w:sz="8" w:space="0" w:color="000000"/>
              <w:right w:val="single" w:sz="4" w:space="0" w:color="000000"/>
            </w:tcBorders>
            <w:vAlign w:val="bottom"/>
          </w:tcPr>
          <w:p>
            <w:pPr>
              <w:pStyle w:val="TAC"/>
              <w:rPr/>
            </w:pPr>
            <w:r>
              <w:rPr/>
              <w:t>0.055</w:t>
            </w:r>
          </w:p>
        </w:tc>
        <w:tc>
          <w:tcPr>
            <w:tcW w:w="737" w:type="dxa"/>
            <w:tcBorders>
              <w:bottom w:val="single" w:sz="8" w:space="0" w:color="000000"/>
              <w:right w:val="single" w:sz="8" w:space="0" w:color="000000"/>
            </w:tcBorders>
            <w:vAlign w:val="bottom"/>
          </w:tcPr>
          <w:p>
            <w:pPr>
              <w:pStyle w:val="TAC"/>
              <w:rPr/>
            </w:pPr>
            <w:r>
              <w:rPr/>
              <w:t>0.059</w:t>
            </w:r>
          </w:p>
        </w:tc>
        <w:tc>
          <w:tcPr>
            <w:tcW w:w="802" w:type="dxa"/>
            <w:tcBorders>
              <w:bottom w:val="single" w:sz="8" w:space="0" w:color="000000"/>
              <w:right w:val="single" w:sz="4" w:space="0" w:color="000000"/>
            </w:tcBorders>
            <w:vAlign w:val="bottom"/>
          </w:tcPr>
          <w:p>
            <w:pPr>
              <w:pStyle w:val="TAC"/>
              <w:rPr/>
            </w:pPr>
            <w:r>
              <w:rPr/>
              <w:t>0.000</w:t>
            </w:r>
          </w:p>
        </w:tc>
        <w:tc>
          <w:tcPr>
            <w:tcW w:w="713" w:type="dxa"/>
            <w:tcBorders>
              <w:bottom w:val="single" w:sz="8" w:space="0" w:color="000000"/>
              <w:right w:val="single" w:sz="4" w:space="0" w:color="000000"/>
            </w:tcBorders>
            <w:vAlign w:val="bottom"/>
          </w:tcPr>
          <w:p>
            <w:pPr>
              <w:pStyle w:val="TAC"/>
              <w:rPr/>
            </w:pPr>
            <w:r>
              <w:rPr/>
              <w:t>0.016</w:t>
            </w:r>
          </w:p>
        </w:tc>
        <w:tc>
          <w:tcPr>
            <w:tcW w:w="713" w:type="dxa"/>
            <w:tcBorders>
              <w:bottom w:val="single" w:sz="8" w:space="0" w:color="000000"/>
              <w:right w:val="single" w:sz="4" w:space="0" w:color="000000"/>
            </w:tcBorders>
            <w:vAlign w:val="bottom"/>
          </w:tcPr>
          <w:p>
            <w:pPr>
              <w:pStyle w:val="TAC"/>
              <w:rPr/>
            </w:pPr>
            <w:r>
              <w:rPr/>
              <w:t>0.036</w:t>
            </w:r>
          </w:p>
        </w:tc>
        <w:tc>
          <w:tcPr>
            <w:tcW w:w="713" w:type="dxa"/>
            <w:tcBorders>
              <w:bottom w:val="single" w:sz="8" w:space="0" w:color="000000"/>
              <w:right w:val="single" w:sz="8" w:space="0" w:color="000000"/>
            </w:tcBorders>
            <w:vAlign w:val="bottom"/>
          </w:tcPr>
          <w:p>
            <w:pPr>
              <w:pStyle w:val="TAC"/>
              <w:rPr/>
            </w:pPr>
            <w:r>
              <w:rPr/>
              <w:t>0.056</w:t>
            </w:r>
          </w:p>
        </w:tc>
        <w:tc>
          <w:tcPr>
            <w:tcW w:w="830" w:type="dxa"/>
            <w:tcBorders>
              <w:bottom w:val="single" w:sz="8" w:space="0" w:color="000000"/>
              <w:right w:val="single" w:sz="4" w:space="0" w:color="000000"/>
            </w:tcBorders>
            <w:vAlign w:val="bottom"/>
          </w:tcPr>
          <w:p>
            <w:pPr>
              <w:pStyle w:val="TAC"/>
              <w:rPr/>
            </w:pPr>
            <w:r>
              <w:rPr/>
              <w:t>-0.001</w:t>
            </w:r>
          </w:p>
        </w:tc>
        <w:tc>
          <w:tcPr>
            <w:tcW w:w="737" w:type="dxa"/>
            <w:tcBorders>
              <w:bottom w:val="single" w:sz="8" w:space="0" w:color="000000"/>
              <w:right w:val="single" w:sz="4" w:space="0" w:color="000000"/>
            </w:tcBorders>
            <w:vAlign w:val="bottom"/>
          </w:tcPr>
          <w:p>
            <w:pPr>
              <w:pStyle w:val="TAC"/>
              <w:rPr/>
            </w:pPr>
            <w:r>
              <w:rPr/>
              <w:t>0.035</w:t>
            </w:r>
          </w:p>
        </w:tc>
        <w:tc>
          <w:tcPr>
            <w:tcW w:w="737" w:type="dxa"/>
            <w:tcBorders>
              <w:bottom w:val="single" w:sz="8" w:space="0" w:color="000000"/>
              <w:right w:val="single" w:sz="4" w:space="0" w:color="000000"/>
            </w:tcBorders>
            <w:vAlign w:val="bottom"/>
          </w:tcPr>
          <w:p>
            <w:pPr>
              <w:pStyle w:val="TAC"/>
              <w:rPr/>
            </w:pPr>
            <w:r>
              <w:rPr/>
              <w:t>0.062</w:t>
            </w:r>
          </w:p>
        </w:tc>
        <w:tc>
          <w:tcPr>
            <w:tcW w:w="737" w:type="dxa"/>
            <w:tcBorders>
              <w:bottom w:val="single" w:sz="8" w:space="0" w:color="000000"/>
              <w:right w:val="single" w:sz="8" w:space="0" w:color="000000"/>
            </w:tcBorders>
            <w:vAlign w:val="bottom"/>
          </w:tcPr>
          <w:p>
            <w:pPr>
              <w:pStyle w:val="TAC"/>
              <w:rPr/>
            </w:pPr>
            <w:r>
              <w:rPr/>
              <w:t>0.083</w:t>
            </w:r>
          </w:p>
        </w:tc>
      </w:tr>
      <w:tr>
        <w:trPr/>
        <w:tc>
          <w:tcPr>
            <w:tcW w:w="1220" w:type="dxa"/>
            <w:tcBorders/>
            <w:shd w:fill="D9D9D9" w:val="clear"/>
            <w:vAlign w:val="bottom"/>
          </w:tcPr>
          <w:p>
            <w:pPr>
              <w:pStyle w:val="TAH"/>
              <w:rPr/>
            </w:pPr>
            <w:r>
              <w:rPr/>
              <w:t>WBIO</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0.014</w:t>
            </w:r>
          </w:p>
        </w:tc>
        <w:tc>
          <w:tcPr>
            <w:tcW w:w="737" w:type="dxa"/>
            <w:tcBorders>
              <w:bottom w:val="single" w:sz="4" w:space="0" w:color="000000"/>
              <w:right w:val="single" w:sz="4" w:space="0" w:color="000000"/>
            </w:tcBorders>
            <w:vAlign w:val="bottom"/>
          </w:tcPr>
          <w:p>
            <w:pPr>
              <w:pStyle w:val="TAC"/>
              <w:rPr/>
            </w:pPr>
            <w:r>
              <w:rPr/>
              <w:t>0.043</w:t>
            </w:r>
          </w:p>
        </w:tc>
        <w:tc>
          <w:tcPr>
            <w:tcW w:w="737" w:type="dxa"/>
            <w:tcBorders>
              <w:bottom w:val="single" w:sz="4" w:space="0" w:color="000000"/>
              <w:right w:val="single" w:sz="8" w:space="0" w:color="000000"/>
            </w:tcBorders>
            <w:vAlign w:val="bottom"/>
          </w:tcPr>
          <w:p>
            <w:pPr>
              <w:pStyle w:val="TAC"/>
              <w:rPr/>
            </w:pPr>
            <w:r>
              <w:rPr/>
              <w:t>0.061</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0.009</w:t>
            </w:r>
          </w:p>
        </w:tc>
        <w:tc>
          <w:tcPr>
            <w:tcW w:w="713" w:type="dxa"/>
            <w:tcBorders>
              <w:bottom w:val="single" w:sz="4" w:space="0" w:color="000000"/>
              <w:right w:val="single" w:sz="4" w:space="0" w:color="000000"/>
            </w:tcBorders>
            <w:vAlign w:val="bottom"/>
          </w:tcPr>
          <w:p>
            <w:pPr>
              <w:pStyle w:val="TAC"/>
              <w:rPr/>
            </w:pPr>
            <w:r>
              <w:rPr/>
              <w:t>0.020</w:t>
            </w:r>
          </w:p>
        </w:tc>
        <w:tc>
          <w:tcPr>
            <w:tcW w:w="713" w:type="dxa"/>
            <w:tcBorders>
              <w:bottom w:val="single" w:sz="4" w:space="0" w:color="000000"/>
              <w:right w:val="single" w:sz="8" w:space="0" w:color="000000"/>
            </w:tcBorders>
            <w:vAlign w:val="bottom"/>
          </w:tcPr>
          <w:p>
            <w:pPr>
              <w:pStyle w:val="TAC"/>
              <w:rPr/>
            </w:pPr>
            <w:r>
              <w:rPr/>
              <w:t>0.061</w:t>
            </w:r>
          </w:p>
        </w:tc>
        <w:tc>
          <w:tcPr>
            <w:tcW w:w="830" w:type="dxa"/>
            <w:tcBorders>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0.006</w:t>
            </w:r>
          </w:p>
        </w:tc>
        <w:tc>
          <w:tcPr>
            <w:tcW w:w="737" w:type="dxa"/>
            <w:tcBorders>
              <w:bottom w:val="single" w:sz="4" w:space="0" w:color="000000"/>
              <w:right w:val="single" w:sz="4" w:space="0" w:color="000000"/>
            </w:tcBorders>
            <w:vAlign w:val="bottom"/>
          </w:tcPr>
          <w:p>
            <w:pPr>
              <w:pStyle w:val="TAC"/>
              <w:rPr/>
            </w:pPr>
            <w:r>
              <w:rPr/>
              <w:t>0.023</w:t>
            </w:r>
          </w:p>
        </w:tc>
        <w:tc>
          <w:tcPr>
            <w:tcW w:w="737" w:type="dxa"/>
            <w:tcBorders>
              <w:bottom w:val="single" w:sz="4" w:space="0" w:color="000000"/>
              <w:right w:val="single" w:sz="8" w:space="0" w:color="000000"/>
            </w:tcBorders>
            <w:vAlign w:val="bottom"/>
          </w:tcPr>
          <w:p>
            <w:pPr>
              <w:pStyle w:val="TAC"/>
              <w:rPr/>
            </w:pPr>
            <w:r>
              <w:rPr/>
              <w:t>0.044</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0.016</w:t>
            </w:r>
          </w:p>
        </w:tc>
        <w:tc>
          <w:tcPr>
            <w:tcW w:w="737" w:type="dxa"/>
            <w:tcBorders>
              <w:bottom w:val="single" w:sz="4" w:space="0" w:color="000000"/>
              <w:right w:val="single" w:sz="4" w:space="0" w:color="000000"/>
            </w:tcBorders>
            <w:vAlign w:val="bottom"/>
          </w:tcPr>
          <w:p>
            <w:pPr>
              <w:pStyle w:val="TAC"/>
              <w:rPr/>
            </w:pPr>
            <w:r>
              <w:rPr/>
              <w:t>0.038</w:t>
            </w:r>
          </w:p>
        </w:tc>
        <w:tc>
          <w:tcPr>
            <w:tcW w:w="737" w:type="dxa"/>
            <w:tcBorders>
              <w:bottom w:val="single" w:sz="4" w:space="0" w:color="000000"/>
              <w:right w:val="single" w:sz="8" w:space="0" w:color="000000"/>
            </w:tcBorders>
            <w:vAlign w:val="bottom"/>
          </w:tcPr>
          <w:p>
            <w:pPr>
              <w:pStyle w:val="TAC"/>
              <w:rPr/>
            </w:pPr>
            <w:r>
              <w:rPr/>
              <w:t>0.063</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0.011</w:t>
            </w:r>
          </w:p>
        </w:tc>
        <w:tc>
          <w:tcPr>
            <w:tcW w:w="713" w:type="dxa"/>
            <w:tcBorders>
              <w:bottom w:val="single" w:sz="4" w:space="0" w:color="000000"/>
              <w:right w:val="single" w:sz="4" w:space="0" w:color="000000"/>
            </w:tcBorders>
            <w:vAlign w:val="bottom"/>
          </w:tcPr>
          <w:p>
            <w:pPr>
              <w:pStyle w:val="TAC"/>
              <w:rPr/>
            </w:pPr>
            <w:r>
              <w:rPr/>
              <w:t>0.024</w:t>
            </w:r>
          </w:p>
        </w:tc>
        <w:tc>
          <w:tcPr>
            <w:tcW w:w="713" w:type="dxa"/>
            <w:tcBorders>
              <w:bottom w:val="single" w:sz="4" w:space="0" w:color="000000"/>
              <w:right w:val="single" w:sz="8" w:space="0" w:color="000000"/>
            </w:tcBorders>
            <w:vAlign w:val="bottom"/>
          </w:tcPr>
          <w:p>
            <w:pPr>
              <w:pStyle w:val="TAC"/>
              <w:rPr/>
            </w:pPr>
            <w:r>
              <w:rPr/>
              <w:t>0.063</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0.010</w:t>
            </w:r>
          </w:p>
        </w:tc>
        <w:tc>
          <w:tcPr>
            <w:tcW w:w="737" w:type="dxa"/>
            <w:tcBorders>
              <w:bottom w:val="single" w:sz="4" w:space="0" w:color="000000"/>
              <w:right w:val="single" w:sz="4" w:space="0" w:color="000000"/>
            </w:tcBorders>
            <w:vAlign w:val="bottom"/>
          </w:tcPr>
          <w:p>
            <w:pPr>
              <w:pStyle w:val="TAC"/>
              <w:rPr/>
            </w:pPr>
            <w:r>
              <w:rPr/>
              <w:t>0.023</w:t>
            </w:r>
          </w:p>
        </w:tc>
        <w:tc>
          <w:tcPr>
            <w:tcW w:w="737" w:type="dxa"/>
            <w:tcBorders>
              <w:bottom w:val="single" w:sz="4" w:space="0" w:color="000000"/>
              <w:right w:val="single" w:sz="8" w:space="0" w:color="000000"/>
            </w:tcBorders>
            <w:vAlign w:val="bottom"/>
          </w:tcPr>
          <w:p>
            <w:pPr>
              <w:pStyle w:val="TAC"/>
              <w:rPr/>
            </w:pPr>
            <w:r>
              <w:rPr/>
              <w:t>0.038</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0.015</w:t>
            </w:r>
          </w:p>
        </w:tc>
        <w:tc>
          <w:tcPr>
            <w:tcW w:w="737" w:type="dxa"/>
            <w:tcBorders>
              <w:bottom w:val="single" w:sz="4" w:space="0" w:color="000000"/>
              <w:right w:val="single" w:sz="4" w:space="0" w:color="000000"/>
            </w:tcBorders>
            <w:vAlign w:val="bottom"/>
          </w:tcPr>
          <w:p>
            <w:pPr>
              <w:pStyle w:val="TAC"/>
              <w:rPr/>
            </w:pPr>
            <w:r>
              <w:rPr/>
              <w:t>0.038</w:t>
            </w:r>
          </w:p>
        </w:tc>
        <w:tc>
          <w:tcPr>
            <w:tcW w:w="737" w:type="dxa"/>
            <w:tcBorders>
              <w:bottom w:val="single" w:sz="4" w:space="0" w:color="000000"/>
              <w:right w:val="single" w:sz="8" w:space="0" w:color="000000"/>
            </w:tcBorders>
            <w:vAlign w:val="bottom"/>
          </w:tcPr>
          <w:p>
            <w:pPr>
              <w:pStyle w:val="TAC"/>
              <w:rPr/>
            </w:pPr>
            <w:r>
              <w:rPr/>
              <w:t>0.055</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0.009</w:t>
            </w:r>
          </w:p>
        </w:tc>
        <w:tc>
          <w:tcPr>
            <w:tcW w:w="713" w:type="dxa"/>
            <w:tcBorders>
              <w:bottom w:val="single" w:sz="4" w:space="0" w:color="000000"/>
              <w:right w:val="single" w:sz="4" w:space="0" w:color="000000"/>
            </w:tcBorders>
            <w:vAlign w:val="bottom"/>
          </w:tcPr>
          <w:p>
            <w:pPr>
              <w:pStyle w:val="TAC"/>
              <w:rPr/>
            </w:pPr>
            <w:r>
              <w:rPr/>
              <w:t>0.021</w:t>
            </w:r>
          </w:p>
        </w:tc>
        <w:tc>
          <w:tcPr>
            <w:tcW w:w="713" w:type="dxa"/>
            <w:tcBorders>
              <w:bottom w:val="single" w:sz="4" w:space="0" w:color="000000"/>
              <w:right w:val="single" w:sz="8" w:space="0" w:color="000000"/>
            </w:tcBorders>
            <w:vAlign w:val="bottom"/>
          </w:tcPr>
          <w:p>
            <w:pPr>
              <w:pStyle w:val="TAC"/>
              <w:rPr/>
            </w:pPr>
            <w:r>
              <w:rPr/>
              <w:t>0.055</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w:t>
            </w:r>
          </w:p>
        </w:tc>
        <w:tc>
          <w:tcPr>
            <w:tcW w:w="737" w:type="dxa"/>
            <w:tcBorders>
              <w:bottom w:val="single" w:sz="4" w:space="0" w:color="000000"/>
              <w:right w:val="single" w:sz="4" w:space="0" w:color="000000"/>
            </w:tcBorders>
            <w:vAlign w:val="bottom"/>
          </w:tcPr>
          <w:p>
            <w:pPr>
              <w:pStyle w:val="TAC"/>
              <w:rPr/>
            </w:pPr>
            <w:r>
              <w:rPr/>
              <w:t>0.023</w:t>
            </w:r>
          </w:p>
        </w:tc>
        <w:tc>
          <w:tcPr>
            <w:tcW w:w="737" w:type="dxa"/>
            <w:tcBorders>
              <w:bottom w:val="single" w:sz="4" w:space="0" w:color="000000"/>
              <w:right w:val="single" w:sz="8" w:space="0" w:color="000000"/>
            </w:tcBorders>
            <w:vAlign w:val="bottom"/>
          </w:tcPr>
          <w:p>
            <w:pPr>
              <w:pStyle w:val="TAC"/>
              <w:rPr/>
            </w:pPr>
            <w:r>
              <w:rPr/>
              <w:t>0.038</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0.017</w:t>
            </w:r>
          </w:p>
        </w:tc>
        <w:tc>
          <w:tcPr>
            <w:tcW w:w="737" w:type="dxa"/>
            <w:tcBorders>
              <w:bottom w:val="single" w:sz="4" w:space="0" w:color="000000"/>
              <w:right w:val="single" w:sz="4" w:space="0" w:color="000000"/>
            </w:tcBorders>
            <w:vAlign w:val="bottom"/>
          </w:tcPr>
          <w:p>
            <w:pPr>
              <w:pStyle w:val="TAC"/>
              <w:rPr/>
            </w:pPr>
            <w:r>
              <w:rPr/>
              <w:t>0.048</w:t>
            </w:r>
          </w:p>
        </w:tc>
        <w:tc>
          <w:tcPr>
            <w:tcW w:w="737" w:type="dxa"/>
            <w:tcBorders>
              <w:bottom w:val="single" w:sz="4" w:space="0" w:color="000000"/>
              <w:right w:val="single" w:sz="8" w:space="0" w:color="000000"/>
            </w:tcBorders>
            <w:vAlign w:val="bottom"/>
          </w:tcPr>
          <w:p>
            <w:pPr>
              <w:pStyle w:val="TAC"/>
              <w:rPr/>
            </w:pPr>
            <w:r>
              <w:rPr/>
              <w:t>0.063</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0.011</w:t>
            </w:r>
          </w:p>
        </w:tc>
        <w:tc>
          <w:tcPr>
            <w:tcW w:w="713" w:type="dxa"/>
            <w:tcBorders>
              <w:bottom w:val="single" w:sz="4" w:space="0" w:color="000000"/>
              <w:right w:val="single" w:sz="4" w:space="0" w:color="000000"/>
            </w:tcBorders>
            <w:vAlign w:val="bottom"/>
          </w:tcPr>
          <w:p>
            <w:pPr>
              <w:pStyle w:val="TAC"/>
              <w:rPr/>
            </w:pPr>
            <w:r>
              <w:rPr/>
              <w:t>0.022</w:t>
            </w:r>
          </w:p>
        </w:tc>
        <w:tc>
          <w:tcPr>
            <w:tcW w:w="713" w:type="dxa"/>
            <w:tcBorders>
              <w:bottom w:val="single" w:sz="4" w:space="0" w:color="000000"/>
              <w:right w:val="single" w:sz="8" w:space="0" w:color="000000"/>
            </w:tcBorders>
            <w:vAlign w:val="bottom"/>
          </w:tcPr>
          <w:p>
            <w:pPr>
              <w:pStyle w:val="TAC"/>
              <w:rPr/>
            </w:pPr>
            <w:r>
              <w:rPr/>
              <w:t>0.061</w:t>
            </w:r>
          </w:p>
        </w:tc>
        <w:tc>
          <w:tcPr>
            <w:tcW w:w="830" w:type="dxa"/>
            <w:tcBorders>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0.008</w:t>
            </w:r>
          </w:p>
        </w:tc>
        <w:tc>
          <w:tcPr>
            <w:tcW w:w="737" w:type="dxa"/>
            <w:tcBorders>
              <w:bottom w:val="single" w:sz="4" w:space="0" w:color="000000"/>
              <w:right w:val="single" w:sz="4" w:space="0" w:color="000000"/>
            </w:tcBorders>
            <w:vAlign w:val="bottom"/>
          </w:tcPr>
          <w:p>
            <w:pPr>
              <w:pStyle w:val="TAC"/>
              <w:rPr/>
            </w:pPr>
            <w:r>
              <w:rPr/>
              <w:t>0.023</w:t>
            </w:r>
          </w:p>
        </w:tc>
        <w:tc>
          <w:tcPr>
            <w:tcW w:w="737" w:type="dxa"/>
            <w:tcBorders>
              <w:bottom w:val="single" w:sz="4" w:space="0" w:color="000000"/>
              <w:right w:val="single" w:sz="8" w:space="0" w:color="000000"/>
            </w:tcBorders>
            <w:vAlign w:val="bottom"/>
          </w:tcPr>
          <w:p>
            <w:pPr>
              <w:pStyle w:val="TAC"/>
              <w:rPr/>
            </w:pPr>
            <w:r>
              <w:rPr/>
              <w:t>0.063</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-0.003</w:t>
            </w:r>
          </w:p>
        </w:tc>
        <w:tc>
          <w:tcPr>
            <w:tcW w:w="737" w:type="dxa"/>
            <w:tcBorders>
              <w:bottom w:val="single" w:sz="4" w:space="0" w:color="000000"/>
              <w:right w:val="single" w:sz="4" w:space="0" w:color="000000"/>
            </w:tcBorders>
            <w:vAlign w:val="bottom"/>
          </w:tcPr>
          <w:p>
            <w:pPr>
              <w:pStyle w:val="TAC"/>
              <w:rPr>
                <w:color w:val="000000"/>
              </w:rPr>
            </w:pPr>
            <w:r>
              <w:rPr>
                <w:color w:val="000000"/>
              </w:rPr>
              <w:t>0.013</w:t>
            </w:r>
          </w:p>
        </w:tc>
        <w:tc>
          <w:tcPr>
            <w:tcW w:w="737" w:type="dxa"/>
            <w:tcBorders>
              <w:bottom w:val="single" w:sz="4" w:space="0" w:color="000000"/>
              <w:right w:val="single" w:sz="4" w:space="0" w:color="000000"/>
            </w:tcBorders>
            <w:vAlign w:val="bottom"/>
          </w:tcPr>
          <w:p>
            <w:pPr>
              <w:pStyle w:val="TAC"/>
              <w:rPr>
                <w:color w:val="000000"/>
              </w:rPr>
            </w:pPr>
            <w:r>
              <w:rPr>
                <w:color w:val="000000"/>
              </w:rPr>
              <w:t>0.052</w:t>
            </w:r>
          </w:p>
        </w:tc>
        <w:tc>
          <w:tcPr>
            <w:tcW w:w="737" w:type="dxa"/>
            <w:tcBorders>
              <w:bottom w:val="single" w:sz="4" w:space="0" w:color="000000"/>
              <w:right w:val="single" w:sz="8" w:space="0" w:color="000000"/>
            </w:tcBorders>
            <w:vAlign w:val="bottom"/>
          </w:tcPr>
          <w:p>
            <w:pPr>
              <w:pStyle w:val="TAC"/>
              <w:rPr>
                <w:color w:val="000000"/>
              </w:rPr>
            </w:pPr>
            <w:r>
              <w:rPr>
                <w:color w:val="000000"/>
              </w:rPr>
              <w:t>0.075</w:t>
            </w:r>
          </w:p>
        </w:tc>
        <w:tc>
          <w:tcPr>
            <w:tcW w:w="802" w:type="dxa"/>
            <w:tcBorders>
              <w:bottom w:val="single" w:sz="4" w:space="0" w:color="000000"/>
              <w:right w:val="single" w:sz="4" w:space="0" w:color="000000"/>
            </w:tcBorders>
            <w:vAlign w:val="bottom"/>
          </w:tcPr>
          <w:p>
            <w:pPr>
              <w:pStyle w:val="TAC"/>
              <w:rPr>
                <w:color w:val="000000"/>
              </w:rPr>
            </w:pPr>
            <w:r>
              <w:rPr>
                <w:color w:val="000000"/>
              </w:rPr>
              <w:t>0.000</w:t>
            </w:r>
          </w:p>
        </w:tc>
        <w:tc>
          <w:tcPr>
            <w:tcW w:w="713" w:type="dxa"/>
            <w:tcBorders>
              <w:bottom w:val="single" w:sz="4" w:space="0" w:color="000000"/>
              <w:right w:val="single" w:sz="4" w:space="0" w:color="000000"/>
            </w:tcBorders>
            <w:vAlign w:val="bottom"/>
          </w:tcPr>
          <w:p>
            <w:pPr>
              <w:pStyle w:val="TAC"/>
              <w:rPr>
                <w:color w:val="000000"/>
              </w:rPr>
            </w:pPr>
            <w:r>
              <w:rPr>
                <w:color w:val="000000"/>
              </w:rPr>
              <w:t>0.010</w:t>
            </w:r>
          </w:p>
        </w:tc>
        <w:tc>
          <w:tcPr>
            <w:tcW w:w="713" w:type="dxa"/>
            <w:tcBorders>
              <w:bottom w:val="single" w:sz="4" w:space="0" w:color="000000"/>
              <w:right w:val="single" w:sz="4" w:space="0" w:color="000000"/>
            </w:tcBorders>
            <w:vAlign w:val="bottom"/>
          </w:tcPr>
          <w:p>
            <w:pPr>
              <w:pStyle w:val="TAC"/>
              <w:rPr>
                <w:color w:val="000000"/>
              </w:rPr>
            </w:pPr>
            <w:r>
              <w:rPr>
                <w:color w:val="000000"/>
              </w:rPr>
              <w:t>0.017</w:t>
            </w:r>
          </w:p>
        </w:tc>
        <w:tc>
          <w:tcPr>
            <w:tcW w:w="713" w:type="dxa"/>
            <w:tcBorders>
              <w:bottom w:val="single" w:sz="4" w:space="0" w:color="000000"/>
              <w:right w:val="single" w:sz="8" w:space="0" w:color="000000"/>
            </w:tcBorders>
            <w:vAlign w:val="bottom"/>
          </w:tcPr>
          <w:p>
            <w:pPr>
              <w:pStyle w:val="TAC"/>
              <w:rPr>
                <w:color w:val="000000"/>
              </w:rPr>
            </w:pPr>
            <w:r>
              <w:rPr>
                <w:color w:val="000000"/>
              </w:rPr>
              <w:t>0.052</w:t>
            </w:r>
          </w:p>
        </w:tc>
        <w:tc>
          <w:tcPr>
            <w:tcW w:w="830" w:type="dxa"/>
            <w:tcBorders>
              <w:bottom w:val="single" w:sz="4" w:space="0" w:color="000000"/>
              <w:right w:val="single" w:sz="4" w:space="0" w:color="000000"/>
            </w:tcBorders>
            <w:vAlign w:val="bottom"/>
          </w:tcPr>
          <w:p>
            <w:pPr>
              <w:pStyle w:val="TAC"/>
              <w:rPr>
                <w:color w:val="000000"/>
              </w:rPr>
            </w:pPr>
            <w:r>
              <w:rPr>
                <w:color w:val="000000"/>
              </w:rPr>
              <w:t>-0.002</w:t>
            </w:r>
          </w:p>
        </w:tc>
        <w:tc>
          <w:tcPr>
            <w:tcW w:w="737" w:type="dxa"/>
            <w:tcBorders>
              <w:bottom w:val="single" w:sz="4" w:space="0" w:color="000000"/>
              <w:right w:val="single" w:sz="4" w:space="0" w:color="000000"/>
            </w:tcBorders>
            <w:vAlign w:val="bottom"/>
          </w:tcPr>
          <w:p>
            <w:pPr>
              <w:pStyle w:val="TAC"/>
              <w:rPr>
                <w:color w:val="000000"/>
              </w:rPr>
            </w:pPr>
            <w:r>
              <w:rPr>
                <w:color w:val="000000"/>
              </w:rPr>
              <w:t>0.010</w:t>
            </w:r>
          </w:p>
        </w:tc>
        <w:tc>
          <w:tcPr>
            <w:tcW w:w="737" w:type="dxa"/>
            <w:tcBorders>
              <w:bottom w:val="single" w:sz="4" w:space="0" w:color="000000"/>
              <w:right w:val="single" w:sz="4" w:space="0" w:color="000000"/>
            </w:tcBorders>
            <w:vAlign w:val="bottom"/>
          </w:tcPr>
          <w:p>
            <w:pPr>
              <w:pStyle w:val="TAC"/>
              <w:rPr>
                <w:color w:val="000000"/>
              </w:rPr>
            </w:pPr>
            <w:r>
              <w:rPr>
                <w:color w:val="000000"/>
              </w:rPr>
              <w:t>0.021</w:t>
            </w:r>
          </w:p>
        </w:tc>
        <w:tc>
          <w:tcPr>
            <w:tcW w:w="737" w:type="dxa"/>
            <w:tcBorders>
              <w:bottom w:val="single" w:sz="4" w:space="0" w:color="000000"/>
              <w:right w:val="single" w:sz="8" w:space="0" w:color="000000"/>
            </w:tcBorders>
            <w:vAlign w:val="bottom"/>
          </w:tcPr>
          <w:p>
            <w:pPr>
              <w:pStyle w:val="TAC"/>
              <w:rPr>
                <w:color w:val="000000"/>
              </w:rPr>
            </w:pPr>
            <w:r>
              <w:rPr>
                <w:color w:val="000000"/>
              </w:rPr>
              <w:t>0.075</w:t>
            </w:r>
          </w:p>
        </w:tc>
      </w:tr>
      <w:tr>
        <w:trPr/>
        <w:tc>
          <w:tcPr>
            <w:tcW w:w="1220" w:type="dxa"/>
            <w:tcBorders>
              <w:left w:val="single" w:sz="4" w:space="0" w:color="000000"/>
              <w:bottom w:val="single" w:sz="4" w:space="0" w:color="000000"/>
            </w:tcBorders>
            <w:vAlign w:val="bottom"/>
          </w:tcPr>
          <w:p>
            <w:pPr>
              <w:pStyle w:val="TAL"/>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0.015</w:t>
            </w:r>
          </w:p>
        </w:tc>
        <w:tc>
          <w:tcPr>
            <w:tcW w:w="737" w:type="dxa"/>
            <w:tcBorders>
              <w:bottom w:val="single" w:sz="4" w:space="0" w:color="000000"/>
              <w:right w:val="single" w:sz="4" w:space="0" w:color="000000"/>
            </w:tcBorders>
            <w:vAlign w:val="bottom"/>
          </w:tcPr>
          <w:p>
            <w:pPr>
              <w:pStyle w:val="TAC"/>
              <w:rPr/>
            </w:pPr>
            <w:r>
              <w:rPr/>
              <w:t>0.038</w:t>
            </w:r>
          </w:p>
        </w:tc>
        <w:tc>
          <w:tcPr>
            <w:tcW w:w="737" w:type="dxa"/>
            <w:tcBorders>
              <w:bottom w:val="single" w:sz="4" w:space="0" w:color="000000"/>
              <w:right w:val="single" w:sz="8" w:space="0" w:color="000000"/>
            </w:tcBorders>
            <w:vAlign w:val="bottom"/>
          </w:tcPr>
          <w:p>
            <w:pPr>
              <w:pStyle w:val="TAC"/>
              <w:rPr/>
            </w:pPr>
            <w:r>
              <w:rPr/>
              <w:t>0.063</w:t>
            </w:r>
          </w:p>
        </w:tc>
        <w:tc>
          <w:tcPr>
            <w:tcW w:w="802" w:type="dxa"/>
            <w:tcBorders>
              <w:bottom w:val="single" w:sz="4" w:space="0" w:color="000000"/>
              <w:right w:val="single" w:sz="4" w:space="0" w:color="000000"/>
            </w:tcBorders>
            <w:vAlign w:val="bottom"/>
          </w:tcPr>
          <w:p>
            <w:pPr>
              <w:pStyle w:val="TAC"/>
              <w:rPr/>
            </w:pPr>
            <w:r>
              <w:rPr/>
              <w:t>0.000</w:t>
            </w:r>
          </w:p>
        </w:tc>
        <w:tc>
          <w:tcPr>
            <w:tcW w:w="713" w:type="dxa"/>
            <w:tcBorders>
              <w:bottom w:val="single" w:sz="4" w:space="0" w:color="000000"/>
              <w:right w:val="single" w:sz="4" w:space="0" w:color="000000"/>
            </w:tcBorders>
            <w:vAlign w:val="bottom"/>
          </w:tcPr>
          <w:p>
            <w:pPr>
              <w:pStyle w:val="TAC"/>
              <w:rPr/>
            </w:pPr>
            <w:r>
              <w:rPr/>
              <w:t>0.011</w:t>
            </w:r>
          </w:p>
        </w:tc>
        <w:tc>
          <w:tcPr>
            <w:tcW w:w="713" w:type="dxa"/>
            <w:tcBorders>
              <w:bottom w:val="single" w:sz="4" w:space="0" w:color="000000"/>
              <w:right w:val="single" w:sz="4" w:space="0" w:color="000000"/>
            </w:tcBorders>
            <w:vAlign w:val="bottom"/>
          </w:tcPr>
          <w:p>
            <w:pPr>
              <w:pStyle w:val="TAC"/>
              <w:rPr/>
            </w:pPr>
            <w:r>
              <w:rPr/>
              <w:t>0.025</w:t>
            </w:r>
          </w:p>
        </w:tc>
        <w:tc>
          <w:tcPr>
            <w:tcW w:w="713" w:type="dxa"/>
            <w:tcBorders>
              <w:bottom w:val="single" w:sz="4" w:space="0" w:color="000000"/>
              <w:right w:val="single" w:sz="8" w:space="0" w:color="000000"/>
            </w:tcBorders>
            <w:vAlign w:val="bottom"/>
          </w:tcPr>
          <w:p>
            <w:pPr>
              <w:pStyle w:val="TAC"/>
              <w:rPr/>
            </w:pPr>
            <w:r>
              <w:rPr/>
              <w:t>0.063</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0.010</w:t>
            </w:r>
          </w:p>
        </w:tc>
        <w:tc>
          <w:tcPr>
            <w:tcW w:w="737" w:type="dxa"/>
            <w:tcBorders>
              <w:bottom w:val="single" w:sz="4" w:space="0" w:color="000000"/>
              <w:right w:val="single" w:sz="4" w:space="0" w:color="000000"/>
            </w:tcBorders>
            <w:vAlign w:val="bottom"/>
          </w:tcPr>
          <w:p>
            <w:pPr>
              <w:pStyle w:val="TAC"/>
              <w:rPr/>
            </w:pPr>
            <w:r>
              <w:rPr/>
              <w:t>0.023</w:t>
            </w:r>
          </w:p>
        </w:tc>
        <w:tc>
          <w:tcPr>
            <w:tcW w:w="737" w:type="dxa"/>
            <w:tcBorders>
              <w:bottom w:val="single" w:sz="4" w:space="0" w:color="000000"/>
              <w:right w:val="single" w:sz="8" w:space="0" w:color="000000"/>
            </w:tcBorders>
            <w:vAlign w:val="bottom"/>
          </w:tcPr>
          <w:p>
            <w:pPr>
              <w:pStyle w:val="TAC"/>
              <w:rPr/>
            </w:pPr>
            <w:r>
              <w:rPr/>
              <w:t>0.038</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-0.002</w:t>
            </w:r>
          </w:p>
        </w:tc>
        <w:tc>
          <w:tcPr>
            <w:tcW w:w="737" w:type="dxa"/>
            <w:tcBorders>
              <w:bottom w:val="single" w:sz="8" w:space="0" w:color="000000"/>
              <w:right w:val="single" w:sz="4" w:space="0" w:color="000000"/>
            </w:tcBorders>
            <w:vAlign w:val="bottom"/>
          </w:tcPr>
          <w:p>
            <w:pPr>
              <w:pStyle w:val="TAC"/>
              <w:rPr/>
            </w:pPr>
            <w:r>
              <w:rPr/>
              <w:t>0.015</w:t>
            </w:r>
          </w:p>
        </w:tc>
        <w:tc>
          <w:tcPr>
            <w:tcW w:w="737" w:type="dxa"/>
            <w:tcBorders>
              <w:bottom w:val="single" w:sz="8" w:space="0" w:color="000000"/>
              <w:right w:val="single" w:sz="4" w:space="0" w:color="000000"/>
            </w:tcBorders>
            <w:vAlign w:val="bottom"/>
          </w:tcPr>
          <w:p>
            <w:pPr>
              <w:pStyle w:val="TAC"/>
              <w:rPr/>
            </w:pPr>
            <w:r>
              <w:rPr/>
              <w:t>0.038</w:t>
            </w:r>
          </w:p>
        </w:tc>
        <w:tc>
          <w:tcPr>
            <w:tcW w:w="737" w:type="dxa"/>
            <w:tcBorders>
              <w:bottom w:val="single" w:sz="8" w:space="0" w:color="000000"/>
              <w:right w:val="single" w:sz="8" w:space="0" w:color="000000"/>
            </w:tcBorders>
            <w:vAlign w:val="bottom"/>
          </w:tcPr>
          <w:p>
            <w:pPr>
              <w:pStyle w:val="TAC"/>
              <w:rPr/>
            </w:pPr>
            <w:r>
              <w:rPr/>
              <w:t>0.063</w:t>
            </w:r>
          </w:p>
        </w:tc>
        <w:tc>
          <w:tcPr>
            <w:tcW w:w="802" w:type="dxa"/>
            <w:tcBorders>
              <w:bottom w:val="single" w:sz="8" w:space="0" w:color="000000"/>
              <w:right w:val="single" w:sz="4" w:space="0" w:color="000000"/>
            </w:tcBorders>
            <w:vAlign w:val="bottom"/>
          </w:tcPr>
          <w:p>
            <w:pPr>
              <w:pStyle w:val="TAC"/>
              <w:rPr/>
            </w:pPr>
            <w:r>
              <w:rPr/>
              <w:t>0.000</w:t>
            </w:r>
          </w:p>
        </w:tc>
        <w:tc>
          <w:tcPr>
            <w:tcW w:w="713" w:type="dxa"/>
            <w:tcBorders>
              <w:bottom w:val="single" w:sz="8" w:space="0" w:color="000000"/>
              <w:right w:val="single" w:sz="4" w:space="0" w:color="000000"/>
            </w:tcBorders>
            <w:vAlign w:val="bottom"/>
          </w:tcPr>
          <w:p>
            <w:pPr>
              <w:pStyle w:val="TAC"/>
              <w:rPr/>
            </w:pPr>
            <w:r>
              <w:rPr/>
              <w:t>0.010</w:t>
            </w:r>
          </w:p>
        </w:tc>
        <w:tc>
          <w:tcPr>
            <w:tcW w:w="713" w:type="dxa"/>
            <w:tcBorders>
              <w:bottom w:val="single" w:sz="8" w:space="0" w:color="000000"/>
              <w:right w:val="single" w:sz="4" w:space="0" w:color="000000"/>
            </w:tcBorders>
            <w:vAlign w:val="bottom"/>
          </w:tcPr>
          <w:p>
            <w:pPr>
              <w:pStyle w:val="TAC"/>
              <w:rPr/>
            </w:pPr>
            <w:r>
              <w:rPr/>
              <w:t>0.026</w:t>
            </w:r>
          </w:p>
        </w:tc>
        <w:tc>
          <w:tcPr>
            <w:tcW w:w="713" w:type="dxa"/>
            <w:tcBorders>
              <w:bottom w:val="single" w:sz="8" w:space="0" w:color="000000"/>
              <w:right w:val="single" w:sz="8" w:space="0" w:color="000000"/>
            </w:tcBorders>
            <w:vAlign w:val="bottom"/>
          </w:tcPr>
          <w:p>
            <w:pPr>
              <w:pStyle w:val="TAC"/>
              <w:rPr/>
            </w:pPr>
            <w:r>
              <w:rPr/>
              <w:t>0.063</w:t>
            </w:r>
          </w:p>
        </w:tc>
        <w:tc>
          <w:tcPr>
            <w:tcW w:w="830" w:type="dxa"/>
            <w:tcBorders>
              <w:bottom w:val="single" w:sz="8" w:space="0" w:color="000000"/>
              <w:right w:val="single" w:sz="4" w:space="0" w:color="000000"/>
            </w:tcBorders>
            <w:vAlign w:val="bottom"/>
          </w:tcPr>
          <w:p>
            <w:pPr>
              <w:pStyle w:val="TAC"/>
              <w:rPr/>
            </w:pPr>
            <w:r>
              <w:rPr/>
              <w:t>-0.002</w:t>
            </w:r>
          </w:p>
        </w:tc>
        <w:tc>
          <w:tcPr>
            <w:tcW w:w="737" w:type="dxa"/>
            <w:tcBorders>
              <w:bottom w:val="single" w:sz="8" w:space="0" w:color="000000"/>
              <w:right w:val="single" w:sz="4" w:space="0" w:color="000000"/>
            </w:tcBorders>
            <w:vAlign w:val="bottom"/>
          </w:tcPr>
          <w:p>
            <w:pPr>
              <w:pStyle w:val="TAC"/>
              <w:rPr/>
            </w:pPr>
            <w:r>
              <w:rPr/>
              <w:t>0.010</w:t>
            </w:r>
          </w:p>
        </w:tc>
        <w:tc>
          <w:tcPr>
            <w:tcW w:w="737" w:type="dxa"/>
            <w:tcBorders>
              <w:bottom w:val="single" w:sz="8" w:space="0" w:color="000000"/>
              <w:right w:val="single" w:sz="4" w:space="0" w:color="000000"/>
            </w:tcBorders>
            <w:vAlign w:val="bottom"/>
          </w:tcPr>
          <w:p>
            <w:pPr>
              <w:pStyle w:val="TAC"/>
              <w:rPr/>
            </w:pPr>
            <w:r>
              <w:rPr/>
              <w:t>0.023</w:t>
            </w:r>
          </w:p>
        </w:tc>
        <w:tc>
          <w:tcPr>
            <w:tcW w:w="737" w:type="dxa"/>
            <w:tcBorders>
              <w:bottom w:val="single" w:sz="8" w:space="0" w:color="000000"/>
              <w:right w:val="single" w:sz="8" w:space="0" w:color="000000"/>
            </w:tcBorders>
            <w:vAlign w:val="bottom"/>
          </w:tcPr>
          <w:p>
            <w:pPr>
              <w:pStyle w:val="TAC"/>
              <w:rPr/>
            </w:pPr>
            <w:r>
              <w:rPr/>
              <w:t>0.038</w:t>
            </w:r>
          </w:p>
        </w:tc>
      </w:tr>
      <w:tr>
        <w:trPr/>
        <w:tc>
          <w:tcPr>
            <w:tcW w:w="1220" w:type="dxa"/>
            <w:tcBorders/>
            <w:shd w:fill="D9D9D9" w:val="clear"/>
            <w:vAlign w:val="bottom"/>
          </w:tcPr>
          <w:p>
            <w:pPr>
              <w:pStyle w:val="TAH"/>
              <w:rPr/>
            </w:pPr>
            <w:r>
              <w:rPr/>
              <w:t>SWB</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0.000</w:t>
            </w:r>
          </w:p>
        </w:tc>
        <w:tc>
          <w:tcPr>
            <w:tcW w:w="737" w:type="dxa"/>
            <w:tcBorders>
              <w:bottom w:val="single" w:sz="4" w:space="0" w:color="000000"/>
              <w:right w:val="single" w:sz="4" w:space="0" w:color="000000"/>
            </w:tcBorders>
            <w:vAlign w:val="bottom"/>
          </w:tcPr>
          <w:p>
            <w:pPr>
              <w:pStyle w:val="TAC"/>
              <w:rPr/>
            </w:pPr>
            <w:r>
              <w:rPr/>
              <w:t>0.027</w:t>
            </w:r>
          </w:p>
        </w:tc>
        <w:tc>
          <w:tcPr>
            <w:tcW w:w="737" w:type="dxa"/>
            <w:tcBorders>
              <w:bottom w:val="single" w:sz="4" w:space="0" w:color="000000"/>
              <w:right w:val="single" w:sz="4" w:space="0" w:color="000000"/>
            </w:tcBorders>
            <w:vAlign w:val="bottom"/>
          </w:tcPr>
          <w:p>
            <w:pPr>
              <w:pStyle w:val="TAC"/>
              <w:rPr/>
            </w:pPr>
            <w:r>
              <w:rPr/>
              <w:t>0.050</w:t>
            </w:r>
          </w:p>
        </w:tc>
        <w:tc>
          <w:tcPr>
            <w:tcW w:w="737" w:type="dxa"/>
            <w:tcBorders>
              <w:bottom w:val="single" w:sz="4" w:space="0" w:color="000000"/>
              <w:right w:val="single" w:sz="8" w:space="0" w:color="000000"/>
            </w:tcBorders>
            <w:vAlign w:val="bottom"/>
          </w:tcPr>
          <w:p>
            <w:pPr>
              <w:pStyle w:val="TAC"/>
              <w:rPr/>
            </w:pPr>
            <w:r>
              <w:rPr/>
              <w:t>0.080</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0.023</w:t>
            </w:r>
          </w:p>
        </w:tc>
        <w:tc>
          <w:tcPr>
            <w:tcW w:w="713" w:type="dxa"/>
            <w:tcBorders>
              <w:bottom w:val="single" w:sz="4" w:space="0" w:color="000000"/>
              <w:right w:val="single" w:sz="4" w:space="0" w:color="000000"/>
            </w:tcBorders>
            <w:vAlign w:val="bottom"/>
          </w:tcPr>
          <w:p>
            <w:pPr>
              <w:pStyle w:val="TAC"/>
              <w:rPr/>
            </w:pPr>
            <w:r>
              <w:rPr/>
              <w:t>0.034</w:t>
            </w:r>
          </w:p>
        </w:tc>
        <w:tc>
          <w:tcPr>
            <w:tcW w:w="713" w:type="dxa"/>
            <w:tcBorders>
              <w:bottom w:val="single" w:sz="4" w:space="0" w:color="000000"/>
              <w:right w:val="single" w:sz="8" w:space="0" w:color="000000"/>
            </w:tcBorders>
            <w:vAlign w:val="bottom"/>
          </w:tcPr>
          <w:p>
            <w:pPr>
              <w:pStyle w:val="TAC"/>
              <w:rPr/>
            </w:pPr>
            <w:r>
              <w:rPr/>
              <w:t>0.036</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0.022</w:t>
            </w:r>
          </w:p>
        </w:tc>
        <w:tc>
          <w:tcPr>
            <w:tcW w:w="737" w:type="dxa"/>
            <w:tcBorders>
              <w:bottom w:val="single" w:sz="4" w:space="0" w:color="000000"/>
              <w:right w:val="single" w:sz="4" w:space="0" w:color="000000"/>
            </w:tcBorders>
            <w:vAlign w:val="bottom"/>
          </w:tcPr>
          <w:p>
            <w:pPr>
              <w:pStyle w:val="TAC"/>
              <w:rPr/>
            </w:pPr>
            <w:r>
              <w:rPr/>
              <w:t>0.046</w:t>
            </w:r>
          </w:p>
        </w:tc>
        <w:tc>
          <w:tcPr>
            <w:tcW w:w="737" w:type="dxa"/>
            <w:tcBorders>
              <w:bottom w:val="single" w:sz="4" w:space="0" w:color="000000"/>
              <w:right w:val="single" w:sz="8" w:space="0" w:color="000000"/>
            </w:tcBorders>
            <w:vAlign w:val="bottom"/>
          </w:tcPr>
          <w:p>
            <w:pPr>
              <w:pStyle w:val="TAC"/>
              <w:rPr/>
            </w:pPr>
            <w:r>
              <w:rPr/>
              <w:t>0.076</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-0.001</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0.048</w:t>
            </w:r>
          </w:p>
        </w:tc>
        <w:tc>
          <w:tcPr>
            <w:tcW w:w="737" w:type="dxa"/>
            <w:tcBorders>
              <w:bottom w:val="single" w:sz="4" w:space="0" w:color="000000"/>
              <w:right w:val="single" w:sz="8" w:space="0" w:color="000000"/>
            </w:tcBorders>
            <w:vAlign w:val="bottom"/>
          </w:tcPr>
          <w:p>
            <w:pPr>
              <w:pStyle w:val="TAC"/>
              <w:rPr/>
            </w:pPr>
            <w:r>
              <w:rPr/>
              <w:t>0.071</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0.022</w:t>
            </w:r>
          </w:p>
        </w:tc>
        <w:tc>
          <w:tcPr>
            <w:tcW w:w="713" w:type="dxa"/>
            <w:tcBorders>
              <w:bottom w:val="single" w:sz="4" w:space="0" w:color="000000"/>
              <w:right w:val="single" w:sz="4" w:space="0" w:color="000000"/>
            </w:tcBorders>
            <w:vAlign w:val="bottom"/>
          </w:tcPr>
          <w:p>
            <w:pPr>
              <w:pStyle w:val="TAC"/>
              <w:rPr/>
            </w:pPr>
            <w:r>
              <w:rPr/>
              <w:t>0.031</w:t>
            </w:r>
          </w:p>
        </w:tc>
        <w:tc>
          <w:tcPr>
            <w:tcW w:w="713" w:type="dxa"/>
            <w:tcBorders>
              <w:bottom w:val="single" w:sz="4" w:space="0" w:color="000000"/>
              <w:right w:val="single" w:sz="8" w:space="0" w:color="000000"/>
            </w:tcBorders>
            <w:vAlign w:val="bottom"/>
          </w:tcPr>
          <w:p>
            <w:pPr>
              <w:pStyle w:val="TAC"/>
              <w:rPr/>
            </w:pPr>
            <w:r>
              <w:rPr/>
              <w:t>0.037</w:t>
            </w:r>
          </w:p>
        </w:tc>
        <w:tc>
          <w:tcPr>
            <w:tcW w:w="830" w:type="dxa"/>
            <w:tcBorders>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0.076</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0.039</w:t>
            </w:r>
          </w:p>
        </w:tc>
        <w:tc>
          <w:tcPr>
            <w:tcW w:w="737" w:type="dxa"/>
            <w:tcBorders>
              <w:bottom w:val="single" w:sz="4" w:space="0" w:color="000000"/>
              <w:right w:val="single" w:sz="4" w:space="0" w:color="000000"/>
            </w:tcBorders>
            <w:vAlign w:val="bottom"/>
          </w:tcPr>
          <w:p>
            <w:pPr>
              <w:pStyle w:val="TAC"/>
              <w:rPr/>
            </w:pPr>
            <w:r>
              <w:rPr/>
              <w:t>0.047</w:t>
            </w:r>
          </w:p>
        </w:tc>
        <w:tc>
          <w:tcPr>
            <w:tcW w:w="737" w:type="dxa"/>
            <w:tcBorders>
              <w:bottom w:val="single" w:sz="4" w:space="0" w:color="000000"/>
              <w:right w:val="single" w:sz="8" w:space="0" w:color="000000"/>
            </w:tcBorders>
            <w:vAlign w:val="bottom"/>
          </w:tcPr>
          <w:p>
            <w:pPr>
              <w:pStyle w:val="TAC"/>
              <w:rPr/>
            </w:pPr>
            <w:r>
              <w:rPr/>
              <w:t>0.072</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0.022</w:t>
            </w:r>
          </w:p>
        </w:tc>
        <w:tc>
          <w:tcPr>
            <w:tcW w:w="713" w:type="dxa"/>
            <w:tcBorders>
              <w:bottom w:val="single" w:sz="4" w:space="0" w:color="000000"/>
              <w:right w:val="single" w:sz="4" w:space="0" w:color="000000"/>
            </w:tcBorders>
            <w:vAlign w:val="bottom"/>
          </w:tcPr>
          <w:p>
            <w:pPr>
              <w:pStyle w:val="TAC"/>
              <w:rPr/>
            </w:pPr>
            <w:r>
              <w:rPr/>
              <w:t>0.031</w:t>
            </w:r>
          </w:p>
        </w:tc>
        <w:tc>
          <w:tcPr>
            <w:tcW w:w="713" w:type="dxa"/>
            <w:tcBorders>
              <w:bottom w:val="single" w:sz="4" w:space="0" w:color="000000"/>
              <w:right w:val="single" w:sz="8" w:space="0" w:color="000000"/>
            </w:tcBorders>
            <w:vAlign w:val="bottom"/>
          </w:tcPr>
          <w:p>
            <w:pPr>
              <w:pStyle w:val="TAC"/>
              <w:rPr/>
            </w:pPr>
            <w:r>
              <w:rPr/>
              <w:t>0.037</w:t>
            </w:r>
          </w:p>
        </w:tc>
        <w:tc>
          <w:tcPr>
            <w:tcW w:w="830" w:type="dxa"/>
            <w:tcBorders>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0.076</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0.000</w:t>
            </w:r>
          </w:p>
        </w:tc>
        <w:tc>
          <w:tcPr>
            <w:tcW w:w="737" w:type="dxa"/>
            <w:tcBorders>
              <w:bottom w:val="single" w:sz="4" w:space="0" w:color="000000"/>
              <w:right w:val="single" w:sz="4" w:space="0" w:color="000000"/>
            </w:tcBorders>
            <w:vAlign w:val="bottom"/>
          </w:tcPr>
          <w:p>
            <w:pPr>
              <w:pStyle w:val="TAC"/>
              <w:rPr/>
            </w:pPr>
            <w:r>
              <w:rPr/>
              <w:t>0.029</w:t>
            </w:r>
          </w:p>
        </w:tc>
        <w:tc>
          <w:tcPr>
            <w:tcW w:w="737" w:type="dxa"/>
            <w:tcBorders>
              <w:bottom w:val="single" w:sz="4" w:space="0" w:color="000000"/>
              <w:right w:val="single" w:sz="4" w:space="0" w:color="000000"/>
            </w:tcBorders>
            <w:vAlign w:val="bottom"/>
          </w:tcPr>
          <w:p>
            <w:pPr>
              <w:pStyle w:val="TAC"/>
              <w:rPr/>
            </w:pPr>
            <w:r>
              <w:rPr/>
              <w:t>0.059</w:t>
            </w:r>
          </w:p>
        </w:tc>
        <w:tc>
          <w:tcPr>
            <w:tcW w:w="737" w:type="dxa"/>
            <w:tcBorders>
              <w:bottom w:val="single" w:sz="4" w:space="0" w:color="000000"/>
              <w:right w:val="single" w:sz="8" w:space="0" w:color="000000"/>
            </w:tcBorders>
            <w:vAlign w:val="bottom"/>
          </w:tcPr>
          <w:p>
            <w:pPr>
              <w:pStyle w:val="TAC"/>
              <w:rPr/>
            </w:pPr>
            <w:r>
              <w:rPr/>
              <w:t>0.120</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0.023</w:t>
            </w:r>
          </w:p>
        </w:tc>
        <w:tc>
          <w:tcPr>
            <w:tcW w:w="713" w:type="dxa"/>
            <w:tcBorders>
              <w:bottom w:val="single" w:sz="4" w:space="0" w:color="000000"/>
              <w:right w:val="single" w:sz="4" w:space="0" w:color="000000"/>
            </w:tcBorders>
            <w:vAlign w:val="bottom"/>
          </w:tcPr>
          <w:p>
            <w:pPr>
              <w:pStyle w:val="TAC"/>
              <w:rPr/>
            </w:pPr>
            <w:r>
              <w:rPr/>
              <w:t>0.034</w:t>
            </w:r>
          </w:p>
        </w:tc>
        <w:tc>
          <w:tcPr>
            <w:tcW w:w="713" w:type="dxa"/>
            <w:tcBorders>
              <w:bottom w:val="single" w:sz="4" w:space="0" w:color="000000"/>
              <w:right w:val="single" w:sz="8" w:space="0" w:color="000000"/>
            </w:tcBorders>
            <w:vAlign w:val="bottom"/>
          </w:tcPr>
          <w:p>
            <w:pPr>
              <w:pStyle w:val="TAC"/>
              <w:rPr/>
            </w:pPr>
            <w:r>
              <w:rPr/>
              <w:t>0.037</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0.032</w:t>
            </w:r>
          </w:p>
        </w:tc>
        <w:tc>
          <w:tcPr>
            <w:tcW w:w="737" w:type="dxa"/>
            <w:tcBorders>
              <w:bottom w:val="single" w:sz="4" w:space="0" w:color="000000"/>
              <w:right w:val="single" w:sz="4" w:space="0" w:color="000000"/>
            </w:tcBorders>
            <w:vAlign w:val="bottom"/>
          </w:tcPr>
          <w:p>
            <w:pPr>
              <w:pStyle w:val="TAC"/>
              <w:rPr/>
            </w:pPr>
            <w:r>
              <w:rPr/>
              <w:t>0.062</w:t>
            </w:r>
          </w:p>
        </w:tc>
        <w:tc>
          <w:tcPr>
            <w:tcW w:w="737" w:type="dxa"/>
            <w:tcBorders>
              <w:bottom w:val="single" w:sz="4" w:space="0" w:color="000000"/>
              <w:right w:val="single" w:sz="8" w:space="0" w:color="000000"/>
            </w:tcBorders>
            <w:vAlign w:val="bottom"/>
          </w:tcPr>
          <w:p>
            <w:pPr>
              <w:pStyle w:val="TAC"/>
              <w:rPr/>
            </w:pPr>
            <w:r>
              <w:rPr/>
              <w:t>0.062</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0.000</w:t>
            </w:r>
          </w:p>
        </w:tc>
        <w:tc>
          <w:tcPr>
            <w:tcW w:w="737" w:type="dxa"/>
            <w:tcBorders>
              <w:bottom w:val="single" w:sz="4" w:space="0" w:color="000000"/>
              <w:right w:val="single" w:sz="4" w:space="0" w:color="000000"/>
            </w:tcBorders>
            <w:vAlign w:val="bottom"/>
          </w:tcPr>
          <w:p>
            <w:pPr>
              <w:pStyle w:val="TAC"/>
              <w:rPr>
                <w:color w:val="000000"/>
              </w:rPr>
            </w:pPr>
            <w:r>
              <w:rPr>
                <w:color w:val="000000"/>
              </w:rPr>
              <w:t>0.032</w:t>
            </w:r>
          </w:p>
        </w:tc>
        <w:tc>
          <w:tcPr>
            <w:tcW w:w="737" w:type="dxa"/>
            <w:tcBorders>
              <w:bottom w:val="single" w:sz="4" w:space="0" w:color="000000"/>
              <w:right w:val="single" w:sz="4" w:space="0" w:color="000000"/>
            </w:tcBorders>
            <w:vAlign w:val="bottom"/>
          </w:tcPr>
          <w:p>
            <w:pPr>
              <w:pStyle w:val="TAC"/>
              <w:rPr>
                <w:color w:val="000000"/>
              </w:rPr>
            </w:pPr>
            <w:r>
              <w:rPr>
                <w:color w:val="000000"/>
              </w:rPr>
              <w:t>0.047</w:t>
            </w:r>
          </w:p>
        </w:tc>
        <w:tc>
          <w:tcPr>
            <w:tcW w:w="737" w:type="dxa"/>
            <w:tcBorders>
              <w:bottom w:val="single" w:sz="4" w:space="0" w:color="000000"/>
              <w:right w:val="single" w:sz="8" w:space="0" w:color="000000"/>
            </w:tcBorders>
            <w:vAlign w:val="bottom"/>
          </w:tcPr>
          <w:p>
            <w:pPr>
              <w:pStyle w:val="TAC"/>
              <w:rPr>
                <w:color w:val="000000"/>
              </w:rPr>
            </w:pPr>
            <w:r>
              <w:rPr>
                <w:color w:val="000000"/>
              </w:rPr>
              <w:t>0.084</w:t>
            </w:r>
          </w:p>
        </w:tc>
        <w:tc>
          <w:tcPr>
            <w:tcW w:w="802" w:type="dxa"/>
            <w:tcBorders>
              <w:bottom w:val="single" w:sz="4" w:space="0" w:color="000000"/>
              <w:right w:val="single" w:sz="4" w:space="0" w:color="000000"/>
            </w:tcBorders>
            <w:vAlign w:val="bottom"/>
          </w:tcPr>
          <w:p>
            <w:pPr>
              <w:pStyle w:val="TAC"/>
              <w:rPr>
                <w:color w:val="000000"/>
              </w:rPr>
            </w:pPr>
            <w:r>
              <w:rPr>
                <w:color w:val="000000"/>
              </w:rPr>
              <w:t>0.002</w:t>
            </w:r>
          </w:p>
        </w:tc>
        <w:tc>
          <w:tcPr>
            <w:tcW w:w="713" w:type="dxa"/>
            <w:tcBorders>
              <w:bottom w:val="single" w:sz="4" w:space="0" w:color="000000"/>
              <w:right w:val="single" w:sz="4" w:space="0" w:color="000000"/>
            </w:tcBorders>
            <w:vAlign w:val="bottom"/>
          </w:tcPr>
          <w:p>
            <w:pPr>
              <w:pStyle w:val="TAC"/>
              <w:rPr>
                <w:color w:val="000000"/>
              </w:rPr>
            </w:pPr>
            <w:r>
              <w:rPr>
                <w:color w:val="000000"/>
              </w:rPr>
              <w:t>0.021</w:t>
            </w:r>
          </w:p>
        </w:tc>
        <w:tc>
          <w:tcPr>
            <w:tcW w:w="713" w:type="dxa"/>
            <w:tcBorders>
              <w:bottom w:val="single" w:sz="4" w:space="0" w:color="000000"/>
              <w:right w:val="single" w:sz="4" w:space="0" w:color="000000"/>
            </w:tcBorders>
            <w:vAlign w:val="bottom"/>
          </w:tcPr>
          <w:p>
            <w:pPr>
              <w:pStyle w:val="TAC"/>
              <w:rPr>
                <w:color w:val="000000"/>
              </w:rPr>
            </w:pPr>
            <w:r>
              <w:rPr>
                <w:color w:val="000000"/>
              </w:rPr>
              <w:t>0.032</w:t>
            </w:r>
          </w:p>
        </w:tc>
        <w:tc>
          <w:tcPr>
            <w:tcW w:w="713" w:type="dxa"/>
            <w:tcBorders>
              <w:bottom w:val="single" w:sz="4" w:space="0" w:color="000000"/>
              <w:right w:val="single" w:sz="8" w:space="0" w:color="000000"/>
            </w:tcBorders>
            <w:vAlign w:val="bottom"/>
          </w:tcPr>
          <w:p>
            <w:pPr>
              <w:pStyle w:val="TAC"/>
              <w:rPr>
                <w:color w:val="000000"/>
              </w:rPr>
            </w:pPr>
            <w:r>
              <w:rPr>
                <w:color w:val="000000"/>
              </w:rPr>
              <w:t>0.037</w:t>
            </w:r>
          </w:p>
        </w:tc>
        <w:tc>
          <w:tcPr>
            <w:tcW w:w="830" w:type="dxa"/>
            <w:tcBorders>
              <w:bottom w:val="single" w:sz="4" w:space="0" w:color="000000"/>
              <w:right w:val="single" w:sz="4" w:space="0" w:color="000000"/>
            </w:tcBorders>
            <w:vAlign w:val="bottom"/>
          </w:tcPr>
          <w:p>
            <w:pPr>
              <w:pStyle w:val="TAC"/>
              <w:rPr>
                <w:color w:val="000000"/>
              </w:rPr>
            </w:pPr>
            <w:r>
              <w:rPr>
                <w:color w:val="000000"/>
              </w:rPr>
              <w:t>0.000</w:t>
            </w:r>
          </w:p>
        </w:tc>
        <w:tc>
          <w:tcPr>
            <w:tcW w:w="737" w:type="dxa"/>
            <w:tcBorders>
              <w:bottom w:val="single" w:sz="4" w:space="0" w:color="000000"/>
              <w:right w:val="single" w:sz="4" w:space="0" w:color="000000"/>
            </w:tcBorders>
            <w:vAlign w:val="bottom"/>
          </w:tcPr>
          <w:p>
            <w:pPr>
              <w:pStyle w:val="TAC"/>
              <w:rPr>
                <w:color w:val="000000"/>
              </w:rPr>
            </w:pPr>
            <w:r>
              <w:rPr>
                <w:color w:val="000000"/>
              </w:rPr>
              <w:t>0.025</w:t>
            </w:r>
          </w:p>
        </w:tc>
        <w:tc>
          <w:tcPr>
            <w:tcW w:w="737" w:type="dxa"/>
            <w:tcBorders>
              <w:bottom w:val="single" w:sz="4" w:space="0" w:color="000000"/>
              <w:right w:val="single" w:sz="4" w:space="0" w:color="000000"/>
            </w:tcBorders>
            <w:vAlign w:val="bottom"/>
          </w:tcPr>
          <w:p>
            <w:pPr>
              <w:pStyle w:val="TAC"/>
              <w:rPr>
                <w:color w:val="000000"/>
              </w:rPr>
            </w:pPr>
            <w:r>
              <w:rPr>
                <w:color w:val="000000"/>
              </w:rPr>
              <w:t>0.047</w:t>
            </w:r>
          </w:p>
        </w:tc>
        <w:tc>
          <w:tcPr>
            <w:tcW w:w="737" w:type="dxa"/>
            <w:tcBorders>
              <w:bottom w:val="single" w:sz="4" w:space="0" w:color="000000"/>
              <w:right w:val="single" w:sz="8" w:space="0" w:color="000000"/>
            </w:tcBorders>
            <w:vAlign w:val="bottom"/>
          </w:tcPr>
          <w:p>
            <w:pPr>
              <w:pStyle w:val="TAC"/>
              <w:rPr>
                <w:color w:val="000000"/>
              </w:rPr>
            </w:pPr>
            <w:r>
              <w:rPr>
                <w:color w:val="000000"/>
              </w:rPr>
              <w:t>0.075</w:t>
            </w:r>
          </w:p>
        </w:tc>
      </w:tr>
      <w:tr>
        <w:trPr/>
        <w:tc>
          <w:tcPr>
            <w:tcW w:w="1220" w:type="dxa"/>
            <w:tcBorders>
              <w:left w:val="single" w:sz="4" w:space="0" w:color="000000"/>
              <w:bottom w:val="single" w:sz="4" w:space="0" w:color="000000"/>
            </w:tcBorders>
            <w:vAlign w:val="bottom"/>
          </w:tcPr>
          <w:p>
            <w:pPr>
              <w:pStyle w:val="TAL"/>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0.036</w:t>
            </w:r>
          </w:p>
        </w:tc>
        <w:tc>
          <w:tcPr>
            <w:tcW w:w="737" w:type="dxa"/>
            <w:tcBorders>
              <w:bottom w:val="single" w:sz="4" w:space="0" w:color="000000"/>
              <w:right w:val="single" w:sz="4" w:space="0" w:color="000000"/>
            </w:tcBorders>
            <w:vAlign w:val="bottom"/>
          </w:tcPr>
          <w:p>
            <w:pPr>
              <w:pStyle w:val="TAC"/>
              <w:rPr/>
            </w:pPr>
            <w:r>
              <w:rPr/>
              <w:t>0.048</w:t>
            </w:r>
          </w:p>
        </w:tc>
        <w:tc>
          <w:tcPr>
            <w:tcW w:w="737" w:type="dxa"/>
            <w:tcBorders>
              <w:bottom w:val="single" w:sz="4" w:space="0" w:color="000000"/>
              <w:right w:val="single" w:sz="8" w:space="0" w:color="000000"/>
            </w:tcBorders>
            <w:vAlign w:val="bottom"/>
          </w:tcPr>
          <w:p>
            <w:pPr>
              <w:pStyle w:val="TAC"/>
              <w:rPr/>
            </w:pPr>
            <w:r>
              <w:rPr/>
              <w:t>0.071</w:t>
            </w:r>
          </w:p>
        </w:tc>
        <w:tc>
          <w:tcPr>
            <w:tcW w:w="802" w:type="dxa"/>
            <w:tcBorders>
              <w:bottom w:val="single" w:sz="4" w:space="0" w:color="000000"/>
              <w:right w:val="single" w:sz="4" w:space="0" w:color="000000"/>
            </w:tcBorders>
            <w:vAlign w:val="bottom"/>
          </w:tcPr>
          <w:p>
            <w:pPr>
              <w:pStyle w:val="TAC"/>
              <w:rPr/>
            </w:pPr>
            <w:r>
              <w:rPr/>
              <w:t>0.002</w:t>
            </w:r>
          </w:p>
        </w:tc>
        <w:tc>
          <w:tcPr>
            <w:tcW w:w="713" w:type="dxa"/>
            <w:tcBorders>
              <w:bottom w:val="single" w:sz="4" w:space="0" w:color="000000"/>
              <w:right w:val="single" w:sz="4" w:space="0" w:color="000000"/>
            </w:tcBorders>
            <w:vAlign w:val="bottom"/>
          </w:tcPr>
          <w:p>
            <w:pPr>
              <w:pStyle w:val="TAC"/>
              <w:rPr/>
            </w:pPr>
            <w:r>
              <w:rPr/>
              <w:t>0.022</w:t>
            </w:r>
          </w:p>
        </w:tc>
        <w:tc>
          <w:tcPr>
            <w:tcW w:w="713" w:type="dxa"/>
            <w:tcBorders>
              <w:bottom w:val="single" w:sz="4" w:space="0" w:color="000000"/>
              <w:right w:val="single" w:sz="4" w:space="0" w:color="000000"/>
            </w:tcBorders>
            <w:vAlign w:val="bottom"/>
          </w:tcPr>
          <w:p>
            <w:pPr>
              <w:pStyle w:val="TAC"/>
              <w:rPr/>
            </w:pPr>
            <w:r>
              <w:rPr/>
              <w:t>0.030</w:t>
            </w:r>
          </w:p>
        </w:tc>
        <w:tc>
          <w:tcPr>
            <w:tcW w:w="713" w:type="dxa"/>
            <w:tcBorders>
              <w:bottom w:val="single" w:sz="4" w:space="0" w:color="000000"/>
              <w:right w:val="single" w:sz="8" w:space="0" w:color="000000"/>
            </w:tcBorders>
            <w:vAlign w:val="bottom"/>
          </w:tcPr>
          <w:p>
            <w:pPr>
              <w:pStyle w:val="TAC"/>
              <w:rPr/>
            </w:pPr>
            <w:r>
              <w:rPr/>
              <w:t>0.036</w:t>
            </w:r>
          </w:p>
        </w:tc>
        <w:tc>
          <w:tcPr>
            <w:tcW w:w="830" w:type="dxa"/>
            <w:tcBorders>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0.076</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-0.001</w:t>
            </w:r>
          </w:p>
        </w:tc>
        <w:tc>
          <w:tcPr>
            <w:tcW w:w="737" w:type="dxa"/>
            <w:tcBorders>
              <w:bottom w:val="single" w:sz="8" w:space="0" w:color="000000"/>
              <w:right w:val="single" w:sz="4" w:space="0" w:color="000000"/>
            </w:tcBorders>
            <w:vAlign w:val="bottom"/>
          </w:tcPr>
          <w:p>
            <w:pPr>
              <w:pStyle w:val="TAC"/>
              <w:rPr/>
            </w:pPr>
            <w:r>
              <w:rPr/>
              <w:t>0.034</w:t>
            </w:r>
          </w:p>
        </w:tc>
        <w:tc>
          <w:tcPr>
            <w:tcW w:w="737" w:type="dxa"/>
            <w:tcBorders>
              <w:bottom w:val="single" w:sz="8" w:space="0" w:color="000000"/>
              <w:right w:val="single" w:sz="4" w:space="0" w:color="000000"/>
            </w:tcBorders>
            <w:vAlign w:val="bottom"/>
          </w:tcPr>
          <w:p>
            <w:pPr>
              <w:pStyle w:val="TAC"/>
              <w:rPr/>
            </w:pPr>
            <w:r>
              <w:rPr/>
              <w:t>0.046</w:t>
            </w:r>
          </w:p>
        </w:tc>
        <w:tc>
          <w:tcPr>
            <w:tcW w:w="737" w:type="dxa"/>
            <w:tcBorders>
              <w:bottom w:val="single" w:sz="8" w:space="0" w:color="000000"/>
              <w:right w:val="single" w:sz="8" w:space="0" w:color="000000"/>
            </w:tcBorders>
            <w:vAlign w:val="bottom"/>
          </w:tcPr>
          <w:p>
            <w:pPr>
              <w:pStyle w:val="TAC"/>
              <w:rPr/>
            </w:pPr>
            <w:r>
              <w:rPr/>
              <w:t>0.071</w:t>
            </w:r>
          </w:p>
        </w:tc>
        <w:tc>
          <w:tcPr>
            <w:tcW w:w="802" w:type="dxa"/>
            <w:tcBorders>
              <w:bottom w:val="single" w:sz="8" w:space="0" w:color="000000"/>
              <w:right w:val="single" w:sz="4" w:space="0" w:color="000000"/>
            </w:tcBorders>
            <w:vAlign w:val="bottom"/>
          </w:tcPr>
          <w:p>
            <w:pPr>
              <w:pStyle w:val="TAC"/>
              <w:rPr/>
            </w:pPr>
            <w:r>
              <w:rPr/>
              <w:t>0.002</w:t>
            </w:r>
          </w:p>
        </w:tc>
        <w:tc>
          <w:tcPr>
            <w:tcW w:w="713" w:type="dxa"/>
            <w:tcBorders>
              <w:bottom w:val="single" w:sz="8" w:space="0" w:color="000000"/>
              <w:right w:val="single" w:sz="4" w:space="0" w:color="000000"/>
            </w:tcBorders>
            <w:vAlign w:val="bottom"/>
          </w:tcPr>
          <w:p>
            <w:pPr>
              <w:pStyle w:val="TAC"/>
              <w:rPr/>
            </w:pPr>
            <w:r>
              <w:rPr/>
              <w:t>0.022</w:t>
            </w:r>
          </w:p>
        </w:tc>
        <w:tc>
          <w:tcPr>
            <w:tcW w:w="713" w:type="dxa"/>
            <w:tcBorders>
              <w:bottom w:val="single" w:sz="8" w:space="0" w:color="000000"/>
              <w:right w:val="single" w:sz="4" w:space="0" w:color="000000"/>
            </w:tcBorders>
            <w:vAlign w:val="bottom"/>
          </w:tcPr>
          <w:p>
            <w:pPr>
              <w:pStyle w:val="TAC"/>
              <w:rPr/>
            </w:pPr>
            <w:r>
              <w:rPr/>
              <w:t>0.030</w:t>
            </w:r>
          </w:p>
        </w:tc>
        <w:tc>
          <w:tcPr>
            <w:tcW w:w="713" w:type="dxa"/>
            <w:tcBorders>
              <w:bottom w:val="single" w:sz="8" w:space="0" w:color="000000"/>
              <w:right w:val="single" w:sz="8" w:space="0" w:color="000000"/>
            </w:tcBorders>
            <w:vAlign w:val="bottom"/>
          </w:tcPr>
          <w:p>
            <w:pPr>
              <w:pStyle w:val="TAC"/>
              <w:rPr/>
            </w:pPr>
            <w:r>
              <w:rPr/>
              <w:t>0.037</w:t>
            </w:r>
          </w:p>
        </w:tc>
        <w:tc>
          <w:tcPr>
            <w:tcW w:w="830" w:type="dxa"/>
            <w:tcBorders>
              <w:bottom w:val="single" w:sz="8" w:space="0" w:color="000000"/>
              <w:right w:val="single" w:sz="4" w:space="0" w:color="000000"/>
            </w:tcBorders>
            <w:vAlign w:val="bottom"/>
          </w:tcPr>
          <w:p>
            <w:pPr>
              <w:pStyle w:val="TAC"/>
              <w:rPr/>
            </w:pPr>
            <w:r>
              <w:rPr/>
              <w:t>-0.003</w:t>
            </w:r>
          </w:p>
        </w:tc>
        <w:tc>
          <w:tcPr>
            <w:tcW w:w="737" w:type="dxa"/>
            <w:tcBorders>
              <w:bottom w:val="single" w:sz="8" w:space="0" w:color="000000"/>
              <w:right w:val="single" w:sz="4" w:space="0" w:color="000000"/>
            </w:tcBorders>
            <w:vAlign w:val="bottom"/>
          </w:tcPr>
          <w:p>
            <w:pPr>
              <w:pStyle w:val="TAC"/>
              <w:rPr/>
            </w:pPr>
            <w:r>
              <w:rPr/>
              <w:t>0.033</w:t>
            </w:r>
          </w:p>
        </w:tc>
        <w:tc>
          <w:tcPr>
            <w:tcW w:w="737" w:type="dxa"/>
            <w:tcBorders>
              <w:bottom w:val="single" w:sz="8" w:space="0" w:color="000000"/>
              <w:right w:val="single" w:sz="4" w:space="0" w:color="000000"/>
            </w:tcBorders>
            <w:vAlign w:val="bottom"/>
          </w:tcPr>
          <w:p>
            <w:pPr>
              <w:pStyle w:val="TAC"/>
              <w:rPr/>
            </w:pPr>
            <w:r>
              <w:rPr/>
              <w:t>0.059</w:t>
            </w:r>
          </w:p>
        </w:tc>
        <w:tc>
          <w:tcPr>
            <w:tcW w:w="737" w:type="dxa"/>
            <w:tcBorders>
              <w:bottom w:val="single" w:sz="8" w:space="0" w:color="000000"/>
              <w:right w:val="single" w:sz="8" w:space="0" w:color="000000"/>
            </w:tcBorders>
            <w:vAlign w:val="bottom"/>
          </w:tcPr>
          <w:p>
            <w:pPr>
              <w:pStyle w:val="TAC"/>
              <w:rPr/>
            </w:pPr>
            <w:r>
              <w:rPr/>
              <w:t>0.076</w:t>
            </w:r>
          </w:p>
        </w:tc>
      </w:tr>
    </w:tbl>
    <w:p>
      <w:pPr>
        <w:pStyle w:val="Normal"/>
        <w:rPr/>
      </w:pPr>
      <w:r>
        <w:rPr/>
      </w:r>
    </w:p>
    <w:p>
      <w:pPr>
        <w:pStyle w:val="TH"/>
        <w:rPr/>
      </w:pPr>
      <w:r>
        <w:rPr/>
      </w:r>
    </w:p>
    <w:tbl>
      <w:tblPr>
        <w:tblW w:w="10243" w:type="dxa"/>
        <w:jc w:val="center"/>
        <w:tblInd w:w="0" w:type="dxa"/>
        <w:tblLayout w:type="fixed"/>
        <w:tblCellMar>
          <w:top w:w="0" w:type="dxa"/>
          <w:left w:w="28" w:type="dxa"/>
          <w:bottom w:w="0" w:type="dxa"/>
          <w:right w:w="108" w:type="dxa"/>
        </w:tblCellMar>
      </w:tblPr>
      <w:tblGrid>
        <w:gridCol w:w="1220"/>
        <w:gridCol w:w="830"/>
        <w:gridCol w:w="737"/>
        <w:gridCol w:w="737"/>
        <w:gridCol w:w="737"/>
        <w:gridCol w:w="802"/>
        <w:gridCol w:w="713"/>
        <w:gridCol w:w="713"/>
        <w:gridCol w:w="713"/>
        <w:gridCol w:w="830"/>
        <w:gridCol w:w="737"/>
        <w:gridCol w:w="737"/>
        <w:gridCol w:w="737"/>
      </w:tblGrid>
      <w:tr>
        <w:trPr/>
        <w:tc>
          <w:tcPr>
            <w:tcW w:w="1220" w:type="dxa"/>
            <w:tcBorders/>
            <w:shd w:fill="D9D9D9" w:val="clear"/>
            <w:vAlign w:val="bottom"/>
          </w:tcPr>
          <w:p>
            <w:pPr>
              <w:pStyle w:val="TAH"/>
              <w:rPr/>
            </w:pPr>
            <w:r>
              <w:rPr/>
              <w:t>FB</w:t>
            </w:r>
          </w:p>
        </w:tc>
        <w:tc>
          <w:tcPr>
            <w:tcW w:w="3041" w:type="dxa"/>
            <w:gridSpan w:val="4"/>
            <w:tcBorders>
              <w:top w:val="single" w:sz="8" w:space="0" w:color="000000"/>
              <w:left w:val="single" w:sz="8" w:space="0" w:color="000000"/>
              <w:bottom w:val="single" w:sz="4" w:space="0" w:color="000000"/>
              <w:right w:val="single" w:sz="8" w:space="0" w:color="000000"/>
            </w:tcBorders>
            <w:shd w:fill="D9D9D9" w:val="clear"/>
            <w:vAlign w:val="bottom"/>
          </w:tcPr>
          <w:p>
            <w:pPr>
              <w:pStyle w:val="TAH"/>
              <w:rPr/>
            </w:pPr>
            <w:r>
              <w:rPr/>
              <w:t>A-B</w:t>
            </w:r>
          </w:p>
        </w:tc>
        <w:tc>
          <w:tcPr>
            <w:tcW w:w="2941" w:type="dxa"/>
            <w:gridSpan w:val="4"/>
            <w:tcBorders>
              <w:top w:val="single" w:sz="8" w:space="0" w:color="000000"/>
              <w:bottom w:val="single" w:sz="4" w:space="0" w:color="000000"/>
              <w:right w:val="single" w:sz="8" w:space="0" w:color="000000"/>
            </w:tcBorders>
            <w:shd w:fill="D9D9D9" w:val="clear"/>
            <w:vAlign w:val="bottom"/>
          </w:tcPr>
          <w:p>
            <w:pPr>
              <w:pStyle w:val="TAH"/>
              <w:rPr/>
            </w:pPr>
            <w:r>
              <w:rPr/>
              <w:t>A-C</w:t>
            </w:r>
          </w:p>
        </w:tc>
        <w:tc>
          <w:tcPr>
            <w:tcW w:w="3041" w:type="dxa"/>
            <w:gridSpan w:val="4"/>
            <w:tcBorders>
              <w:top w:val="single" w:sz="8" w:space="0" w:color="000000"/>
              <w:bottom w:val="single" w:sz="4" w:space="0" w:color="000000"/>
              <w:right w:val="single" w:sz="8" w:space="0" w:color="000000"/>
            </w:tcBorders>
            <w:shd w:fill="D9D9D9" w:val="clear"/>
            <w:vAlign w:val="bottom"/>
          </w:tcPr>
          <w:p>
            <w:pPr>
              <w:pStyle w:val="TAH"/>
              <w:rPr/>
            </w:pPr>
            <w:r>
              <w:rPr/>
              <w:t>A-D</w:t>
            </w:r>
          </w:p>
        </w:tc>
      </w:tr>
      <w:tr>
        <w:trPr/>
        <w:tc>
          <w:tcPr>
            <w:tcW w:w="1220" w:type="dxa"/>
            <w:tcBorders>
              <w:top w:val="single" w:sz="4" w:space="0" w:color="000000"/>
              <w:left w:val="single" w:sz="4" w:space="0" w:color="000000"/>
              <w:bottom w:val="single" w:sz="4" w:space="0" w:color="000000"/>
            </w:tcBorders>
            <w:vAlign w:val="bottom"/>
          </w:tcPr>
          <w:p>
            <w:pPr>
              <w:pStyle w:val="TAH"/>
              <w:rPr/>
            </w:pPr>
            <w:r>
              <w:rPr/>
              <w:t>A-B</w:t>
            </w:r>
          </w:p>
        </w:tc>
        <w:tc>
          <w:tcPr>
            <w:tcW w:w="830" w:type="dxa"/>
            <w:tcBorders>
              <w:left w:val="single" w:sz="8" w:space="0" w:color="000000"/>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c>
          <w:tcPr>
            <w:tcW w:w="802" w:type="dxa"/>
            <w:tcBorders>
              <w:bottom w:val="single" w:sz="4" w:space="0" w:color="000000"/>
              <w:right w:val="single" w:sz="4" w:space="0" w:color="000000"/>
            </w:tcBorders>
            <w:vAlign w:val="bottom"/>
          </w:tcPr>
          <w:p>
            <w:pPr>
              <w:pStyle w:val="TAH"/>
              <w:rPr/>
            </w:pPr>
            <w:r>
              <w:rPr/>
              <w:t>Avg</w:t>
            </w:r>
          </w:p>
        </w:tc>
        <w:tc>
          <w:tcPr>
            <w:tcW w:w="713" w:type="dxa"/>
            <w:tcBorders>
              <w:bottom w:val="single" w:sz="4" w:space="0" w:color="000000"/>
              <w:right w:val="single" w:sz="4" w:space="0" w:color="000000"/>
            </w:tcBorders>
            <w:vAlign w:val="bottom"/>
          </w:tcPr>
          <w:p>
            <w:pPr>
              <w:pStyle w:val="TAH"/>
              <w:rPr/>
            </w:pPr>
            <w:r>
              <w:rPr/>
              <w:t>95%</w:t>
            </w:r>
          </w:p>
        </w:tc>
        <w:tc>
          <w:tcPr>
            <w:tcW w:w="713" w:type="dxa"/>
            <w:tcBorders>
              <w:bottom w:val="single" w:sz="4" w:space="0" w:color="000000"/>
            </w:tcBorders>
            <w:vAlign w:val="bottom"/>
          </w:tcPr>
          <w:p>
            <w:pPr>
              <w:pStyle w:val="TAH"/>
              <w:rPr/>
            </w:pPr>
            <w:r>
              <w:rPr/>
              <w:t>99%</w:t>
            </w:r>
          </w:p>
        </w:tc>
        <w:tc>
          <w:tcPr>
            <w:tcW w:w="713" w:type="dxa"/>
            <w:tcBorders>
              <w:left w:val="single" w:sz="4" w:space="0" w:color="000000"/>
              <w:bottom w:val="single" w:sz="4" w:space="0" w:color="000000"/>
              <w:right w:val="single" w:sz="8" w:space="0" w:color="000000"/>
            </w:tcBorders>
            <w:vAlign w:val="bottom"/>
          </w:tcPr>
          <w:p>
            <w:pPr>
              <w:pStyle w:val="TAH"/>
              <w:rPr/>
            </w:pPr>
            <w:r>
              <w:rPr/>
              <w:t>Max</w:t>
            </w:r>
          </w:p>
        </w:tc>
        <w:tc>
          <w:tcPr>
            <w:tcW w:w="830" w:type="dxa"/>
            <w:tcBorders>
              <w:bottom w:val="single" w:sz="4" w:space="0" w:color="000000"/>
              <w:right w:val="single" w:sz="4" w:space="0" w:color="000000"/>
            </w:tcBorders>
            <w:vAlign w:val="bottom"/>
          </w:tcPr>
          <w:p>
            <w:pPr>
              <w:pStyle w:val="TAH"/>
              <w:rPr/>
            </w:pPr>
            <w:r>
              <w:rPr/>
              <w:t>Avg</w:t>
            </w:r>
          </w:p>
        </w:tc>
        <w:tc>
          <w:tcPr>
            <w:tcW w:w="737" w:type="dxa"/>
            <w:tcBorders>
              <w:bottom w:val="single" w:sz="4" w:space="0" w:color="000000"/>
              <w:right w:val="single" w:sz="4" w:space="0" w:color="000000"/>
            </w:tcBorders>
            <w:vAlign w:val="bottom"/>
          </w:tcPr>
          <w:p>
            <w:pPr>
              <w:pStyle w:val="TAH"/>
              <w:rPr/>
            </w:pPr>
            <w:r>
              <w:rPr/>
              <w:t>95%</w:t>
            </w:r>
          </w:p>
        </w:tc>
        <w:tc>
          <w:tcPr>
            <w:tcW w:w="737" w:type="dxa"/>
            <w:tcBorders>
              <w:bottom w:val="single" w:sz="4" w:space="0" w:color="000000"/>
            </w:tcBorders>
            <w:vAlign w:val="bottom"/>
          </w:tcPr>
          <w:p>
            <w:pPr>
              <w:pStyle w:val="TAH"/>
              <w:rPr/>
            </w:pPr>
            <w:r>
              <w:rPr/>
              <w:t>99%</w:t>
            </w:r>
          </w:p>
        </w:tc>
        <w:tc>
          <w:tcPr>
            <w:tcW w:w="737" w:type="dxa"/>
            <w:tcBorders>
              <w:left w:val="single" w:sz="4" w:space="0" w:color="000000"/>
              <w:bottom w:val="single" w:sz="4" w:space="0" w:color="000000"/>
              <w:right w:val="single" w:sz="8" w:space="0" w:color="000000"/>
            </w:tcBorders>
            <w:vAlign w:val="bottom"/>
          </w:tcPr>
          <w:p>
            <w:pPr>
              <w:pStyle w:val="TAH"/>
              <w:rPr/>
            </w:pPr>
            <w:r>
              <w:rPr/>
              <w:t>Max</w:t>
            </w:r>
          </w:p>
        </w:tc>
      </w:tr>
      <w:tr>
        <w:trPr/>
        <w:tc>
          <w:tcPr>
            <w:tcW w:w="1220" w:type="dxa"/>
            <w:tcBorders>
              <w:left w:val="single" w:sz="4" w:space="0" w:color="000000"/>
              <w:bottom w:val="single" w:sz="4" w:space="0" w:color="000000"/>
            </w:tcBorders>
            <w:vAlign w:val="bottom"/>
          </w:tcPr>
          <w:p>
            <w:pPr>
              <w:pStyle w:val="TAL"/>
              <w:rPr/>
            </w:pPr>
            <w:r>
              <w:rPr/>
              <w:t xml:space="preserve">3GPP C80 </w:t>
            </w:r>
          </w:p>
        </w:tc>
        <w:tc>
          <w:tcPr>
            <w:tcW w:w="830" w:type="dxa"/>
            <w:tcBorders>
              <w:left w:val="single" w:sz="8" w:space="0" w:color="000000"/>
              <w:bottom w:val="single" w:sz="4" w:space="0" w:color="000000"/>
              <w:right w:val="single" w:sz="4" w:space="0" w:color="000000"/>
            </w:tcBorders>
            <w:vAlign w:val="bottom"/>
          </w:tcPr>
          <w:p>
            <w:pPr>
              <w:pStyle w:val="TAC"/>
              <w:rPr/>
            </w:pPr>
            <w:r>
              <w:rPr/>
              <w:t>0.005</w:t>
            </w:r>
          </w:p>
        </w:tc>
        <w:tc>
          <w:tcPr>
            <w:tcW w:w="737" w:type="dxa"/>
            <w:tcBorders>
              <w:bottom w:val="single" w:sz="4" w:space="0" w:color="000000"/>
              <w:right w:val="single" w:sz="4" w:space="0" w:color="000000"/>
            </w:tcBorders>
            <w:vAlign w:val="bottom"/>
          </w:tcPr>
          <w:p>
            <w:pPr>
              <w:pStyle w:val="TAC"/>
              <w:rPr/>
            </w:pPr>
            <w:r>
              <w:rPr/>
              <w:t>0.034</w:t>
            </w:r>
          </w:p>
        </w:tc>
        <w:tc>
          <w:tcPr>
            <w:tcW w:w="737" w:type="dxa"/>
            <w:tcBorders>
              <w:bottom w:val="single" w:sz="4" w:space="0" w:color="000000"/>
              <w:right w:val="single" w:sz="4" w:space="0" w:color="000000"/>
            </w:tcBorders>
            <w:vAlign w:val="bottom"/>
          </w:tcPr>
          <w:p>
            <w:pPr>
              <w:pStyle w:val="TAC"/>
              <w:rPr/>
            </w:pPr>
            <w:r>
              <w:rPr/>
              <w:t>0.057</w:t>
            </w:r>
          </w:p>
        </w:tc>
        <w:tc>
          <w:tcPr>
            <w:tcW w:w="737" w:type="dxa"/>
            <w:tcBorders>
              <w:bottom w:val="single" w:sz="4" w:space="0" w:color="000000"/>
              <w:right w:val="single" w:sz="8" w:space="0" w:color="000000"/>
            </w:tcBorders>
            <w:vAlign w:val="bottom"/>
          </w:tcPr>
          <w:p>
            <w:pPr>
              <w:pStyle w:val="TAC"/>
              <w:rPr/>
            </w:pPr>
            <w:r>
              <w:rPr/>
              <w:t>0.060</w:t>
            </w:r>
          </w:p>
        </w:tc>
        <w:tc>
          <w:tcPr>
            <w:tcW w:w="802" w:type="dxa"/>
            <w:tcBorders>
              <w:bottom w:val="single" w:sz="4" w:space="0" w:color="000000"/>
              <w:right w:val="single" w:sz="4" w:space="0" w:color="000000"/>
            </w:tcBorders>
            <w:vAlign w:val="bottom"/>
          </w:tcPr>
          <w:p>
            <w:pPr>
              <w:pStyle w:val="TAC"/>
              <w:rPr/>
            </w:pPr>
            <w:r>
              <w:rPr/>
              <w:t>0.003</w:t>
            </w:r>
          </w:p>
        </w:tc>
        <w:tc>
          <w:tcPr>
            <w:tcW w:w="713" w:type="dxa"/>
            <w:tcBorders>
              <w:bottom w:val="single" w:sz="4" w:space="0" w:color="000000"/>
              <w:right w:val="single" w:sz="4" w:space="0" w:color="000000"/>
            </w:tcBorders>
            <w:vAlign w:val="bottom"/>
          </w:tcPr>
          <w:p>
            <w:pPr>
              <w:pStyle w:val="TAC"/>
              <w:rPr/>
            </w:pPr>
            <w:r>
              <w:rPr/>
              <w:t>0.030</w:t>
            </w:r>
          </w:p>
        </w:tc>
        <w:tc>
          <w:tcPr>
            <w:tcW w:w="713" w:type="dxa"/>
            <w:tcBorders>
              <w:bottom w:val="single" w:sz="4" w:space="0" w:color="000000"/>
              <w:right w:val="single" w:sz="4" w:space="0" w:color="000000"/>
            </w:tcBorders>
            <w:vAlign w:val="bottom"/>
          </w:tcPr>
          <w:p>
            <w:pPr>
              <w:pStyle w:val="TAC"/>
              <w:rPr/>
            </w:pPr>
            <w:r>
              <w:rPr/>
              <w:t>0.038</w:t>
            </w:r>
          </w:p>
        </w:tc>
        <w:tc>
          <w:tcPr>
            <w:tcW w:w="713" w:type="dxa"/>
            <w:tcBorders>
              <w:bottom w:val="single" w:sz="4" w:space="0" w:color="000000"/>
              <w:right w:val="single" w:sz="8" w:space="0" w:color="000000"/>
            </w:tcBorders>
            <w:vAlign w:val="bottom"/>
          </w:tcPr>
          <w:p>
            <w:pPr>
              <w:pStyle w:val="TAC"/>
              <w:rPr/>
            </w:pPr>
            <w:r>
              <w:rPr/>
              <w:t>0.041</w:t>
            </w:r>
          </w:p>
        </w:tc>
        <w:tc>
          <w:tcPr>
            <w:tcW w:w="830" w:type="dxa"/>
            <w:tcBorders>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0.029</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8" w:space="0" w:color="000000"/>
            </w:tcBorders>
            <w:vAlign w:val="bottom"/>
          </w:tcPr>
          <w:p>
            <w:pPr>
              <w:pStyle w:val="TAC"/>
              <w:rPr/>
            </w:pPr>
            <w:r>
              <w:rPr/>
              <w:t>0.066</w:t>
            </w:r>
          </w:p>
        </w:tc>
      </w:tr>
      <w:tr>
        <w:trPr/>
        <w:tc>
          <w:tcPr>
            <w:tcW w:w="1220" w:type="dxa"/>
            <w:tcBorders>
              <w:left w:val="single" w:sz="4" w:space="0" w:color="000000"/>
              <w:bottom w:val="single" w:sz="4" w:space="0" w:color="000000"/>
            </w:tcBorders>
            <w:vAlign w:val="bottom"/>
          </w:tcPr>
          <w:p>
            <w:pPr>
              <w:pStyle w:val="TAL"/>
              <w:rPr/>
            </w:pPr>
            <w:r>
              <w:rPr/>
              <w:t>3GPP C90</w:t>
            </w:r>
          </w:p>
        </w:tc>
        <w:tc>
          <w:tcPr>
            <w:tcW w:w="830" w:type="dxa"/>
            <w:tcBorders>
              <w:left w:val="single" w:sz="8" w:space="0" w:color="000000"/>
              <w:bottom w:val="single" w:sz="4" w:space="0" w:color="000000"/>
              <w:right w:val="single" w:sz="4" w:space="0" w:color="000000"/>
            </w:tcBorders>
            <w:vAlign w:val="bottom"/>
          </w:tcPr>
          <w:p>
            <w:pPr>
              <w:pStyle w:val="TAC"/>
              <w:rPr/>
            </w:pPr>
            <w:r>
              <w:rPr/>
              <w:t>0.005</w:t>
            </w:r>
          </w:p>
        </w:tc>
        <w:tc>
          <w:tcPr>
            <w:tcW w:w="737" w:type="dxa"/>
            <w:tcBorders>
              <w:bottom w:val="single" w:sz="4" w:space="0" w:color="000000"/>
              <w:right w:val="single" w:sz="4" w:space="0" w:color="000000"/>
            </w:tcBorders>
            <w:vAlign w:val="bottom"/>
          </w:tcPr>
          <w:p>
            <w:pPr>
              <w:pStyle w:val="TAC"/>
              <w:rPr/>
            </w:pPr>
            <w:r>
              <w:rPr/>
              <w:t>0.036</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0.072</w:t>
            </w:r>
          </w:p>
        </w:tc>
        <w:tc>
          <w:tcPr>
            <w:tcW w:w="802" w:type="dxa"/>
            <w:tcBorders>
              <w:bottom w:val="single" w:sz="4" w:space="0" w:color="000000"/>
              <w:right w:val="single" w:sz="4" w:space="0" w:color="000000"/>
            </w:tcBorders>
            <w:vAlign w:val="bottom"/>
          </w:tcPr>
          <w:p>
            <w:pPr>
              <w:pStyle w:val="TAC"/>
              <w:rPr/>
            </w:pPr>
            <w:r>
              <w:rPr/>
              <w:t>0.004</w:t>
            </w:r>
          </w:p>
        </w:tc>
        <w:tc>
          <w:tcPr>
            <w:tcW w:w="713" w:type="dxa"/>
            <w:tcBorders>
              <w:bottom w:val="single" w:sz="4" w:space="0" w:color="000000"/>
              <w:right w:val="single" w:sz="4" w:space="0" w:color="000000"/>
            </w:tcBorders>
            <w:vAlign w:val="bottom"/>
          </w:tcPr>
          <w:p>
            <w:pPr>
              <w:pStyle w:val="TAC"/>
              <w:rPr/>
            </w:pPr>
            <w:r>
              <w:rPr/>
              <w:t>0.029</w:t>
            </w:r>
          </w:p>
        </w:tc>
        <w:tc>
          <w:tcPr>
            <w:tcW w:w="713" w:type="dxa"/>
            <w:tcBorders>
              <w:bottom w:val="single" w:sz="4" w:space="0" w:color="000000"/>
              <w:right w:val="single" w:sz="4" w:space="0" w:color="000000"/>
            </w:tcBorders>
            <w:vAlign w:val="bottom"/>
          </w:tcPr>
          <w:p>
            <w:pPr>
              <w:pStyle w:val="TAC"/>
              <w:rPr/>
            </w:pPr>
            <w:r>
              <w:rPr/>
              <w:t>0.038</w:t>
            </w:r>
          </w:p>
        </w:tc>
        <w:tc>
          <w:tcPr>
            <w:tcW w:w="713" w:type="dxa"/>
            <w:tcBorders>
              <w:bottom w:val="single" w:sz="4" w:space="0" w:color="000000"/>
              <w:right w:val="single" w:sz="8" w:space="0" w:color="000000"/>
            </w:tcBorders>
            <w:vAlign w:val="bottom"/>
          </w:tcPr>
          <w:p>
            <w:pPr>
              <w:pStyle w:val="TAC"/>
              <w:rPr/>
            </w:pPr>
            <w:r>
              <w:rPr/>
              <w:t>0.040</w:t>
            </w:r>
          </w:p>
        </w:tc>
        <w:tc>
          <w:tcPr>
            <w:tcW w:w="830" w:type="dxa"/>
            <w:tcBorders>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0.062</w:t>
            </w:r>
          </w:p>
        </w:tc>
      </w:tr>
      <w:tr>
        <w:trPr/>
        <w:tc>
          <w:tcPr>
            <w:tcW w:w="1220" w:type="dxa"/>
            <w:tcBorders>
              <w:left w:val="single" w:sz="4" w:space="0" w:color="000000"/>
              <w:bottom w:val="single" w:sz="4" w:space="0" w:color="000000"/>
            </w:tcBorders>
            <w:vAlign w:val="bottom"/>
          </w:tcPr>
          <w:p>
            <w:pPr>
              <w:pStyle w:val="TAL"/>
              <w:rPr/>
            </w:pPr>
            <w:r>
              <w:rPr/>
              <w:t>3GPP CA0</w:t>
            </w:r>
          </w:p>
        </w:tc>
        <w:tc>
          <w:tcPr>
            <w:tcW w:w="830" w:type="dxa"/>
            <w:tcBorders>
              <w:left w:val="single" w:sz="8" w:space="0" w:color="000000"/>
              <w:bottom w:val="single" w:sz="4" w:space="0" w:color="000000"/>
              <w:right w:val="single" w:sz="4" w:space="0" w:color="000000"/>
            </w:tcBorders>
            <w:vAlign w:val="bottom"/>
          </w:tcPr>
          <w:p>
            <w:pPr>
              <w:pStyle w:val="TAC"/>
              <w:rPr/>
            </w:pPr>
            <w:r>
              <w:rPr/>
              <w:t>0.006</w:t>
            </w:r>
          </w:p>
        </w:tc>
        <w:tc>
          <w:tcPr>
            <w:tcW w:w="737" w:type="dxa"/>
            <w:tcBorders>
              <w:bottom w:val="single" w:sz="4" w:space="0" w:color="000000"/>
              <w:right w:val="single" w:sz="4" w:space="0" w:color="000000"/>
            </w:tcBorders>
            <w:vAlign w:val="bottom"/>
          </w:tcPr>
          <w:p>
            <w:pPr>
              <w:pStyle w:val="TAC"/>
              <w:rPr/>
            </w:pPr>
            <w:r>
              <w:rPr/>
              <w:t>0.04</w:t>
            </w:r>
          </w:p>
        </w:tc>
        <w:tc>
          <w:tcPr>
            <w:tcW w:w="737" w:type="dxa"/>
            <w:tcBorders>
              <w:bottom w:val="single" w:sz="4" w:space="0" w:color="000000"/>
              <w:right w:val="single" w:sz="4" w:space="0" w:color="000000"/>
            </w:tcBorders>
            <w:vAlign w:val="bottom"/>
          </w:tcPr>
          <w:p>
            <w:pPr>
              <w:pStyle w:val="TAC"/>
              <w:rPr/>
            </w:pPr>
            <w:r>
              <w:rPr/>
              <w:t>0.064</w:t>
            </w:r>
          </w:p>
        </w:tc>
        <w:tc>
          <w:tcPr>
            <w:tcW w:w="737" w:type="dxa"/>
            <w:tcBorders>
              <w:bottom w:val="single" w:sz="4" w:space="0" w:color="000000"/>
              <w:right w:val="single" w:sz="8" w:space="0" w:color="000000"/>
            </w:tcBorders>
            <w:vAlign w:val="bottom"/>
          </w:tcPr>
          <w:p>
            <w:pPr>
              <w:pStyle w:val="TAC"/>
              <w:rPr/>
            </w:pPr>
            <w:r>
              <w:rPr/>
              <w:t>0.07</w:t>
            </w:r>
          </w:p>
        </w:tc>
        <w:tc>
          <w:tcPr>
            <w:tcW w:w="802" w:type="dxa"/>
            <w:tcBorders>
              <w:bottom w:val="single" w:sz="4" w:space="0" w:color="000000"/>
              <w:right w:val="single" w:sz="4" w:space="0" w:color="000000"/>
            </w:tcBorders>
            <w:vAlign w:val="bottom"/>
          </w:tcPr>
          <w:p>
            <w:pPr>
              <w:pStyle w:val="TAC"/>
              <w:rPr/>
            </w:pPr>
            <w:r>
              <w:rPr/>
              <w:t>0.004</w:t>
            </w:r>
          </w:p>
        </w:tc>
        <w:tc>
          <w:tcPr>
            <w:tcW w:w="713" w:type="dxa"/>
            <w:tcBorders>
              <w:bottom w:val="single" w:sz="4" w:space="0" w:color="000000"/>
              <w:right w:val="single" w:sz="4" w:space="0" w:color="000000"/>
            </w:tcBorders>
            <w:vAlign w:val="bottom"/>
          </w:tcPr>
          <w:p>
            <w:pPr>
              <w:pStyle w:val="TAC"/>
              <w:rPr/>
            </w:pPr>
            <w:r>
              <w:rPr/>
              <w:t>0.032</w:t>
            </w:r>
          </w:p>
        </w:tc>
        <w:tc>
          <w:tcPr>
            <w:tcW w:w="713" w:type="dxa"/>
            <w:tcBorders>
              <w:bottom w:val="single" w:sz="4" w:space="0" w:color="000000"/>
              <w:right w:val="single" w:sz="4" w:space="0" w:color="000000"/>
            </w:tcBorders>
            <w:vAlign w:val="bottom"/>
          </w:tcPr>
          <w:p>
            <w:pPr>
              <w:pStyle w:val="TAC"/>
              <w:rPr/>
            </w:pPr>
            <w:r>
              <w:rPr/>
              <w:t>0.046</w:t>
            </w:r>
          </w:p>
        </w:tc>
        <w:tc>
          <w:tcPr>
            <w:tcW w:w="713" w:type="dxa"/>
            <w:tcBorders>
              <w:bottom w:val="single" w:sz="4" w:space="0" w:color="000000"/>
              <w:right w:val="single" w:sz="8" w:space="0" w:color="000000"/>
            </w:tcBorders>
            <w:vAlign w:val="bottom"/>
          </w:tcPr>
          <w:p>
            <w:pPr>
              <w:pStyle w:val="TAC"/>
              <w:rPr/>
            </w:pPr>
            <w:r>
              <w:rPr/>
              <w:t>0.052</w:t>
            </w:r>
          </w:p>
        </w:tc>
        <w:tc>
          <w:tcPr>
            <w:tcW w:w="830" w:type="dxa"/>
            <w:tcBorders>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0.032</w:t>
            </w:r>
          </w:p>
        </w:tc>
        <w:tc>
          <w:tcPr>
            <w:tcW w:w="737" w:type="dxa"/>
            <w:tcBorders>
              <w:bottom w:val="single" w:sz="4" w:space="0" w:color="000000"/>
              <w:right w:val="single" w:sz="4" w:space="0" w:color="000000"/>
            </w:tcBorders>
            <w:vAlign w:val="bottom"/>
          </w:tcPr>
          <w:p>
            <w:pPr>
              <w:pStyle w:val="TAC"/>
              <w:rPr/>
            </w:pPr>
            <w:r>
              <w:rPr/>
              <w:t>0.059</w:t>
            </w:r>
          </w:p>
        </w:tc>
        <w:tc>
          <w:tcPr>
            <w:tcW w:w="737" w:type="dxa"/>
            <w:tcBorders>
              <w:bottom w:val="single" w:sz="4" w:space="0" w:color="000000"/>
              <w:right w:val="single" w:sz="8" w:space="0" w:color="000000"/>
            </w:tcBorders>
            <w:vAlign w:val="bottom"/>
          </w:tcPr>
          <w:p>
            <w:pPr>
              <w:pStyle w:val="TAC"/>
              <w:rPr/>
            </w:pPr>
            <w:r>
              <w:rPr/>
              <w:t>0.061</w:t>
            </w:r>
          </w:p>
        </w:tc>
      </w:tr>
      <w:tr>
        <w:trPr/>
        <w:tc>
          <w:tcPr>
            <w:tcW w:w="1220" w:type="dxa"/>
            <w:tcBorders>
              <w:left w:val="single" w:sz="4" w:space="0" w:color="000000"/>
              <w:bottom w:val="single" w:sz="4" w:space="0" w:color="000000"/>
            </w:tcBorders>
            <w:vAlign w:val="bottom"/>
          </w:tcPr>
          <w:p>
            <w:pPr>
              <w:pStyle w:val="TAL"/>
              <w:rPr/>
            </w:pPr>
            <w:r>
              <w:rPr/>
              <w:t>Opt_None</w:t>
            </w:r>
          </w:p>
        </w:tc>
        <w:tc>
          <w:tcPr>
            <w:tcW w:w="830" w:type="dxa"/>
            <w:tcBorders>
              <w:left w:val="single" w:sz="8" w:space="0" w:color="000000"/>
              <w:bottom w:val="single" w:sz="4" w:space="0" w:color="000000"/>
              <w:right w:val="single" w:sz="4" w:space="0" w:color="000000"/>
            </w:tcBorders>
            <w:vAlign w:val="bottom"/>
          </w:tcPr>
          <w:p>
            <w:pPr>
              <w:pStyle w:val="TAC"/>
              <w:rPr/>
            </w:pPr>
            <w:r>
              <w:rPr/>
              <w:t>0.003</w:t>
            </w:r>
          </w:p>
        </w:tc>
        <w:tc>
          <w:tcPr>
            <w:tcW w:w="737" w:type="dxa"/>
            <w:tcBorders>
              <w:bottom w:val="single" w:sz="4" w:space="0" w:color="000000"/>
              <w:right w:val="single" w:sz="4" w:space="0" w:color="000000"/>
            </w:tcBorders>
            <w:vAlign w:val="bottom"/>
          </w:tcPr>
          <w:p>
            <w:pPr>
              <w:pStyle w:val="TAC"/>
              <w:rPr/>
            </w:pPr>
            <w:r>
              <w:rPr/>
              <w:t>0.032</w:t>
            </w:r>
          </w:p>
        </w:tc>
        <w:tc>
          <w:tcPr>
            <w:tcW w:w="737" w:type="dxa"/>
            <w:tcBorders>
              <w:bottom w:val="single" w:sz="4" w:space="0" w:color="000000"/>
              <w:right w:val="single" w:sz="4" w:space="0" w:color="000000"/>
            </w:tcBorders>
            <w:vAlign w:val="bottom"/>
          </w:tcPr>
          <w:p>
            <w:pPr>
              <w:pStyle w:val="TAC"/>
              <w:rPr/>
            </w:pPr>
            <w:r>
              <w:rPr/>
              <w:t>0.053</w:t>
            </w:r>
          </w:p>
        </w:tc>
        <w:tc>
          <w:tcPr>
            <w:tcW w:w="737" w:type="dxa"/>
            <w:tcBorders>
              <w:bottom w:val="single" w:sz="4" w:space="0" w:color="000000"/>
              <w:right w:val="single" w:sz="8" w:space="0" w:color="000000"/>
            </w:tcBorders>
            <w:vAlign w:val="bottom"/>
          </w:tcPr>
          <w:p>
            <w:pPr>
              <w:pStyle w:val="TAC"/>
              <w:rPr/>
            </w:pPr>
            <w:r>
              <w:rPr/>
              <w:t>0.061</w:t>
            </w:r>
          </w:p>
        </w:tc>
        <w:tc>
          <w:tcPr>
            <w:tcW w:w="802" w:type="dxa"/>
            <w:tcBorders>
              <w:bottom w:val="single" w:sz="4" w:space="0" w:color="000000"/>
              <w:right w:val="single" w:sz="4" w:space="0" w:color="000000"/>
            </w:tcBorders>
            <w:vAlign w:val="bottom"/>
          </w:tcPr>
          <w:p>
            <w:pPr>
              <w:pStyle w:val="TAC"/>
              <w:rPr/>
            </w:pPr>
            <w:r>
              <w:rPr/>
              <w:t>0.004</w:t>
            </w:r>
          </w:p>
        </w:tc>
        <w:tc>
          <w:tcPr>
            <w:tcW w:w="713" w:type="dxa"/>
            <w:tcBorders>
              <w:bottom w:val="single" w:sz="4" w:space="0" w:color="000000"/>
              <w:right w:val="single" w:sz="4" w:space="0" w:color="000000"/>
            </w:tcBorders>
            <w:vAlign w:val="bottom"/>
          </w:tcPr>
          <w:p>
            <w:pPr>
              <w:pStyle w:val="TAC"/>
              <w:rPr/>
            </w:pPr>
            <w:r>
              <w:rPr/>
              <w:t>0.031</w:t>
            </w:r>
          </w:p>
        </w:tc>
        <w:tc>
          <w:tcPr>
            <w:tcW w:w="713" w:type="dxa"/>
            <w:tcBorders>
              <w:bottom w:val="single" w:sz="4" w:space="0" w:color="000000"/>
              <w:right w:val="single" w:sz="4" w:space="0" w:color="000000"/>
            </w:tcBorders>
            <w:vAlign w:val="bottom"/>
          </w:tcPr>
          <w:p>
            <w:pPr>
              <w:pStyle w:val="TAC"/>
              <w:rPr/>
            </w:pPr>
            <w:r>
              <w:rPr/>
              <w:t>0.038</w:t>
            </w:r>
          </w:p>
        </w:tc>
        <w:tc>
          <w:tcPr>
            <w:tcW w:w="713" w:type="dxa"/>
            <w:tcBorders>
              <w:bottom w:val="single" w:sz="4" w:space="0" w:color="000000"/>
              <w:right w:val="single" w:sz="8" w:space="0" w:color="000000"/>
            </w:tcBorders>
            <w:vAlign w:val="bottom"/>
          </w:tcPr>
          <w:p>
            <w:pPr>
              <w:pStyle w:val="TAC"/>
              <w:rPr/>
            </w:pPr>
            <w:r>
              <w:rPr/>
              <w:t>0.041</w:t>
            </w:r>
          </w:p>
        </w:tc>
        <w:tc>
          <w:tcPr>
            <w:tcW w:w="830" w:type="dxa"/>
            <w:tcBorders>
              <w:bottom w:val="single" w:sz="4" w:space="0" w:color="000000"/>
              <w:right w:val="single" w:sz="4" w:space="0" w:color="000000"/>
            </w:tcBorders>
            <w:vAlign w:val="bottom"/>
          </w:tcPr>
          <w:p>
            <w:pPr>
              <w:pStyle w:val="TAC"/>
              <w:rPr/>
            </w:pPr>
            <w:r>
              <w:rPr/>
              <w:t>0.002</w:t>
            </w:r>
          </w:p>
        </w:tc>
        <w:tc>
          <w:tcPr>
            <w:tcW w:w="737" w:type="dxa"/>
            <w:tcBorders>
              <w:bottom w:val="single" w:sz="4" w:space="0" w:color="000000"/>
              <w:right w:val="single" w:sz="4" w:space="0" w:color="000000"/>
            </w:tcBorders>
            <w:vAlign w:val="bottom"/>
          </w:tcPr>
          <w:p>
            <w:pPr>
              <w:pStyle w:val="TAC"/>
              <w:rPr/>
            </w:pPr>
            <w:r>
              <w:rPr/>
              <w:t>0.022</w:t>
            </w:r>
          </w:p>
        </w:tc>
        <w:tc>
          <w:tcPr>
            <w:tcW w:w="737" w:type="dxa"/>
            <w:tcBorders>
              <w:bottom w:val="single" w:sz="4" w:space="0" w:color="000000"/>
              <w:right w:val="single" w:sz="4" w:space="0" w:color="000000"/>
            </w:tcBorders>
            <w:vAlign w:val="bottom"/>
          </w:tcPr>
          <w:p>
            <w:pPr>
              <w:pStyle w:val="TAC"/>
              <w:rPr/>
            </w:pPr>
            <w:r>
              <w:rPr/>
              <w:t>0.045</w:t>
            </w:r>
          </w:p>
        </w:tc>
        <w:tc>
          <w:tcPr>
            <w:tcW w:w="737" w:type="dxa"/>
            <w:tcBorders>
              <w:bottom w:val="single" w:sz="4" w:space="0" w:color="000000"/>
              <w:right w:val="single" w:sz="8" w:space="0" w:color="000000"/>
            </w:tcBorders>
            <w:vAlign w:val="bottom"/>
          </w:tcPr>
          <w:p>
            <w:pPr>
              <w:pStyle w:val="TAC"/>
              <w:rPr/>
            </w:pPr>
            <w:r>
              <w:rPr/>
              <w:t>0.070</w:t>
            </w:r>
          </w:p>
        </w:tc>
      </w:tr>
      <w:tr>
        <w:trPr/>
        <w:tc>
          <w:tcPr>
            <w:tcW w:w="1220" w:type="dxa"/>
            <w:tcBorders>
              <w:left w:val="single" w:sz="4" w:space="0" w:color="000000"/>
              <w:bottom w:val="single" w:sz="4" w:space="0" w:color="000000"/>
            </w:tcBorders>
            <w:vAlign w:val="bottom"/>
          </w:tcPr>
          <w:p>
            <w:pPr>
              <w:pStyle w:val="TAL"/>
              <w:rPr>
                <w:color w:val="000000"/>
              </w:rPr>
            </w:pPr>
            <w:r>
              <w:rPr>
                <w:color w:val="000000"/>
              </w:rPr>
              <w:t>Opt_Quality</w:t>
            </w:r>
          </w:p>
        </w:tc>
        <w:tc>
          <w:tcPr>
            <w:tcW w:w="830" w:type="dxa"/>
            <w:tcBorders>
              <w:left w:val="single" w:sz="8" w:space="0" w:color="000000"/>
              <w:bottom w:val="single" w:sz="4" w:space="0" w:color="000000"/>
              <w:right w:val="single" w:sz="4" w:space="0" w:color="000000"/>
            </w:tcBorders>
            <w:vAlign w:val="bottom"/>
          </w:tcPr>
          <w:p>
            <w:pPr>
              <w:pStyle w:val="TAC"/>
              <w:rPr>
                <w:color w:val="000000"/>
              </w:rPr>
            </w:pPr>
            <w:r>
              <w:rPr>
                <w:color w:val="000000"/>
              </w:rPr>
              <w:t>0.004</w:t>
            </w:r>
          </w:p>
        </w:tc>
        <w:tc>
          <w:tcPr>
            <w:tcW w:w="737" w:type="dxa"/>
            <w:tcBorders>
              <w:bottom w:val="single" w:sz="4" w:space="0" w:color="000000"/>
              <w:right w:val="single" w:sz="4" w:space="0" w:color="000000"/>
            </w:tcBorders>
            <w:vAlign w:val="bottom"/>
          </w:tcPr>
          <w:p>
            <w:pPr>
              <w:pStyle w:val="TAC"/>
              <w:rPr>
                <w:color w:val="000000"/>
              </w:rPr>
            </w:pPr>
            <w:r>
              <w:rPr>
                <w:color w:val="000000"/>
              </w:rPr>
              <w:t>0.036</w:t>
            </w:r>
          </w:p>
        </w:tc>
        <w:tc>
          <w:tcPr>
            <w:tcW w:w="737" w:type="dxa"/>
            <w:tcBorders>
              <w:bottom w:val="single" w:sz="4" w:space="0" w:color="000000"/>
              <w:right w:val="single" w:sz="4" w:space="0" w:color="000000"/>
            </w:tcBorders>
            <w:vAlign w:val="bottom"/>
          </w:tcPr>
          <w:p>
            <w:pPr>
              <w:pStyle w:val="TAC"/>
              <w:rPr>
                <w:color w:val="000000"/>
              </w:rPr>
            </w:pPr>
            <w:r>
              <w:rPr>
                <w:color w:val="000000"/>
              </w:rPr>
              <w:t>0.065</w:t>
            </w:r>
          </w:p>
        </w:tc>
        <w:tc>
          <w:tcPr>
            <w:tcW w:w="737" w:type="dxa"/>
            <w:tcBorders>
              <w:bottom w:val="single" w:sz="4" w:space="0" w:color="000000"/>
              <w:right w:val="single" w:sz="8" w:space="0" w:color="000000"/>
            </w:tcBorders>
            <w:vAlign w:val="bottom"/>
          </w:tcPr>
          <w:p>
            <w:pPr>
              <w:pStyle w:val="TAC"/>
              <w:rPr>
                <w:color w:val="000000"/>
              </w:rPr>
            </w:pPr>
            <w:r>
              <w:rPr>
                <w:color w:val="000000"/>
              </w:rPr>
              <w:t>0.077</w:t>
            </w:r>
          </w:p>
        </w:tc>
        <w:tc>
          <w:tcPr>
            <w:tcW w:w="802" w:type="dxa"/>
            <w:tcBorders>
              <w:bottom w:val="single" w:sz="4" w:space="0" w:color="000000"/>
              <w:right w:val="single" w:sz="4" w:space="0" w:color="000000"/>
            </w:tcBorders>
            <w:vAlign w:val="bottom"/>
          </w:tcPr>
          <w:p>
            <w:pPr>
              <w:pStyle w:val="TAC"/>
              <w:rPr>
                <w:color w:val="000000"/>
              </w:rPr>
            </w:pPr>
            <w:r>
              <w:rPr>
                <w:color w:val="000000"/>
              </w:rPr>
              <w:t>0.004</w:t>
            </w:r>
          </w:p>
        </w:tc>
        <w:tc>
          <w:tcPr>
            <w:tcW w:w="713" w:type="dxa"/>
            <w:tcBorders>
              <w:bottom w:val="single" w:sz="4" w:space="0" w:color="000000"/>
              <w:right w:val="single" w:sz="4" w:space="0" w:color="000000"/>
            </w:tcBorders>
            <w:vAlign w:val="bottom"/>
          </w:tcPr>
          <w:p>
            <w:pPr>
              <w:pStyle w:val="TAC"/>
              <w:rPr>
                <w:color w:val="000000"/>
              </w:rPr>
            </w:pPr>
            <w:r>
              <w:rPr>
                <w:color w:val="000000"/>
              </w:rPr>
              <w:t>0.029</w:t>
            </w:r>
          </w:p>
        </w:tc>
        <w:tc>
          <w:tcPr>
            <w:tcW w:w="713" w:type="dxa"/>
            <w:tcBorders>
              <w:bottom w:val="single" w:sz="4" w:space="0" w:color="000000"/>
              <w:right w:val="single" w:sz="4" w:space="0" w:color="000000"/>
            </w:tcBorders>
            <w:vAlign w:val="bottom"/>
          </w:tcPr>
          <w:p>
            <w:pPr>
              <w:pStyle w:val="TAC"/>
              <w:rPr>
                <w:color w:val="000000"/>
              </w:rPr>
            </w:pPr>
            <w:r>
              <w:rPr>
                <w:color w:val="000000"/>
              </w:rPr>
              <w:t>0.043</w:t>
            </w:r>
          </w:p>
        </w:tc>
        <w:tc>
          <w:tcPr>
            <w:tcW w:w="713" w:type="dxa"/>
            <w:tcBorders>
              <w:bottom w:val="single" w:sz="4" w:space="0" w:color="000000"/>
              <w:right w:val="single" w:sz="8" w:space="0" w:color="000000"/>
            </w:tcBorders>
            <w:vAlign w:val="bottom"/>
          </w:tcPr>
          <w:p>
            <w:pPr>
              <w:pStyle w:val="TAC"/>
              <w:rPr>
                <w:color w:val="000000"/>
              </w:rPr>
            </w:pPr>
            <w:r>
              <w:rPr>
                <w:color w:val="000000"/>
              </w:rPr>
              <w:t>0.056</w:t>
            </w:r>
          </w:p>
        </w:tc>
        <w:tc>
          <w:tcPr>
            <w:tcW w:w="830" w:type="dxa"/>
            <w:tcBorders>
              <w:bottom w:val="single" w:sz="4" w:space="0" w:color="000000"/>
              <w:right w:val="single" w:sz="4" w:space="0" w:color="000000"/>
            </w:tcBorders>
            <w:vAlign w:val="bottom"/>
          </w:tcPr>
          <w:p>
            <w:pPr>
              <w:pStyle w:val="TAC"/>
              <w:rPr>
                <w:color w:val="000000"/>
              </w:rPr>
            </w:pPr>
            <w:r>
              <w:rPr>
                <w:color w:val="000000"/>
              </w:rPr>
              <w:t>0.004</w:t>
            </w:r>
          </w:p>
        </w:tc>
        <w:tc>
          <w:tcPr>
            <w:tcW w:w="737" w:type="dxa"/>
            <w:tcBorders>
              <w:bottom w:val="single" w:sz="4" w:space="0" w:color="000000"/>
              <w:right w:val="single" w:sz="4" w:space="0" w:color="000000"/>
            </w:tcBorders>
            <w:vAlign w:val="bottom"/>
          </w:tcPr>
          <w:p>
            <w:pPr>
              <w:pStyle w:val="TAC"/>
              <w:rPr>
                <w:color w:val="000000"/>
              </w:rPr>
            </w:pPr>
            <w:r>
              <w:rPr>
                <w:color w:val="000000"/>
              </w:rPr>
              <w:t>0.030</w:t>
            </w:r>
          </w:p>
        </w:tc>
        <w:tc>
          <w:tcPr>
            <w:tcW w:w="737" w:type="dxa"/>
            <w:tcBorders>
              <w:bottom w:val="single" w:sz="4" w:space="0" w:color="000000"/>
              <w:right w:val="single" w:sz="4" w:space="0" w:color="000000"/>
            </w:tcBorders>
            <w:vAlign w:val="bottom"/>
          </w:tcPr>
          <w:p>
            <w:pPr>
              <w:pStyle w:val="TAC"/>
              <w:rPr>
                <w:color w:val="000000"/>
              </w:rPr>
            </w:pPr>
            <w:r>
              <w:rPr>
                <w:color w:val="000000"/>
              </w:rPr>
              <w:t>0.052</w:t>
            </w:r>
          </w:p>
        </w:tc>
        <w:tc>
          <w:tcPr>
            <w:tcW w:w="737" w:type="dxa"/>
            <w:tcBorders>
              <w:bottom w:val="single" w:sz="4" w:space="0" w:color="000000"/>
              <w:right w:val="single" w:sz="8" w:space="0" w:color="000000"/>
            </w:tcBorders>
            <w:vAlign w:val="bottom"/>
          </w:tcPr>
          <w:p>
            <w:pPr>
              <w:pStyle w:val="TAC"/>
              <w:rPr>
                <w:color w:val="000000"/>
              </w:rPr>
            </w:pPr>
            <w:r>
              <w:rPr>
                <w:color w:val="000000"/>
              </w:rPr>
              <w:t>0.075</w:t>
            </w:r>
          </w:p>
        </w:tc>
      </w:tr>
      <w:tr>
        <w:trPr/>
        <w:tc>
          <w:tcPr>
            <w:tcW w:w="1220" w:type="dxa"/>
            <w:tcBorders>
              <w:left w:val="single" w:sz="4" w:space="0" w:color="000000"/>
              <w:bottom w:val="single" w:sz="4" w:space="0" w:color="000000"/>
            </w:tcBorders>
            <w:vAlign w:val="bottom"/>
          </w:tcPr>
          <w:p>
            <w:pPr>
              <w:pStyle w:val="TAL"/>
              <w:keepNext w:val="false"/>
              <w:rPr/>
            </w:pPr>
            <w:r>
              <w:rPr/>
              <w:t>Xeon gcc_o2</w:t>
            </w:r>
          </w:p>
        </w:tc>
        <w:tc>
          <w:tcPr>
            <w:tcW w:w="830" w:type="dxa"/>
            <w:tcBorders>
              <w:left w:val="single" w:sz="8" w:space="0" w:color="000000"/>
              <w:bottom w:val="single" w:sz="4" w:space="0" w:color="000000"/>
              <w:right w:val="single" w:sz="4" w:space="0" w:color="000000"/>
            </w:tcBorders>
            <w:vAlign w:val="bottom"/>
          </w:tcPr>
          <w:p>
            <w:pPr>
              <w:pStyle w:val="TAC"/>
              <w:rPr/>
            </w:pPr>
            <w:r>
              <w:rPr/>
              <w:t>0.005</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0.072</w:t>
            </w:r>
          </w:p>
        </w:tc>
        <w:tc>
          <w:tcPr>
            <w:tcW w:w="802" w:type="dxa"/>
            <w:tcBorders>
              <w:bottom w:val="single" w:sz="4" w:space="0" w:color="000000"/>
              <w:right w:val="single" w:sz="4" w:space="0" w:color="000000"/>
            </w:tcBorders>
            <w:vAlign w:val="bottom"/>
          </w:tcPr>
          <w:p>
            <w:pPr>
              <w:pStyle w:val="TAC"/>
              <w:rPr/>
            </w:pPr>
            <w:r>
              <w:rPr/>
              <w:t>0.004</w:t>
            </w:r>
          </w:p>
        </w:tc>
        <w:tc>
          <w:tcPr>
            <w:tcW w:w="713" w:type="dxa"/>
            <w:tcBorders>
              <w:bottom w:val="single" w:sz="4" w:space="0" w:color="000000"/>
              <w:right w:val="single" w:sz="4" w:space="0" w:color="000000"/>
            </w:tcBorders>
            <w:vAlign w:val="bottom"/>
          </w:tcPr>
          <w:p>
            <w:pPr>
              <w:pStyle w:val="TAC"/>
              <w:rPr/>
            </w:pPr>
            <w:r>
              <w:rPr/>
              <w:t>0.029</w:t>
            </w:r>
          </w:p>
        </w:tc>
        <w:tc>
          <w:tcPr>
            <w:tcW w:w="713" w:type="dxa"/>
            <w:tcBorders>
              <w:bottom w:val="single" w:sz="4" w:space="0" w:color="000000"/>
              <w:right w:val="single" w:sz="4" w:space="0" w:color="000000"/>
            </w:tcBorders>
            <w:vAlign w:val="bottom"/>
          </w:tcPr>
          <w:p>
            <w:pPr>
              <w:pStyle w:val="TAC"/>
              <w:rPr/>
            </w:pPr>
            <w:r>
              <w:rPr/>
              <w:t>0.038</w:t>
            </w:r>
          </w:p>
        </w:tc>
        <w:tc>
          <w:tcPr>
            <w:tcW w:w="713" w:type="dxa"/>
            <w:tcBorders>
              <w:bottom w:val="single" w:sz="4" w:space="0" w:color="000000"/>
              <w:right w:val="single" w:sz="8" w:space="0" w:color="000000"/>
            </w:tcBorders>
            <w:vAlign w:val="bottom"/>
          </w:tcPr>
          <w:p>
            <w:pPr>
              <w:pStyle w:val="TAC"/>
              <w:rPr/>
            </w:pPr>
            <w:r>
              <w:rPr/>
              <w:t>0.042</w:t>
            </w:r>
          </w:p>
        </w:tc>
        <w:tc>
          <w:tcPr>
            <w:tcW w:w="830" w:type="dxa"/>
            <w:tcBorders>
              <w:bottom w:val="single" w:sz="4" w:space="0" w:color="000000"/>
              <w:right w:val="single" w:sz="4" w:space="0" w:color="000000"/>
            </w:tcBorders>
            <w:vAlign w:val="bottom"/>
          </w:tcPr>
          <w:p>
            <w:pPr>
              <w:pStyle w:val="TAC"/>
              <w:rPr/>
            </w:pPr>
            <w:r>
              <w:rPr/>
              <w:t>0.004</w:t>
            </w:r>
          </w:p>
        </w:tc>
        <w:tc>
          <w:tcPr>
            <w:tcW w:w="737" w:type="dxa"/>
            <w:tcBorders>
              <w:bottom w:val="single" w:sz="4" w:space="0" w:color="000000"/>
              <w:right w:val="single" w:sz="4" w:space="0" w:color="000000"/>
            </w:tcBorders>
            <w:vAlign w:val="bottom"/>
          </w:tcPr>
          <w:p>
            <w:pPr>
              <w:pStyle w:val="TAC"/>
              <w:rPr/>
            </w:pPr>
            <w:r>
              <w:rPr/>
              <w:t>0.035</w:t>
            </w:r>
          </w:p>
        </w:tc>
        <w:tc>
          <w:tcPr>
            <w:tcW w:w="737" w:type="dxa"/>
            <w:tcBorders>
              <w:bottom w:val="single" w:sz="4" w:space="0" w:color="000000"/>
              <w:right w:val="single" w:sz="4" w:space="0" w:color="000000"/>
            </w:tcBorders>
            <w:vAlign w:val="bottom"/>
          </w:tcPr>
          <w:p>
            <w:pPr>
              <w:pStyle w:val="TAC"/>
              <w:rPr/>
            </w:pPr>
            <w:r>
              <w:rPr/>
              <w:t>0.060</w:t>
            </w:r>
          </w:p>
        </w:tc>
        <w:tc>
          <w:tcPr>
            <w:tcW w:w="737" w:type="dxa"/>
            <w:tcBorders>
              <w:bottom w:val="single" w:sz="4" w:space="0" w:color="000000"/>
              <w:right w:val="single" w:sz="8" w:space="0" w:color="000000"/>
            </w:tcBorders>
            <w:vAlign w:val="bottom"/>
          </w:tcPr>
          <w:p>
            <w:pPr>
              <w:pStyle w:val="TAC"/>
              <w:rPr/>
            </w:pPr>
            <w:r>
              <w:rPr/>
              <w:t>0.062</w:t>
            </w:r>
          </w:p>
        </w:tc>
      </w:tr>
      <w:tr>
        <w:trPr/>
        <w:tc>
          <w:tcPr>
            <w:tcW w:w="1220" w:type="dxa"/>
            <w:tcBorders>
              <w:left w:val="single" w:sz="4" w:space="0" w:color="000000"/>
              <w:bottom w:val="single" w:sz="4" w:space="0" w:color="000000"/>
            </w:tcBorders>
            <w:vAlign w:val="bottom"/>
          </w:tcPr>
          <w:p>
            <w:pPr>
              <w:pStyle w:val="TAL"/>
              <w:rPr/>
            </w:pPr>
            <w:r>
              <w:rPr/>
              <w:t>Mac_OS_o2</w:t>
            </w:r>
          </w:p>
        </w:tc>
        <w:tc>
          <w:tcPr>
            <w:tcW w:w="830" w:type="dxa"/>
            <w:tcBorders>
              <w:left w:val="single" w:sz="8" w:space="0" w:color="000000"/>
              <w:bottom w:val="single" w:sz="8" w:space="0" w:color="000000"/>
              <w:right w:val="single" w:sz="4" w:space="0" w:color="000000"/>
            </w:tcBorders>
            <w:vAlign w:val="bottom"/>
          </w:tcPr>
          <w:p>
            <w:pPr>
              <w:pStyle w:val="TAC"/>
              <w:rPr/>
            </w:pPr>
            <w:r>
              <w:rPr/>
              <w:t>0.005</w:t>
            </w:r>
          </w:p>
        </w:tc>
        <w:tc>
          <w:tcPr>
            <w:tcW w:w="737" w:type="dxa"/>
            <w:tcBorders>
              <w:bottom w:val="single" w:sz="8" w:space="0" w:color="000000"/>
              <w:right w:val="single" w:sz="4" w:space="0" w:color="000000"/>
            </w:tcBorders>
            <w:vAlign w:val="bottom"/>
          </w:tcPr>
          <w:p>
            <w:pPr>
              <w:pStyle w:val="TAC"/>
              <w:rPr/>
            </w:pPr>
            <w:r>
              <w:rPr/>
              <w:t>0.036</w:t>
            </w:r>
          </w:p>
        </w:tc>
        <w:tc>
          <w:tcPr>
            <w:tcW w:w="737" w:type="dxa"/>
            <w:tcBorders>
              <w:bottom w:val="single" w:sz="8" w:space="0" w:color="000000"/>
              <w:right w:val="single" w:sz="4" w:space="0" w:color="000000"/>
            </w:tcBorders>
            <w:vAlign w:val="bottom"/>
          </w:tcPr>
          <w:p>
            <w:pPr>
              <w:pStyle w:val="TAC"/>
              <w:rPr/>
            </w:pPr>
            <w:r>
              <w:rPr/>
              <w:t>0.057</w:t>
            </w:r>
          </w:p>
        </w:tc>
        <w:tc>
          <w:tcPr>
            <w:tcW w:w="737" w:type="dxa"/>
            <w:tcBorders>
              <w:bottom w:val="single" w:sz="8" w:space="0" w:color="000000"/>
              <w:right w:val="single" w:sz="8" w:space="0" w:color="000000"/>
            </w:tcBorders>
            <w:vAlign w:val="bottom"/>
          </w:tcPr>
          <w:p>
            <w:pPr>
              <w:pStyle w:val="TAC"/>
              <w:rPr/>
            </w:pPr>
            <w:r>
              <w:rPr/>
              <w:t>0.072</w:t>
            </w:r>
          </w:p>
        </w:tc>
        <w:tc>
          <w:tcPr>
            <w:tcW w:w="802" w:type="dxa"/>
            <w:tcBorders>
              <w:bottom w:val="single" w:sz="8" w:space="0" w:color="000000"/>
              <w:right w:val="single" w:sz="4" w:space="0" w:color="000000"/>
            </w:tcBorders>
            <w:vAlign w:val="bottom"/>
          </w:tcPr>
          <w:p>
            <w:pPr>
              <w:pStyle w:val="TAC"/>
              <w:rPr/>
            </w:pPr>
            <w:r>
              <w:rPr/>
              <w:t>0.004</w:t>
            </w:r>
          </w:p>
        </w:tc>
        <w:tc>
          <w:tcPr>
            <w:tcW w:w="713" w:type="dxa"/>
            <w:tcBorders>
              <w:bottom w:val="single" w:sz="8" w:space="0" w:color="000000"/>
              <w:right w:val="single" w:sz="4" w:space="0" w:color="000000"/>
            </w:tcBorders>
            <w:vAlign w:val="bottom"/>
          </w:tcPr>
          <w:p>
            <w:pPr>
              <w:pStyle w:val="TAC"/>
              <w:rPr/>
            </w:pPr>
            <w:r>
              <w:rPr/>
              <w:t>0.029</w:t>
            </w:r>
          </w:p>
        </w:tc>
        <w:tc>
          <w:tcPr>
            <w:tcW w:w="713" w:type="dxa"/>
            <w:tcBorders>
              <w:bottom w:val="single" w:sz="8" w:space="0" w:color="000000"/>
              <w:right w:val="single" w:sz="4" w:space="0" w:color="000000"/>
            </w:tcBorders>
            <w:vAlign w:val="bottom"/>
          </w:tcPr>
          <w:p>
            <w:pPr>
              <w:pStyle w:val="TAC"/>
              <w:rPr/>
            </w:pPr>
            <w:r>
              <w:rPr/>
              <w:t>0.036</w:t>
            </w:r>
          </w:p>
        </w:tc>
        <w:tc>
          <w:tcPr>
            <w:tcW w:w="713" w:type="dxa"/>
            <w:tcBorders>
              <w:bottom w:val="single" w:sz="8" w:space="0" w:color="000000"/>
              <w:right w:val="single" w:sz="8" w:space="0" w:color="000000"/>
            </w:tcBorders>
            <w:vAlign w:val="bottom"/>
          </w:tcPr>
          <w:p>
            <w:pPr>
              <w:pStyle w:val="TAC"/>
              <w:rPr/>
            </w:pPr>
            <w:r>
              <w:rPr/>
              <w:t>0.040</w:t>
            </w:r>
          </w:p>
        </w:tc>
        <w:tc>
          <w:tcPr>
            <w:tcW w:w="830" w:type="dxa"/>
            <w:tcBorders>
              <w:bottom w:val="single" w:sz="8" w:space="0" w:color="000000"/>
              <w:right w:val="single" w:sz="4" w:space="0" w:color="000000"/>
            </w:tcBorders>
            <w:vAlign w:val="bottom"/>
          </w:tcPr>
          <w:p>
            <w:pPr>
              <w:pStyle w:val="TAC"/>
              <w:rPr/>
            </w:pPr>
            <w:r>
              <w:rPr/>
              <w:t>0.004</w:t>
            </w:r>
          </w:p>
        </w:tc>
        <w:tc>
          <w:tcPr>
            <w:tcW w:w="737" w:type="dxa"/>
            <w:tcBorders>
              <w:bottom w:val="single" w:sz="8" w:space="0" w:color="000000"/>
              <w:right w:val="single" w:sz="4" w:space="0" w:color="000000"/>
            </w:tcBorders>
            <w:vAlign w:val="bottom"/>
          </w:tcPr>
          <w:p>
            <w:pPr>
              <w:pStyle w:val="TAC"/>
              <w:rPr/>
            </w:pPr>
            <w:r>
              <w:rPr/>
              <w:t>0.035</w:t>
            </w:r>
          </w:p>
        </w:tc>
        <w:tc>
          <w:tcPr>
            <w:tcW w:w="737" w:type="dxa"/>
            <w:tcBorders>
              <w:bottom w:val="single" w:sz="8" w:space="0" w:color="000000"/>
              <w:right w:val="single" w:sz="4" w:space="0" w:color="000000"/>
            </w:tcBorders>
            <w:vAlign w:val="bottom"/>
          </w:tcPr>
          <w:p>
            <w:pPr>
              <w:pStyle w:val="TAC"/>
              <w:rPr/>
            </w:pPr>
            <w:r>
              <w:rPr/>
              <w:t>0.059</w:t>
            </w:r>
          </w:p>
        </w:tc>
        <w:tc>
          <w:tcPr>
            <w:tcW w:w="737" w:type="dxa"/>
            <w:tcBorders>
              <w:bottom w:val="single" w:sz="8" w:space="0" w:color="000000"/>
              <w:right w:val="single" w:sz="8" w:space="0" w:color="000000"/>
            </w:tcBorders>
            <w:vAlign w:val="bottom"/>
          </w:tcPr>
          <w:p>
            <w:pPr>
              <w:pStyle w:val="TAC"/>
              <w:rPr/>
            </w:pPr>
            <w:r>
              <w:rPr/>
              <w:t>0.062</w:t>
            </w:r>
          </w:p>
        </w:tc>
      </w:tr>
    </w:tbl>
    <w:p>
      <w:pPr>
        <w:pStyle w:val="Normal"/>
        <w:rPr>
          <w:szCs w:val="22"/>
        </w:rPr>
      </w:pPr>
      <w:r>
        <w:rPr>
          <w:szCs w:val="22"/>
        </w:rPr>
      </w:r>
    </w:p>
    <w:p>
      <w:pPr>
        <w:pStyle w:val="Heading3"/>
        <w:rPr/>
      </w:pPr>
      <w:bookmarkStart w:id="39" w:name="__RefHeading___Toc524274788"/>
      <w:bookmarkEnd w:id="39"/>
      <w:r>
        <w:rPr/>
        <w:t>5.3.3</w:t>
        <w:tab/>
        <w:t>Maximum Loudness Difference</w:t>
      </w:r>
    </w:p>
    <w:p>
      <w:pPr>
        <w:pStyle w:val="Heading4"/>
        <w:ind w:left="1418" w:hanging="1418"/>
        <w:rPr/>
      </w:pPr>
      <w:bookmarkStart w:id="40" w:name="__RefHeading___Toc524274789"/>
      <w:bookmarkEnd w:id="40"/>
      <w:r>
        <w:rPr/>
        <w:t>5.3.3.1</w:t>
        <w:tab/>
        <w:t>General Methodology</w:t>
      </w:r>
    </w:p>
    <w:p>
      <w:pPr>
        <w:pStyle w:val="Normal"/>
        <w:rPr/>
      </w:pPr>
      <w:r>
        <w:rPr/>
        <w:t>This clause describes the calculation of the maximum loudness difference (MLD) per item. The procedure is adopted from the loudness calculation of PEAQ [11] using the Filter bank-based ear model. The following steps need to be processed:</w:t>
      </w:r>
    </w:p>
    <w:p>
      <w:pPr>
        <w:pStyle w:val="B1"/>
        <w:rPr/>
      </w:pPr>
      <w:r>
        <w:rPr/>
        <w:t>-</w:t>
        <w:tab/>
        <w:t>Filterbank (Annex 2 section 2.2.5 of [11]):</w:t>
      </w:r>
    </w:p>
    <w:p>
      <w:pPr>
        <w:pStyle w:val="B2"/>
        <w:rPr/>
      </w:pPr>
      <w:r>
        <w:rPr/>
        <w:t>-</w:t>
        <w:tab/>
        <w:t xml:space="preserve">subsample factor F changed to 16 for higher time resolution. </w:t>
      </w:r>
    </w:p>
    <w:p>
      <w:pPr>
        <w:pStyle w:val="B1"/>
        <w:rPr/>
      </w:pPr>
      <w:r>
        <w:rPr/>
        <w:t>-</w:t>
        <w:tab/>
        <w:t>Outer and Middle Ear Filtering (Annex 2 section 2.2.6 of [11])</w:t>
      </w:r>
    </w:p>
    <w:p>
      <w:pPr>
        <w:pStyle w:val="B1"/>
        <w:rPr/>
      </w:pPr>
      <w:r>
        <w:rPr/>
        <w:t>-</w:t>
        <w:tab/>
        <w:t>Frequency Domain Smearing (Annex 2 section 2.2.7 of [11])</w:t>
      </w:r>
    </w:p>
    <w:p>
      <w:pPr>
        <w:pStyle w:val="B1"/>
        <w:rPr/>
      </w:pPr>
      <w:r>
        <w:rPr/>
        <w:t>-</w:t>
        <w:tab/>
        <w:t>Rectification (Annex 2 section 2.2.8 of [11])</w:t>
      </w:r>
    </w:p>
    <w:p>
      <w:pPr>
        <w:pStyle w:val="B1"/>
        <w:rPr/>
      </w:pPr>
      <w:r>
        <w:rPr/>
        <w:t>-</w:t>
        <w:tab/>
        <w:t>Time Domain Smearing 1 - Backward Masking (Annex 2 section 2.2.9 of [11])</w:t>
      </w:r>
    </w:p>
    <w:p>
      <w:pPr>
        <w:pStyle w:val="B1"/>
        <w:rPr/>
      </w:pPr>
      <w:r>
        <w:rPr/>
        <w:t>-</w:t>
        <w:tab/>
        <w:t>Adding of Internal Noise (Annex 2 section 2.2.10 of [11])</w:t>
      </w:r>
    </w:p>
    <w:p>
      <w:pPr>
        <w:pStyle w:val="B1"/>
        <w:rPr/>
      </w:pPr>
      <w:r>
        <w:rPr/>
        <w:t>-</w:t>
        <w:tab/>
        <w:t>Time Domain Smearing 2 - Forward Masking (Annex 2 section 2.2.11 of [11])</w:t>
      </w:r>
    </w:p>
    <w:p>
      <w:pPr>
        <w:pStyle w:val="B1"/>
        <w:rPr/>
      </w:pPr>
      <w:r>
        <w:rPr/>
        <w:t>-</w:t>
        <w:tab/>
        <w:t>Loudness (Annex 2 section 3.3 of [11]):</w:t>
      </w:r>
    </w:p>
    <w:p>
      <w:pPr>
        <w:pStyle w:val="B2"/>
        <w:rPr/>
      </w:pPr>
      <w:r>
        <w:rPr/>
        <w:t>-</w:t>
        <w:tab/>
        <w:t xml:space="preserve">This section defines the specific loudness patterns </w:t>
      </w:r>
      <w:r>
        <w:rPr/>
        <w:drawing>
          <wp:inline distT="0" distB="0" distL="0" distR="0">
            <wp:extent cx="307975" cy="139700"/>
            <wp:effectExtent l="0" t="0" r="0" b="0"/>
            <wp:docPr id="5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pic:cNvPicPr>
                      <a:picLocks noChangeAspect="1" noChangeArrowheads="1"/>
                    </pic:cNvPicPr>
                  </pic:nvPicPr>
                  <pic:blipFill>
                    <a:blip r:embed="rId61"/>
                    <a:srcRect l="-87" t="-197" r="-87" b="-197"/>
                    <a:stretch>
                      <a:fillRect/>
                    </a:stretch>
                  </pic:blipFill>
                  <pic:spPr bwMode="auto">
                    <a:xfrm>
                      <a:off x="0" y="0"/>
                      <a:ext cx="307975" cy="139700"/>
                    </a:xfrm>
                    <a:prstGeom prst="rect">
                      <a:avLst/>
                    </a:prstGeom>
                  </pic:spPr>
                </pic:pic>
              </a:graphicData>
            </a:graphic>
          </wp:inline>
        </w:drawing>
      </w:r>
      <w:r>
        <w:rPr>
          <w:position w:val="-4"/>
        </w:rPr>
        <w:t xml:space="preserve"> </w:t>
      </w:r>
      <w:r>
        <w:rPr/>
        <w:t>f</w:t>
      </w:r>
      <w:r>
        <w:rPr>
          <w:color w:val="000000"/>
        </w:rPr>
        <w:t xml:space="preserve">or </w:t>
      </w:r>
      <w:r>
        <w:rPr/>
        <w:drawing>
          <wp:inline distT="0" distB="0" distL="0" distR="0">
            <wp:extent cx="60960" cy="152400"/>
            <wp:effectExtent l="0" t="0" r="0" b="0"/>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62"/>
                    <a:srcRect l="-562" t="-197" r="-562" b="-197"/>
                    <a:stretch>
                      <a:fillRect/>
                    </a:stretch>
                  </pic:blipFill>
                  <pic:spPr bwMode="auto">
                    <a:xfrm>
                      <a:off x="0" y="0"/>
                      <a:ext cx="60960" cy="152400"/>
                    </a:xfrm>
                    <a:prstGeom prst="rect">
                      <a:avLst/>
                    </a:prstGeom>
                  </pic:spPr>
                </pic:pic>
              </a:graphicData>
            </a:graphic>
          </wp:inline>
        </w:drawing>
      </w:r>
      <w:r>
        <w:rPr/>
        <w:t xml:space="preserve"> subbands and </w:t>
      </w:r>
      <w:r>
        <w:rPr/>
        <w:drawing>
          <wp:inline distT="0" distB="0" distL="0" distR="0">
            <wp:extent cx="69215" cy="173990"/>
            <wp:effectExtent l="0" t="0" r="0" b="0"/>
            <wp:docPr id="6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pic:cNvPicPr>
                      <a:picLocks noChangeAspect="1" noChangeArrowheads="1"/>
                    </pic:cNvPicPr>
                  </pic:nvPicPr>
                  <pic:blipFill>
                    <a:blip r:embed="rId63"/>
                    <a:srcRect l="-562" t="-197" r="-562" b="-197"/>
                    <a:stretch>
                      <a:fillRect/>
                    </a:stretch>
                  </pic:blipFill>
                  <pic:spPr bwMode="auto">
                    <a:xfrm>
                      <a:off x="0" y="0"/>
                      <a:ext cx="69215" cy="173990"/>
                    </a:xfrm>
                    <a:prstGeom prst="rect">
                      <a:avLst/>
                    </a:prstGeom>
                  </pic:spPr>
                </pic:pic>
              </a:graphicData>
            </a:graphic>
          </wp:inline>
        </w:drawing>
      </w:r>
      <w:r>
        <w:rPr/>
        <w:t xml:space="preserve"> time samples </w:t>
      </w:r>
    </w:p>
    <w:p>
      <w:pPr>
        <w:pStyle w:val="B2"/>
        <w:rPr/>
      </w:pPr>
      <w:r>
        <w:rPr/>
        <w:t>-</w:t>
        <w:tab/>
        <w:t>The specific loudness patterns are calculated for:</w:t>
      </w:r>
    </w:p>
    <w:p>
      <w:pPr>
        <w:pStyle w:val="B3"/>
        <w:rPr/>
      </w:pPr>
      <w:r>
        <w:rPr/>
        <w:t>-</w:t>
        <w:tab/>
        <w:t xml:space="preserve">reference signal </w:t>
      </w:r>
      <w:r>
        <w:rPr/>
        <w:drawing>
          <wp:inline distT="0" distB="0" distL="0" distR="0">
            <wp:extent cx="446405" cy="154305"/>
            <wp:effectExtent l="0" t="0" r="0" b="0"/>
            <wp:docPr id="6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pic:cNvPicPr>
                      <a:picLocks noChangeAspect="1" noChangeArrowheads="1"/>
                    </pic:cNvPicPr>
                  </pic:nvPicPr>
                  <pic:blipFill>
                    <a:blip r:embed="rId64"/>
                    <a:srcRect l="-62" t="-187" r="-62" b="-187"/>
                    <a:stretch>
                      <a:fillRect/>
                    </a:stretch>
                  </pic:blipFill>
                  <pic:spPr bwMode="auto">
                    <a:xfrm>
                      <a:off x="0" y="0"/>
                      <a:ext cx="446405" cy="154305"/>
                    </a:xfrm>
                    <a:prstGeom prst="rect">
                      <a:avLst/>
                    </a:prstGeom>
                  </pic:spPr>
                </pic:pic>
              </a:graphicData>
            </a:graphic>
          </wp:inline>
        </w:drawing>
      </w:r>
    </w:p>
    <w:p>
      <w:pPr>
        <w:pStyle w:val="B3"/>
        <w:rPr/>
      </w:pPr>
      <w:r>
        <w:rPr/>
        <w:t>-</w:t>
        <w:tab/>
        <w:t xml:space="preserve">signal under test </w:t>
      </w:r>
      <w:r>
        <w:rPr/>
        <w:drawing>
          <wp:inline distT="0" distB="0" distL="0" distR="0">
            <wp:extent cx="516255" cy="160655"/>
            <wp:effectExtent l="0" t="0" r="0" b="0"/>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65"/>
                    <a:srcRect l="-61" t="-197" r="-61" b="-197"/>
                    <a:stretch>
                      <a:fillRect/>
                    </a:stretch>
                  </pic:blipFill>
                  <pic:spPr bwMode="auto">
                    <a:xfrm>
                      <a:off x="0" y="0"/>
                      <a:ext cx="516255" cy="160655"/>
                    </a:xfrm>
                    <a:prstGeom prst="rect">
                      <a:avLst/>
                    </a:prstGeom>
                  </pic:spPr>
                </pic:pic>
              </a:graphicData>
            </a:graphic>
          </wp:inline>
        </w:drawing>
      </w:r>
    </w:p>
    <w:p>
      <w:pPr>
        <w:pStyle w:val="B1"/>
        <w:rPr/>
      </w:pPr>
      <w:r>
        <w:rPr/>
        <w:t>-</w:t>
        <w:tab/>
        <w:t>Maximum Loudness Difference (MLD):</w:t>
      </w:r>
    </w:p>
    <w:p>
      <w:pPr>
        <w:pStyle w:val="B2"/>
        <w:rPr/>
      </w:pPr>
      <w:r>
        <w:rPr/>
        <w:t>-</w:t>
        <w:tab/>
        <w:t xml:space="preserve">The loudness difference </w:t>
      </w:r>
      <w:r>
        <w:rPr/>
        <w:drawing>
          <wp:inline distT="0" distB="0" distL="0" distR="0">
            <wp:extent cx="333375" cy="133350"/>
            <wp:effectExtent l="0" t="0" r="0" b="0"/>
            <wp:docPr id="6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pic:cNvPicPr>
                      <a:picLocks noChangeAspect="1" noChangeArrowheads="1"/>
                    </pic:cNvPicPr>
                  </pic:nvPicPr>
                  <pic:blipFill>
                    <a:blip r:embed="rId66"/>
                    <a:srcRect l="-73" t="-187" r="-73" b="-187"/>
                    <a:stretch>
                      <a:fillRect/>
                    </a:stretch>
                  </pic:blipFill>
                  <pic:spPr bwMode="auto">
                    <a:xfrm>
                      <a:off x="0" y="0"/>
                      <a:ext cx="333375" cy="133350"/>
                    </a:xfrm>
                    <a:prstGeom prst="rect">
                      <a:avLst/>
                    </a:prstGeom>
                  </pic:spPr>
                </pic:pic>
              </a:graphicData>
            </a:graphic>
          </wp:inline>
        </w:drawing>
      </w:r>
      <w:r>
        <w:rPr/>
        <w:t xml:space="preserve"> is calculated as follows:</w:t>
      </w:r>
    </w:p>
    <w:p>
      <w:pPr>
        <w:pStyle w:val="B3"/>
        <w:rPr/>
      </w:pPr>
      <w:r>
        <w:rPr/>
        <w:t>-</w:t>
        <w:tab/>
      </w:r>
      <w:r>
        <w:rPr/>
        <w:drawing>
          <wp:inline distT="0" distB="0" distL="0" distR="0">
            <wp:extent cx="1585595" cy="139065"/>
            <wp:effectExtent l="0" t="0" r="0" b="0"/>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67"/>
                    <a:srcRect l="-15" t="-179" r="-15" b="-179"/>
                    <a:stretch>
                      <a:fillRect/>
                    </a:stretch>
                  </pic:blipFill>
                  <pic:spPr bwMode="auto">
                    <a:xfrm>
                      <a:off x="0" y="0"/>
                      <a:ext cx="1585595" cy="139065"/>
                    </a:xfrm>
                    <a:prstGeom prst="rect">
                      <a:avLst/>
                    </a:prstGeom>
                  </pic:spPr>
                </pic:pic>
              </a:graphicData>
            </a:graphic>
          </wp:inline>
        </w:drawing>
      </w:r>
    </w:p>
    <w:p>
      <w:pPr>
        <w:pStyle w:val="B3"/>
        <w:rPr>
          <w:rFonts w:ascii="Courier New" w:hAnsi="Courier New" w:cs="Courier New"/>
          <w:color w:val="000000"/>
          <w:szCs w:val="22"/>
        </w:rPr>
      </w:pPr>
      <w:r>
        <w:rPr/>
        <w:t>-</w:t>
        <w:tab/>
        <w:t xml:space="preserve">The maximum loudness difference (MLD) for this item is then the maximum over all </w:t>
      </w:r>
      <w:r>
        <w:fldChar w:fldCharType="begin"/>
      </w:r>
      <w:r>
        <w:rPr>
          <w:position w:val="-4"/>
        </w:rPr>
        <w:instrText xml:space="preserve"> QUOTE _x0001_ </w:instrText>
      </w:r>
      <w:r>
        <w:rPr>
          <w:position w:val="-4"/>
        </w:rPr>
      </w:r>
      <w:r>
        <w:rPr>
          <w:position w:val="-4"/>
        </w:rPr>
        <w:fldChar w:fldCharType="separate"/>
      </w:r>
      <w:r>
        <w:rPr>
          <w:position w:val="-4"/>
        </w:rPr>
      </w:r>
      <w:r>
        <w:rPr>
          <w:position w:val="-4"/>
        </w:rPr>
        <w:drawing>
          <wp:inline distT="0" distB="0" distL="0" distR="0">
            <wp:extent cx="63500" cy="158750"/>
            <wp:effectExtent l="0" t="0" r="0" b="0"/>
            <wp:docPr id="6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
                    <pic:cNvPicPr>
                      <a:picLocks noChangeAspect="1" noChangeArrowheads="1"/>
                    </pic:cNvPicPr>
                  </pic:nvPicPr>
                  <pic:blipFill>
                    <a:blip r:embed="rId68"/>
                    <a:srcRect l="-562" t="-197" r="-562" b="-197"/>
                    <a:stretch>
                      <a:fillRect/>
                    </a:stretch>
                  </pic:blipFill>
                  <pic:spPr bwMode="auto">
                    <a:xfrm>
                      <a:off x="0" y="0"/>
                      <a:ext cx="63500" cy="158750"/>
                    </a:xfrm>
                    <a:prstGeom prst="rect">
                      <a:avLst/>
                    </a:prstGeom>
                  </pic:spPr>
                </pic:pic>
              </a:graphicData>
            </a:graphic>
          </wp:inline>
        </w:drawing>
      </w:r>
      <w:r>
        <w:rPr>
          <w:position w:val="-4"/>
        </w:rPr>
      </w:r>
      <w:r>
        <w:rPr>
          <w:position w:val="-4"/>
        </w:rPr>
        <w:fldChar w:fldCharType="end"/>
      </w:r>
      <w:r>
        <w:rPr>
          <w:szCs w:val="22"/>
        </w:rPr>
        <w:t xml:space="preserve"> </w:t>
      </w:r>
      <w:r>
        <w:rPr/>
        <w:t xml:space="preserve">time samples. Note that </w:t>
      </w:r>
      <w:r>
        <w:rPr/>
        <w:drawing>
          <wp:inline distT="0" distB="0" distL="0" distR="0">
            <wp:extent cx="69215" cy="177165"/>
            <wp:effectExtent l="0" t="0" r="0" b="0"/>
            <wp:docPr id="6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3" descr=""/>
                    <pic:cNvPicPr>
                      <a:picLocks noChangeAspect="1" noChangeArrowheads="1"/>
                    </pic:cNvPicPr>
                  </pic:nvPicPr>
                  <pic:blipFill>
                    <a:blip r:embed="rId69"/>
                    <a:srcRect l="-562" t="-197" r="-562" b="-197"/>
                    <a:stretch>
                      <a:fillRect/>
                    </a:stretch>
                  </pic:blipFill>
                  <pic:spPr bwMode="auto">
                    <a:xfrm>
                      <a:off x="0" y="0"/>
                      <a:ext cx="69215" cy="177165"/>
                    </a:xfrm>
                    <a:prstGeom prst="rect">
                      <a:avLst/>
                    </a:prstGeom>
                  </pic:spPr>
                </pic:pic>
              </a:graphicData>
            </a:graphic>
          </wp:inline>
        </w:drawing>
      </w:r>
      <w:r>
        <w:rPr>
          <w:szCs w:val="22"/>
        </w:rPr>
        <w:t xml:space="preserve"> </w:t>
      </w:r>
      <w:r>
        <w:rPr/>
        <w:t>has a granularity of 2 ms:</w:t>
      </w:r>
    </w:p>
    <w:p>
      <w:pPr>
        <w:pStyle w:val="B4"/>
        <w:rPr/>
      </w:pPr>
      <w:r>
        <w:rPr/>
        <w:t>-</w:t>
        <w:tab/>
      </w:r>
      <w:r>
        <w:rPr/>
        <w:drawing>
          <wp:inline distT="0" distB="0" distL="0" distR="0">
            <wp:extent cx="985520" cy="152400"/>
            <wp:effectExtent l="0" t="0" r="0" b="0"/>
            <wp:docPr id="6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 descr=""/>
                    <pic:cNvPicPr>
                      <a:picLocks noChangeAspect="1" noChangeArrowheads="1"/>
                    </pic:cNvPicPr>
                  </pic:nvPicPr>
                  <pic:blipFill>
                    <a:blip r:embed="rId70"/>
                    <a:srcRect l="-26" t="-179" r="-26" b="-179"/>
                    <a:stretch>
                      <a:fillRect/>
                    </a:stretch>
                  </pic:blipFill>
                  <pic:spPr bwMode="auto">
                    <a:xfrm>
                      <a:off x="0" y="0"/>
                      <a:ext cx="985520" cy="152400"/>
                    </a:xfrm>
                    <a:prstGeom prst="rect">
                      <a:avLst/>
                    </a:prstGeom>
                  </pic:spPr>
                </pic:pic>
              </a:graphicData>
            </a:graphic>
          </wp:inline>
        </w:drawing>
      </w:r>
    </w:p>
    <w:p>
      <w:pPr>
        <w:pStyle w:val="NO"/>
        <w:rPr/>
      </w:pPr>
      <w:r>
        <w:rPr>
          <w:caps/>
        </w:rPr>
        <w:t>Note</w:t>
      </w:r>
      <w:r>
        <w:rPr/>
        <w:t>:</w:t>
        <w:tab/>
        <w:t>In the context of this study, the "loudness difference" is calculated as difference in some values (subtraction, not division).</w:t>
      </w:r>
    </w:p>
    <w:p>
      <w:pPr>
        <w:pStyle w:val="Heading4"/>
        <w:ind w:left="1418" w:hanging="1418"/>
        <w:rPr>
          <w:b/>
          <w:b/>
        </w:rPr>
      </w:pPr>
      <w:bookmarkStart w:id="41" w:name="__RefHeading___Toc524274790"/>
      <w:bookmarkEnd w:id="41"/>
      <w:r>
        <w:rPr/>
        <w:t>5.3.3.2</w:t>
        <w:tab/>
        <w:t>Proposed Encoder Conformance Test</w:t>
      </w:r>
    </w:p>
    <w:p>
      <w:pPr>
        <w:pStyle w:val="Normal"/>
        <w:rPr/>
      </w:pPr>
      <w:r>
        <w:rPr/>
        <w:t>The MLD metrics could be used to test the EVS floating-point codec [3] encoder implementation. Figure 5 shows the flow diagram of the proposed encoder conformance test:</w:t>
      </w:r>
    </w:p>
    <w:p>
      <w:pPr>
        <w:pStyle w:val="TH"/>
        <w:rPr/>
      </w:pPr>
      <w:r>
        <w:rPr/>
        <w:drawing>
          <wp:inline distT="0" distB="0" distL="0" distR="0">
            <wp:extent cx="5741035" cy="1552575"/>
            <wp:effectExtent l="0" t="0" r="0" b="0"/>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71"/>
                    <a:srcRect l="-7" t="-26" r="-7" b="-26"/>
                    <a:stretch>
                      <a:fillRect/>
                    </a:stretch>
                  </pic:blipFill>
                  <pic:spPr bwMode="auto">
                    <a:xfrm>
                      <a:off x="0" y="0"/>
                      <a:ext cx="5741035" cy="1552575"/>
                    </a:xfrm>
                    <a:prstGeom prst="rect">
                      <a:avLst/>
                    </a:prstGeom>
                  </pic:spPr>
                </pic:pic>
              </a:graphicData>
            </a:graphic>
          </wp:inline>
        </w:drawing>
      </w:r>
    </w:p>
    <w:p>
      <w:pPr>
        <w:pStyle w:val="TF"/>
        <w:rPr/>
      </w:pPr>
      <w:r>
        <w:rPr/>
        <w:t>Figure 5: Flow diagram for the encoder test using MLD Loudness Difference metric</w:t>
      </w:r>
    </w:p>
    <w:p>
      <w:pPr>
        <w:pStyle w:val="Normal"/>
        <w:rPr/>
      </w:pPr>
      <w:r>
        <w:rPr/>
        <w:t>All encoder test vectors from TS 26.444 will be encoded using the Float implementation under test. The bit-stream obtained will be then decoded using the 3GPP reference Float decoder from TS 26.443 to obtain the test signals. The test signals will then be compared with the decoded outputs from TS 26.444 according to method described in Clause 5.3.3.1. The reference signals are already available as part of TS 26.444 and therefore do not need to be generated. Since the loudness tool in the presented form operates on 48kHz sample rate only, additional resampling is applied before processing.</w:t>
      </w:r>
    </w:p>
    <w:p>
      <w:pPr>
        <w:pStyle w:val="Normal"/>
        <w:rPr/>
      </w:pPr>
      <w:r>
        <w:rPr/>
        <w:t>For a conformance test a global limit for MLD could be defined, which is expected not be exceeded by any time sample in each test vector. Setting such threshold is for further study.</w:t>
      </w:r>
    </w:p>
    <w:p>
      <w:pPr>
        <w:pStyle w:val="Heading1"/>
        <w:ind w:left="1134" w:hanging="1134"/>
        <w:rPr/>
      </w:pPr>
      <w:bookmarkStart w:id="42" w:name="__RefHeading___Toc524274791"/>
      <w:bookmarkEnd w:id="42"/>
      <w:r>
        <w:rPr/>
        <w:t>6</w:t>
        <w:tab/>
        <w:t>Results</w:t>
      </w:r>
    </w:p>
    <w:p>
      <w:pPr>
        <w:pStyle w:val="Heading2"/>
        <w:rPr/>
      </w:pPr>
      <w:bookmarkStart w:id="43" w:name="__RefHeading___Toc524274792"/>
      <w:bookmarkEnd w:id="43"/>
      <w:r>
        <w:rPr/>
        <w:t>6.1</w:t>
        <w:tab/>
        <w:t>Experiment A</w:t>
      </w:r>
    </w:p>
    <w:p>
      <w:pPr>
        <w:pStyle w:val="Heading3"/>
        <w:rPr/>
      </w:pPr>
      <w:bookmarkStart w:id="44" w:name="__RefHeading___Toc524274793"/>
      <w:bookmarkEnd w:id="44"/>
      <w:r>
        <w:rPr/>
        <w:t>6.1.1</w:t>
        <w:tab/>
        <w:t>Compiler Options</w:t>
      </w:r>
    </w:p>
    <w:p>
      <w:pPr>
        <w:pStyle w:val="Normal"/>
        <w:rPr/>
      </w:pPr>
      <w:r>
        <w:rPr/>
        <w:t>In this experiment the code from TS 24.443 was compiled with various optimization levels to evaluate the sensitivity of the conformance tools. Intel compiler is used with three levels of optimization:</w:t>
      </w:r>
    </w:p>
    <w:p>
      <w:pPr>
        <w:pStyle w:val="B1"/>
        <w:rPr/>
      </w:pPr>
      <w:r>
        <w:rPr/>
        <w:t>-</w:t>
        <w:tab/>
        <w:t>Opt_None: the code was compiled without any optimization.</w:t>
      </w:r>
    </w:p>
    <w:p>
      <w:pPr>
        <w:pStyle w:val="B1"/>
        <w:rPr/>
      </w:pPr>
      <w:r>
        <w:rPr/>
        <w:t>-</w:t>
        <w:tab/>
        <w:t>Opt_Quality: the code was compiled with various optimization level depending on the file and functions to provide best computational performance while insuring quality.</w:t>
      </w:r>
    </w:p>
    <w:p>
      <w:pPr>
        <w:pStyle w:val="B1"/>
        <w:rPr/>
      </w:pPr>
      <w:r>
        <w:rPr/>
        <w:t>-</w:t>
        <w:tab/>
        <w:t>Opt_Agg: the code was compiled with a very aggressive setting for computation performance, without checking on the possible consequences on quality.</w:t>
      </w:r>
    </w:p>
    <w:p>
      <w:pPr>
        <w:pStyle w:val="Normal"/>
        <w:rPr/>
      </w:pPr>
      <w:r>
        <w:rPr/>
        <w:t>The tests were done using a 32 bits version of the Atom platform.</w:t>
      </w:r>
    </w:p>
    <w:p>
      <w:pPr>
        <w:pStyle w:val="Normal"/>
        <w:rPr/>
      </w:pPr>
      <w:r>
        <w:rPr/>
        <w:t>The 3GPP floating-point C80 reference code was also used as a reference.</w:t>
      </w:r>
    </w:p>
    <w:p>
      <w:pPr>
        <w:pStyle w:val="Normal"/>
        <w:rPr/>
      </w:pPr>
      <w:r>
        <w:rPr/>
        <w:t>The methodology described in clause 5.2.3 was used to compute the difference in MOS-LQO scores. POLQA version 2.4 was used to compute the MOS-LQO scores. The POLQAswb mode was used with the level adjustment turn off. Results are reported in clause 6.1.3.</w:t>
      </w:r>
    </w:p>
    <w:p>
      <w:pPr>
        <w:pStyle w:val="Heading3"/>
        <w:rPr/>
      </w:pPr>
      <w:bookmarkStart w:id="45" w:name="__RefHeading___Toc524274794"/>
      <w:bookmarkEnd w:id="45"/>
      <w:r>
        <w:rPr/>
        <w:t>6.1.2</w:t>
        <w:tab/>
        <w:t>MOS-LQO Results</w:t>
      </w:r>
    </w:p>
    <w:p>
      <w:pPr>
        <w:pStyle w:val="Normal"/>
        <w:rPr/>
      </w:pPr>
      <w:r>
        <w:rPr/>
        <w:t>Table 8 summarizes the results obtained for the 3 compiler version as well as the result obtained for the 3GPP C80 code (executable from TS 24.443). The average, Min and Max values, Standard deviation as well as the 95% percentile are displayed.</w:t>
      </w:r>
    </w:p>
    <w:p>
      <w:pPr>
        <w:pStyle w:val="TH"/>
        <w:rPr/>
      </w:pPr>
      <w:r>
        <w:rPr/>
        <w:t>Table 8: Summary of MOS-LQO differences</w:t>
      </w:r>
    </w:p>
    <w:tbl>
      <w:tblPr>
        <w:tblW w:w="7690" w:type="dxa"/>
        <w:jc w:val="center"/>
        <w:tblInd w:w="0" w:type="dxa"/>
        <w:tblLayout w:type="fixed"/>
        <w:tblCellMar>
          <w:top w:w="0" w:type="dxa"/>
          <w:left w:w="28" w:type="dxa"/>
          <w:bottom w:w="0" w:type="dxa"/>
          <w:right w:w="108" w:type="dxa"/>
        </w:tblCellMar>
      </w:tblPr>
      <w:tblGrid>
        <w:gridCol w:w="988"/>
        <w:gridCol w:w="1064"/>
        <w:gridCol w:w="1414"/>
        <w:gridCol w:w="1421"/>
        <w:gridCol w:w="1408"/>
        <w:gridCol w:w="1395"/>
      </w:tblGrid>
      <w:tr>
        <w:trPr/>
        <w:tc>
          <w:tcPr>
            <w:tcW w:w="98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H"/>
              <w:rPr/>
            </w:pPr>
            <w:r>
              <w:rPr/>
              <w:t>Metric</w:t>
            </w:r>
          </w:p>
        </w:tc>
        <w:tc>
          <w:tcPr>
            <w:tcW w:w="1414" w:type="dxa"/>
            <w:tcBorders>
              <w:top w:val="single" w:sz="4" w:space="0" w:color="000000"/>
              <w:left w:val="single" w:sz="4" w:space="0" w:color="000000"/>
              <w:bottom w:val="single" w:sz="4" w:space="0" w:color="000000"/>
              <w:right w:val="single" w:sz="4" w:space="0" w:color="000000"/>
            </w:tcBorders>
          </w:tcPr>
          <w:p>
            <w:pPr>
              <w:pStyle w:val="TAH"/>
              <w:rPr/>
            </w:pPr>
            <w:r>
              <w:rPr/>
              <w:t>Opt_None</w:t>
            </w:r>
          </w:p>
        </w:tc>
        <w:tc>
          <w:tcPr>
            <w:tcW w:w="1421" w:type="dxa"/>
            <w:tcBorders>
              <w:top w:val="single" w:sz="4" w:space="0" w:color="000000"/>
              <w:left w:val="single" w:sz="4" w:space="0" w:color="000000"/>
              <w:bottom w:val="single" w:sz="4" w:space="0" w:color="000000"/>
              <w:right w:val="single" w:sz="4" w:space="0" w:color="000000"/>
            </w:tcBorders>
          </w:tcPr>
          <w:p>
            <w:pPr>
              <w:pStyle w:val="TAH"/>
              <w:rPr/>
            </w:pPr>
            <w:r>
              <w:rPr/>
              <w:t>Opt_Quality</w:t>
            </w:r>
          </w:p>
        </w:tc>
        <w:tc>
          <w:tcPr>
            <w:tcW w:w="1408" w:type="dxa"/>
            <w:tcBorders>
              <w:top w:val="single" w:sz="4" w:space="0" w:color="000000"/>
              <w:left w:val="single" w:sz="4" w:space="0" w:color="000000"/>
              <w:bottom w:val="single" w:sz="4" w:space="0" w:color="000000"/>
              <w:right w:val="single" w:sz="4" w:space="0" w:color="000000"/>
            </w:tcBorders>
          </w:tcPr>
          <w:p>
            <w:pPr>
              <w:pStyle w:val="TAH"/>
              <w:rPr/>
            </w:pPr>
            <w:r>
              <w:rPr/>
              <w:t>Opt_Agg</w:t>
            </w:r>
          </w:p>
        </w:tc>
        <w:tc>
          <w:tcPr>
            <w:tcW w:w="1395" w:type="dxa"/>
            <w:tcBorders>
              <w:top w:val="single" w:sz="4" w:space="0" w:color="000000"/>
              <w:left w:val="single" w:sz="4" w:space="0" w:color="000000"/>
              <w:bottom w:val="single" w:sz="4" w:space="0" w:color="000000"/>
              <w:right w:val="single" w:sz="4" w:space="0" w:color="000000"/>
            </w:tcBorders>
          </w:tcPr>
          <w:p>
            <w:pPr>
              <w:pStyle w:val="TAH"/>
              <w:rPr/>
            </w:pPr>
            <w:r>
              <w:rPr/>
              <w:t>3GPP C80</w:t>
            </w:r>
          </w:p>
        </w:tc>
      </w:tr>
      <w:tr>
        <w:trPr/>
        <w:tc>
          <w:tcPr>
            <w:tcW w:w="98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a) - b)</w:t>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AVG</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0.035</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-0.1</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-0.058</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-0.071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0.12</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0.109</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0.529</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0.108</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0.019</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0.098</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0.019</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0.034</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0.036</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0.281</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0.034</w:t>
            </w:r>
          </w:p>
        </w:tc>
      </w:tr>
      <w:tr>
        <w:trPr/>
        <w:tc>
          <w:tcPr>
            <w:tcW w:w="98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a) - c)</w:t>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AVG</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0.022</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-0.065</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-0.039</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-0.073</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-0.068</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0.061</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0.056</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0.383</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0.061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0.059</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0.018</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0.143</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0.019</w:t>
            </w:r>
          </w:p>
        </w:tc>
      </w:tr>
      <w:tr>
        <w:trPr/>
        <w:tc>
          <w:tcPr>
            <w:tcW w:w="98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a) - d)</w:t>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AVG</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0.000</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0.044</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0.001</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-0.064</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-0.090</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-0.078</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0.081</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0.162</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0.522</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0.114</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0.018</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0.099</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0.019</w:t>
            </w:r>
          </w:p>
        </w:tc>
      </w:tr>
      <w:tr>
        <w:trPr/>
        <w:tc>
          <w:tcPr>
            <w:tcW w:w="98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064"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414" w:type="dxa"/>
            <w:tcBorders>
              <w:top w:val="single" w:sz="4" w:space="0" w:color="000000"/>
              <w:left w:val="single" w:sz="4" w:space="0" w:color="000000"/>
              <w:bottom w:val="single" w:sz="4" w:space="0" w:color="000000"/>
              <w:right w:val="single" w:sz="4" w:space="0" w:color="000000"/>
            </w:tcBorders>
            <w:vAlign w:val="bottom"/>
          </w:tcPr>
          <w:p>
            <w:pPr>
              <w:pStyle w:val="TAC"/>
              <w:rPr/>
            </w:pPr>
            <w:r>
              <w:rPr/>
              <w:t>0.034</w:t>
            </w:r>
          </w:p>
        </w:tc>
        <w:tc>
          <w:tcPr>
            <w:tcW w:w="1421" w:type="dxa"/>
            <w:tcBorders>
              <w:top w:val="single" w:sz="4" w:space="0" w:color="000000"/>
              <w:left w:val="single" w:sz="4" w:space="0" w:color="000000"/>
              <w:bottom w:val="single" w:sz="4" w:space="0" w:color="000000"/>
              <w:right w:val="single" w:sz="4" w:space="0" w:color="000000"/>
            </w:tcBorders>
            <w:vAlign w:val="bottom"/>
          </w:tcPr>
          <w:p>
            <w:pPr>
              <w:pStyle w:val="TAC"/>
              <w:rPr/>
            </w:pPr>
            <w:r>
              <w:rPr/>
              <w:t>0.034</w:t>
            </w:r>
          </w:p>
        </w:tc>
        <w:tc>
          <w:tcPr>
            <w:tcW w:w="1408" w:type="dxa"/>
            <w:tcBorders>
              <w:top w:val="single" w:sz="4" w:space="0" w:color="000000"/>
              <w:left w:val="single" w:sz="4" w:space="0" w:color="000000"/>
              <w:bottom w:val="single" w:sz="4" w:space="0" w:color="000000"/>
              <w:right w:val="single" w:sz="4" w:space="0" w:color="000000"/>
            </w:tcBorders>
            <w:vAlign w:val="bottom"/>
          </w:tcPr>
          <w:p>
            <w:pPr>
              <w:pStyle w:val="TAC"/>
              <w:rPr/>
            </w:pPr>
            <w:r>
              <w:rPr/>
              <w:t>0.286</w:t>
            </w:r>
          </w:p>
        </w:tc>
        <w:tc>
          <w:tcPr>
            <w:tcW w:w="1395" w:type="dxa"/>
            <w:tcBorders>
              <w:top w:val="single" w:sz="4" w:space="0" w:color="000000"/>
              <w:left w:val="single" w:sz="4" w:space="0" w:color="000000"/>
              <w:bottom w:val="single" w:sz="4" w:space="0" w:color="000000"/>
              <w:right w:val="single" w:sz="4" w:space="0" w:color="000000"/>
            </w:tcBorders>
            <w:vAlign w:val="bottom"/>
          </w:tcPr>
          <w:p>
            <w:pPr>
              <w:pStyle w:val="TAC"/>
              <w:rPr/>
            </w:pPr>
            <w:r>
              <w:rPr/>
              <w:t>0.036</w:t>
            </w:r>
          </w:p>
        </w:tc>
      </w:tr>
    </w:tbl>
    <w:p>
      <w:pPr>
        <w:pStyle w:val="Normal"/>
        <w:rPr/>
      </w:pPr>
      <w:r>
        <w:rPr/>
      </w:r>
    </w:p>
    <w:p>
      <w:pPr>
        <w:pStyle w:val="Normal"/>
        <w:rPr/>
      </w:pPr>
      <w:r>
        <w:rPr/>
        <w:t>Figures 6 to 8 show the histograms of the MOS-LQO difference for the three cases, a) - b), a) - c) and a) - d). The last point on the graph (difference above 0.18) represents accumulation between 0.18 and the maximum value.</w:t>
      </w:r>
    </w:p>
    <w:p>
      <w:pPr>
        <w:pStyle w:val="TH"/>
        <w:rPr>
          <w:rFonts w:ascii="Intel Clear;Arial" w:hAnsi="Intel Clear;Arial" w:cs="Intel Clear;Arial"/>
        </w:rPr>
      </w:pPr>
      <w:r>
        <w:rPr/>
        <w:drawing>
          <wp:inline distT="0" distB="0" distL="0" distR="0">
            <wp:extent cx="4676140" cy="3121660"/>
            <wp:effectExtent l="0" t="0" r="0" b="0"/>
            <wp:docPr id="70" name="Chart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hart 4" descr=""/>
                    <pic:cNvPicPr>
                      <a:picLocks noChangeAspect="1" noChangeArrowheads="1"/>
                    </pic:cNvPicPr>
                  </pic:nvPicPr>
                  <pic:blipFill>
                    <a:blip r:embed="rId72"/>
                    <a:srcRect l="-8" t="-12" r="-8" b="-12"/>
                    <a:stretch>
                      <a:fillRect/>
                    </a:stretch>
                  </pic:blipFill>
                  <pic:spPr bwMode="auto">
                    <a:xfrm>
                      <a:off x="0" y="0"/>
                      <a:ext cx="4676140" cy="3121660"/>
                    </a:xfrm>
                    <a:prstGeom prst="rect">
                      <a:avLst/>
                    </a:prstGeom>
                  </pic:spPr>
                </pic:pic>
              </a:graphicData>
            </a:graphic>
          </wp:inline>
        </w:drawing>
      </w:r>
    </w:p>
    <w:p>
      <w:pPr>
        <w:pStyle w:val="TF"/>
        <w:rPr/>
      </w:pPr>
      <w:r>
        <w:rPr/>
        <w:t>Figure 6: Histogram for a)-b) test case</w:t>
      </w:r>
    </w:p>
    <w:p>
      <w:pPr>
        <w:pStyle w:val="TH"/>
        <w:rPr>
          <w:rFonts w:ascii="Intel Clear;Arial" w:hAnsi="Intel Clear;Arial" w:cs="Intel Clear;Arial"/>
        </w:rPr>
      </w:pPr>
      <w:r>
        <w:rPr/>
        <w:drawing>
          <wp:inline distT="0" distB="0" distL="0" distR="0">
            <wp:extent cx="4676140" cy="3121660"/>
            <wp:effectExtent l="0" t="0" r="0" b="0"/>
            <wp:docPr id="71" name="Char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hart 1" descr=""/>
                    <pic:cNvPicPr>
                      <a:picLocks noChangeAspect="1" noChangeArrowheads="1"/>
                    </pic:cNvPicPr>
                  </pic:nvPicPr>
                  <pic:blipFill>
                    <a:blip r:embed="rId73"/>
                    <a:srcRect l="-8" t="-12" r="-8" b="-12"/>
                    <a:stretch>
                      <a:fillRect/>
                    </a:stretch>
                  </pic:blipFill>
                  <pic:spPr bwMode="auto">
                    <a:xfrm>
                      <a:off x="0" y="0"/>
                      <a:ext cx="4676140" cy="3121660"/>
                    </a:xfrm>
                    <a:prstGeom prst="rect">
                      <a:avLst/>
                    </a:prstGeom>
                  </pic:spPr>
                </pic:pic>
              </a:graphicData>
            </a:graphic>
          </wp:inline>
        </w:drawing>
      </w:r>
    </w:p>
    <w:p>
      <w:pPr>
        <w:pStyle w:val="TF"/>
        <w:rPr/>
      </w:pPr>
      <w:r>
        <w:rPr/>
        <w:t>Figure 7: Histogram a) - c) test case</w:t>
      </w:r>
    </w:p>
    <w:p>
      <w:pPr>
        <w:pStyle w:val="TH"/>
        <w:rPr>
          <w:rFonts w:ascii="Intel Clear;Arial" w:hAnsi="Intel Clear;Arial" w:cs="Intel Clear;Arial"/>
        </w:rPr>
      </w:pPr>
      <w:r>
        <w:rPr/>
        <w:drawing>
          <wp:inline distT="0" distB="0" distL="0" distR="0">
            <wp:extent cx="4676140" cy="3121660"/>
            <wp:effectExtent l="0" t="0" r="0" b="0"/>
            <wp:docPr id="72" name="Chart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hart 5" descr=""/>
                    <pic:cNvPicPr>
                      <a:picLocks noChangeAspect="1" noChangeArrowheads="1"/>
                    </pic:cNvPicPr>
                  </pic:nvPicPr>
                  <pic:blipFill>
                    <a:blip r:embed="rId74"/>
                    <a:srcRect l="-8" t="-12" r="-8" b="-12"/>
                    <a:stretch>
                      <a:fillRect/>
                    </a:stretch>
                  </pic:blipFill>
                  <pic:spPr bwMode="auto">
                    <a:xfrm>
                      <a:off x="0" y="0"/>
                      <a:ext cx="4676140" cy="3121660"/>
                    </a:xfrm>
                    <a:prstGeom prst="rect">
                      <a:avLst/>
                    </a:prstGeom>
                  </pic:spPr>
                </pic:pic>
              </a:graphicData>
            </a:graphic>
          </wp:inline>
        </w:drawing>
      </w:r>
    </w:p>
    <w:p>
      <w:pPr>
        <w:pStyle w:val="TF"/>
        <w:rPr/>
      </w:pPr>
      <w:r>
        <w:rPr/>
        <w:t>Figure 8: Histogram a) - d) test case</w:t>
      </w:r>
    </w:p>
    <w:p>
      <w:pPr>
        <w:pStyle w:val="Normal"/>
        <w:rPr/>
      </w:pPr>
      <w:r>
        <w:rPr/>
        <w:t>Figures 9 to 11 show the Cumulative Distribution Frequency (CDF) of the absolute MOS-LQO difference for the three cases, a) - b), a) - c) and a) - d).</w:t>
      </w:r>
    </w:p>
    <w:p>
      <w:pPr>
        <w:pStyle w:val="TH"/>
        <w:rPr/>
      </w:pPr>
      <w:r>
        <w:rPr/>
        <w:drawing>
          <wp:inline distT="0" distB="0" distL="0" distR="0">
            <wp:extent cx="4986020" cy="3257550"/>
            <wp:effectExtent l="0" t="0" r="0" b="0"/>
            <wp:docPr id="7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 descr=""/>
                    <pic:cNvPicPr>
                      <a:picLocks noChangeAspect="1" noChangeArrowheads="1"/>
                    </pic:cNvPicPr>
                  </pic:nvPicPr>
                  <pic:blipFill>
                    <a:blip r:embed="rId75"/>
                    <a:srcRect l="-6" t="-10" r="-6" b="-10"/>
                    <a:stretch>
                      <a:fillRect/>
                    </a:stretch>
                  </pic:blipFill>
                  <pic:spPr bwMode="auto">
                    <a:xfrm>
                      <a:off x="0" y="0"/>
                      <a:ext cx="4986020" cy="3257550"/>
                    </a:xfrm>
                    <a:prstGeom prst="rect">
                      <a:avLst/>
                    </a:prstGeom>
                  </pic:spPr>
                </pic:pic>
              </a:graphicData>
            </a:graphic>
          </wp:inline>
        </w:drawing>
      </w:r>
    </w:p>
    <w:p>
      <w:pPr>
        <w:pStyle w:val="TF"/>
        <w:rPr/>
      </w:pPr>
      <w:r>
        <w:rPr/>
        <w:t>Figure 9: CDF plot of MOS-LQO difference for a)-b)</w:t>
      </w:r>
    </w:p>
    <w:p>
      <w:pPr>
        <w:pStyle w:val="TH"/>
        <w:rPr/>
      </w:pPr>
      <w:r>
        <w:rPr/>
        <w:drawing>
          <wp:inline distT="0" distB="0" distL="0" distR="0">
            <wp:extent cx="4866640" cy="2973705"/>
            <wp:effectExtent l="0" t="0" r="0" b="0"/>
            <wp:docPr id="7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 descr=""/>
                    <pic:cNvPicPr>
                      <a:picLocks noChangeAspect="1" noChangeArrowheads="1"/>
                    </pic:cNvPicPr>
                  </pic:nvPicPr>
                  <pic:blipFill>
                    <a:blip r:embed="rId76"/>
                    <a:srcRect l="-6" t="-10" r="-6" b="-10"/>
                    <a:stretch>
                      <a:fillRect/>
                    </a:stretch>
                  </pic:blipFill>
                  <pic:spPr bwMode="auto">
                    <a:xfrm>
                      <a:off x="0" y="0"/>
                      <a:ext cx="4866640" cy="2973705"/>
                    </a:xfrm>
                    <a:prstGeom prst="rect">
                      <a:avLst/>
                    </a:prstGeom>
                  </pic:spPr>
                </pic:pic>
              </a:graphicData>
            </a:graphic>
          </wp:inline>
        </w:drawing>
      </w:r>
    </w:p>
    <w:p>
      <w:pPr>
        <w:pStyle w:val="TF"/>
        <w:rPr/>
      </w:pPr>
      <w:r>
        <w:rPr/>
        <w:t>Figure 10: CDF plot of MOS-LQO difference for a)-c)</w:t>
      </w:r>
    </w:p>
    <w:p>
      <w:pPr>
        <w:pStyle w:val="TH"/>
        <w:rPr/>
      </w:pPr>
      <w:r>
        <w:rPr/>
        <w:drawing>
          <wp:inline distT="0" distB="0" distL="0" distR="0">
            <wp:extent cx="5134610" cy="3256280"/>
            <wp:effectExtent l="0" t="0" r="0" b="0"/>
            <wp:docPr id="7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 descr=""/>
                    <pic:cNvPicPr>
                      <a:picLocks noChangeAspect="1" noChangeArrowheads="1"/>
                    </pic:cNvPicPr>
                  </pic:nvPicPr>
                  <pic:blipFill>
                    <a:blip r:embed="rId77"/>
                    <a:srcRect l="-6" t="-10" r="-6" b="-10"/>
                    <a:stretch>
                      <a:fillRect/>
                    </a:stretch>
                  </pic:blipFill>
                  <pic:spPr bwMode="auto">
                    <a:xfrm>
                      <a:off x="0" y="0"/>
                      <a:ext cx="5134610" cy="3256280"/>
                    </a:xfrm>
                    <a:prstGeom prst="rect">
                      <a:avLst/>
                    </a:prstGeom>
                  </pic:spPr>
                </pic:pic>
              </a:graphicData>
            </a:graphic>
          </wp:inline>
        </w:drawing>
      </w:r>
    </w:p>
    <w:p>
      <w:pPr>
        <w:pStyle w:val="TF"/>
        <w:rPr/>
      </w:pPr>
      <w:r>
        <w:rPr/>
        <w:t>Figure 11: CDF plot of MOS-LQO difference for a)-d)</w:t>
      </w:r>
    </w:p>
    <w:p>
      <w:pPr>
        <w:pStyle w:val="Normal"/>
        <w:rPr/>
      </w:pPr>
      <w:r>
        <w:rPr/>
        <w:t xml:space="preserve">As it can be seen the results for Opt_None and Opt_Quality are very close to the 3GPP float and could be considered similar to 3GPP fixed point version. </w:t>
      </w:r>
    </w:p>
    <w:p>
      <w:pPr>
        <w:pStyle w:val="Normal"/>
        <w:rPr/>
      </w:pPr>
      <w:r>
        <w:rPr/>
        <w:t>However, Opt_Agg shows some clear outliers in the results. The outliers are not constrained to a particular mode or bandwidth but are present in all the experiments.</w:t>
      </w:r>
    </w:p>
    <w:p>
      <w:pPr>
        <w:pStyle w:val="Heading2"/>
        <w:rPr/>
      </w:pPr>
      <w:bookmarkStart w:id="46" w:name="__RefHeading___Toc524274795"/>
      <w:bookmarkEnd w:id="46"/>
      <w:r>
        <w:rPr/>
        <w:t>6.2</w:t>
        <w:tab/>
        <w:t>Experiment B</w:t>
      </w:r>
    </w:p>
    <w:p>
      <w:pPr>
        <w:pStyle w:val="Heading3"/>
        <w:rPr/>
      </w:pPr>
      <w:bookmarkStart w:id="47" w:name="__RefHeading___Toc524274796"/>
      <w:bookmarkEnd w:id="47"/>
      <w:r>
        <w:rPr/>
        <w:t>6.2.1</w:t>
        <w:tab/>
        <w:t>Compiler Options</w:t>
      </w:r>
    </w:p>
    <w:p>
      <w:pPr>
        <w:pStyle w:val="Normal"/>
        <w:rPr>
          <w:lang w:eastAsia="zh-CN"/>
        </w:rPr>
      </w:pPr>
      <w:r>
        <w:rPr>
          <w:lang w:eastAsia="zh-CN"/>
        </w:rPr>
        <w:t xml:space="preserve">The code has been compiled for x86_64 macOS 10.12.4 with various optimization levels to evaluate the sensitivity of the conformance tools. Note that gcc calls on macOS are mapped to clang, in this case clang 4.2.1. </w:t>
      </w:r>
    </w:p>
    <w:p>
      <w:pPr>
        <w:pStyle w:val="Normal"/>
        <w:rPr>
          <w:sz w:val="22"/>
          <w:lang w:eastAsia="zh-CN"/>
        </w:rPr>
      </w:pPr>
      <w:r>
        <w:rPr>
          <w:lang w:eastAsia="zh-CN"/>
        </w:rPr>
        <w:t>Two levels of optimization were used:</w:t>
      </w:r>
    </w:p>
    <w:p>
      <w:pPr>
        <w:pStyle w:val="B1"/>
        <w:rPr/>
      </w:pPr>
      <w:r>
        <w:rPr>
          <w:lang w:eastAsia="zh-CN"/>
        </w:rPr>
        <w:t>-</w:t>
        <w:tab/>
        <w:t xml:space="preserve">O2: the code was compiled with the gcc O2 option, which should improve performance without affecting output. </w:t>
      </w:r>
    </w:p>
    <w:p>
      <w:pPr>
        <w:pStyle w:val="B1"/>
        <w:rPr>
          <w:lang w:eastAsia="zh-CN"/>
        </w:rPr>
      </w:pPr>
      <w:r>
        <w:rPr>
          <w:lang w:eastAsia="zh-CN"/>
        </w:rPr>
        <w:t>-</w:t>
        <w:tab/>
        <w:t>Ofast: the code was compiled with gcc Ofast setting for computation performance, without checking on the possible consequences on quality.</w:t>
      </w:r>
    </w:p>
    <w:p>
      <w:pPr>
        <w:pStyle w:val="Normal"/>
        <w:rPr/>
      </w:pPr>
      <w:r>
        <w:rPr>
          <w:lang w:eastAsia="zh-CN"/>
        </w:rPr>
        <w:t>First, Version C80 of the code was compiled with two options above, producing two code called O2 and Ofast_v1 in this experiment.</w:t>
      </w:r>
    </w:p>
    <w:p>
      <w:pPr>
        <w:pStyle w:val="Normal"/>
        <w:rPr/>
      </w:pPr>
      <w:r>
        <w:rPr>
          <w:lang w:eastAsia="zh-CN"/>
        </w:rPr>
        <w:t xml:space="preserve">Then the EVS FL reference code was changed to include the code improvement of denormal operation in </w:t>
      </w:r>
      <w:r>
        <w:rPr/>
        <w:t>generate_masking_noise()</w:t>
      </w:r>
      <w:r>
        <w:rPr>
          <w:lang w:eastAsia="zh-CN"/>
        </w:rPr>
        <w:t>. This code was compiled with Ofast option to obtain Ofast_v2 code.</w:t>
      </w:r>
    </w:p>
    <w:p>
      <w:pPr>
        <w:pStyle w:val="Normal"/>
        <w:rPr>
          <w:lang w:eastAsia="zh-CN"/>
        </w:rPr>
      </w:pPr>
      <w:r>
        <w:rPr>
          <w:lang w:eastAsia="zh-CN"/>
        </w:rPr>
        <w:t xml:space="preserve">The EVS FL reference code was further change to patch </w:t>
      </w:r>
      <w:r>
        <w:rPr/>
        <w:t>inaccurate behaviour in re8_k2y() and SWB_BWE_decoding(). This code was also compiled with Ofast option to obtain Ofast_v3 code.</w:t>
      </w:r>
    </w:p>
    <w:p>
      <w:pPr>
        <w:pStyle w:val="Normal"/>
        <w:rPr/>
      </w:pPr>
      <w:r>
        <w:rPr/>
        <w:t>The methodology described in 5.2.3 was used to compute the difference in MOS-LQO scores for the four code version (O2, Ofast_v1, Ofats_v2, Ofast_v3). POLQA version 2.4 was used to compute the MOS-LQO scores. The POLQAswb mode was used with the level adjustment turn off.</w:t>
      </w:r>
    </w:p>
    <w:p>
      <w:pPr>
        <w:pStyle w:val="Heading3"/>
        <w:rPr/>
      </w:pPr>
      <w:bookmarkStart w:id="48" w:name="__RefHeading___Toc524274797"/>
      <w:bookmarkEnd w:id="48"/>
      <w:r>
        <w:rPr>
          <w:lang w:eastAsia="zh-CN"/>
        </w:rPr>
        <w:t>6.2.2</w:t>
        <w:tab/>
        <w:t>Results</w:t>
      </w:r>
    </w:p>
    <w:p>
      <w:pPr>
        <w:pStyle w:val="Normal"/>
        <w:rPr/>
      </w:pPr>
      <w:r>
        <w:rPr/>
        <w:t>Table 9 summarizes the results obtained for the four code versions.</w:t>
      </w:r>
    </w:p>
    <w:p>
      <w:pPr>
        <w:pStyle w:val="TH"/>
        <w:rPr/>
      </w:pPr>
      <w:r>
        <w:rPr/>
        <w:t xml:space="preserve">Table 9: Summary of differences </w:t>
      </w:r>
    </w:p>
    <w:tbl>
      <w:tblPr>
        <w:tblW w:w="9022" w:type="dxa"/>
        <w:jc w:val="center"/>
        <w:tblInd w:w="0" w:type="dxa"/>
        <w:tblLayout w:type="fixed"/>
        <w:tblCellMar>
          <w:top w:w="0" w:type="dxa"/>
          <w:left w:w="28" w:type="dxa"/>
          <w:bottom w:w="0" w:type="dxa"/>
          <w:right w:w="108" w:type="dxa"/>
        </w:tblCellMar>
      </w:tblPr>
      <w:tblGrid>
        <w:gridCol w:w="1198"/>
        <w:gridCol w:w="1387"/>
        <w:gridCol w:w="1578"/>
        <w:gridCol w:w="1620"/>
        <w:gridCol w:w="1620"/>
        <w:gridCol w:w="1619"/>
      </w:tblGrid>
      <w:tr>
        <w:trPr/>
        <w:tc>
          <w:tcPr>
            <w:tcW w:w="119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87"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578" w:type="dxa"/>
            <w:tcBorders>
              <w:top w:val="single" w:sz="4" w:space="0" w:color="000000"/>
              <w:left w:val="single" w:sz="4" w:space="0" w:color="000000"/>
              <w:bottom w:val="single" w:sz="4" w:space="0" w:color="000000"/>
              <w:right w:val="single" w:sz="4" w:space="0" w:color="000000"/>
            </w:tcBorders>
          </w:tcPr>
          <w:p>
            <w:pPr>
              <w:pStyle w:val="TAH"/>
              <w:rPr/>
            </w:pPr>
            <w:r>
              <w:rPr/>
              <w:t>O2</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Ofast_v3</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Ofast_v2</w:t>
            </w:r>
          </w:p>
        </w:tc>
        <w:tc>
          <w:tcPr>
            <w:tcW w:w="1619" w:type="dxa"/>
            <w:tcBorders>
              <w:top w:val="single" w:sz="4" w:space="0" w:color="000000"/>
              <w:left w:val="single" w:sz="4" w:space="0" w:color="000000"/>
              <w:bottom w:val="single" w:sz="4" w:space="0" w:color="000000"/>
              <w:right w:val="single" w:sz="4" w:space="0" w:color="000000"/>
            </w:tcBorders>
          </w:tcPr>
          <w:p>
            <w:pPr>
              <w:pStyle w:val="TAH"/>
              <w:rPr/>
            </w:pPr>
            <w:r>
              <w:rPr/>
              <w:t>Ofast_v1</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b)</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57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0.0005</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0.0022</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0.0022</w:t>
            </w:r>
          </w:p>
        </w:tc>
        <w:tc>
          <w:tcPr>
            <w:tcW w:w="1619"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0.1396</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-0.1136</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-0.0781</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-0.0760</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-0.0760</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0.0819</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0.1595</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0.1595</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0.9455</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0.0194</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0.0224</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0.0224</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0.2242</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0.0425</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0.0482</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0.0490</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0.5734</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c)</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57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0.0011</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0.0026</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0.0331</w:t>
            </w:r>
          </w:p>
        </w:tc>
        <w:tc>
          <w:tcPr>
            <w:tcW w:w="1619"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0.1869</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-0.0341</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-0.0411</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-0.0411</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-0.0304</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0.0629</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0.0607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0.5291</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0.9913</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0.0102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0.0114</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0.0850</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0.2218</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0.0240</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0.0269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0.1994</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0.5685</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d)</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57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0.0009</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0.0015</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0.0191</w:t>
            </w:r>
          </w:p>
        </w:tc>
        <w:tc>
          <w:tcPr>
            <w:tcW w:w="1619"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0.0221</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-0.0928</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-0.0959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-0.0959</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-0.0959</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0.0829</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0.1677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0.3737</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0.3737</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0.0195</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0.0209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0.0577</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0.0616</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578" w:type="dxa"/>
            <w:tcBorders>
              <w:top w:val="single" w:sz="4" w:space="0" w:color="000000"/>
              <w:left w:val="single" w:sz="4" w:space="0" w:color="000000"/>
              <w:bottom w:val="single" w:sz="4" w:space="0" w:color="000000"/>
              <w:right w:val="single" w:sz="4" w:space="0" w:color="000000"/>
            </w:tcBorders>
            <w:vAlign w:val="bottom"/>
          </w:tcPr>
          <w:p>
            <w:pPr>
              <w:pStyle w:val="TAC"/>
              <w:rPr/>
            </w:pPr>
            <w:r>
              <w:rPr/>
              <w:t>0.0444</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0.0453</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0.1098</w:t>
            </w:r>
          </w:p>
        </w:tc>
        <w:tc>
          <w:tcPr>
            <w:tcW w:w="1619" w:type="dxa"/>
            <w:tcBorders>
              <w:top w:val="single" w:sz="4" w:space="0" w:color="000000"/>
              <w:left w:val="single" w:sz="4" w:space="0" w:color="000000"/>
              <w:bottom w:val="single" w:sz="4" w:space="0" w:color="000000"/>
              <w:right w:val="single" w:sz="4" w:space="0" w:color="000000"/>
            </w:tcBorders>
          </w:tcPr>
          <w:p>
            <w:pPr>
              <w:pStyle w:val="TAC"/>
              <w:rPr/>
            </w:pPr>
            <w:r>
              <w:rPr/>
              <w:t>0.1205</w:t>
            </w:r>
          </w:p>
        </w:tc>
      </w:tr>
    </w:tbl>
    <w:p>
      <w:pPr>
        <w:pStyle w:val="Normal"/>
        <w:rPr/>
      </w:pPr>
      <w:r>
        <w:rPr/>
      </w:r>
    </w:p>
    <w:p>
      <w:pPr>
        <w:pStyle w:val="Normal"/>
        <w:rPr/>
      </w:pPr>
      <w:r>
        <w:rPr/>
        <w:t>Unilateral CDFs of the difference MOS-LQO scores are plotted in Figures 12, 13 and 14, for the cases a)-b), a)-c) and a)-d), respectively. Regions were the CDF reaches 100% are indicated with oversized markers. When the oversized marker is at only 0.1, this indicates overload.</w:t>
      </w:r>
    </w:p>
    <w:p>
      <w:pPr>
        <w:pStyle w:val="TH"/>
        <w:rPr/>
      </w:pPr>
      <w:r>
        <w:rPr/>
        <w:drawing>
          <wp:inline distT="0" distB="0" distL="0" distR="0">
            <wp:extent cx="5937885" cy="2823210"/>
            <wp:effectExtent l="0" t="0" r="0" b="0"/>
            <wp:docPr id="7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6" descr=""/>
                    <pic:cNvPicPr>
                      <a:picLocks noChangeAspect="1" noChangeArrowheads="1"/>
                    </pic:cNvPicPr>
                  </pic:nvPicPr>
                  <pic:blipFill>
                    <a:blip r:embed="rId78"/>
                    <a:srcRect l="-2" t="-4" r="-2" b="-4"/>
                    <a:stretch>
                      <a:fillRect/>
                    </a:stretch>
                  </pic:blipFill>
                  <pic:spPr bwMode="auto">
                    <a:xfrm>
                      <a:off x="0" y="0"/>
                      <a:ext cx="5937885" cy="2823210"/>
                    </a:xfrm>
                    <a:prstGeom prst="rect">
                      <a:avLst/>
                    </a:prstGeom>
                  </pic:spPr>
                </pic:pic>
              </a:graphicData>
            </a:graphic>
          </wp:inline>
        </w:drawing>
      </w:r>
    </w:p>
    <w:p>
      <w:pPr>
        <w:pStyle w:val="TF"/>
        <w:rPr/>
      </w:pPr>
      <w:r>
        <w:rPr/>
        <w:t xml:space="preserve">Figure 12: Unilateral CDF for a) - b) test case for O2 (blue), Ofast_v1 (light red), Ofast_v2 (dotted red) and Ofast_v3 (dark red) </w:t>
      </w:r>
    </w:p>
    <w:p>
      <w:pPr>
        <w:pStyle w:val="TH"/>
        <w:rPr/>
      </w:pPr>
      <w:r>
        <w:rPr/>
        <w:drawing>
          <wp:inline distT="0" distB="0" distL="0" distR="0">
            <wp:extent cx="5937885" cy="2823210"/>
            <wp:effectExtent l="0" t="0" r="0" b="0"/>
            <wp:docPr id="7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7" descr=""/>
                    <pic:cNvPicPr>
                      <a:picLocks noChangeAspect="1" noChangeArrowheads="1"/>
                    </pic:cNvPicPr>
                  </pic:nvPicPr>
                  <pic:blipFill>
                    <a:blip r:embed="rId79"/>
                    <a:srcRect l="-2" t="-4" r="-2" b="-4"/>
                    <a:stretch>
                      <a:fillRect/>
                    </a:stretch>
                  </pic:blipFill>
                  <pic:spPr bwMode="auto">
                    <a:xfrm>
                      <a:off x="0" y="0"/>
                      <a:ext cx="5937885" cy="2823210"/>
                    </a:xfrm>
                    <a:prstGeom prst="rect">
                      <a:avLst/>
                    </a:prstGeom>
                  </pic:spPr>
                </pic:pic>
              </a:graphicData>
            </a:graphic>
          </wp:inline>
        </w:drawing>
      </w:r>
    </w:p>
    <w:p>
      <w:pPr>
        <w:pStyle w:val="TF"/>
        <w:rPr/>
      </w:pPr>
      <w:r>
        <w:rPr/>
        <w:t>Figure 13: Unilateral CDF for a) - c) test case for O2 (blue), Ofast_v1 (light red), Ofast_v2 (dotted red) and Ofast_v3 (dark red)</w:t>
      </w:r>
    </w:p>
    <w:p>
      <w:pPr>
        <w:pStyle w:val="TH"/>
        <w:rPr/>
      </w:pPr>
      <w:r>
        <w:rPr/>
        <w:drawing>
          <wp:inline distT="0" distB="0" distL="0" distR="0">
            <wp:extent cx="5937885" cy="2823210"/>
            <wp:effectExtent l="0" t="0" r="0" b="0"/>
            <wp:docPr id="7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8" descr=""/>
                    <pic:cNvPicPr>
                      <a:picLocks noChangeAspect="1" noChangeArrowheads="1"/>
                    </pic:cNvPicPr>
                  </pic:nvPicPr>
                  <pic:blipFill>
                    <a:blip r:embed="rId80"/>
                    <a:srcRect l="-2" t="-4" r="-2" b="-4"/>
                    <a:stretch>
                      <a:fillRect/>
                    </a:stretch>
                  </pic:blipFill>
                  <pic:spPr bwMode="auto">
                    <a:xfrm>
                      <a:off x="0" y="0"/>
                      <a:ext cx="5937885" cy="2823210"/>
                    </a:xfrm>
                    <a:prstGeom prst="rect">
                      <a:avLst/>
                    </a:prstGeom>
                  </pic:spPr>
                </pic:pic>
              </a:graphicData>
            </a:graphic>
          </wp:inline>
        </w:drawing>
      </w:r>
    </w:p>
    <w:p>
      <w:pPr>
        <w:pStyle w:val="TF"/>
        <w:rPr/>
      </w:pPr>
      <w:r>
        <w:rPr/>
        <w:t>Figure 14: Unilateral CDF for a) - d) test case for O2 (blue), Ofast_v1 (light red), Ofast_v2 (dotted red) and Ofast_v3 (dark red)</w:t>
      </w:r>
    </w:p>
    <w:p>
      <w:pPr>
        <w:pStyle w:val="Normal"/>
        <w:rPr/>
      </w:pPr>
      <w:r>
        <w:rPr/>
        <w:t xml:space="preserve">With Ofast_v1, obvious outliers are observed in all three scenarios. </w:t>
      </w:r>
    </w:p>
    <w:p>
      <w:pPr>
        <w:pStyle w:val="Normal"/>
        <w:rPr/>
      </w:pPr>
      <w:r>
        <w:rPr/>
        <w:t xml:space="preserve">With Ofast_v2 better result are observed than with Ofast_v1. The results for O2 and Ofast_v2 are similar in the a) - b) test case, but that Ofast_v2 drops off for the cross-connect cases. This indicates that the deviations produced by Ofast_v2 compilation are "balanced" between the encoder and decoder - but manifest as unacceptable degradations when connecting to the fixed point encoder/decoder. </w:t>
      </w:r>
    </w:p>
    <w:p>
      <w:pPr>
        <w:pStyle w:val="Normal"/>
        <w:rPr/>
      </w:pPr>
      <w:r>
        <w:rPr/>
        <w:t>The results for Ofast_v3 are much improved compare to Ofast_v2. This indicates that the patches (re8_k2y() and SWB_BWE_decoding()) addressed the bulk of the FX/FL interoperability issues observed in Ofast_v2 . Examining the results in detail, however, indicates that there are still a small number of suspicious results, and so this patched Ofast_v3 implementation should be considered to fail conformance. Thus, this configuration represents a valuable reference for evaluating conformance criteria.</w:t>
      </w:r>
    </w:p>
    <w:p>
      <w:pPr>
        <w:pStyle w:val="Heading3"/>
        <w:rPr/>
      </w:pPr>
      <w:bookmarkStart w:id="49" w:name="__RefHeading___Toc524274798"/>
      <w:bookmarkEnd w:id="49"/>
      <w:r>
        <w:rPr>
          <w:lang w:eastAsia="zh-CN"/>
        </w:rPr>
        <w:t>6.2.3</w:t>
        <w:tab/>
        <w:t>Restricted Results</w:t>
      </w:r>
    </w:p>
    <w:p>
      <w:pPr>
        <w:pStyle w:val="Normal"/>
        <w:rPr/>
      </w:pPr>
      <w:r>
        <w:rPr/>
        <w:t>It can be observed that, for the O2 case, channel error and DJB test conditions display greater variance and outliers in MOS-LQO scores relative to other conditions. A restricted test that excludes them and focuses on clean channel conditions has been conducted. This allows the consideration of strict criteria that give very high confidence that the core coding modes are implemented correctly. For completeness, this should be combined with a second set of criteria covering all conditions, to ensure that mandatory PLC functionality is correctly implemented. The results for this restricted test are summarized in Table 10. Note that the maximum, standard deviation, and 95% intervals for the O2 cases all shrink significantly relative to Table 9.</w:t>
      </w:r>
    </w:p>
    <w:p>
      <w:pPr>
        <w:pStyle w:val="TH"/>
        <w:rPr/>
      </w:pPr>
      <w:r>
        <w:rPr/>
        <w:t>Table 10: Summary of differences - excluding PLC and DJB</w:t>
      </w:r>
    </w:p>
    <w:tbl>
      <w:tblPr>
        <w:tblW w:w="9113" w:type="dxa"/>
        <w:jc w:val="center"/>
        <w:tblInd w:w="0" w:type="dxa"/>
        <w:tblLayout w:type="fixed"/>
        <w:tblCellMar>
          <w:top w:w="0" w:type="dxa"/>
          <w:left w:w="28" w:type="dxa"/>
          <w:bottom w:w="0" w:type="dxa"/>
          <w:right w:w="108" w:type="dxa"/>
        </w:tblCellMar>
      </w:tblPr>
      <w:tblGrid>
        <w:gridCol w:w="1198"/>
        <w:gridCol w:w="1387"/>
        <w:gridCol w:w="1668"/>
        <w:gridCol w:w="1620"/>
        <w:gridCol w:w="1620"/>
        <w:gridCol w:w="1620"/>
      </w:tblGrid>
      <w:tr>
        <w:trPr/>
        <w:tc>
          <w:tcPr>
            <w:tcW w:w="119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87"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668" w:type="dxa"/>
            <w:tcBorders>
              <w:top w:val="single" w:sz="4" w:space="0" w:color="000000"/>
              <w:left w:val="single" w:sz="4" w:space="0" w:color="000000"/>
              <w:bottom w:val="single" w:sz="4" w:space="0" w:color="000000"/>
              <w:right w:val="single" w:sz="4" w:space="0" w:color="000000"/>
            </w:tcBorders>
          </w:tcPr>
          <w:p>
            <w:pPr>
              <w:pStyle w:val="TAH"/>
              <w:rPr/>
            </w:pPr>
            <w:r>
              <w:rPr/>
              <w:t>O2</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Ofast_v3</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Ofast_v2</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Ofast_v1</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b)</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66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-0.0014</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-0.0011</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-0.0011</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0.1223</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-0.0492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-0.0507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-0.0507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-0.0449</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0.0508</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0.0877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0.0877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0.6659</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0.0132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0.0156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0.0156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0.2186</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0.0284</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0.0326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0.0326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0.5734</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c)</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66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0.0017</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0.0034</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0.0498</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0.2074</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-0.0292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-0.0215</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-0.0215</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-0.0186</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0.0557</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0.0589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0.5291</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0.6391</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0.0092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0.0093</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0.1102</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0.2228</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0.0230</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0.0227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0.3472</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0.5720</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ascii="Intel Clear;Arial" w:hAnsi="Intel Clear;Arial" w:cs="Intel Clear;Arial"/>
              </w:rPr>
            </w:pPr>
            <w:r>
              <w:rPr/>
              <w:t>a) - d)</w:t>
            </w:r>
          </w:p>
        </w:tc>
        <w:tc>
          <w:tcPr>
            <w:tcW w:w="1387"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t>AVG</w:t>
            </w:r>
          </w:p>
        </w:tc>
        <w:tc>
          <w:tcPr>
            <w:tcW w:w="1668"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-0.0018</w:t>
            </w:r>
          </w:p>
        </w:tc>
        <w:tc>
          <w:tcPr>
            <w:tcW w:w="162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pPr>
            <w:r>
              <w:rPr/>
              <w:t>-0.0019</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0.0259</w:t>
            </w:r>
          </w:p>
        </w:tc>
        <w:tc>
          <w:tcPr>
            <w:tcW w:w="1620"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t>0.0354</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MIN</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-0.0492</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-0.0526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-0.0526</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-0.0526</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0.0649</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0.0590</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0.3737</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0.3737</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0.0119</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0.0133</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0.0733</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0.0792</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Intel Clear;Arial" w:hAnsi="Intel Clear;Arial" w:cs="Intel Clear;Arial"/>
              </w:rPr>
            </w:pPr>
            <w:r>
              <w:rPr>
                <w:rFonts w:cs="Intel Clear;Arial" w:ascii="Intel Clear;Arial" w:hAnsi="Intel Clear;Arial"/>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668" w:type="dxa"/>
            <w:tcBorders>
              <w:top w:val="single" w:sz="4" w:space="0" w:color="000000"/>
              <w:left w:val="single" w:sz="4" w:space="0" w:color="000000"/>
              <w:bottom w:val="single" w:sz="4" w:space="0" w:color="000000"/>
              <w:right w:val="single" w:sz="4" w:space="0" w:color="000000"/>
            </w:tcBorders>
            <w:vAlign w:val="bottom"/>
          </w:tcPr>
          <w:p>
            <w:pPr>
              <w:pStyle w:val="TAC"/>
              <w:rPr/>
            </w:pPr>
            <w:r>
              <w:rPr/>
              <w:t>0.0241</w:t>
            </w:r>
          </w:p>
        </w:tc>
        <w:tc>
          <w:tcPr>
            <w:tcW w:w="1620" w:type="dxa"/>
            <w:tcBorders>
              <w:top w:val="single" w:sz="4" w:space="0" w:color="000000"/>
              <w:left w:val="single" w:sz="4" w:space="0" w:color="000000"/>
              <w:bottom w:val="single" w:sz="4" w:space="0" w:color="000000"/>
              <w:right w:val="single" w:sz="4" w:space="0" w:color="000000"/>
            </w:tcBorders>
            <w:vAlign w:val="bottom"/>
          </w:tcPr>
          <w:p>
            <w:pPr>
              <w:pStyle w:val="TAC"/>
              <w:rPr/>
            </w:pPr>
            <w:r>
              <w:rPr/>
              <w:t>0.0279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0.2141</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0.2236</w:t>
            </w:r>
          </w:p>
        </w:tc>
      </w:tr>
    </w:tbl>
    <w:p>
      <w:pPr>
        <w:pStyle w:val="Normal"/>
        <w:ind w:left="1440" w:hanging="0"/>
        <w:rPr>
          <w:rFonts w:ascii="Intel Clear;Arial" w:hAnsi="Intel Clear;Arial" w:cs="Intel Clear;Arial"/>
        </w:rPr>
      </w:pPr>
      <w:r>
        <w:rPr>
          <w:rFonts w:cs="Intel Clear;Arial" w:ascii="Intel Clear;Arial" w:hAnsi="Intel Clear;Arial"/>
        </w:rPr>
      </w:r>
    </w:p>
    <w:p>
      <w:pPr>
        <w:pStyle w:val="Normal"/>
        <w:rPr/>
      </w:pPr>
      <w:r>
        <w:rPr/>
        <w:t xml:space="preserve">Unilateral CDFs of the difference MOS-LQO scores are plotted in Figures 15, 16 and 17, for the cases a) - b), a) - c) and a) - d), respectively. Regions were the CDF reaches 100% are indicated with oversized markers. Oversized markers at 0.1 only indicate overload. </w:t>
      </w:r>
    </w:p>
    <w:p>
      <w:pPr>
        <w:pStyle w:val="TH"/>
        <w:rPr/>
      </w:pPr>
      <w:r>
        <w:rPr/>
        <w:drawing>
          <wp:inline distT="0" distB="0" distL="0" distR="0">
            <wp:extent cx="5937885" cy="2843530"/>
            <wp:effectExtent l="0" t="0" r="0" b="0"/>
            <wp:docPr id="7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9" descr=""/>
                    <pic:cNvPicPr>
                      <a:picLocks noChangeAspect="1" noChangeArrowheads="1"/>
                    </pic:cNvPicPr>
                  </pic:nvPicPr>
                  <pic:blipFill>
                    <a:blip r:embed="rId81"/>
                    <a:srcRect l="-2" t="-4" r="-2" b="-4"/>
                    <a:stretch>
                      <a:fillRect/>
                    </a:stretch>
                  </pic:blipFill>
                  <pic:spPr bwMode="auto">
                    <a:xfrm>
                      <a:off x="0" y="0"/>
                      <a:ext cx="5937885" cy="2843530"/>
                    </a:xfrm>
                    <a:prstGeom prst="rect">
                      <a:avLst/>
                    </a:prstGeom>
                  </pic:spPr>
                </pic:pic>
              </a:graphicData>
            </a:graphic>
          </wp:inline>
        </w:drawing>
      </w:r>
    </w:p>
    <w:p>
      <w:pPr>
        <w:pStyle w:val="TF"/>
        <w:rPr/>
      </w:pPr>
      <w:r>
        <w:rPr/>
        <w:t>Figure 15: CDF for a) - b) test case for O2 (blue), Ofast_v1 (light red), Ofast_v2 (dotted red) and Ofast_v3 (dark red)</w:t>
      </w:r>
    </w:p>
    <w:p>
      <w:pPr>
        <w:pStyle w:val="TH"/>
        <w:rPr/>
      </w:pPr>
      <w:r>
        <w:rPr/>
        <w:drawing>
          <wp:inline distT="0" distB="0" distL="0" distR="0">
            <wp:extent cx="5937885" cy="2853055"/>
            <wp:effectExtent l="0" t="0" r="0" b="0"/>
            <wp:docPr id="8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0" descr=""/>
                    <pic:cNvPicPr>
                      <a:picLocks noChangeAspect="1" noChangeArrowheads="1"/>
                    </pic:cNvPicPr>
                  </pic:nvPicPr>
                  <pic:blipFill>
                    <a:blip r:embed="rId82"/>
                    <a:srcRect l="-2" t="-4" r="-2" b="-4"/>
                    <a:stretch>
                      <a:fillRect/>
                    </a:stretch>
                  </pic:blipFill>
                  <pic:spPr bwMode="auto">
                    <a:xfrm>
                      <a:off x="0" y="0"/>
                      <a:ext cx="5937885" cy="2853055"/>
                    </a:xfrm>
                    <a:prstGeom prst="rect">
                      <a:avLst/>
                    </a:prstGeom>
                  </pic:spPr>
                </pic:pic>
              </a:graphicData>
            </a:graphic>
          </wp:inline>
        </w:drawing>
      </w:r>
    </w:p>
    <w:p>
      <w:pPr>
        <w:pStyle w:val="TF"/>
        <w:rPr/>
      </w:pPr>
      <w:r>
        <w:rPr/>
        <w:t>Figure 16: CDF for a) - c) test case for O2 (blue), Ofast_v1 (light red), Ofast_v2 (dotted red) and Ofast_v3 (dark red)</w:t>
      </w:r>
    </w:p>
    <w:p>
      <w:pPr>
        <w:pStyle w:val="TH"/>
        <w:rPr/>
      </w:pPr>
      <w:r>
        <w:rPr/>
        <w:drawing>
          <wp:inline distT="0" distB="0" distL="0" distR="0">
            <wp:extent cx="5937885" cy="2863215"/>
            <wp:effectExtent l="0" t="0" r="0" b="0"/>
            <wp:docPr id="8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1" descr=""/>
                    <pic:cNvPicPr>
                      <a:picLocks noChangeAspect="1" noChangeArrowheads="1"/>
                    </pic:cNvPicPr>
                  </pic:nvPicPr>
                  <pic:blipFill>
                    <a:blip r:embed="rId83"/>
                    <a:srcRect l="-2" t="-4" r="-2" b="-4"/>
                    <a:stretch>
                      <a:fillRect/>
                    </a:stretch>
                  </pic:blipFill>
                  <pic:spPr bwMode="auto">
                    <a:xfrm>
                      <a:off x="0" y="0"/>
                      <a:ext cx="5937885" cy="2863215"/>
                    </a:xfrm>
                    <a:prstGeom prst="rect">
                      <a:avLst/>
                    </a:prstGeom>
                  </pic:spPr>
                </pic:pic>
              </a:graphicData>
            </a:graphic>
          </wp:inline>
        </w:drawing>
      </w:r>
    </w:p>
    <w:p>
      <w:pPr>
        <w:pStyle w:val="TF"/>
        <w:rPr/>
      </w:pPr>
      <w:r>
        <w:rPr/>
        <w:t>Figure 17: CDF for a) - d) test case for O2 (blue), Ofast_v1 (light red), Ofast_v2 (dotted red) and Ofast_v3 (dark red)</w:t>
      </w:r>
    </w:p>
    <w:p>
      <w:pPr>
        <w:pStyle w:val="Normal"/>
        <w:rPr/>
      </w:pPr>
      <w:r>
        <w:rPr/>
        <w:t>Similarly to the results of clause 6.3.2, the Ofast_v3 results are greatly improved compare to Ofast_v2 and Ofast_v1 but that the a) - b) case still exhibits inferior outlier performance relative to O2.</w:t>
      </w:r>
    </w:p>
    <w:p>
      <w:pPr>
        <w:pStyle w:val="Heading2"/>
        <w:rPr/>
      </w:pPr>
      <w:bookmarkStart w:id="50" w:name="__RefHeading___Toc524274799"/>
      <w:bookmarkEnd w:id="50"/>
      <w:r>
        <w:rPr/>
        <w:t>6.3</w:t>
        <w:tab/>
        <w:t>Experiment C</w:t>
      </w:r>
    </w:p>
    <w:p>
      <w:pPr>
        <w:pStyle w:val="Heading3"/>
        <w:rPr/>
      </w:pPr>
      <w:bookmarkStart w:id="51" w:name="__RefHeading___Toc524274800"/>
      <w:bookmarkEnd w:id="51"/>
      <w:r>
        <w:rPr/>
        <w:t>6.3.1</w:t>
        <w:tab/>
        <w:t>Compiler Options</w:t>
      </w:r>
    </w:p>
    <w:p>
      <w:pPr>
        <w:pStyle w:val="Heading4"/>
        <w:ind w:left="1418" w:hanging="1418"/>
        <w:rPr/>
      </w:pPr>
      <w:bookmarkStart w:id="52" w:name="__RefHeading___Toc524274801"/>
      <w:bookmarkEnd w:id="52"/>
      <w:r>
        <w:rPr/>
        <w:t>6.3.1.1</w:t>
        <w:tab/>
        <w:t>Introduction</w:t>
      </w:r>
    </w:p>
    <w:p>
      <w:pPr>
        <w:pStyle w:val="Normal"/>
        <w:rPr/>
      </w:pPr>
      <w:r>
        <w:rPr/>
        <w:t xml:space="preserve">Three compilers/platforms have been used for this study. In both cases the code from TS 26.443 (Version C80) has been compiled with various optimization levels to evaluate the sensitivity of the conformance tools. </w:t>
      </w:r>
    </w:p>
    <w:p>
      <w:pPr>
        <w:pStyle w:val="Heading4"/>
        <w:ind w:left="1418" w:hanging="1418"/>
        <w:rPr/>
      </w:pPr>
      <w:bookmarkStart w:id="53" w:name="__RefHeading___Toc524274802"/>
      <w:bookmarkEnd w:id="53"/>
      <w:r>
        <w:rPr/>
        <w:t>6.3.1.2</w:t>
        <w:tab/>
        <w:t>Icc Compiler on Atom Platform</w:t>
      </w:r>
    </w:p>
    <w:p>
      <w:pPr>
        <w:pStyle w:val="Normal"/>
        <w:rPr/>
      </w:pPr>
      <w:r>
        <w:rPr/>
        <w:t>This configuration is the same that was used to report result with MOS-LQO presented in clause 6.1. Three levels of optimization were used:</w:t>
      </w:r>
    </w:p>
    <w:p>
      <w:pPr>
        <w:pStyle w:val="B1"/>
        <w:rPr/>
      </w:pPr>
      <w:r>
        <w:rPr/>
        <w:t>-</w:t>
        <w:tab/>
        <w:t>Opt_None: the code was compiled without any optimization.</w:t>
      </w:r>
    </w:p>
    <w:p>
      <w:pPr>
        <w:pStyle w:val="B1"/>
        <w:rPr/>
      </w:pPr>
      <w:r>
        <w:rPr/>
        <w:t>-</w:t>
        <w:tab/>
        <w:t>Opt_Quality: the code was compiled with various optimization level depending on the file and functions to provide best computational performance while insuring quality.</w:t>
      </w:r>
    </w:p>
    <w:p>
      <w:pPr>
        <w:pStyle w:val="B1"/>
        <w:rPr/>
      </w:pPr>
      <w:r>
        <w:rPr/>
        <w:t>-</w:t>
        <w:tab/>
        <w:t xml:space="preserve">Opt_Agg: the code was compiled with a very aggressive setting (-o3, -fast2) for computation performance, without checking on the possible consequences on quality. </w:t>
      </w:r>
    </w:p>
    <w:p>
      <w:pPr>
        <w:pStyle w:val="Normal"/>
        <w:rPr/>
      </w:pPr>
      <w:r>
        <w:rPr/>
        <w:t>The Atom platform used was 32 bits.</w:t>
      </w:r>
    </w:p>
    <w:p>
      <w:pPr>
        <w:pStyle w:val="Heading4"/>
        <w:ind w:left="1418" w:hanging="1418"/>
        <w:rPr/>
      </w:pPr>
      <w:bookmarkStart w:id="54" w:name="__RefHeading___Toc524274803"/>
      <w:bookmarkEnd w:id="54"/>
      <w:r>
        <w:rPr>
          <w:lang w:eastAsia="zh-CN"/>
        </w:rPr>
        <w:t>6.3.1.3</w:t>
        <w:tab/>
        <w:t>Gcc compiler on Xeon platform</w:t>
      </w:r>
    </w:p>
    <w:p>
      <w:pPr>
        <w:pStyle w:val="Normal"/>
        <w:rPr/>
      </w:pPr>
      <w:r>
        <w:rPr/>
        <w:t>In this configuration, three level of optimization were used.</w:t>
      </w:r>
    </w:p>
    <w:p>
      <w:pPr>
        <w:pStyle w:val="B1"/>
        <w:rPr/>
      </w:pPr>
      <w:r>
        <w:rPr/>
        <w:t>-</w:t>
        <w:tab/>
        <w:t>O0: the code was compiled without any optimization.</w:t>
      </w:r>
    </w:p>
    <w:p>
      <w:pPr>
        <w:pStyle w:val="B1"/>
        <w:rPr/>
      </w:pPr>
      <w:r>
        <w:rPr/>
        <w:t>-</w:t>
        <w:tab/>
        <w:t>O2: the code was compiled with normal optimization level for speed and memory.</w:t>
      </w:r>
    </w:p>
    <w:p>
      <w:pPr>
        <w:pStyle w:val="B1"/>
        <w:rPr/>
      </w:pPr>
      <w:r>
        <w:rPr/>
        <w:t>-</w:t>
        <w:tab/>
        <w:t>O2+avx2: the code was compiled to take advantage of vector extensions math routine and can lead to variation in the arithmetic results. The avx2 option in gcc is -march=avx2.</w:t>
      </w:r>
    </w:p>
    <w:p>
      <w:pPr>
        <w:pStyle w:val="Normal"/>
        <w:rPr/>
      </w:pPr>
      <w:r>
        <w:rPr/>
        <w:t>The Xeon platform is a 64bits platform.</w:t>
      </w:r>
    </w:p>
    <w:p>
      <w:pPr>
        <w:pStyle w:val="Heading4"/>
        <w:ind w:left="1418" w:hanging="1418"/>
        <w:rPr/>
      </w:pPr>
      <w:bookmarkStart w:id="55" w:name="__RefHeading___Toc524274804"/>
      <w:bookmarkEnd w:id="55"/>
      <w:r>
        <w:rPr>
          <w:lang w:eastAsia="zh-CN"/>
        </w:rPr>
        <w:t>6.3.1.4</w:t>
        <w:tab/>
        <w:t>Gcc compiler on ARM platform</w:t>
      </w:r>
    </w:p>
    <w:p>
      <w:pPr>
        <w:pStyle w:val="Normal"/>
        <w:rPr/>
      </w:pPr>
      <w:r>
        <w:rPr/>
        <w:t>In this configuration, two level of optimization were used with GCC compiler (version 6.3.0).</w:t>
      </w:r>
    </w:p>
    <w:p>
      <w:pPr>
        <w:pStyle w:val="B1"/>
        <w:rPr/>
      </w:pPr>
      <w:r>
        <w:rPr/>
        <w:t>-</w:t>
        <w:tab/>
        <w:t>O3: the code was compiled with -o3 option only.</w:t>
      </w:r>
    </w:p>
    <w:p>
      <w:pPr>
        <w:pStyle w:val="B1"/>
        <w:rPr/>
      </w:pPr>
      <w:r>
        <w:rPr/>
        <w:t>-</w:t>
        <w:tab/>
        <w:t xml:space="preserve">O3-fast-math: the code was compiled with -o3 and -fast-math option. </w:t>
      </w:r>
    </w:p>
    <w:p>
      <w:pPr>
        <w:pStyle w:val="Normal"/>
        <w:rPr/>
      </w:pPr>
      <w:r>
        <w:rPr/>
        <w:t>In this experiment a raspberry Pi board (model B generation 1) has been used to test a floating-point implementation using ARMv6.</w:t>
      </w:r>
    </w:p>
    <w:p>
      <w:pPr>
        <w:pStyle w:val="Heading3"/>
        <w:rPr/>
      </w:pPr>
      <w:bookmarkStart w:id="56" w:name="__RefHeading___Toc524274805"/>
      <w:bookmarkEnd w:id="56"/>
      <w:r>
        <w:rPr/>
        <w:t>6.3.2</w:t>
        <w:tab/>
        <w:t>Decoder Test Results</w:t>
      </w:r>
    </w:p>
    <w:p>
      <w:pPr>
        <w:pStyle w:val="Normal"/>
        <w:rPr/>
      </w:pPr>
      <w:r>
        <w:rPr/>
        <w:t>For this test, the EVS and AMR_WBIO test vectors from TS 26.444 are used, representing 2675 test vectors.</w:t>
      </w:r>
    </w:p>
    <w:p>
      <w:pPr>
        <w:pStyle w:val="Normal"/>
        <w:rPr/>
      </w:pPr>
      <w:r>
        <w:rPr/>
        <w:t>The decoder test described in clause 5.2 was used to assess the different platform/compiler options. The various thresholds have been set to the examples values presented in clause 5.2.6, table 6.</w:t>
      </w:r>
    </w:p>
    <w:p>
      <w:pPr>
        <w:pStyle w:val="Normal"/>
        <w:rPr/>
      </w:pPr>
      <w:r>
        <w:rPr/>
        <w:t>Tables 11, 12 and 13 show the number of failed files in each cases for the two systems under test:</w:t>
      </w:r>
    </w:p>
    <w:p>
      <w:pPr>
        <w:pStyle w:val="TH"/>
        <w:rPr/>
      </w:pPr>
      <w:r>
        <w:rPr/>
        <w:t>Table 11: Result for icc and Atom system</w:t>
      </w:r>
    </w:p>
    <w:tbl>
      <w:tblPr>
        <w:tblW w:w="9571" w:type="dxa"/>
        <w:jc w:val="center"/>
        <w:tblInd w:w="0" w:type="dxa"/>
        <w:tblLayout w:type="fixed"/>
        <w:tblCellMar>
          <w:top w:w="0" w:type="dxa"/>
          <w:left w:w="28" w:type="dxa"/>
          <w:bottom w:w="0" w:type="dxa"/>
          <w:right w:w="108" w:type="dxa"/>
        </w:tblCellMar>
      </w:tblPr>
      <w:tblGrid>
        <w:gridCol w:w="1913"/>
        <w:gridCol w:w="1913"/>
        <w:gridCol w:w="1914"/>
        <w:gridCol w:w="1914"/>
        <w:gridCol w:w="1917"/>
      </w:tblGrid>
      <w:tr>
        <w:trPr>
          <w:tblHeader w:val="true"/>
        </w:trPr>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Opt_None</w:t>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Opt_Quality</w:t>
            </w:r>
          </w:p>
        </w:tc>
        <w:tc>
          <w:tcPr>
            <w:tcW w:w="1917" w:type="dxa"/>
            <w:tcBorders>
              <w:top w:val="single" w:sz="4" w:space="0" w:color="000000"/>
              <w:left w:val="single" w:sz="4" w:space="0" w:color="000000"/>
              <w:bottom w:val="single" w:sz="4" w:space="0" w:color="000000"/>
              <w:right w:val="single" w:sz="4" w:space="0" w:color="000000"/>
            </w:tcBorders>
          </w:tcPr>
          <w:p>
            <w:pPr>
              <w:pStyle w:val="TAH"/>
              <w:rPr/>
            </w:pPr>
            <w:r>
              <w:rPr/>
              <w:t>Opt_Agg</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H"/>
              <w:rPr/>
            </w:pPr>
            <w:r>
              <w:rPr/>
              <w:t>Frames tested</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H"/>
              <w:rPr/>
            </w:pPr>
            <w:r>
              <w:rPr/>
              <w:t>2349831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H"/>
              <w:rPr/>
            </w:pPr>
            <w:r>
              <w:rPr/>
              <w:t>2349831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H"/>
              <w:rPr/>
            </w:pPr>
            <w:r>
              <w:rPr/>
              <w:t>2349831</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RMS</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2227191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1118136</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1072142</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122640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1231695</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1277689</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94.8</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47.6</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45.6</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52.4</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54.4</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SNR</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121642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1230563</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1160530</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998</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1132</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117159</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99.2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99.9</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90.8</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9.1</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Spectral Distortion</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923</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864</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25075</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75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268</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92084</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92.5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76.3</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21.5</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7.5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23.7</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78.5</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99.997</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99.989</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96.081</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0.003</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0.011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3.92</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650</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2673</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2674</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2025</w:t>
            </w:r>
          </w:p>
        </w:tc>
      </w:tr>
    </w:tbl>
    <w:p>
      <w:pPr>
        <w:pStyle w:val="Normal"/>
        <w:rPr/>
      </w:pPr>
      <w:r>
        <w:rPr/>
      </w:r>
    </w:p>
    <w:p>
      <w:pPr>
        <w:pStyle w:val="Normal"/>
        <w:rPr/>
      </w:pPr>
      <w:r>
        <w:rPr/>
        <w:t>The 2 files failing the opt_none (</w:t>
      </w:r>
      <w:r>
        <w:rPr>
          <w:color w:val="000000"/>
          <w:szCs w:val="22"/>
        </w:rPr>
        <w:t>T16_6600_16kHz.b10.OUT, T16_dtx_6600_16kHz.b10.OUT</w:t>
      </w:r>
      <w:r>
        <w:rPr/>
        <w:t>) are the same condition with error impairment. These 2 files, as well as the reference test vectors from TS 26.444 are attached to this contribution.</w:t>
      </w:r>
    </w:p>
    <w:p>
      <w:pPr>
        <w:pStyle w:val="Normal"/>
        <w:rPr/>
      </w:pPr>
      <w:r>
        <w:rPr/>
        <w:t>For the Opt_quality, the file failing is due to time shifting of the signal and contributes 186 of the total failing frames(</w:t>
      </w:r>
      <w:r>
        <w:rPr>
          <w:color w:val="000000"/>
          <w:szCs w:val="22"/>
        </w:rPr>
        <w:t>T06_dtx_12650_16kHz.dly_error_profile_5.dat.netsimoutput.OUT</w:t>
      </w:r>
      <w:r>
        <w:rPr/>
        <w:t>). This file is a JBM test case in the AMRWB_IO set of test vector.</w:t>
      </w:r>
    </w:p>
    <w:p>
      <w:pPr>
        <w:pStyle w:val="Normal"/>
        <w:rPr/>
      </w:pPr>
      <w:r>
        <w:rPr/>
        <w:t>The results from Table 8 are in correlation with the results reported in clause 6.2. Both approaches flag the Opt_Agg as a non-conformant floating-point implementation.</w:t>
      </w:r>
    </w:p>
    <w:p>
      <w:pPr>
        <w:pStyle w:val="TH"/>
        <w:rPr/>
      </w:pPr>
      <w:r>
        <w:rPr/>
        <w:t>Table 12: Result for gcc and Xeon system</w:t>
      </w:r>
    </w:p>
    <w:tbl>
      <w:tblPr>
        <w:tblW w:w="9571" w:type="dxa"/>
        <w:jc w:val="center"/>
        <w:tblInd w:w="0" w:type="dxa"/>
        <w:tblLayout w:type="fixed"/>
        <w:tblCellMar>
          <w:top w:w="0" w:type="dxa"/>
          <w:left w:w="28" w:type="dxa"/>
          <w:bottom w:w="0" w:type="dxa"/>
          <w:right w:w="108" w:type="dxa"/>
        </w:tblCellMar>
      </w:tblPr>
      <w:tblGrid>
        <w:gridCol w:w="1913"/>
        <w:gridCol w:w="1913"/>
        <w:gridCol w:w="1914"/>
        <w:gridCol w:w="1914"/>
        <w:gridCol w:w="1917"/>
      </w:tblGrid>
      <w:tr>
        <w:trPr/>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-o0</w:t>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-o2</w:t>
            </w:r>
          </w:p>
        </w:tc>
        <w:tc>
          <w:tcPr>
            <w:tcW w:w="1917" w:type="dxa"/>
            <w:tcBorders>
              <w:top w:val="single" w:sz="4" w:space="0" w:color="000000"/>
              <w:left w:val="single" w:sz="4" w:space="0" w:color="000000"/>
              <w:bottom w:val="single" w:sz="4" w:space="0" w:color="000000"/>
              <w:right w:val="single" w:sz="4" w:space="0" w:color="000000"/>
            </w:tcBorders>
          </w:tcPr>
          <w:p>
            <w:pPr>
              <w:pStyle w:val="TAH"/>
              <w:rPr/>
            </w:pPr>
            <w:r>
              <w:rPr/>
              <w:t>-o2-avx2</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tested</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L"/>
              <w:rPr/>
            </w:pPr>
            <w:r>
              <w:rPr/>
              <w:t>2349831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L"/>
              <w:rPr/>
            </w:pPr>
            <w:r>
              <w:rPr/>
              <w:t>2349831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2349831</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RMS</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1131386</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1131464</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1157459</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1218445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1218367</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1192372</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48.1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48.1</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49.2</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51.9</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51.9</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50.8</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SNR</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1218443</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1218298</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1152506</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69</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39866</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96.7</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Spectral Distortion</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64</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37678</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2188</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92.7</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94.5</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7.3</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5.5</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100.000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100.000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99.907</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0.00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0.00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0.09</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83</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2675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2675</w:t>
            </w:r>
          </w:p>
        </w:tc>
        <w:tc>
          <w:tcPr>
            <w:tcW w:w="1917" w:type="dxa"/>
            <w:tcBorders>
              <w:top w:val="single" w:sz="4" w:space="0" w:color="000000"/>
              <w:left w:val="single" w:sz="4" w:space="0" w:color="000000"/>
              <w:bottom w:val="single" w:sz="4" w:space="0" w:color="000000"/>
              <w:right w:val="single" w:sz="4" w:space="0" w:color="000000"/>
            </w:tcBorders>
            <w:vAlign w:val="center"/>
          </w:tcPr>
          <w:p>
            <w:pPr>
              <w:pStyle w:val="TAC"/>
              <w:rPr/>
            </w:pPr>
            <w:r>
              <w:rPr/>
              <w:t>2592</w:t>
            </w:r>
          </w:p>
        </w:tc>
      </w:tr>
    </w:tbl>
    <w:p>
      <w:pPr>
        <w:pStyle w:val="Normal"/>
        <w:rPr/>
      </w:pPr>
      <w:r>
        <w:rPr/>
      </w:r>
    </w:p>
    <w:p>
      <w:pPr>
        <w:pStyle w:val="Normal"/>
        <w:rPr/>
      </w:pPr>
      <w:r>
        <w:rPr/>
        <w:t>The number of passing files is 100%, even if not all the frames are passing for the -o0 and -o2 option as the thresholds used (Table 3) allows 0.5% failing frames per file.</w:t>
      </w:r>
    </w:p>
    <w:p>
      <w:pPr>
        <w:pStyle w:val="Normal"/>
        <w:rPr/>
      </w:pPr>
      <w:r>
        <w:rPr/>
        <w:t>The results of Table 9 show similar result as Table 8 in the sense that change in the arithmetic precision or execution will be flagged. A detailed analysis of the 83 failed vectors, shows that the majority of the failed vectors are 32 kHz and 48 kHz noisy speech files test vectors.</w:t>
      </w:r>
    </w:p>
    <w:p>
      <w:pPr>
        <w:pStyle w:val="TH"/>
        <w:rPr/>
      </w:pPr>
      <w:r>
        <w:rPr/>
        <w:t>Table 13: Results for gcc on ARM platform</w:t>
      </w:r>
    </w:p>
    <w:tbl>
      <w:tblPr>
        <w:tblW w:w="7654" w:type="dxa"/>
        <w:jc w:val="center"/>
        <w:tblInd w:w="0" w:type="dxa"/>
        <w:tblLayout w:type="fixed"/>
        <w:tblCellMar>
          <w:top w:w="0" w:type="dxa"/>
          <w:left w:w="28" w:type="dxa"/>
          <w:bottom w:w="0" w:type="dxa"/>
          <w:right w:w="108" w:type="dxa"/>
        </w:tblCellMar>
      </w:tblPr>
      <w:tblGrid>
        <w:gridCol w:w="1913"/>
        <w:gridCol w:w="1913"/>
        <w:gridCol w:w="1914"/>
        <w:gridCol w:w="1914"/>
      </w:tblGrid>
      <w:tr>
        <w:trPr/>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-o3</w:t>
            </w:r>
          </w:p>
        </w:tc>
        <w:tc>
          <w:tcPr>
            <w:tcW w:w="1914" w:type="dxa"/>
            <w:tcBorders>
              <w:top w:val="single" w:sz="4" w:space="0" w:color="000000"/>
              <w:left w:val="single" w:sz="4" w:space="0" w:color="000000"/>
              <w:bottom w:val="single" w:sz="4" w:space="0" w:color="000000"/>
              <w:right w:val="single" w:sz="4" w:space="0" w:color="000000"/>
            </w:tcBorders>
          </w:tcPr>
          <w:p>
            <w:pPr>
              <w:pStyle w:val="TAH"/>
              <w:rPr/>
            </w:pPr>
            <w:r>
              <w:rPr/>
              <w:t>-o3-fast-math</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C"/>
              <w:rPr/>
            </w:pPr>
            <w:r>
              <w:rPr/>
              <w:t>Frames tested</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2349830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2349829</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RMS</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1131118</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87625</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1218712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2262204</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48.1</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3.73</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51.9</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96.27</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SNR</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1218712</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301747</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1960457</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13.34</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86.66</w:t>
            </w:r>
          </w:p>
        </w:tc>
      </w:tr>
      <w:tr>
        <w:trPr/>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Spectral Distortion</w:t>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261677</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1698780</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13.35</w:t>
            </w:r>
          </w:p>
        </w:tc>
      </w:tr>
      <w:tr>
        <w:trPr/>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120" w:after="0"/>
              <w:ind w:right="57" w:hanging="0"/>
              <w:rPr>
                <w:szCs w:val="22"/>
              </w:rPr>
            </w:pPr>
            <w:r>
              <w:rPr>
                <w:szCs w:val="22"/>
              </w:rPr>
            </w:r>
          </w:p>
        </w:tc>
        <w:tc>
          <w:tcPr>
            <w:tcW w:w="1913" w:type="dxa"/>
            <w:tcBorders>
              <w:top w:val="single" w:sz="4" w:space="0" w:color="000000"/>
              <w:left w:val="single" w:sz="4" w:space="0" w:color="000000"/>
              <w:bottom w:val="single" w:sz="4" w:space="0" w:color="000000"/>
              <w:right w:val="single" w:sz="4" w:space="0" w:color="000000"/>
            </w:tcBorders>
          </w:tcPr>
          <w:p>
            <w:pPr>
              <w:pStyle w:val="TAL"/>
              <w:rPr/>
            </w:pPr>
            <w:r>
              <w:rPr/>
              <w:t>%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86.65</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100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27.7</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Overall % frames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72.3</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failing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2547</w:t>
            </w:r>
          </w:p>
        </w:tc>
      </w:tr>
      <w:tr>
        <w:trPr/>
        <w:tc>
          <w:tcPr>
            <w:tcW w:w="3826"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files passing</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2675</w:t>
            </w:r>
          </w:p>
        </w:tc>
        <w:tc>
          <w:tcPr>
            <w:tcW w:w="1914" w:type="dxa"/>
            <w:tcBorders>
              <w:top w:val="single" w:sz="4" w:space="0" w:color="000000"/>
              <w:left w:val="single" w:sz="4" w:space="0" w:color="000000"/>
              <w:bottom w:val="single" w:sz="4" w:space="0" w:color="000000"/>
              <w:right w:val="single" w:sz="4" w:space="0" w:color="000000"/>
            </w:tcBorders>
            <w:vAlign w:val="center"/>
          </w:tcPr>
          <w:p>
            <w:pPr>
              <w:pStyle w:val="TAC"/>
              <w:rPr/>
            </w:pPr>
            <w:r>
              <w:rPr/>
              <w:t>128</w:t>
            </w:r>
          </w:p>
        </w:tc>
      </w:tr>
    </w:tbl>
    <w:p>
      <w:pPr>
        <w:pStyle w:val="Normal"/>
        <w:rPr/>
      </w:pPr>
      <w:r>
        <w:rPr/>
      </w:r>
    </w:p>
    <w:p>
      <w:pPr>
        <w:pStyle w:val="Normal"/>
        <w:rPr/>
      </w:pPr>
      <w:r>
        <w:rPr/>
        <w:t>It can be seen that with the more aggressive compiler settings (-fast-math), the number of frames and files failing increases significantly compared to the more conservative compiler setting (-o3). Based on the proposed method and example thresholds, this implementation would not be conformant with TS 26.443 [2].</w:t>
      </w:r>
    </w:p>
    <w:p>
      <w:pPr>
        <w:pStyle w:val="Normal"/>
        <w:rPr/>
      </w:pPr>
      <w:r>
        <w:rPr/>
        <w:t>It should be noted that the higher number of frames failing, compare to other results reported in Clause 6.3, seems to be due to unexpected sample delay introduced in several of the decoded files for the -o3-fast-math compiler setting. This sample delay could be the root cause of the difference in the number of frame tested.</w:t>
      </w:r>
    </w:p>
    <w:p>
      <w:pPr>
        <w:pStyle w:val="Heading3"/>
        <w:rPr/>
      </w:pPr>
      <w:bookmarkStart w:id="57" w:name="__RefHeading___Toc524274806"/>
      <w:bookmarkEnd w:id="57"/>
      <w:r>
        <w:rPr/>
        <w:t>6.3.3</w:t>
        <w:tab/>
        <w:t>Robustness Decoder Test Results</w:t>
      </w:r>
    </w:p>
    <w:p>
      <w:pPr>
        <w:pStyle w:val="Normal"/>
        <w:rPr/>
      </w:pPr>
      <w:r>
        <w:rPr/>
        <w:t>In the context of EVS floating point code fix, a temporary code was evaluated where the seed of the random generator in the decoder was changed. This code was tested only using the gcc+xeon system. The results are reported in Table 14.</w:t>
      </w:r>
    </w:p>
    <w:p>
      <w:pPr>
        <w:pStyle w:val="TH"/>
        <w:rPr/>
      </w:pPr>
      <w:r>
        <w:rPr/>
        <w:t>Table 14: Result for gcc and Xeon system with code change</w:t>
      </w:r>
    </w:p>
    <w:tbl>
      <w:tblPr>
        <w:tblW w:w="9571" w:type="dxa"/>
        <w:jc w:val="center"/>
        <w:tblInd w:w="0" w:type="dxa"/>
        <w:tblLayout w:type="fixed"/>
        <w:tblCellMar>
          <w:top w:w="0" w:type="dxa"/>
          <w:left w:w="28" w:type="dxa"/>
          <w:bottom w:w="0" w:type="dxa"/>
          <w:right w:w="108" w:type="dxa"/>
        </w:tblCellMar>
      </w:tblPr>
      <w:tblGrid>
        <w:gridCol w:w="2392"/>
        <w:gridCol w:w="2393"/>
        <w:gridCol w:w="2393"/>
        <w:gridCol w:w="2393"/>
      </w:tblGrid>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t>Compiler option</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-o0</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-o2</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-o2-avx2</w:t>
            </w:r>
          </w:p>
        </w:tc>
      </w:tr>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t>Number failed vectors</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235</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235</w:t>
            </w:r>
          </w:p>
        </w:tc>
        <w:tc>
          <w:tcPr>
            <w:tcW w:w="2393" w:type="dxa"/>
            <w:tcBorders>
              <w:top w:val="single" w:sz="4" w:space="0" w:color="000000"/>
              <w:left w:val="single" w:sz="4" w:space="0" w:color="000000"/>
              <w:bottom w:val="single" w:sz="4" w:space="0" w:color="000000"/>
              <w:right w:val="single" w:sz="4" w:space="0" w:color="000000"/>
            </w:tcBorders>
          </w:tcPr>
          <w:p>
            <w:pPr>
              <w:pStyle w:val="TAC"/>
              <w:rPr/>
            </w:pPr>
            <w:r>
              <w:rPr/>
              <w:t>274</w:t>
            </w:r>
          </w:p>
        </w:tc>
      </w:tr>
    </w:tbl>
    <w:p>
      <w:pPr>
        <w:pStyle w:val="Normal"/>
        <w:rPr/>
      </w:pPr>
      <w:r>
        <w:rPr/>
      </w:r>
    </w:p>
    <w:p>
      <w:pPr>
        <w:pStyle w:val="Normal"/>
        <w:rPr/>
      </w:pPr>
      <w:r>
        <w:rPr/>
        <w:t>It can be seen that independently of the compiler options, the decoder test flagged the code as non-conformant. It shows that the decoder test can detect some code changes.</w:t>
      </w:r>
    </w:p>
    <w:p>
      <w:pPr>
        <w:pStyle w:val="Heading2"/>
        <w:rPr/>
      </w:pPr>
      <w:bookmarkStart w:id="58" w:name="__RefHeading___Toc524274807"/>
      <w:bookmarkEnd w:id="58"/>
      <w:r>
        <w:rPr/>
        <w:t>6.4</w:t>
        <w:tab/>
        <w:t>Experiment D</w:t>
      </w:r>
    </w:p>
    <w:p>
      <w:pPr>
        <w:pStyle w:val="Heading3"/>
        <w:rPr/>
      </w:pPr>
      <w:bookmarkStart w:id="59" w:name="__RefHeading___Toc524274808"/>
      <w:bookmarkEnd w:id="59"/>
      <w:r>
        <w:rPr/>
        <w:t>6.4.1</w:t>
        <w:tab/>
        <w:t>Delta-MOS-LQO Behaviour for Mixed-Music Signals</w:t>
      </w:r>
    </w:p>
    <w:p>
      <w:pPr>
        <w:pStyle w:val="Normal"/>
        <w:rPr/>
      </w:pPr>
      <w:r>
        <w:rPr/>
        <w:t>A 10-second long mixed-music input was processed through the FL reference (REF) implementation and an FL test implementation. The FL test implementation TEST(Clip2.deg2.32k) includes e.g., certain optimizations related to parameter quantization, over the FL reference implementation REF (Clip2.deg1.32k), which introduced a clear, audible artifact as shown in Figure 18.</w:t>
      </w:r>
    </w:p>
    <w:p>
      <w:pPr>
        <w:pStyle w:val="TH"/>
        <w:rPr/>
      </w:pPr>
      <w:r>
        <w:rPr/>
      </w:r>
    </w:p>
    <w:tbl>
      <w:tblPr>
        <w:tblW w:w="9350" w:type="dxa"/>
        <w:jc w:val="center"/>
        <w:tblInd w:w="0" w:type="dxa"/>
        <w:tblLayout w:type="fixed"/>
        <w:tblCellMar>
          <w:top w:w="0" w:type="dxa"/>
          <w:left w:w="28" w:type="dxa"/>
          <w:bottom w:w="0" w:type="dxa"/>
          <w:right w:w="108" w:type="dxa"/>
        </w:tblCellMar>
      </w:tblPr>
      <w:tblGrid>
        <w:gridCol w:w="4675"/>
        <w:gridCol w:w="4675"/>
      </w:tblGrid>
      <w:tr>
        <w:trPr/>
        <w:tc>
          <w:tcPr>
            <w:tcW w:w="4675" w:type="dxa"/>
            <w:tcBorders>
              <w:top w:val="single" w:sz="4" w:space="0" w:color="000000"/>
              <w:left w:val="single" w:sz="4" w:space="0" w:color="000000"/>
              <w:bottom w:val="single" w:sz="4" w:space="0" w:color="000000"/>
              <w:right w:val="single" w:sz="4" w:space="0" w:color="000000"/>
            </w:tcBorders>
          </w:tcPr>
          <w:p>
            <w:pPr>
              <w:pStyle w:val="TH"/>
              <w:spacing w:before="60" w:after="180"/>
              <w:rPr>
                <w:color w:val="212121"/>
                <w:lang w:val="en-GB"/>
              </w:rPr>
            </w:pPr>
            <w:r>
              <w:rPr>
                <w:lang w:val="en-GB"/>
              </w:rPr>
              <w:t>Spectrogram of REF (Clip2.deg1.32k)</w:t>
            </w:r>
          </w:p>
        </w:tc>
        <w:tc>
          <w:tcPr>
            <w:tcW w:w="4675"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Arial"/>
                <w:color w:val="212121"/>
                <w:lang w:val="en-GB"/>
              </w:rPr>
            </w:pPr>
            <w:r>
              <w:rPr>
                <w:rFonts w:cs="Arial"/>
                <w:bCs/>
                <w:lang w:val="en-GB"/>
              </w:rPr>
              <w:t>Spectrogram of TEST (Clip2.deg2.32k)</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TH"/>
              <w:spacing w:before="60" w:after="180"/>
              <w:rPr>
                <w:color w:val="212121"/>
                <w:lang w:val="en-GB"/>
              </w:rPr>
            </w:pPr>
            <w:r>
              <w:rPr>
                <w:lang w:val="en-GB"/>
              </w:rPr>
              <w:drawing>
                <wp:inline distT="0" distB="0" distL="0" distR="0">
                  <wp:extent cx="2724150" cy="5305425"/>
                  <wp:effectExtent l="0" t="0" r="0" b="0"/>
                  <wp:docPr id="8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 descr=""/>
                          <pic:cNvPicPr>
                            <a:picLocks noChangeAspect="1" noChangeArrowheads="1"/>
                          </pic:cNvPicPr>
                        </pic:nvPicPr>
                        <pic:blipFill>
                          <a:blip r:embed="rId84"/>
                          <a:srcRect l="-13" t="-7" r="-13" b="-7"/>
                          <a:stretch>
                            <a:fillRect/>
                          </a:stretch>
                        </pic:blipFill>
                        <pic:spPr bwMode="auto">
                          <a:xfrm>
                            <a:off x="0" y="0"/>
                            <a:ext cx="2724150" cy="5305425"/>
                          </a:xfrm>
                          <a:prstGeom prst="rect">
                            <a:avLst/>
                          </a:prstGeom>
                        </pic:spPr>
                      </pic:pic>
                    </a:graphicData>
                  </a:graphic>
                </wp:inline>
              </w:drawing>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color w:val="212121"/>
              </w:rPr>
            </w:pPr>
            <w:r>
              <w:rPr/>
              <w:drawing>
                <wp:inline distT="0" distB="0" distL="0" distR="0">
                  <wp:extent cx="2708910" cy="5320665"/>
                  <wp:effectExtent l="0" t="0" r="0" b="0"/>
                  <wp:docPr id="8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descr=""/>
                          <pic:cNvPicPr>
                            <a:picLocks noChangeAspect="1" noChangeArrowheads="1"/>
                          </pic:cNvPicPr>
                        </pic:nvPicPr>
                        <pic:blipFill>
                          <a:blip r:embed="rId85"/>
                          <a:srcRect l="-13" t="-7" r="-13" b="-7"/>
                          <a:stretch>
                            <a:fillRect/>
                          </a:stretch>
                        </pic:blipFill>
                        <pic:spPr bwMode="auto">
                          <a:xfrm>
                            <a:off x="0" y="0"/>
                            <a:ext cx="2708910" cy="5320665"/>
                          </a:xfrm>
                          <a:prstGeom prst="rect">
                            <a:avLst/>
                          </a:prstGeom>
                        </pic:spPr>
                      </pic:pic>
                    </a:graphicData>
                  </a:graphic>
                </wp:inline>
              </w:drawing>
            </w:r>
          </w:p>
        </w:tc>
      </w:tr>
    </w:tbl>
    <w:p>
      <w:pPr>
        <w:pStyle w:val="TF"/>
        <w:spacing w:before="120" w:after="240"/>
        <w:rPr/>
      </w:pPr>
      <w:r>
        <w:rPr/>
        <w:t>Figure 18: Spectrogram of reference and degraded waveform</w:t>
      </w:r>
    </w:p>
    <w:p>
      <w:pPr>
        <w:pStyle w:val="Normal"/>
        <w:rPr/>
      </w:pPr>
      <w:r>
        <w:rPr/>
        <w:t xml:space="preserve">Table 15 shows the MOS-LQO scores for the two outputs using POLQA version 2.4. </w:t>
      </w:r>
    </w:p>
    <w:p>
      <w:pPr>
        <w:pStyle w:val="TH"/>
        <w:rPr/>
      </w:pPr>
      <w:r>
        <w:rPr/>
        <w:t>Table 15: MOS-LQO scores for reference and degraded file</w:t>
      </w:r>
    </w:p>
    <w:tbl>
      <w:tblPr>
        <w:tblW w:w="9134" w:type="dxa"/>
        <w:jc w:val="center"/>
        <w:tblInd w:w="0" w:type="dxa"/>
        <w:tblLayout w:type="fixed"/>
        <w:tblCellMar>
          <w:top w:w="0" w:type="dxa"/>
          <w:left w:w="108" w:type="dxa"/>
          <w:bottom w:w="0" w:type="dxa"/>
          <w:right w:w="108" w:type="dxa"/>
        </w:tblCellMar>
      </w:tblPr>
      <w:tblGrid>
        <w:gridCol w:w="2046"/>
        <w:gridCol w:w="2589"/>
        <w:gridCol w:w="2718"/>
        <w:gridCol w:w="1781"/>
      </w:tblGrid>
      <w:tr>
        <w:trPr/>
        <w:tc>
          <w:tcPr>
            <w:tcW w:w="2046" w:type="dxa"/>
            <w:tcBorders>
              <w:top w:val="single" w:sz="8" w:space="0" w:color="000000"/>
              <w:left w:val="single" w:sz="8" w:space="0" w:color="000000"/>
              <w:bottom w:val="single" w:sz="8" w:space="0" w:color="000000"/>
              <w:right w:val="single" w:sz="8" w:space="0" w:color="000000"/>
            </w:tcBorders>
            <w:vAlign w:val="center"/>
          </w:tcPr>
          <w:p>
            <w:pPr>
              <w:pStyle w:val="TAH"/>
              <w:snapToGrid w:val="false"/>
              <w:rPr/>
            </w:pPr>
            <w:r>
              <w:rPr/>
            </w:r>
          </w:p>
        </w:tc>
        <w:tc>
          <w:tcPr>
            <w:tcW w:w="2589" w:type="dxa"/>
            <w:tcBorders>
              <w:top w:val="single" w:sz="8" w:space="0" w:color="000000"/>
              <w:bottom w:val="single" w:sz="8" w:space="0" w:color="000000"/>
              <w:right w:val="single" w:sz="8" w:space="0" w:color="000000"/>
            </w:tcBorders>
            <w:vAlign w:val="center"/>
          </w:tcPr>
          <w:p>
            <w:pPr>
              <w:pStyle w:val="TAH"/>
              <w:rPr/>
            </w:pPr>
            <w:r>
              <w:rPr/>
              <w:t>REF (Clip2.deg1.32k)</w:t>
            </w:r>
          </w:p>
        </w:tc>
        <w:tc>
          <w:tcPr>
            <w:tcW w:w="2718" w:type="dxa"/>
            <w:tcBorders>
              <w:top w:val="single" w:sz="8" w:space="0" w:color="000000"/>
              <w:bottom w:val="single" w:sz="8" w:space="0" w:color="000000"/>
              <w:right w:val="single" w:sz="8" w:space="0" w:color="000000"/>
            </w:tcBorders>
            <w:vAlign w:val="center"/>
          </w:tcPr>
          <w:p>
            <w:pPr>
              <w:pStyle w:val="TAH"/>
              <w:rPr/>
            </w:pPr>
            <w:r>
              <w:rPr/>
              <w:t>TEST (Clip2.deg2.32k)</w:t>
            </w:r>
          </w:p>
        </w:tc>
        <w:tc>
          <w:tcPr>
            <w:tcW w:w="1781" w:type="dxa"/>
            <w:tcBorders>
              <w:top w:val="single" w:sz="8" w:space="0" w:color="000000"/>
              <w:bottom w:val="single" w:sz="8" w:space="0" w:color="000000"/>
              <w:right w:val="single" w:sz="8" w:space="0" w:color="000000"/>
            </w:tcBorders>
            <w:tcMar>
              <w:left w:w="28" w:type="dxa"/>
              <w:right w:w="0" w:type="dxa"/>
            </w:tcMar>
            <w:vAlign w:val="center"/>
          </w:tcPr>
          <w:p>
            <w:pPr>
              <w:pStyle w:val="TAH"/>
              <w:rPr/>
            </w:pPr>
            <w:r>
              <w:rPr/>
              <w:t>Delta-MOS-LQO</w:t>
            </w:r>
          </w:p>
        </w:tc>
      </w:tr>
      <w:tr>
        <w:trPr/>
        <w:tc>
          <w:tcPr>
            <w:tcW w:w="2046" w:type="dxa"/>
            <w:tcBorders>
              <w:left w:val="single" w:sz="8" w:space="0" w:color="000000"/>
              <w:bottom w:val="single" w:sz="8" w:space="0" w:color="000000"/>
              <w:right w:val="single" w:sz="8" w:space="0" w:color="000000"/>
            </w:tcBorders>
            <w:vAlign w:val="center"/>
          </w:tcPr>
          <w:p>
            <w:pPr>
              <w:pStyle w:val="TAL"/>
              <w:rPr/>
            </w:pPr>
            <w:r>
              <w:rPr/>
              <w:t>MOS-LQO Score</w:t>
            </w:r>
          </w:p>
        </w:tc>
        <w:tc>
          <w:tcPr>
            <w:tcW w:w="2589" w:type="dxa"/>
            <w:tcBorders>
              <w:bottom w:val="single" w:sz="8" w:space="0" w:color="000000"/>
              <w:right w:val="single" w:sz="8" w:space="0" w:color="000000"/>
            </w:tcBorders>
            <w:vAlign w:val="center"/>
          </w:tcPr>
          <w:p>
            <w:pPr>
              <w:pStyle w:val="TAC"/>
              <w:rPr/>
            </w:pPr>
            <w:r>
              <w:rPr/>
              <w:t>4.2622</w:t>
            </w:r>
          </w:p>
        </w:tc>
        <w:tc>
          <w:tcPr>
            <w:tcW w:w="2718" w:type="dxa"/>
            <w:tcBorders>
              <w:bottom w:val="single" w:sz="8" w:space="0" w:color="000000"/>
              <w:right w:val="single" w:sz="8" w:space="0" w:color="000000"/>
            </w:tcBorders>
            <w:vAlign w:val="center"/>
          </w:tcPr>
          <w:p>
            <w:pPr>
              <w:pStyle w:val="TAC"/>
              <w:rPr/>
            </w:pPr>
            <w:r>
              <w:rPr/>
              <w:t>4.2662</w:t>
            </w:r>
          </w:p>
        </w:tc>
        <w:tc>
          <w:tcPr>
            <w:tcW w:w="1781" w:type="dxa"/>
            <w:tcBorders>
              <w:bottom w:val="single" w:sz="8" w:space="0" w:color="000000"/>
              <w:right w:val="single" w:sz="8" w:space="0" w:color="000000"/>
            </w:tcBorders>
            <w:tcMar>
              <w:left w:w="28" w:type="dxa"/>
              <w:right w:w="0" w:type="dxa"/>
            </w:tcMar>
            <w:vAlign w:val="center"/>
          </w:tcPr>
          <w:p>
            <w:pPr>
              <w:pStyle w:val="TAC"/>
              <w:rPr/>
            </w:pPr>
            <w:r>
              <w:rPr/>
              <w:t>0.004</w:t>
            </w:r>
          </w:p>
        </w:tc>
      </w:tr>
    </w:tbl>
    <w:p>
      <w:pPr>
        <w:pStyle w:val="Normal"/>
        <w:rPr>
          <w:rFonts w:ascii="Arial" w:hAnsi="Arial" w:cs="Arial"/>
          <w:color w:val="212121"/>
        </w:rPr>
      </w:pPr>
      <w:r>
        <w:rPr>
          <w:rFonts w:cs="Arial" w:ascii="Arial" w:hAnsi="Arial"/>
          <w:color w:val="212121"/>
        </w:rPr>
      </w:r>
    </w:p>
    <w:p>
      <w:pPr>
        <w:pStyle w:val="Normal"/>
        <w:rPr/>
      </w:pPr>
      <w:r>
        <w:rPr/>
        <w:t>Although this is a serious artifact and is clearly audible, Delta-MOS-LQO between these two samples is not noticeable at all, with a value of 0.004. Note that the nature of modification of source code in "Clip1.deg2.32k" is not relevant here. Rather the more important and relevant fact here is that POLQA tool only shows a negligible difference in the scores for two vastly different mixed-music signals.</w:t>
      </w:r>
    </w:p>
    <w:p>
      <w:pPr>
        <w:pStyle w:val="Heading3"/>
        <w:rPr/>
      </w:pPr>
      <w:bookmarkStart w:id="60" w:name="__RefHeading___Toc524274809"/>
      <w:bookmarkEnd w:id="60"/>
      <w:r>
        <w:rPr/>
        <w:t>6.4.2</w:t>
        <w:tab/>
        <w:t>Clean Speech Input Example</w:t>
      </w:r>
    </w:p>
    <w:p>
      <w:pPr>
        <w:pStyle w:val="Normal"/>
        <w:keepNext w:val="true"/>
        <w:keepLines/>
        <w:rPr/>
      </w:pPr>
      <w:r>
        <w:rPr/>
        <w:t>We present a clean speech input example below with relevant POLQA MOS LQO scores. 8 seconds long Super-Wideband clean speech input was bandpass filtered to match the required frequency range of POLQA (50 Hz to 14 kHz) and was processed through FL reference (REF) implementation and an FL test implementation. The FL test implementation TEST (Clip1.deg2.32k) includes certain optimizations related to parameter quantization, over the FL reference implementation REF (Clip1.deg1.32k).</w:t>
      </w:r>
    </w:p>
    <w:p>
      <w:pPr>
        <w:pStyle w:val="TH"/>
        <w:rPr/>
      </w:pPr>
      <w:r>
        <w:rPr/>
      </w:r>
    </w:p>
    <w:tbl>
      <w:tblPr>
        <w:tblW w:w="9380" w:type="dxa"/>
        <w:jc w:val="center"/>
        <w:tblInd w:w="0" w:type="dxa"/>
        <w:tblLayout w:type="fixed"/>
        <w:tblCellMar>
          <w:top w:w="0" w:type="dxa"/>
          <w:left w:w="28" w:type="dxa"/>
          <w:bottom w:w="0" w:type="dxa"/>
          <w:right w:w="108" w:type="dxa"/>
        </w:tblCellMar>
      </w:tblPr>
      <w:tblGrid>
        <w:gridCol w:w="4726"/>
        <w:gridCol w:w="4654"/>
      </w:tblGrid>
      <w:tr>
        <w:trPr/>
        <w:tc>
          <w:tcPr>
            <w:tcW w:w="4726" w:type="dxa"/>
            <w:tcBorders>
              <w:top w:val="single" w:sz="4" w:space="0" w:color="000000"/>
              <w:left w:val="single" w:sz="4" w:space="0" w:color="000000"/>
              <w:bottom w:val="single" w:sz="4" w:space="0" w:color="000000"/>
              <w:right w:val="single" w:sz="4" w:space="0" w:color="000000"/>
            </w:tcBorders>
          </w:tcPr>
          <w:p>
            <w:pPr>
              <w:pStyle w:val="TH"/>
              <w:spacing w:before="60" w:after="180"/>
              <w:rPr>
                <w:color w:val="212121"/>
                <w:lang w:val="en-GB"/>
              </w:rPr>
            </w:pPr>
            <w:r>
              <w:rPr>
                <w:lang w:val="en-GB"/>
              </w:rPr>
              <w:t>Spectrogram of REF Clip1.deg1.32k</w:t>
            </w:r>
          </w:p>
        </w:tc>
        <w:tc>
          <w:tcPr>
            <w:tcW w:w="4654" w:type="dxa"/>
            <w:tcBorders>
              <w:top w:val="single" w:sz="4" w:space="0" w:color="000000"/>
              <w:left w:val="single" w:sz="4" w:space="0" w:color="000000"/>
              <w:bottom w:val="single" w:sz="4" w:space="0" w:color="000000"/>
              <w:right w:val="single" w:sz="4" w:space="0" w:color="000000"/>
            </w:tcBorders>
          </w:tcPr>
          <w:p>
            <w:pPr>
              <w:pStyle w:val="TH"/>
              <w:spacing w:before="60" w:after="180"/>
              <w:rPr>
                <w:color w:val="212121"/>
                <w:lang w:val="en-GB"/>
              </w:rPr>
            </w:pPr>
            <w:r>
              <w:rPr>
                <w:lang w:val="en-GB"/>
              </w:rPr>
              <w:t>Spectrogram of TEST Clip1.deg2.32k</w:t>
            </w:r>
          </w:p>
        </w:tc>
      </w:tr>
      <w:tr>
        <w:trPr/>
        <w:tc>
          <w:tcPr>
            <w:tcW w:w="4726"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Arial"/>
                <w:color w:val="212121"/>
                <w:lang w:val="en-GB"/>
              </w:rPr>
            </w:pPr>
            <w:r>
              <w:rPr>
                <w:lang w:val="en-GB"/>
              </w:rPr>
              <w:drawing>
                <wp:inline distT="0" distB="0" distL="0" distR="0">
                  <wp:extent cx="2863215" cy="3241040"/>
                  <wp:effectExtent l="0" t="0" r="0" b="0"/>
                  <wp:docPr id="8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descr=""/>
                          <pic:cNvPicPr>
                            <a:picLocks noChangeAspect="1" noChangeArrowheads="1"/>
                          </pic:cNvPicPr>
                        </pic:nvPicPr>
                        <pic:blipFill>
                          <a:blip r:embed="rId86"/>
                          <a:srcRect l="-8" t="-7" r="-8" b="-7"/>
                          <a:stretch>
                            <a:fillRect/>
                          </a:stretch>
                        </pic:blipFill>
                        <pic:spPr bwMode="auto">
                          <a:xfrm>
                            <a:off x="0" y="0"/>
                            <a:ext cx="2863215" cy="3241040"/>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Arial"/>
                <w:color w:val="212121"/>
                <w:lang w:val="en-GB"/>
              </w:rPr>
            </w:pPr>
            <w:r>
              <w:rPr>
                <w:lang w:val="en-GB"/>
              </w:rPr>
              <w:drawing>
                <wp:inline distT="0" distB="0" distL="0" distR="0">
                  <wp:extent cx="2817495" cy="3221990"/>
                  <wp:effectExtent l="0" t="0" r="0" b="0"/>
                  <wp:docPr id="8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descr=""/>
                          <pic:cNvPicPr>
                            <a:picLocks noChangeAspect="1" noChangeArrowheads="1"/>
                          </pic:cNvPicPr>
                        </pic:nvPicPr>
                        <pic:blipFill>
                          <a:blip r:embed="rId87"/>
                          <a:srcRect l="-8" t="-7" r="-8" b="-7"/>
                          <a:stretch>
                            <a:fillRect/>
                          </a:stretch>
                        </pic:blipFill>
                        <pic:spPr bwMode="auto">
                          <a:xfrm>
                            <a:off x="0" y="0"/>
                            <a:ext cx="2817495" cy="3221990"/>
                          </a:xfrm>
                          <a:prstGeom prst="rect">
                            <a:avLst/>
                          </a:prstGeom>
                        </pic:spPr>
                      </pic:pic>
                    </a:graphicData>
                  </a:graphic>
                </wp:inline>
              </w:drawing>
            </w:r>
          </w:p>
        </w:tc>
      </w:tr>
    </w:tbl>
    <w:p>
      <w:pPr>
        <w:pStyle w:val="TF"/>
        <w:spacing w:before="120" w:after="240"/>
        <w:rPr/>
      </w:pPr>
      <w:r>
        <w:rPr/>
        <w:t>Figure 19: spectrogram of reference and degraded speech waveform</w:t>
      </w:r>
      <w:r>
        <w:br w:type="page"/>
      </w:r>
    </w:p>
    <w:p>
      <w:pPr>
        <w:pStyle w:val="Normal"/>
        <w:rPr/>
      </w:pPr>
      <w:r>
        <w:rPr/>
        <w:t>Table 16 shows the MOS-LQO scores for the two outputs using POLQA version 2.4.</w:t>
      </w:r>
    </w:p>
    <w:p>
      <w:pPr>
        <w:pStyle w:val="TH"/>
        <w:rPr/>
      </w:pPr>
      <w:r>
        <w:rPr/>
        <w:t>Table 16: MOS-LQO scores for reference and degraded signal</w:t>
      </w:r>
    </w:p>
    <w:tbl>
      <w:tblPr>
        <w:tblW w:w="9116" w:type="dxa"/>
        <w:jc w:val="center"/>
        <w:tblInd w:w="0" w:type="dxa"/>
        <w:tblLayout w:type="fixed"/>
        <w:tblCellMar>
          <w:top w:w="0" w:type="dxa"/>
          <w:left w:w="108" w:type="dxa"/>
          <w:bottom w:w="0" w:type="dxa"/>
          <w:right w:w="108" w:type="dxa"/>
        </w:tblCellMar>
      </w:tblPr>
      <w:tblGrid>
        <w:gridCol w:w="1889"/>
        <w:gridCol w:w="2409"/>
        <w:gridCol w:w="2409"/>
        <w:gridCol w:w="2409"/>
      </w:tblGrid>
      <w:tr>
        <w:trPr/>
        <w:tc>
          <w:tcPr>
            <w:tcW w:w="1889" w:type="dxa"/>
            <w:tcBorders>
              <w:top w:val="single" w:sz="8" w:space="0" w:color="000000"/>
              <w:left w:val="single" w:sz="8" w:space="0" w:color="000000"/>
              <w:bottom w:val="single" w:sz="8" w:space="0" w:color="000000"/>
              <w:right w:val="single" w:sz="8" w:space="0" w:color="000000"/>
            </w:tcBorders>
            <w:vAlign w:val="center"/>
          </w:tcPr>
          <w:p>
            <w:pPr>
              <w:pStyle w:val="TAH"/>
              <w:snapToGrid w:val="false"/>
              <w:rPr/>
            </w:pPr>
            <w:r>
              <w:rPr/>
            </w:r>
          </w:p>
        </w:tc>
        <w:tc>
          <w:tcPr>
            <w:tcW w:w="2409" w:type="dxa"/>
            <w:tcBorders>
              <w:top w:val="single" w:sz="8" w:space="0" w:color="000000"/>
              <w:bottom w:val="single" w:sz="8" w:space="0" w:color="000000"/>
              <w:right w:val="single" w:sz="8" w:space="0" w:color="000000"/>
            </w:tcBorders>
            <w:vAlign w:val="center"/>
          </w:tcPr>
          <w:p>
            <w:pPr>
              <w:pStyle w:val="TAH"/>
              <w:rPr/>
            </w:pPr>
            <w:r>
              <w:rPr/>
              <w:t>REF Clip1.deg1.32k</w:t>
            </w:r>
          </w:p>
        </w:tc>
        <w:tc>
          <w:tcPr>
            <w:tcW w:w="2409" w:type="dxa"/>
            <w:tcBorders>
              <w:top w:val="single" w:sz="8" w:space="0" w:color="000000"/>
              <w:bottom w:val="single" w:sz="8" w:space="0" w:color="000000"/>
              <w:right w:val="single" w:sz="8" w:space="0" w:color="000000"/>
            </w:tcBorders>
            <w:vAlign w:val="center"/>
          </w:tcPr>
          <w:p>
            <w:pPr>
              <w:pStyle w:val="TAH"/>
              <w:rPr/>
            </w:pPr>
            <w:r>
              <w:rPr/>
              <w:t>TEST Clip1.deg2.32k</w:t>
            </w:r>
          </w:p>
        </w:tc>
        <w:tc>
          <w:tcPr>
            <w:tcW w:w="2409" w:type="dxa"/>
            <w:tcBorders>
              <w:top w:val="single" w:sz="8" w:space="0" w:color="000000"/>
              <w:bottom w:val="single" w:sz="8" w:space="0" w:color="000000"/>
              <w:right w:val="single" w:sz="8" w:space="0" w:color="000000"/>
            </w:tcBorders>
            <w:tcMar>
              <w:left w:w="28" w:type="dxa"/>
              <w:right w:w="0" w:type="dxa"/>
            </w:tcMar>
            <w:vAlign w:val="center"/>
          </w:tcPr>
          <w:p>
            <w:pPr>
              <w:pStyle w:val="TAH"/>
              <w:rPr/>
            </w:pPr>
            <w:r>
              <w:rPr/>
              <w:t>Delta-MOS-LQO</w:t>
            </w:r>
          </w:p>
        </w:tc>
      </w:tr>
      <w:tr>
        <w:trPr/>
        <w:tc>
          <w:tcPr>
            <w:tcW w:w="1889" w:type="dxa"/>
            <w:tcBorders>
              <w:left w:val="single" w:sz="8" w:space="0" w:color="000000"/>
              <w:bottom w:val="single" w:sz="8" w:space="0" w:color="000000"/>
              <w:right w:val="single" w:sz="8" w:space="0" w:color="000000"/>
            </w:tcBorders>
            <w:vAlign w:val="center"/>
          </w:tcPr>
          <w:p>
            <w:pPr>
              <w:pStyle w:val="TAC"/>
              <w:rPr/>
            </w:pPr>
            <w:r>
              <w:rPr/>
              <w:t>MOS-LQO Score</w:t>
            </w:r>
          </w:p>
        </w:tc>
        <w:tc>
          <w:tcPr>
            <w:tcW w:w="2409" w:type="dxa"/>
            <w:tcBorders>
              <w:bottom w:val="single" w:sz="8" w:space="0" w:color="000000"/>
              <w:right w:val="single" w:sz="8" w:space="0" w:color="000000"/>
            </w:tcBorders>
            <w:vAlign w:val="center"/>
          </w:tcPr>
          <w:p>
            <w:pPr>
              <w:pStyle w:val="TAC"/>
              <w:rPr>
                <w:rFonts w:cs="Arial"/>
              </w:rPr>
            </w:pPr>
            <w:r>
              <w:rPr/>
              <w:t>4.3888</w:t>
            </w:r>
          </w:p>
        </w:tc>
        <w:tc>
          <w:tcPr>
            <w:tcW w:w="2409" w:type="dxa"/>
            <w:tcBorders>
              <w:bottom w:val="single" w:sz="8" w:space="0" w:color="000000"/>
              <w:right w:val="single" w:sz="8" w:space="0" w:color="000000"/>
            </w:tcBorders>
            <w:vAlign w:val="center"/>
          </w:tcPr>
          <w:p>
            <w:pPr>
              <w:pStyle w:val="TAC"/>
              <w:rPr>
                <w:rFonts w:cs="Arial"/>
              </w:rPr>
            </w:pPr>
            <w:r>
              <w:rPr>
                <w:rFonts w:cs="Arial"/>
              </w:rPr>
              <w:t>4.3752</w:t>
            </w:r>
          </w:p>
        </w:tc>
        <w:tc>
          <w:tcPr>
            <w:tcW w:w="2409" w:type="dxa"/>
            <w:tcBorders>
              <w:bottom w:val="single" w:sz="8" w:space="0" w:color="000000"/>
              <w:right w:val="single" w:sz="8" w:space="0" w:color="000000"/>
            </w:tcBorders>
            <w:tcMar>
              <w:left w:w="28" w:type="dxa"/>
              <w:right w:w="0" w:type="dxa"/>
            </w:tcMar>
            <w:vAlign w:val="center"/>
          </w:tcPr>
          <w:p>
            <w:pPr>
              <w:pStyle w:val="TAC"/>
              <w:rPr>
                <w:rFonts w:cs="Arial"/>
              </w:rPr>
            </w:pPr>
            <w:r>
              <w:rPr>
                <w:rFonts w:cs="Arial"/>
              </w:rPr>
              <w:t>0.0136</w:t>
            </w:r>
          </w:p>
        </w:tc>
      </w:tr>
    </w:tbl>
    <w:p>
      <w:pPr>
        <w:pStyle w:val="Normal"/>
        <w:rPr>
          <w:i/>
          <w:i/>
          <w:color w:val="000000"/>
        </w:rPr>
      </w:pPr>
      <w:r>
        <w:rPr>
          <w:i/>
          <w:color w:val="000000"/>
        </w:rPr>
      </w:r>
    </w:p>
    <w:p>
      <w:pPr>
        <w:pStyle w:val="Normal"/>
        <w:rPr/>
      </w:pPr>
      <w:r>
        <w:rPr/>
        <w:t xml:space="preserve">Clip1.deg2.32k output has an annoying high-pitched chirp/whistle type artifact that is clearly audible, and it is shown in the spectrogram above. However, the Delta-MOS-LQO between the two cases is infinitesimal, at 0.0136. </w:t>
      </w:r>
    </w:p>
    <w:p>
      <w:pPr>
        <w:pStyle w:val="Normal"/>
        <w:rPr/>
      </w:pPr>
      <w:r>
        <w:rPr/>
        <w:t>Note that the nature of modification of source code in "Clip1.deg2.32k" here is not relevant. Rather the more important and relevant fact here is that POLQA tool only shows a negligible "Delta-MOS-LQO" score for two vastly different "clean speech" signals, which is the main category of signals intended to be used with POLQA.</w:t>
      </w:r>
    </w:p>
    <w:p>
      <w:pPr>
        <w:pStyle w:val="Normal"/>
        <w:rPr/>
      </w:pPr>
      <w:r>
        <w:rPr/>
        <w:t>Statistics from extending experiment D to a larger database of around 8.5 minutes of clean speech and the delta-POLQA are included in Table 17.</w:t>
      </w:r>
    </w:p>
    <w:p>
      <w:pPr>
        <w:pStyle w:val="Normal"/>
        <w:rPr>
          <w:rFonts w:ascii="Arial" w:hAnsi="Arial" w:cs="Arial"/>
          <w:color w:val="212121"/>
        </w:rPr>
      </w:pPr>
      <w:r>
        <w:rPr/>
        <w:t xml:space="preserve">From the Table 17, it is clear that the delta-POLQA values are quite low while the subjective quality degradation is quite serious as shown in the spectrograms above. </w:t>
      </w:r>
    </w:p>
    <w:p>
      <w:pPr>
        <w:pStyle w:val="TH"/>
        <w:rPr/>
      </w:pPr>
      <w:r>
        <w:rPr/>
        <w:t xml:space="preserve">Table 17: Experiment D: Delta-POLQA values between the Reference and Test signals </w:t>
      </w:r>
    </w:p>
    <w:tbl>
      <w:tblPr>
        <w:tblW w:w="6210" w:type="dxa"/>
        <w:jc w:val="center"/>
        <w:tblInd w:w="0" w:type="dxa"/>
        <w:tblLayout w:type="fixed"/>
        <w:tblCellMar>
          <w:top w:w="0" w:type="dxa"/>
          <w:left w:w="28" w:type="dxa"/>
          <w:bottom w:w="0" w:type="dxa"/>
          <w:right w:w="108" w:type="dxa"/>
        </w:tblCellMar>
      </w:tblPr>
      <w:tblGrid>
        <w:gridCol w:w="1525"/>
        <w:gridCol w:w="1530"/>
        <w:gridCol w:w="3155"/>
      </w:tblGrid>
      <w:tr>
        <w:trPr/>
        <w:tc>
          <w:tcPr>
            <w:tcW w:w="152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53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155" w:type="dxa"/>
            <w:tcBorders>
              <w:top w:val="single" w:sz="4" w:space="0" w:color="000000"/>
              <w:left w:val="single" w:sz="4" w:space="0" w:color="000000"/>
              <w:bottom w:val="single" w:sz="4" w:space="0" w:color="000000"/>
              <w:right w:val="single" w:sz="4" w:space="0" w:color="000000"/>
            </w:tcBorders>
          </w:tcPr>
          <w:p>
            <w:pPr>
              <w:pStyle w:val="TAH"/>
              <w:rPr/>
            </w:pPr>
            <w:r>
              <w:rPr/>
              <w:t>Clean speech (database including about 64 sentence pairs)</w:t>
            </w:r>
          </w:p>
        </w:tc>
      </w:tr>
      <w:tr>
        <w:trPr/>
        <w:tc>
          <w:tcPr>
            <w:tcW w:w="1525"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Delta-POLQA values</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Average</w:t>
            </w:r>
          </w:p>
        </w:tc>
        <w:tc>
          <w:tcPr>
            <w:tcW w:w="3155"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0.05425</w:t>
            </w:r>
          </w:p>
        </w:tc>
      </w:tr>
      <w:tr>
        <w:trPr/>
        <w:tc>
          <w:tcPr>
            <w:tcW w:w="15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Std. dev</w:t>
            </w:r>
          </w:p>
        </w:tc>
        <w:tc>
          <w:tcPr>
            <w:tcW w:w="3155"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0.04548</w:t>
            </w:r>
          </w:p>
        </w:tc>
      </w:tr>
      <w:tr>
        <w:trPr/>
        <w:tc>
          <w:tcPr>
            <w:tcW w:w="15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Max. value</w:t>
            </w:r>
          </w:p>
        </w:tc>
        <w:tc>
          <w:tcPr>
            <w:tcW w:w="3155"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0.0832</w:t>
            </w:r>
          </w:p>
        </w:tc>
      </w:tr>
      <w:tr>
        <w:trPr/>
        <w:tc>
          <w:tcPr>
            <w:tcW w:w="15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95 percentile</w:t>
            </w:r>
          </w:p>
        </w:tc>
        <w:tc>
          <w:tcPr>
            <w:tcW w:w="3155"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0.04293</w:t>
            </w:r>
          </w:p>
        </w:tc>
      </w:tr>
    </w:tbl>
    <w:p>
      <w:pPr>
        <w:pStyle w:val="Normal"/>
        <w:rPr>
          <w:sz w:val="24"/>
        </w:rPr>
      </w:pPr>
      <w:r>
        <w:rPr>
          <w:sz w:val="24"/>
        </w:rPr>
      </w:r>
    </w:p>
    <w:p>
      <w:pPr>
        <w:pStyle w:val="Heading3"/>
        <w:rPr/>
      </w:pPr>
      <w:bookmarkStart w:id="61" w:name="__RefHeading___Toc524274810"/>
      <w:bookmarkEnd w:id="61"/>
      <w:r>
        <w:rPr/>
        <w:t>6.4.3</w:t>
        <w:tab/>
        <w:t>MOS LQO evaluation</w:t>
      </w:r>
    </w:p>
    <w:p>
      <w:pPr>
        <w:pStyle w:val="Normal"/>
        <w:rPr/>
      </w:pPr>
      <w:r>
        <w:rPr/>
        <w:t>The code change has been implemented using floating-point version C90 and tested using Linux.</w:t>
      </w:r>
    </w:p>
    <w:p>
      <w:pPr>
        <w:pStyle w:val="Normal"/>
        <w:rPr/>
      </w:pPr>
      <w:r>
        <w:rPr/>
        <w:t>Figure 20 shows the CDF of MOS-LQO difference for all conditions and use cases, and Table 18 reports the statistics of the MOS-LQO difference for the 2 codes (C90 and C90+AHEVS429_D code change).</w:t>
      </w:r>
    </w:p>
    <w:p>
      <w:pPr>
        <w:pStyle w:val="TH"/>
        <w:rPr/>
      </w:pPr>
      <w:r>
        <w:rPr/>
        <w:t>Table 18: Summary of MOS-LQO differences for all conditions</w:t>
      </w:r>
    </w:p>
    <w:tbl>
      <w:tblPr>
        <w:tblW w:w="9471" w:type="dxa"/>
        <w:jc w:val="center"/>
        <w:tblInd w:w="0" w:type="dxa"/>
        <w:tblLayout w:type="fixed"/>
        <w:tblCellMar>
          <w:top w:w="50" w:type="dxa"/>
          <w:left w:w="50" w:type="dxa"/>
          <w:bottom w:w="50" w:type="dxa"/>
          <w:right w:w="50" w:type="dxa"/>
        </w:tblCellMar>
      </w:tblPr>
      <w:tblGrid>
        <w:gridCol w:w="1858"/>
        <w:gridCol w:w="1201"/>
        <w:gridCol w:w="1231"/>
        <w:gridCol w:w="1232"/>
        <w:gridCol w:w="1231"/>
        <w:gridCol w:w="1405"/>
        <w:gridCol w:w="1313"/>
      </w:tblGrid>
      <w:tr>
        <w:trPr/>
        <w:tc>
          <w:tcPr>
            <w:tcW w:w="1858"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Case</w:t>
            </w:r>
          </w:p>
        </w:tc>
        <w:tc>
          <w:tcPr>
            <w:tcW w:w="120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Min</w:t>
            </w:r>
          </w:p>
        </w:tc>
        <w:tc>
          <w:tcPr>
            <w:tcW w:w="123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Max</w:t>
            </w:r>
          </w:p>
        </w:tc>
        <w:tc>
          <w:tcPr>
            <w:tcW w:w="1232"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Mean</w:t>
            </w:r>
          </w:p>
        </w:tc>
        <w:tc>
          <w:tcPr>
            <w:tcW w:w="123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StdDev</w:t>
            </w:r>
          </w:p>
        </w:tc>
        <w:tc>
          <w:tcPr>
            <w:tcW w:w="1405"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Quantile_95</w:t>
            </w:r>
          </w:p>
        </w:tc>
        <w:tc>
          <w:tcPr>
            <w:tcW w:w="1313"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Quantile_99</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A-B</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-0.1138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0.0819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0.0006</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0.0359</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0.0612</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A-C</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-0.0538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0.0630</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0.0011</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0.0103</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0.0198</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0.0362</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A-D</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-0.0928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0.0829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0.0009</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0.0373</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0.0637</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A-B AHEVS-429_D</w:t>
            </w:r>
          </w:p>
        </w:tc>
        <w:tc>
          <w:tcPr>
            <w:tcW w:w="1201" w:type="dxa"/>
            <w:tcBorders>
              <w:top w:val="single" w:sz="8" w:space="0" w:color="000000"/>
              <w:left w:val="single" w:sz="8" w:space="0" w:color="000000"/>
              <w:bottom w:val="single" w:sz="8" w:space="0" w:color="000000"/>
              <w:right w:val="single" w:sz="8" w:space="0" w:color="000000"/>
            </w:tcBorders>
          </w:tcPr>
          <w:p>
            <w:pPr>
              <w:pStyle w:val="TAC"/>
              <w:rPr/>
            </w:pPr>
            <w:r>
              <w:rPr/>
              <w:t>-0.1138</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0.1277</w:t>
            </w:r>
          </w:p>
        </w:tc>
        <w:tc>
          <w:tcPr>
            <w:tcW w:w="1232" w:type="dxa"/>
            <w:tcBorders>
              <w:top w:val="single" w:sz="8" w:space="0" w:color="000000"/>
              <w:left w:val="single" w:sz="8" w:space="0" w:color="000000"/>
              <w:bottom w:val="single" w:sz="8" w:space="0" w:color="000000"/>
              <w:right w:val="single" w:sz="8" w:space="0" w:color="000000"/>
            </w:tcBorders>
          </w:tcPr>
          <w:p>
            <w:pPr>
              <w:pStyle w:val="TAC"/>
              <w:rPr/>
            </w:pPr>
            <w:r>
              <w:rPr/>
              <w:t>0.0106</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0.0289</w:t>
            </w:r>
          </w:p>
        </w:tc>
        <w:tc>
          <w:tcPr>
            <w:tcW w:w="1405" w:type="dxa"/>
            <w:tcBorders>
              <w:top w:val="single" w:sz="8" w:space="0" w:color="000000"/>
              <w:left w:val="single" w:sz="8" w:space="0" w:color="000000"/>
              <w:bottom w:val="single" w:sz="8" w:space="0" w:color="000000"/>
              <w:right w:val="single" w:sz="8" w:space="0" w:color="000000"/>
            </w:tcBorders>
          </w:tcPr>
          <w:p>
            <w:pPr>
              <w:pStyle w:val="TAC"/>
              <w:rPr/>
            </w:pPr>
            <w:r>
              <w:rPr/>
              <w:t>0.0668</w:t>
            </w:r>
          </w:p>
        </w:tc>
        <w:tc>
          <w:tcPr>
            <w:tcW w:w="1313" w:type="dxa"/>
            <w:tcBorders>
              <w:top w:val="single" w:sz="8" w:space="0" w:color="000000"/>
              <w:left w:val="single" w:sz="8" w:space="0" w:color="000000"/>
              <w:bottom w:val="single" w:sz="8" w:space="0" w:color="000000"/>
              <w:right w:val="single" w:sz="8" w:space="0" w:color="000000"/>
            </w:tcBorders>
          </w:tcPr>
          <w:p>
            <w:pPr>
              <w:pStyle w:val="TAC"/>
              <w:rPr/>
            </w:pPr>
            <w:r>
              <w:rPr/>
              <w:t>0.0950</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A-C AHEVS-429_D</w:t>
            </w:r>
          </w:p>
        </w:tc>
        <w:tc>
          <w:tcPr>
            <w:tcW w:w="1201" w:type="dxa"/>
            <w:tcBorders>
              <w:top w:val="single" w:sz="8" w:space="0" w:color="000000"/>
              <w:left w:val="single" w:sz="8" w:space="0" w:color="000000"/>
              <w:bottom w:val="single" w:sz="8" w:space="0" w:color="000000"/>
              <w:right w:val="single" w:sz="8" w:space="0" w:color="000000"/>
            </w:tcBorders>
          </w:tcPr>
          <w:p>
            <w:pPr>
              <w:pStyle w:val="TAC"/>
              <w:rPr/>
            </w:pPr>
            <w:r>
              <w:rPr/>
              <w:t>-0.0538</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0.1331</w:t>
            </w:r>
          </w:p>
        </w:tc>
        <w:tc>
          <w:tcPr>
            <w:tcW w:w="1232" w:type="dxa"/>
            <w:tcBorders>
              <w:top w:val="single" w:sz="8" w:space="0" w:color="000000"/>
              <w:left w:val="single" w:sz="8" w:space="0" w:color="000000"/>
              <w:bottom w:val="single" w:sz="8" w:space="0" w:color="000000"/>
              <w:right w:val="single" w:sz="8" w:space="0" w:color="000000"/>
            </w:tcBorders>
          </w:tcPr>
          <w:p>
            <w:pPr>
              <w:pStyle w:val="TAC"/>
              <w:rPr/>
            </w:pPr>
            <w:r>
              <w:rPr/>
              <w:t>0.0109</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0.0252</w:t>
            </w:r>
          </w:p>
        </w:tc>
        <w:tc>
          <w:tcPr>
            <w:tcW w:w="1405" w:type="dxa"/>
            <w:tcBorders>
              <w:top w:val="single" w:sz="8" w:space="0" w:color="000000"/>
              <w:left w:val="single" w:sz="8" w:space="0" w:color="000000"/>
              <w:bottom w:val="single" w:sz="8" w:space="0" w:color="000000"/>
              <w:right w:val="single" w:sz="8" w:space="0" w:color="000000"/>
            </w:tcBorders>
          </w:tcPr>
          <w:p>
            <w:pPr>
              <w:pStyle w:val="TAC"/>
              <w:rPr/>
            </w:pPr>
            <w:r>
              <w:rPr/>
              <w:t>0.0631</w:t>
            </w:r>
          </w:p>
        </w:tc>
        <w:tc>
          <w:tcPr>
            <w:tcW w:w="1313" w:type="dxa"/>
            <w:tcBorders>
              <w:top w:val="single" w:sz="8" w:space="0" w:color="000000"/>
              <w:left w:val="single" w:sz="8" w:space="0" w:color="000000"/>
              <w:bottom w:val="single" w:sz="8" w:space="0" w:color="000000"/>
              <w:right w:val="single" w:sz="8" w:space="0" w:color="000000"/>
            </w:tcBorders>
          </w:tcPr>
          <w:p>
            <w:pPr>
              <w:pStyle w:val="TAC"/>
              <w:rPr/>
            </w:pPr>
            <w:r>
              <w:rPr/>
              <w:t>0.0904</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C"/>
              <w:rPr>
                <w:rFonts w:cs="Arial"/>
              </w:rPr>
            </w:pPr>
            <w:r>
              <w:rPr/>
              <w:t>A-D AHEVS-429_D</w:t>
            </w:r>
          </w:p>
        </w:tc>
        <w:tc>
          <w:tcPr>
            <w:tcW w:w="1201" w:type="dxa"/>
            <w:tcBorders>
              <w:top w:val="single" w:sz="8" w:space="0" w:color="000000"/>
              <w:left w:val="single" w:sz="8" w:space="0" w:color="000000"/>
              <w:bottom w:val="single" w:sz="8" w:space="0" w:color="000000"/>
              <w:right w:val="single" w:sz="8" w:space="0" w:color="000000"/>
            </w:tcBorders>
          </w:tcPr>
          <w:p>
            <w:pPr>
              <w:pStyle w:val="TAC"/>
              <w:rPr/>
            </w:pPr>
            <w:r>
              <w:rPr/>
              <w:t>-0.0928</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0.0829</w:t>
            </w:r>
          </w:p>
        </w:tc>
        <w:tc>
          <w:tcPr>
            <w:tcW w:w="1232" w:type="dxa"/>
            <w:tcBorders>
              <w:top w:val="single" w:sz="8" w:space="0" w:color="000000"/>
              <w:left w:val="single" w:sz="8" w:space="0" w:color="000000"/>
              <w:bottom w:val="single" w:sz="8" w:space="0" w:color="000000"/>
              <w:right w:val="single" w:sz="8" w:space="0" w:color="000000"/>
            </w:tcBorders>
          </w:tcPr>
          <w:p>
            <w:pPr>
              <w:pStyle w:val="TAC"/>
              <w:rPr/>
            </w:pPr>
            <w:r>
              <w:rPr/>
              <w:t>0.0009</w:t>
            </w:r>
          </w:p>
        </w:tc>
        <w:tc>
          <w:tcPr>
            <w:tcW w:w="1231" w:type="dxa"/>
            <w:tcBorders>
              <w:top w:val="single" w:sz="8" w:space="0" w:color="000000"/>
              <w:left w:val="single" w:sz="8" w:space="0" w:color="000000"/>
              <w:bottom w:val="single" w:sz="8" w:space="0" w:color="000000"/>
              <w:right w:val="single" w:sz="8" w:space="0" w:color="000000"/>
            </w:tcBorders>
          </w:tcPr>
          <w:p>
            <w:pPr>
              <w:pStyle w:val="TAC"/>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pPr>
            <w:r>
              <w:rPr/>
              <w:t>0.0373</w:t>
            </w:r>
          </w:p>
        </w:tc>
        <w:tc>
          <w:tcPr>
            <w:tcW w:w="1313" w:type="dxa"/>
            <w:tcBorders>
              <w:top w:val="single" w:sz="8" w:space="0" w:color="000000"/>
              <w:left w:val="single" w:sz="8" w:space="0" w:color="000000"/>
              <w:bottom w:val="single" w:sz="8" w:space="0" w:color="000000"/>
              <w:right w:val="single" w:sz="8" w:space="0" w:color="000000"/>
            </w:tcBorders>
          </w:tcPr>
          <w:p>
            <w:pPr>
              <w:pStyle w:val="TAC"/>
              <w:rPr/>
            </w:pPr>
            <w:r>
              <w:rPr/>
              <w:t>0.0637</w:t>
            </w:r>
          </w:p>
        </w:tc>
      </w:tr>
    </w:tbl>
    <w:p>
      <w:pPr>
        <w:pStyle w:val="Normal"/>
        <w:spacing w:before="120" w:after="0"/>
        <w:ind w:right="57" w:hanging="0"/>
        <w:rPr>
          <w:szCs w:val="22"/>
        </w:rPr>
      </w:pPr>
      <w:r>
        <w:rPr>
          <w:szCs w:val="22"/>
        </w:rPr>
      </w:r>
    </w:p>
    <w:p>
      <w:pPr>
        <w:pStyle w:val="TH"/>
        <w:rPr/>
      </w:pPr>
      <w:r>
        <w:rPr/>
        <w:drawing>
          <wp:inline distT="0" distB="0" distL="0" distR="0">
            <wp:extent cx="5939790" cy="4242435"/>
            <wp:effectExtent l="0" t="0" r="0" b="0"/>
            <wp:docPr id="8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 descr=""/>
                    <pic:cNvPicPr>
                      <a:picLocks noChangeAspect="1" noChangeArrowheads="1"/>
                    </pic:cNvPicPr>
                  </pic:nvPicPr>
                  <pic:blipFill>
                    <a:blip r:embed="rId88"/>
                    <a:srcRect l="-3" t="-4" r="-3" b="-4"/>
                    <a:stretch>
                      <a:fillRect/>
                    </a:stretch>
                  </pic:blipFill>
                  <pic:spPr bwMode="auto">
                    <a:xfrm>
                      <a:off x="0" y="0"/>
                      <a:ext cx="5939790" cy="4242435"/>
                    </a:xfrm>
                    <a:prstGeom prst="rect">
                      <a:avLst/>
                    </a:prstGeom>
                  </pic:spPr>
                </pic:pic>
              </a:graphicData>
            </a:graphic>
          </wp:inline>
        </w:drawing>
      </w:r>
    </w:p>
    <w:p>
      <w:pPr>
        <w:pStyle w:val="TF"/>
        <w:rPr/>
      </w:pPr>
      <w:r>
        <w:rPr/>
        <w:t>Figure 20: CDF of MOS-LQO differences for all conditions.</w:t>
      </w:r>
    </w:p>
    <w:p>
      <w:pPr>
        <w:pStyle w:val="Normal"/>
        <w:rPr/>
      </w:pPr>
      <w:r>
        <w:rPr/>
        <w:t>It can be seen that even if the code changes affects only SWB and FB the degradation in the CDF and statistic for the A-B and A-C case is noticeable. As the code change is only for decoder, the encoder case A-D is not affected. For example the Mean MOS-LQO difference is increased by a factor close to 20 for the A-B condition (testing both encoder and decoder float implementation).</w:t>
      </w:r>
    </w:p>
    <w:p>
      <w:pPr>
        <w:pStyle w:val="Normal"/>
        <w:rPr/>
      </w:pPr>
      <w:r>
        <w:rPr/>
        <w:t xml:space="preserve">As the code change only impacts higher bandwidth, the CDF and statistic for only the SWB conditions are reported in Figure 21 and Table 19. </w:t>
      </w:r>
    </w:p>
    <w:p>
      <w:pPr>
        <w:pStyle w:val="TH"/>
        <w:rPr/>
      </w:pPr>
      <w:r>
        <w:rPr/>
        <w:drawing>
          <wp:inline distT="0" distB="0" distL="0" distR="0">
            <wp:extent cx="5939790" cy="4242435"/>
            <wp:effectExtent l="0" t="0" r="0" b="0"/>
            <wp:docPr id="8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 descr=""/>
                    <pic:cNvPicPr>
                      <a:picLocks noChangeAspect="1" noChangeArrowheads="1"/>
                    </pic:cNvPicPr>
                  </pic:nvPicPr>
                  <pic:blipFill>
                    <a:blip r:embed="rId89"/>
                    <a:srcRect l="-3" t="-4" r="-3" b="-4"/>
                    <a:stretch>
                      <a:fillRect/>
                    </a:stretch>
                  </pic:blipFill>
                  <pic:spPr bwMode="auto">
                    <a:xfrm>
                      <a:off x="0" y="0"/>
                      <a:ext cx="5939790" cy="4242435"/>
                    </a:xfrm>
                    <a:prstGeom prst="rect">
                      <a:avLst/>
                    </a:prstGeom>
                  </pic:spPr>
                </pic:pic>
              </a:graphicData>
            </a:graphic>
          </wp:inline>
        </w:drawing>
      </w:r>
    </w:p>
    <w:p>
      <w:pPr>
        <w:pStyle w:val="TF"/>
        <w:rPr/>
      </w:pPr>
      <w:r>
        <w:rPr/>
        <w:t xml:space="preserve">Figure 21: CDF plot of MOS-LQO difference for SWB condition </w:t>
      </w:r>
    </w:p>
    <w:p>
      <w:pPr>
        <w:pStyle w:val="Normal"/>
        <w:spacing w:before="120" w:after="0"/>
        <w:ind w:right="57" w:hanging="0"/>
        <w:jc w:val="center"/>
        <w:rPr>
          <w:b/>
          <w:b/>
          <w:szCs w:val="22"/>
        </w:rPr>
      </w:pPr>
      <w:r>
        <w:rPr>
          <w:b/>
          <w:szCs w:val="22"/>
        </w:rPr>
      </w:r>
    </w:p>
    <w:p>
      <w:pPr>
        <w:pStyle w:val="TH"/>
        <w:rPr/>
      </w:pPr>
      <w:r>
        <w:rPr/>
        <w:t>Table 19: Summary of MOS-LQO differences for SWB conditions</w:t>
      </w:r>
    </w:p>
    <w:tbl>
      <w:tblPr>
        <w:tblW w:w="9794" w:type="dxa"/>
        <w:jc w:val="center"/>
        <w:tblInd w:w="0" w:type="dxa"/>
        <w:tblLayout w:type="fixed"/>
        <w:tblCellMar>
          <w:top w:w="50" w:type="dxa"/>
          <w:left w:w="50" w:type="dxa"/>
          <w:bottom w:w="50" w:type="dxa"/>
          <w:right w:w="50" w:type="dxa"/>
        </w:tblCellMar>
      </w:tblPr>
      <w:tblGrid>
        <w:gridCol w:w="1850"/>
        <w:gridCol w:w="1296"/>
        <w:gridCol w:w="1320"/>
        <w:gridCol w:w="1320"/>
        <w:gridCol w:w="1320"/>
        <w:gridCol w:w="1344"/>
        <w:gridCol w:w="1344"/>
      </w:tblGrid>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H"/>
              <w:rPr/>
            </w:pPr>
            <w:r>
              <w:rPr/>
              <w:t>Case</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H"/>
              <w:rPr/>
            </w:pPr>
            <w:r>
              <w:rPr/>
              <w:t>Min</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H"/>
              <w:rPr/>
            </w:pPr>
            <w:r>
              <w:rPr/>
              <w:t>Max</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H"/>
              <w:rPr/>
            </w:pPr>
            <w:r>
              <w:rPr/>
              <w:t>Mean</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H"/>
              <w:rPr/>
            </w:pPr>
            <w:r>
              <w:rPr/>
              <w:t>StdDev</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H"/>
              <w:rPr/>
            </w:pPr>
            <w:r>
              <w:rPr/>
              <w:t>Quantile_95</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H"/>
              <w:rPr/>
            </w:pPr>
            <w:r>
              <w:rPr/>
              <w:t>Quantile_99</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A-B</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-0.0528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0.0706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-0.0013</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0.0196</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0.0351</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0.0475</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A-C</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-0.0319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0.0365</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0.0019</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0.0097</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0.0224</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0.0311</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A-D</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-0.0568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0.0758</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-0.0026</w:t>
            </w:r>
          </w:p>
        </w:tc>
        <w:tc>
          <w:tcPr>
            <w:tcW w:w="1320" w:type="dxa"/>
            <w:tcBorders>
              <w:top w:val="single" w:sz="4" w:space="0" w:color="000000"/>
              <w:left w:val="single" w:sz="4" w:space="0" w:color="000000"/>
              <w:bottom w:val="single" w:sz="4" w:space="0" w:color="000000"/>
              <w:right w:val="single" w:sz="4" w:space="0" w:color="000000"/>
            </w:tcBorders>
            <w:vAlign w:val="center"/>
          </w:tcPr>
          <w:p>
            <w:pPr>
              <w:pStyle w:val="TAC"/>
              <w:rPr/>
            </w:pPr>
            <w:r>
              <w:rPr/>
              <w:t>0.0200</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0.0340</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C"/>
              <w:rPr/>
            </w:pPr>
            <w:r>
              <w:rPr/>
              <w:t>0.0595</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A-B AHEVS-429_D</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-0.0444</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0.1277</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0.0264</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0.0319</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0.0865</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0.0972</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A-C AHEVS-429_D</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-0.0127</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0.1318</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0.0298</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0.0315</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0.0812</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0.1272</w:t>
            </w:r>
          </w:p>
        </w:tc>
      </w:tr>
      <w:tr>
        <w:trPr/>
        <w:tc>
          <w:tcPr>
            <w:tcW w:w="1850" w:type="dxa"/>
            <w:tcBorders>
              <w:top w:val="single" w:sz="4" w:space="0" w:color="000000"/>
              <w:left w:val="single" w:sz="4" w:space="0" w:color="000000"/>
              <w:bottom w:val="single" w:sz="4" w:space="0" w:color="000000"/>
              <w:right w:val="single" w:sz="4" w:space="0" w:color="000000"/>
            </w:tcBorders>
            <w:vAlign w:val="center"/>
          </w:tcPr>
          <w:p>
            <w:pPr>
              <w:pStyle w:val="TAL"/>
              <w:rPr/>
            </w:pPr>
            <w:r>
              <w:rPr/>
              <w:t>A-D AHEVS-429_D</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-0.0568</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0.0758</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-0.0026</w:t>
            </w:r>
          </w:p>
        </w:tc>
        <w:tc>
          <w:tcPr>
            <w:tcW w:w="1320" w:type="dxa"/>
            <w:tcBorders>
              <w:top w:val="single" w:sz="4" w:space="0" w:color="000000"/>
              <w:left w:val="single" w:sz="4" w:space="0" w:color="000000"/>
              <w:bottom w:val="single" w:sz="4" w:space="0" w:color="000000"/>
              <w:right w:val="single" w:sz="4" w:space="0" w:color="000000"/>
            </w:tcBorders>
          </w:tcPr>
          <w:p>
            <w:pPr>
              <w:pStyle w:val="TAC"/>
              <w:rPr/>
            </w:pPr>
            <w:r>
              <w:rPr/>
              <w:t>0.0200</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0.0340</w:t>
            </w:r>
          </w:p>
        </w:tc>
        <w:tc>
          <w:tcPr>
            <w:tcW w:w="1344" w:type="dxa"/>
            <w:tcBorders>
              <w:top w:val="single" w:sz="4" w:space="0" w:color="000000"/>
              <w:left w:val="single" w:sz="4" w:space="0" w:color="000000"/>
              <w:bottom w:val="single" w:sz="4" w:space="0" w:color="000000"/>
              <w:right w:val="single" w:sz="4" w:space="0" w:color="000000"/>
            </w:tcBorders>
          </w:tcPr>
          <w:p>
            <w:pPr>
              <w:pStyle w:val="TAC"/>
              <w:rPr/>
            </w:pPr>
            <w:r>
              <w:rPr/>
              <w:t>0.0595</w:t>
            </w:r>
          </w:p>
        </w:tc>
      </w:tr>
    </w:tbl>
    <w:p>
      <w:pPr>
        <w:pStyle w:val="Normal"/>
        <w:rPr/>
      </w:pPr>
      <w:r>
        <w:rPr/>
      </w:r>
    </w:p>
    <w:p>
      <w:pPr>
        <w:pStyle w:val="Normal"/>
        <w:rPr/>
      </w:pPr>
      <w:r>
        <w:rPr/>
        <w:t>When the CDFs are computed for only the SWB the effect of the code change is even more noticeable. All the statistics for A-B and A-C used case show significant degradation.</w:t>
      </w:r>
    </w:p>
    <w:p>
      <w:pPr>
        <w:pStyle w:val="Normal"/>
        <w:rPr/>
      </w:pPr>
      <w:r>
        <w:rPr/>
        <w:t>Similar results are obtained in case of FB condition only.</w:t>
      </w:r>
    </w:p>
    <w:p>
      <w:pPr>
        <w:pStyle w:val="Heading3"/>
        <w:rPr/>
      </w:pPr>
      <w:bookmarkStart w:id="62" w:name="__RefHeading___Toc524274811"/>
      <w:bookmarkEnd w:id="62"/>
      <w:r>
        <w:rPr/>
        <w:t>6.4.4</w:t>
        <w:tab/>
        <w:t>Decoder test results</w:t>
      </w:r>
    </w:p>
    <w:p>
      <w:pPr>
        <w:pStyle w:val="Normal"/>
        <w:rPr/>
      </w:pPr>
      <w:r>
        <w:rPr/>
        <w:t xml:space="preserve">The code change has been implemented using floating-point version C90 and tested using Microsoft Visual Studio. In this test the decoder test described in Clause 5.2 was used. The various thresholds and criteria indicated in clause 5.2.6 were used. </w:t>
      </w:r>
    </w:p>
    <w:p>
      <w:pPr>
        <w:pStyle w:val="Normal"/>
        <w:rPr/>
      </w:pPr>
      <w:r>
        <w:rPr/>
        <w:t>The results indicate that 379 test vectors are failing. The detailed results are mentioned in Table 20. Note that the test is carried out on 2675 test vectors (The JBM test vectors were excluded).</w:t>
      </w:r>
    </w:p>
    <w:p>
      <w:pPr>
        <w:pStyle w:val="TH"/>
        <w:rPr/>
      </w:pPr>
      <w:r>
        <w:rPr/>
        <w:t>Table 20: Statistics from the decoder test</w:t>
      </w:r>
    </w:p>
    <w:tbl>
      <w:tblPr>
        <w:tblW w:w="9571" w:type="dxa"/>
        <w:jc w:val="center"/>
        <w:tblInd w:w="0" w:type="dxa"/>
        <w:tblLayout w:type="fixed"/>
        <w:tblCellMar>
          <w:top w:w="0" w:type="dxa"/>
          <w:left w:w="28" w:type="dxa"/>
          <w:bottom w:w="0" w:type="dxa"/>
          <w:right w:w="108" w:type="dxa"/>
        </w:tblCellMar>
      </w:tblPr>
      <w:tblGrid>
        <w:gridCol w:w="2808"/>
        <w:gridCol w:w="2254"/>
        <w:gridCol w:w="2254"/>
        <w:gridCol w:w="2255"/>
      </w:tblGrid>
      <w:tr>
        <w:trPr/>
        <w:tc>
          <w:tcPr>
            <w:tcW w:w="280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RMS</w:t>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SNR</w:t>
            </w:r>
          </w:p>
        </w:tc>
        <w:tc>
          <w:tcPr>
            <w:tcW w:w="2255" w:type="dxa"/>
            <w:tcBorders>
              <w:top w:val="single" w:sz="4" w:space="0" w:color="000000"/>
              <w:left w:val="single" w:sz="4" w:space="0" w:color="000000"/>
              <w:bottom w:val="single" w:sz="4" w:space="0" w:color="000000"/>
              <w:right w:val="single" w:sz="4" w:space="0" w:color="000000"/>
            </w:tcBorders>
          </w:tcPr>
          <w:p>
            <w:pPr>
              <w:pStyle w:val="TAH"/>
              <w:rPr/>
            </w:pPr>
            <w:r>
              <w:rPr/>
              <w:t>Spectral Distortion</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tested</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2349830</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211939</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161210</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passing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2137891</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50729</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2818</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211939</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161210</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158392</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 xml:space="preserve">Ratio of frames passing </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91</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23.9</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1.7</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Ratio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76.1</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98.3</w:t>
            </w:r>
          </w:p>
        </w:tc>
      </w:tr>
    </w:tbl>
    <w:p>
      <w:pPr>
        <w:pStyle w:val="Normal"/>
        <w:spacing w:before="120" w:after="180"/>
        <w:rPr/>
      </w:pPr>
      <w:r>
        <w:rPr/>
      </w:r>
    </w:p>
    <w:p>
      <w:pPr>
        <w:pStyle w:val="Normal"/>
        <w:spacing w:before="120" w:after="180"/>
        <w:rPr/>
      </w:pPr>
      <w:r>
        <w:rPr/>
        <w:t>Overall 6.7% of the frames are failing.</w:t>
      </w:r>
    </w:p>
    <w:p>
      <w:pPr>
        <w:pStyle w:val="Normal"/>
        <w:rPr/>
      </w:pPr>
      <w:r>
        <w:rPr/>
        <w:t>An implementation with the proposed code change will not be conformant to TS 26.443 [2] according to the decoder conformance as currently described in Clause 5.2 of TR 26.843.</w:t>
      </w:r>
    </w:p>
    <w:p>
      <w:pPr>
        <w:pStyle w:val="Heading2"/>
        <w:rPr/>
      </w:pPr>
      <w:bookmarkStart w:id="63" w:name="__RefHeading___Toc524274812"/>
      <w:bookmarkEnd w:id="63"/>
      <w:r>
        <w:rPr/>
        <w:t>6.5</w:t>
        <w:tab/>
        <w:t>Experiment E</w:t>
      </w:r>
    </w:p>
    <w:p>
      <w:pPr>
        <w:pStyle w:val="Heading3"/>
        <w:rPr/>
      </w:pPr>
      <w:bookmarkStart w:id="64" w:name="__RefHeading___Toc524274813"/>
      <w:bookmarkEnd w:id="64"/>
      <w:r>
        <w:rPr/>
        <w:t>6.5.1</w:t>
        <w:tab/>
        <w:t>Delta-POLQA Limitations with Noisy Speech and Frame Erasures</w:t>
      </w:r>
    </w:p>
    <w:p>
      <w:pPr>
        <w:pStyle w:val="Normal"/>
        <w:rPr/>
      </w:pPr>
      <w:r>
        <w:rPr/>
        <w:t>In this clause, more examples are presented where source code modifications of the Reference EVS Floating Point implementation result in serious quality artifacts but show only negligible delta-POLQA values between the Reference and Test implementations. Figure 22 below shows example spectrograms that depict the signal artifacts and Table 17 provides the delta-POLQA analysis.</w:t>
      </w:r>
    </w:p>
    <w:p>
      <w:pPr>
        <w:pStyle w:val="TH"/>
        <w:rPr/>
      </w:pPr>
      <w:r>
        <w:rPr/>
      </w:r>
    </w:p>
    <w:tbl>
      <w:tblPr>
        <w:tblW w:w="9204" w:type="dxa"/>
        <w:jc w:val="center"/>
        <w:tblInd w:w="0" w:type="dxa"/>
        <w:tblLayout w:type="fixed"/>
        <w:tblCellMar>
          <w:top w:w="0" w:type="dxa"/>
          <w:left w:w="28" w:type="dxa"/>
          <w:bottom w:w="0" w:type="dxa"/>
          <w:right w:w="108" w:type="dxa"/>
        </w:tblCellMar>
      </w:tblPr>
      <w:tblGrid>
        <w:gridCol w:w="4602"/>
        <w:gridCol w:w="4602"/>
      </w:tblGrid>
      <w:tr>
        <w:trPr/>
        <w:tc>
          <w:tcPr>
            <w:tcW w:w="4602" w:type="dxa"/>
            <w:tcBorders>
              <w:top w:val="single" w:sz="4" w:space="0" w:color="000000"/>
              <w:left w:val="single" w:sz="4" w:space="0" w:color="000000"/>
              <w:bottom w:val="single" w:sz="4" w:space="0" w:color="000000"/>
              <w:right w:val="single" w:sz="4" w:space="0" w:color="000000"/>
            </w:tcBorders>
          </w:tcPr>
          <w:p>
            <w:pPr>
              <w:pStyle w:val="TH"/>
              <w:spacing w:before="60" w:after="180"/>
              <w:rPr/>
            </w:pPr>
            <w:r>
              <w:rPr>
                <w:lang w:val="en-GB"/>
              </w:rPr>
              <w:t>Spectrogram of Reference signal</w:t>
            </w:r>
          </w:p>
        </w:tc>
        <w:tc>
          <w:tcPr>
            <w:tcW w:w="4602" w:type="dxa"/>
            <w:tcBorders>
              <w:top w:val="single" w:sz="4" w:space="0" w:color="000000"/>
              <w:left w:val="single" w:sz="4" w:space="0" w:color="000000"/>
              <w:bottom w:val="single" w:sz="4" w:space="0" w:color="000000"/>
              <w:right w:val="single" w:sz="4" w:space="0" w:color="000000"/>
            </w:tcBorders>
          </w:tcPr>
          <w:p>
            <w:pPr>
              <w:pStyle w:val="TH"/>
              <w:spacing w:before="60" w:after="180"/>
              <w:rPr/>
            </w:pPr>
            <w:r>
              <w:rPr>
                <w:lang w:val="en-GB"/>
              </w:rPr>
              <w:t>Spectrogram of Test signal</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TH"/>
              <w:spacing w:before="60" w:after="180"/>
              <w:rPr>
                <w:sz w:val="24"/>
                <w:lang w:val="en-GB"/>
              </w:rPr>
            </w:pPr>
            <w:r>
              <w:rPr>
                <w:lang w:val="en-GB"/>
              </w:rPr>
              <w:drawing>
                <wp:inline distT="0" distB="0" distL="0" distR="0">
                  <wp:extent cx="2733675" cy="3248025"/>
                  <wp:effectExtent l="0" t="0" r="0" b="0"/>
                  <wp:docPr id="8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 descr=""/>
                          <pic:cNvPicPr>
                            <a:picLocks noChangeAspect="1" noChangeArrowheads="1"/>
                          </pic:cNvPicPr>
                        </pic:nvPicPr>
                        <pic:blipFill>
                          <a:blip r:embed="rId90"/>
                          <a:srcRect l="-13" t="-11" r="-13" b="-11"/>
                          <a:stretch>
                            <a:fillRect/>
                          </a:stretch>
                        </pic:blipFill>
                        <pic:spPr bwMode="auto">
                          <a:xfrm>
                            <a:off x="0" y="0"/>
                            <a:ext cx="2733675" cy="3248025"/>
                          </a:xfrm>
                          <a:prstGeom prst="rect">
                            <a:avLst/>
                          </a:prstGeom>
                        </pic:spPr>
                      </pic:pic>
                    </a:graphicData>
                  </a:graphic>
                </wp:inline>
              </w:drawing>
            </w:r>
          </w:p>
        </w:tc>
        <w:tc>
          <w:tcPr>
            <w:tcW w:w="4602" w:type="dxa"/>
            <w:tcBorders>
              <w:top w:val="single" w:sz="4" w:space="0" w:color="000000"/>
              <w:left w:val="single" w:sz="4" w:space="0" w:color="000000"/>
              <w:bottom w:val="single" w:sz="4" w:space="0" w:color="000000"/>
              <w:right w:val="single" w:sz="4" w:space="0" w:color="000000"/>
            </w:tcBorders>
          </w:tcPr>
          <w:p>
            <w:pPr>
              <w:pStyle w:val="TH"/>
              <w:spacing w:before="60" w:after="180"/>
              <w:rPr>
                <w:sz w:val="24"/>
                <w:lang w:val="en-GB"/>
              </w:rPr>
            </w:pPr>
            <w:r>
              <w:rPr>
                <w:lang w:val="en-GB"/>
              </w:rPr>
              <w:drawing>
                <wp:inline distT="0" distB="0" distL="0" distR="0">
                  <wp:extent cx="2781300" cy="3276600"/>
                  <wp:effectExtent l="0" t="0" r="0" b="0"/>
                  <wp:docPr id="8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0" descr=""/>
                          <pic:cNvPicPr>
                            <a:picLocks noChangeAspect="1" noChangeArrowheads="1"/>
                          </pic:cNvPicPr>
                        </pic:nvPicPr>
                        <pic:blipFill>
                          <a:blip r:embed="rId91"/>
                          <a:srcRect l="-13" t="-11" r="-13" b="-11"/>
                          <a:stretch>
                            <a:fillRect/>
                          </a:stretch>
                        </pic:blipFill>
                        <pic:spPr bwMode="auto">
                          <a:xfrm>
                            <a:off x="0" y="0"/>
                            <a:ext cx="2781300" cy="3276600"/>
                          </a:xfrm>
                          <a:prstGeom prst="rect">
                            <a:avLst/>
                          </a:prstGeom>
                        </pic:spPr>
                      </pic:pic>
                    </a:graphicData>
                  </a:graphic>
                </wp:inline>
              </w:drawing>
            </w:r>
          </w:p>
        </w:tc>
      </w:tr>
    </w:tbl>
    <w:p>
      <w:pPr>
        <w:pStyle w:val="TF"/>
        <w:spacing w:before="120" w:after="240"/>
        <w:rPr/>
      </w:pPr>
      <w:r>
        <w:rPr/>
        <w:t>Figure 22: Example spectrograms that depict the artifacts</w:t>
      </w:r>
    </w:p>
    <w:p>
      <w:pPr>
        <w:pStyle w:val="Normal"/>
        <w:rPr>
          <w:rFonts w:ascii="Arial" w:hAnsi="Arial" w:cs="Arial"/>
          <w:color w:val="212121"/>
        </w:rPr>
      </w:pPr>
      <w:r>
        <w:rPr/>
        <w:t xml:space="preserve">From the Table 21, it is clear that the delta-POLQA values are quite low while the subjective quality degradation is quite serious. </w:t>
      </w:r>
    </w:p>
    <w:p>
      <w:pPr>
        <w:pStyle w:val="TH"/>
        <w:rPr/>
      </w:pPr>
      <w:r>
        <w:rPr/>
        <w:t>Table 21: Experiment E: Delta POLQA values between the Reference and Test signals</w:t>
      </w:r>
    </w:p>
    <w:tbl>
      <w:tblPr>
        <w:tblW w:w="5825" w:type="dxa"/>
        <w:jc w:val="center"/>
        <w:tblInd w:w="0" w:type="dxa"/>
        <w:tblLayout w:type="fixed"/>
        <w:tblCellMar>
          <w:top w:w="0" w:type="dxa"/>
          <w:left w:w="28" w:type="dxa"/>
          <w:bottom w:w="0" w:type="dxa"/>
          <w:right w:w="108" w:type="dxa"/>
        </w:tblCellMar>
      </w:tblPr>
      <w:tblGrid>
        <w:gridCol w:w="1198"/>
        <w:gridCol w:w="1387"/>
        <w:gridCol w:w="1620"/>
        <w:gridCol w:w="1620"/>
      </w:tblGrid>
      <w:tr>
        <w:trPr/>
        <w:tc>
          <w:tcPr>
            <w:tcW w:w="1198"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rFonts w:ascii="Arial" w:hAnsi="Arial" w:cs="Arial"/>
                <w:color w:val="212121"/>
                <w:sz w:val="18"/>
                <w:szCs w:val="18"/>
              </w:rPr>
            </w:pPr>
            <w:r>
              <w:rPr>
                <w:rFonts w:cs="Arial" w:ascii="Arial" w:hAnsi="Arial"/>
                <w:color w:val="212121"/>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rFonts w:ascii="Arial" w:hAnsi="Arial" w:cs="Arial"/>
                <w:color w:val="212121"/>
                <w:sz w:val="18"/>
                <w:szCs w:val="18"/>
              </w:rPr>
            </w:pPr>
            <w:r>
              <w:rPr>
                <w:rFonts w:cs="Arial" w:ascii="Arial" w:hAnsi="Arial"/>
                <w:color w:val="212121"/>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 xml:space="preserve">Noisy speech </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FER 6%</w:t>
            </w:r>
          </w:p>
        </w:tc>
      </w:tr>
      <w:tr>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pPr>
            <w:r>
              <w:rPr>
                <w:rFonts w:cs="Arial" w:ascii="Arial" w:hAnsi="Arial"/>
                <w:b/>
                <w:color w:val="212121"/>
                <w:sz w:val="18"/>
                <w:szCs w:val="18"/>
              </w:rPr>
              <w:t>Delta-POLQA values</w:t>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Average</w:t>
            </w:r>
          </w:p>
        </w:tc>
        <w:tc>
          <w:tcPr>
            <w:tcW w:w="1620"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0.00180</w:t>
            </w:r>
          </w:p>
        </w:tc>
        <w:tc>
          <w:tcPr>
            <w:tcW w:w="1620"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0.02734</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Std. dev</w:t>
            </w:r>
          </w:p>
        </w:tc>
        <w:tc>
          <w:tcPr>
            <w:tcW w:w="1620"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0.01014</w:t>
            </w:r>
          </w:p>
        </w:tc>
        <w:tc>
          <w:tcPr>
            <w:tcW w:w="1620" w:type="dxa"/>
            <w:tcBorders>
              <w:top w:val="single" w:sz="4" w:space="0" w:color="000000"/>
              <w:left w:val="single" w:sz="4" w:space="0" w:color="000000"/>
              <w:bottom w:val="single" w:sz="4" w:space="0" w:color="000000"/>
              <w:right w:val="single" w:sz="4" w:space="0" w:color="000000"/>
            </w:tcBorders>
          </w:tcPr>
          <w:p>
            <w:pPr>
              <w:pStyle w:val="TAC"/>
              <w:rPr>
                <w:color w:val="212121"/>
              </w:rPr>
            </w:pPr>
            <w:r>
              <w:rPr/>
              <w:t>0.03610</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Max. Value</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0.04231</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0.0713</w:t>
            </w:r>
          </w:p>
        </w:tc>
      </w:tr>
      <w:tr>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color w:val="212121"/>
                <w:sz w:val="18"/>
                <w:szCs w:val="18"/>
              </w:rPr>
            </w:pPr>
            <w:r>
              <w:rPr>
                <w:rFonts w:cs="Arial" w:ascii="Arial" w:hAnsi="Arial"/>
                <w:color w:val="212121"/>
                <w:sz w:val="18"/>
                <w:szCs w:val="18"/>
              </w:rPr>
            </w:r>
          </w:p>
        </w:tc>
        <w:tc>
          <w:tcPr>
            <w:tcW w:w="1387" w:type="dxa"/>
            <w:tcBorders>
              <w:top w:val="single" w:sz="4" w:space="0" w:color="000000"/>
              <w:left w:val="single" w:sz="4" w:space="0" w:color="000000"/>
              <w:bottom w:val="single" w:sz="4" w:space="0" w:color="000000"/>
              <w:right w:val="single" w:sz="4" w:space="0" w:color="000000"/>
            </w:tcBorders>
          </w:tcPr>
          <w:p>
            <w:pPr>
              <w:pStyle w:val="TAL"/>
              <w:rPr/>
            </w:pPr>
            <w:r>
              <w:rPr/>
              <w:t>95 percentile</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0.01589</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0.04741</w:t>
            </w:r>
          </w:p>
        </w:tc>
      </w:tr>
    </w:tbl>
    <w:p>
      <w:pPr>
        <w:pStyle w:val="Normal"/>
        <w:rPr/>
      </w:pPr>
      <w:r>
        <w:rPr/>
      </w:r>
    </w:p>
    <w:p>
      <w:pPr>
        <w:pStyle w:val="Heading3"/>
        <w:rPr/>
      </w:pPr>
      <w:bookmarkStart w:id="65" w:name="__RefHeading___Toc524274814"/>
      <w:bookmarkEnd w:id="65"/>
      <w:r>
        <w:rPr/>
        <w:t>6.5.2</w:t>
        <w:tab/>
        <w:t>MOS-LQO Verification test</w:t>
      </w:r>
    </w:p>
    <w:p>
      <w:pPr>
        <w:pStyle w:val="Normal"/>
        <w:rPr>
          <w:szCs w:val="22"/>
        </w:rPr>
      </w:pPr>
      <w:r>
        <w:rPr>
          <w:szCs w:val="22"/>
        </w:rPr>
        <w:t>In this test MOS-LQO verification described in Clause 5.3.2 was carried out.</w:t>
      </w:r>
    </w:p>
    <w:p>
      <w:pPr>
        <w:pStyle w:val="Normal"/>
        <w:rPr>
          <w:szCs w:val="22"/>
        </w:rPr>
      </w:pPr>
      <w:r>
        <w:rPr>
          <w:szCs w:val="22"/>
        </w:rPr>
        <w:t>The code change has been implemented using floating-point version C90 and tested using Linux.</w:t>
      </w:r>
    </w:p>
    <w:p>
      <w:pPr>
        <w:pStyle w:val="Normal"/>
        <w:rPr/>
      </w:pPr>
      <w:r>
        <w:rPr/>
        <w:t>Figure 23 shows the CDF of MOS-LQO difference for all conditions and use cases, and Table 22 reports the statistics of the MOS-LQO difference for the 2 codes (C90 and C90+AHEVS429 code change).</w:t>
      </w:r>
    </w:p>
    <w:p>
      <w:pPr>
        <w:pStyle w:val="TH"/>
        <w:rPr/>
      </w:pPr>
      <w:r>
        <w:rPr/>
        <w:t>Table 22: Summary of MOS-LQO differences for all conditions</w:t>
      </w:r>
    </w:p>
    <w:tbl>
      <w:tblPr>
        <w:tblW w:w="9471" w:type="dxa"/>
        <w:jc w:val="center"/>
        <w:tblInd w:w="0" w:type="dxa"/>
        <w:tblLayout w:type="fixed"/>
        <w:tblCellMar>
          <w:top w:w="50" w:type="dxa"/>
          <w:left w:w="50" w:type="dxa"/>
          <w:bottom w:w="50" w:type="dxa"/>
          <w:right w:w="50" w:type="dxa"/>
        </w:tblCellMar>
      </w:tblPr>
      <w:tblGrid>
        <w:gridCol w:w="1858"/>
        <w:gridCol w:w="1201"/>
        <w:gridCol w:w="1231"/>
        <w:gridCol w:w="1232"/>
        <w:gridCol w:w="1231"/>
        <w:gridCol w:w="1405"/>
        <w:gridCol w:w="1313"/>
      </w:tblGrid>
      <w:tr>
        <w:trPr/>
        <w:tc>
          <w:tcPr>
            <w:tcW w:w="1858"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Case</w:t>
            </w:r>
          </w:p>
        </w:tc>
        <w:tc>
          <w:tcPr>
            <w:tcW w:w="120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Min</w:t>
            </w:r>
          </w:p>
        </w:tc>
        <w:tc>
          <w:tcPr>
            <w:tcW w:w="123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Max</w:t>
            </w:r>
          </w:p>
        </w:tc>
        <w:tc>
          <w:tcPr>
            <w:tcW w:w="1232"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Mean</w:t>
            </w:r>
          </w:p>
        </w:tc>
        <w:tc>
          <w:tcPr>
            <w:tcW w:w="1231"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StdDev</w:t>
            </w:r>
          </w:p>
        </w:tc>
        <w:tc>
          <w:tcPr>
            <w:tcW w:w="1405"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Quantile_95</w:t>
            </w:r>
          </w:p>
        </w:tc>
        <w:tc>
          <w:tcPr>
            <w:tcW w:w="1313" w:type="dxa"/>
            <w:tcBorders>
              <w:top w:val="single" w:sz="8" w:space="0" w:color="000000"/>
              <w:left w:val="single" w:sz="8" w:space="0" w:color="000000"/>
              <w:bottom w:val="single" w:sz="8" w:space="0" w:color="000000"/>
              <w:right w:val="single" w:sz="8" w:space="0" w:color="000000"/>
            </w:tcBorders>
            <w:vAlign w:val="bottom"/>
          </w:tcPr>
          <w:p>
            <w:pPr>
              <w:pStyle w:val="TAH"/>
              <w:rPr>
                <w:rFonts w:cs="Arial"/>
              </w:rPr>
            </w:pPr>
            <w:r>
              <w:rPr/>
              <w:t>Quantile_99</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A-B</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-0.1138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0.0819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0.0006</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0.0359</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0.0612</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A-C</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-0.0538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0.0630</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0.0011</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0.0103</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0.0198</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0.0362</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A-D</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-0.0928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0.0829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0.0009</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0.0373</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0.0637</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A-B AHEVS-429_1</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-0.1138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0.0819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0.0021</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0.0202</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0.0395</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0.0632</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A-C AHEVS-429_1</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-0.0538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0.0630</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0.0025</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0.0123</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0.0290</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0.0429</w:t>
            </w:r>
          </w:p>
        </w:tc>
      </w:tr>
      <w:tr>
        <w:trPr/>
        <w:tc>
          <w:tcPr>
            <w:tcW w:w="1858" w:type="dxa"/>
            <w:tcBorders>
              <w:top w:val="single" w:sz="8" w:space="0" w:color="000000"/>
              <w:left w:val="single" w:sz="8" w:space="0" w:color="000000"/>
              <w:bottom w:val="single" w:sz="8" w:space="0" w:color="000000"/>
              <w:right w:val="single" w:sz="8" w:space="0" w:color="000000"/>
            </w:tcBorders>
          </w:tcPr>
          <w:p>
            <w:pPr>
              <w:pStyle w:val="TAL"/>
              <w:rPr>
                <w:rFonts w:cs="Arial"/>
              </w:rPr>
            </w:pPr>
            <w:r>
              <w:rPr/>
              <w:t>A-D AHEVS-429_1</w:t>
            </w:r>
          </w:p>
        </w:tc>
        <w:tc>
          <w:tcPr>
            <w:tcW w:w="120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-0.0928</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0.0829</w:t>
            </w:r>
          </w:p>
        </w:tc>
        <w:tc>
          <w:tcPr>
            <w:tcW w:w="1232"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0.0009</w:t>
            </w:r>
          </w:p>
        </w:tc>
        <w:tc>
          <w:tcPr>
            <w:tcW w:w="1231"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0.0195</w:t>
            </w:r>
          </w:p>
        </w:tc>
        <w:tc>
          <w:tcPr>
            <w:tcW w:w="1405"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0.0373</w:t>
            </w:r>
          </w:p>
        </w:tc>
        <w:tc>
          <w:tcPr>
            <w:tcW w:w="1313" w:type="dxa"/>
            <w:tcBorders>
              <w:top w:val="single" w:sz="8" w:space="0" w:color="000000"/>
              <w:left w:val="single" w:sz="8" w:space="0" w:color="000000"/>
              <w:bottom w:val="single" w:sz="8" w:space="0" w:color="000000"/>
              <w:right w:val="single" w:sz="8" w:space="0" w:color="000000"/>
            </w:tcBorders>
          </w:tcPr>
          <w:p>
            <w:pPr>
              <w:pStyle w:val="TAC"/>
              <w:rPr>
                <w:rFonts w:cs="Arial"/>
              </w:rPr>
            </w:pPr>
            <w:r>
              <w:rPr/>
              <w:t>0.0637</w:t>
            </w:r>
          </w:p>
        </w:tc>
      </w:tr>
    </w:tbl>
    <w:p>
      <w:pPr>
        <w:pStyle w:val="Normal"/>
        <w:spacing w:before="120" w:after="0"/>
        <w:ind w:right="57" w:hanging="0"/>
        <w:rPr>
          <w:szCs w:val="22"/>
        </w:rPr>
      </w:pPr>
      <w:r>
        <w:rPr>
          <w:szCs w:val="22"/>
        </w:rPr>
      </w:r>
    </w:p>
    <w:p>
      <w:pPr>
        <w:pStyle w:val="TH"/>
        <w:rPr/>
      </w:pPr>
      <w:r>
        <w:rPr/>
        <w:drawing>
          <wp:inline distT="0" distB="0" distL="0" distR="0">
            <wp:extent cx="5939790" cy="4242435"/>
            <wp:effectExtent l="0" t="0" r="0" b="0"/>
            <wp:docPr id="9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 descr=""/>
                    <pic:cNvPicPr>
                      <a:picLocks noChangeAspect="1" noChangeArrowheads="1"/>
                    </pic:cNvPicPr>
                  </pic:nvPicPr>
                  <pic:blipFill>
                    <a:blip r:embed="rId92"/>
                    <a:srcRect l="-3" t="-4" r="-3" b="-4"/>
                    <a:stretch>
                      <a:fillRect/>
                    </a:stretch>
                  </pic:blipFill>
                  <pic:spPr bwMode="auto">
                    <a:xfrm>
                      <a:off x="0" y="0"/>
                      <a:ext cx="5939790" cy="4242435"/>
                    </a:xfrm>
                    <a:prstGeom prst="rect">
                      <a:avLst/>
                    </a:prstGeom>
                  </pic:spPr>
                </pic:pic>
              </a:graphicData>
            </a:graphic>
          </wp:inline>
        </w:drawing>
      </w:r>
    </w:p>
    <w:p>
      <w:pPr>
        <w:pStyle w:val="TF"/>
        <w:rPr/>
      </w:pPr>
      <w:r>
        <w:rPr/>
        <w:t>Figure 23: CDF of MOS-LQO differences for all conditions.</w:t>
      </w:r>
    </w:p>
    <w:p>
      <w:pPr>
        <w:pStyle w:val="Normal"/>
        <w:rPr/>
      </w:pPr>
      <w:r>
        <w:rPr/>
        <w:t>It can be see that A-C use case exhibits some difference in the CDF, but it is quite small. Similarly on the statistic the difference is small with and without the code change.</w:t>
      </w:r>
    </w:p>
    <w:p>
      <w:pPr>
        <w:pStyle w:val="Normal"/>
        <w:rPr/>
      </w:pPr>
      <w:r>
        <w:rPr/>
        <w:t xml:space="preserve">As the code change only impacts higher bandwidth, the CDF and statistic for only the SWB conditions are reported in Figure 24 and Table 23. </w:t>
      </w:r>
    </w:p>
    <w:p>
      <w:pPr>
        <w:pStyle w:val="Normal"/>
        <w:rPr/>
      </w:pPr>
      <w:r>
        <w:rPr/>
        <w:t>As can be seen in Figure 23, when plotted per condition the difference in CDF becomes more noticeable. The most significant degradation happened for the A-C case, but A-B test case also show some degradation. As the code change only impact the decoder the use case A-D is not affected.</w:t>
      </w:r>
    </w:p>
    <w:p>
      <w:pPr>
        <w:pStyle w:val="Normal"/>
        <w:rPr/>
      </w:pPr>
      <w:r>
        <w:rPr/>
        <w:t>This degradation in the POLQA scores is also visible in the statistics, for the 95% the POLQA difference increases from 0.022 to 0.039 for the A-C use case.</w:t>
      </w:r>
    </w:p>
    <w:p>
      <w:pPr>
        <w:pStyle w:val="TH"/>
        <w:rPr/>
      </w:pPr>
      <w:r>
        <w:rPr/>
        <w:drawing>
          <wp:inline distT="0" distB="0" distL="0" distR="0">
            <wp:extent cx="5939790" cy="4242435"/>
            <wp:effectExtent l="0" t="0" r="0" b="0"/>
            <wp:docPr id="9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 descr=""/>
                    <pic:cNvPicPr>
                      <a:picLocks noChangeAspect="1" noChangeArrowheads="1"/>
                    </pic:cNvPicPr>
                  </pic:nvPicPr>
                  <pic:blipFill>
                    <a:blip r:embed="rId93"/>
                    <a:srcRect l="-3" t="-4" r="-3" b="-4"/>
                    <a:stretch>
                      <a:fillRect/>
                    </a:stretch>
                  </pic:blipFill>
                  <pic:spPr bwMode="auto">
                    <a:xfrm>
                      <a:off x="0" y="0"/>
                      <a:ext cx="5939790" cy="4242435"/>
                    </a:xfrm>
                    <a:prstGeom prst="rect">
                      <a:avLst/>
                    </a:prstGeom>
                  </pic:spPr>
                </pic:pic>
              </a:graphicData>
            </a:graphic>
          </wp:inline>
        </w:drawing>
      </w:r>
    </w:p>
    <w:p>
      <w:pPr>
        <w:pStyle w:val="TF"/>
        <w:rPr/>
      </w:pPr>
      <w:r>
        <w:rPr/>
        <w:t xml:space="preserve">Figure 24: CDF plot of MOS-LQO difference for SWB condition </w:t>
      </w:r>
    </w:p>
    <w:p>
      <w:pPr>
        <w:pStyle w:val="Normal"/>
        <w:spacing w:before="120" w:after="0"/>
        <w:ind w:right="57" w:hanging="0"/>
        <w:jc w:val="center"/>
        <w:rPr>
          <w:b/>
          <w:b/>
          <w:szCs w:val="22"/>
        </w:rPr>
      </w:pPr>
      <w:r>
        <w:rPr>
          <w:b/>
          <w:szCs w:val="22"/>
        </w:rPr>
      </w:r>
    </w:p>
    <w:p>
      <w:pPr>
        <w:pStyle w:val="TH"/>
        <w:rPr/>
      </w:pPr>
      <w:r>
        <w:rPr/>
        <w:t>Table 23: Summary of MOS-LQO differences for SWB conditions</w:t>
      </w:r>
    </w:p>
    <w:tbl>
      <w:tblPr>
        <w:tblW w:w="9794" w:type="dxa"/>
        <w:jc w:val="center"/>
        <w:tblInd w:w="0" w:type="dxa"/>
        <w:tblLayout w:type="fixed"/>
        <w:tblCellMar>
          <w:top w:w="50" w:type="dxa"/>
          <w:left w:w="50" w:type="dxa"/>
          <w:bottom w:w="50" w:type="dxa"/>
          <w:right w:w="50" w:type="dxa"/>
        </w:tblCellMar>
      </w:tblPr>
      <w:tblGrid>
        <w:gridCol w:w="1850"/>
        <w:gridCol w:w="1296"/>
        <w:gridCol w:w="1320"/>
        <w:gridCol w:w="1320"/>
        <w:gridCol w:w="1320"/>
        <w:gridCol w:w="1344"/>
        <w:gridCol w:w="1344"/>
      </w:tblGrid>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H"/>
              <w:rPr/>
            </w:pPr>
            <w:r>
              <w:rPr/>
              <w:t>Case</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H"/>
              <w:rPr/>
            </w:pPr>
            <w:r>
              <w:rPr/>
              <w:t>Min</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H"/>
              <w:rPr/>
            </w:pPr>
            <w:r>
              <w:rPr/>
              <w:t>Max</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H"/>
              <w:rPr/>
            </w:pPr>
            <w:r>
              <w:rPr/>
              <w:t>Mean</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H"/>
              <w:rPr/>
            </w:pPr>
            <w:r>
              <w:rPr/>
              <w:t>StdDev</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H"/>
              <w:rPr/>
            </w:pPr>
            <w:r>
              <w:rPr/>
              <w:t>Quantile_95</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H"/>
              <w:rPr/>
            </w:pPr>
            <w:r>
              <w:rPr/>
              <w:t>Quantile_99</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A-B</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-0.0528</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0.0706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-0.0013</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0.0196</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0.0351</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0.0475</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A-C</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-0.0319</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0.0365</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0.0019</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0.0097</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0.0224</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0.0311</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A-D</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-0.0568</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0.0758</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-0.0026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0.0200</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0.0340</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0.0595</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A-B AHEVS-429_1</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-0.0486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0.0787</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0.0056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0.0225</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0.0459</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0.0671</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A-C AHEVS-429_1</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-0.0319</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0.0613</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0.0086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0.0157</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0.0389</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0.0471</w:t>
            </w:r>
          </w:p>
        </w:tc>
      </w:tr>
      <w:tr>
        <w:trPr/>
        <w:tc>
          <w:tcPr>
            <w:tcW w:w="1850" w:type="dxa"/>
            <w:tcBorders>
              <w:top w:val="single" w:sz="8" w:space="0" w:color="000000"/>
              <w:left w:val="single" w:sz="8" w:space="0" w:color="000000"/>
              <w:bottom w:val="single" w:sz="8" w:space="0" w:color="000000"/>
              <w:right w:val="single" w:sz="8" w:space="0" w:color="000000"/>
            </w:tcBorders>
            <w:vAlign w:val="center"/>
          </w:tcPr>
          <w:p>
            <w:pPr>
              <w:pStyle w:val="TAL"/>
              <w:rPr/>
            </w:pPr>
            <w:r>
              <w:rPr/>
              <w:t>A-D AHEVS-429_1</w:t>
            </w:r>
          </w:p>
        </w:tc>
        <w:tc>
          <w:tcPr>
            <w:tcW w:w="1296" w:type="dxa"/>
            <w:tcBorders>
              <w:top w:val="single" w:sz="8" w:space="0" w:color="000000"/>
              <w:left w:val="single" w:sz="8" w:space="0" w:color="000000"/>
              <w:bottom w:val="single" w:sz="8" w:space="0" w:color="000000"/>
              <w:right w:val="single" w:sz="8" w:space="0" w:color="000000"/>
            </w:tcBorders>
            <w:vAlign w:val="center"/>
          </w:tcPr>
          <w:p>
            <w:pPr>
              <w:pStyle w:val="TAC"/>
              <w:rPr/>
            </w:pPr>
            <w:r>
              <w:rPr/>
              <w:t>-0.0568</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0.0758</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-0.0026</w:t>
            </w:r>
          </w:p>
        </w:tc>
        <w:tc>
          <w:tcPr>
            <w:tcW w:w="1320" w:type="dxa"/>
            <w:tcBorders>
              <w:top w:val="single" w:sz="8" w:space="0" w:color="000000"/>
              <w:left w:val="single" w:sz="8" w:space="0" w:color="000000"/>
              <w:bottom w:val="single" w:sz="8" w:space="0" w:color="000000"/>
              <w:right w:val="single" w:sz="8" w:space="0" w:color="000000"/>
            </w:tcBorders>
            <w:vAlign w:val="center"/>
          </w:tcPr>
          <w:p>
            <w:pPr>
              <w:pStyle w:val="TAC"/>
              <w:rPr/>
            </w:pPr>
            <w:r>
              <w:rPr/>
              <w:t>0.0200</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0.0340</w:t>
            </w:r>
          </w:p>
        </w:tc>
        <w:tc>
          <w:tcPr>
            <w:tcW w:w="1344" w:type="dxa"/>
            <w:tcBorders>
              <w:top w:val="single" w:sz="8" w:space="0" w:color="000000"/>
              <w:left w:val="single" w:sz="8" w:space="0" w:color="000000"/>
              <w:bottom w:val="single" w:sz="8" w:space="0" w:color="000000"/>
              <w:right w:val="single" w:sz="8" w:space="0" w:color="000000"/>
            </w:tcBorders>
            <w:vAlign w:val="center"/>
          </w:tcPr>
          <w:p>
            <w:pPr>
              <w:pStyle w:val="TAC"/>
              <w:rPr/>
            </w:pPr>
            <w:r>
              <w:rPr/>
              <w:t>0.0595</w:t>
            </w:r>
          </w:p>
        </w:tc>
      </w:tr>
    </w:tbl>
    <w:p>
      <w:pPr>
        <w:pStyle w:val="Normal"/>
        <w:rPr/>
      </w:pPr>
      <w:r>
        <w:rPr/>
      </w:r>
    </w:p>
    <w:p>
      <w:pPr>
        <w:pStyle w:val="Normal"/>
        <w:rPr/>
      </w:pPr>
      <w:r>
        <w:rPr/>
        <w:t>By using a bandwidth approach, the POLQA scores can still discriminate a code change that impact a small numbers of the test vectors.</w:t>
      </w:r>
    </w:p>
    <w:p>
      <w:pPr>
        <w:pStyle w:val="Heading3"/>
        <w:rPr/>
      </w:pPr>
      <w:bookmarkStart w:id="66" w:name="__RefHeading___Toc524274815"/>
      <w:bookmarkEnd w:id="66"/>
      <w:r>
        <w:rPr/>
        <w:t>6.5.3</w:t>
        <w:tab/>
        <w:t>Decoder Test</w:t>
      </w:r>
    </w:p>
    <w:p>
      <w:pPr>
        <w:pStyle w:val="Normal"/>
        <w:rPr/>
      </w:pPr>
      <w:r>
        <w:rPr/>
        <w:t xml:space="preserve">In this test the decoder test described in Clause 5.2 was used. The test used the SNR criteria described in AHEVS-427 [4]. The various thresholds and criteria indicated in clause 5.2.6, Table 6 were used. </w:t>
      </w:r>
    </w:p>
    <w:p>
      <w:pPr>
        <w:pStyle w:val="Normal"/>
        <w:rPr/>
      </w:pPr>
      <w:r>
        <w:rPr/>
        <w:t>The code change has been implemented using floating-point version C90 and tested using Microsoft Visual Studio. This code change only affects the decoder output for the higher bandwidth (SWB &amp; FB). Compare to the reference test vectors of TS 26.444, only 270 files, out of 2771 vectors, are none bit-exact.</w:t>
      </w:r>
    </w:p>
    <w:p>
      <w:pPr>
        <w:pStyle w:val="Normal"/>
        <w:rPr/>
      </w:pPr>
      <w:r>
        <w:rPr/>
        <w:t xml:space="preserve">The results indicates that 180 of test vectors are failing. The detailed results are mentioned in table 24. </w:t>
      </w:r>
    </w:p>
    <w:p>
      <w:pPr>
        <w:pStyle w:val="TH"/>
        <w:rPr/>
      </w:pPr>
      <w:r>
        <w:rPr/>
        <w:t>Table 24: Statistics from the decoder test</w:t>
      </w:r>
    </w:p>
    <w:tbl>
      <w:tblPr>
        <w:tblW w:w="9571" w:type="dxa"/>
        <w:jc w:val="center"/>
        <w:tblInd w:w="0" w:type="dxa"/>
        <w:tblLayout w:type="fixed"/>
        <w:tblCellMar>
          <w:top w:w="0" w:type="dxa"/>
          <w:left w:w="28" w:type="dxa"/>
          <w:bottom w:w="0" w:type="dxa"/>
          <w:right w:w="108" w:type="dxa"/>
        </w:tblCellMar>
      </w:tblPr>
      <w:tblGrid>
        <w:gridCol w:w="2808"/>
        <w:gridCol w:w="2254"/>
        <w:gridCol w:w="2254"/>
        <w:gridCol w:w="2255"/>
      </w:tblGrid>
      <w:tr>
        <w:trPr/>
        <w:tc>
          <w:tcPr>
            <w:tcW w:w="280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RMS</w:t>
            </w:r>
          </w:p>
        </w:tc>
        <w:tc>
          <w:tcPr>
            <w:tcW w:w="2254" w:type="dxa"/>
            <w:tcBorders>
              <w:top w:val="single" w:sz="4" w:space="0" w:color="000000"/>
              <w:left w:val="single" w:sz="4" w:space="0" w:color="000000"/>
              <w:bottom w:val="single" w:sz="4" w:space="0" w:color="000000"/>
              <w:right w:val="single" w:sz="4" w:space="0" w:color="000000"/>
            </w:tcBorders>
          </w:tcPr>
          <w:p>
            <w:pPr>
              <w:pStyle w:val="TAH"/>
              <w:rPr/>
            </w:pPr>
            <w:r>
              <w:rPr/>
              <w:t>SNR</w:t>
            </w:r>
          </w:p>
        </w:tc>
        <w:tc>
          <w:tcPr>
            <w:tcW w:w="2255" w:type="dxa"/>
            <w:tcBorders>
              <w:top w:val="single" w:sz="4" w:space="0" w:color="000000"/>
              <w:left w:val="single" w:sz="4" w:space="0" w:color="000000"/>
              <w:bottom w:val="single" w:sz="4" w:space="0" w:color="000000"/>
              <w:right w:val="single" w:sz="4" w:space="0" w:color="000000"/>
            </w:tcBorders>
          </w:tcPr>
          <w:p>
            <w:pPr>
              <w:pStyle w:val="TAH"/>
              <w:rPr/>
            </w:pPr>
            <w:r>
              <w:rPr/>
              <w:t>Spectral Distortion</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tested</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2349830</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57778</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21170</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passing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2292952</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36608</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10987</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Number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57778</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21170</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10183</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 xml:space="preserve">Ratio of frames passing </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97.5</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63.3</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51.9</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Ratio of frames failing</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2254" w:type="dxa"/>
            <w:tcBorders>
              <w:top w:val="single" w:sz="4" w:space="0" w:color="000000"/>
              <w:left w:val="single" w:sz="4" w:space="0" w:color="000000"/>
              <w:bottom w:val="single" w:sz="4" w:space="0" w:color="000000"/>
              <w:right w:val="single" w:sz="4" w:space="0" w:color="000000"/>
            </w:tcBorders>
          </w:tcPr>
          <w:p>
            <w:pPr>
              <w:pStyle w:val="TAC"/>
              <w:rPr/>
            </w:pPr>
            <w:r>
              <w:rPr/>
              <w:t>36.7</w:t>
            </w:r>
          </w:p>
        </w:tc>
        <w:tc>
          <w:tcPr>
            <w:tcW w:w="2255" w:type="dxa"/>
            <w:tcBorders>
              <w:top w:val="single" w:sz="4" w:space="0" w:color="000000"/>
              <w:left w:val="single" w:sz="4" w:space="0" w:color="000000"/>
              <w:bottom w:val="single" w:sz="4" w:space="0" w:color="000000"/>
              <w:right w:val="single" w:sz="4" w:space="0" w:color="000000"/>
            </w:tcBorders>
          </w:tcPr>
          <w:p>
            <w:pPr>
              <w:pStyle w:val="TAC"/>
              <w:rPr/>
            </w:pPr>
            <w:r>
              <w:rPr/>
              <w:t>48.1</w:t>
            </w:r>
          </w:p>
        </w:tc>
      </w:tr>
    </w:tbl>
    <w:p>
      <w:pPr>
        <w:pStyle w:val="Normal"/>
        <w:rPr/>
      </w:pPr>
      <w:r>
        <w:rPr/>
      </w:r>
    </w:p>
    <w:p>
      <w:pPr>
        <w:pStyle w:val="Normal"/>
        <w:rPr/>
      </w:pPr>
      <w:r>
        <w:rPr/>
        <w:t>Overall 0.4% of the frames are failing.</w:t>
      </w:r>
    </w:p>
    <w:p>
      <w:pPr>
        <w:pStyle w:val="Normal"/>
        <w:rPr/>
      </w:pPr>
      <w:r>
        <w:rPr/>
        <w:t>An implementation with the proposed code change will not be conformant to TS 26.443 [2] according to the decoder conformance as currently described in Clause 5.2.</w:t>
      </w:r>
    </w:p>
    <w:p>
      <w:pPr>
        <w:pStyle w:val="Heading2"/>
        <w:rPr/>
      </w:pPr>
      <w:bookmarkStart w:id="67" w:name="__RefHeading___Toc524274816"/>
      <w:bookmarkEnd w:id="67"/>
      <w:r>
        <w:rPr/>
        <w:t>6.6</w:t>
        <w:tab/>
        <w:t>Experiment F</w:t>
      </w:r>
    </w:p>
    <w:p>
      <w:pPr>
        <w:pStyle w:val="Normal"/>
        <w:rPr/>
      </w:pPr>
      <w:r>
        <w:rPr/>
        <w:t>In this clause results with the loudness tool described in Clause 5.3.3 are presented. The encoder test vectors have been processed as described in Figure 5 of Clause 5.3.3.2, using the most recent test vectors, related to TS 26.443 in the currently available version v12.10.0.</w:t>
      </w:r>
    </w:p>
    <w:p>
      <w:pPr>
        <w:pStyle w:val="Normal"/>
        <w:rPr/>
      </w:pPr>
      <w:r>
        <w:rPr/>
        <w:t>The loudness tool has a scaling parameter L</w:t>
      </w:r>
      <w:r>
        <w:rPr>
          <w:vertAlign w:val="subscript"/>
        </w:rPr>
        <w:t>max</w:t>
      </w:r>
      <w:r>
        <w:rPr/>
        <w:t>, which sets the relation between the digital signal level and the assumed acoustic presentation level. The following procedure was used for determining Lmax</w:t>
      </w:r>
    </w:p>
    <w:p>
      <w:pPr>
        <w:pStyle w:val="B1"/>
        <w:rPr/>
      </w:pPr>
      <w:r>
        <w:rPr/>
        <w:t>1)</w:t>
        <w:tab/>
        <w:t>Select assumed acoustic presentation level 80.5 dBSPL for -26 dBov</w:t>
      </w:r>
    </w:p>
    <w:p>
      <w:pPr>
        <w:pStyle w:val="B1"/>
        <w:rPr/>
      </w:pPr>
      <w:r>
        <w:rPr/>
        <w:t>2)</w:t>
        <w:tab/>
        <w:t xml:space="preserve">Construct a mono calibration file with a 1 kHz pure sine tone representing 40 dBSPL (r.m.s. </w:t>
        <w:noBreakHyphen/>
        <w:t>66.5 dB</w:t>
      </w:r>
      <w:r>
        <w:rPr>
          <w:vertAlign w:val="subscript"/>
        </w:rPr>
        <w:t>ov</w:t>
      </w:r>
      <w:r>
        <w:rPr/>
        <w:t>) and 16bit signed integer at 48kHz sampling frequency.</w:t>
      </w:r>
    </w:p>
    <w:p>
      <w:pPr>
        <w:pStyle w:val="B1"/>
        <w:rPr/>
      </w:pPr>
      <w:r>
        <w:rPr/>
        <w:t>3)</w:t>
        <w:tab/>
        <w:t>Repeat until the loudness model gives 1 sone for each channel:</w:t>
      </w:r>
    </w:p>
    <w:p>
      <w:pPr>
        <w:pStyle w:val="B2"/>
        <w:rPr/>
      </w:pPr>
      <w:r>
        <w:rPr/>
        <w:t>a)</w:t>
        <w:tab/>
        <w:t>Measure the loudness with the calibration file</w:t>
      </w:r>
    </w:p>
    <w:p>
      <w:pPr>
        <w:pStyle w:val="B2"/>
        <w:rPr/>
      </w:pPr>
      <w:r>
        <w:rPr/>
        <w:t>b)</w:t>
        <w:tab/>
        <w:t>Adjust L</w:t>
      </w:r>
      <w:r>
        <w:rPr>
          <w:vertAlign w:val="subscript"/>
        </w:rPr>
        <w:t>max</w:t>
      </w:r>
    </w:p>
    <w:p>
      <w:pPr>
        <w:pStyle w:val="Normal"/>
        <w:rPr/>
      </w:pPr>
      <w:r>
        <w:rPr/>
        <w:t xml:space="preserve">The application of this procedure gives a playback level </w:t>
      </w:r>
      <w:r>
        <w:rPr>
          <w:rFonts w:cs="Calibri"/>
        </w:rPr>
        <w:t>L</w:t>
      </w:r>
      <w:r>
        <w:rPr>
          <w:rFonts w:cs="Calibri"/>
          <w:vertAlign w:val="subscript"/>
        </w:rPr>
        <w:t>max</w:t>
      </w:r>
      <w:r>
        <w:rPr>
          <w:rFonts w:cs="Calibri"/>
          <w:vertAlign w:val="superscript"/>
        </w:rPr>
        <w:t xml:space="preserve"> </w:t>
      </w:r>
      <w:r>
        <w:rPr/>
        <w:t xml:space="preserve">of 103.7535 </w:t>
      </w:r>
      <w:r>
        <w:rPr>
          <w:rFonts w:cs="Calibri"/>
        </w:rPr>
        <w:t>dB</w:t>
      </w:r>
      <w:r>
        <w:rPr>
          <w:rFonts w:cs="Calibri"/>
          <w:vertAlign w:val="subscript"/>
        </w:rPr>
        <w:t xml:space="preserve">SPL </w:t>
      </w:r>
      <w:r>
        <w:rPr/>
        <w:t xml:space="preserve">resulting in a loudness of 1.000066 sone. </w:t>
      </w:r>
      <w:r>
        <w:rPr>
          <w:rFonts w:cs="Calibri"/>
        </w:rPr>
        <w:t>L</w:t>
      </w:r>
      <w:r>
        <w:rPr>
          <w:rFonts w:cs="Calibri"/>
          <w:vertAlign w:val="subscript"/>
        </w:rPr>
        <w:t>max</w:t>
      </w:r>
      <w:r>
        <w:rPr/>
        <w:t xml:space="preserve"> can be given as command line option (</w:t>
      </w:r>
      <w:r>
        <w:rPr>
          <w:rFonts w:cs="Calibri" w:ascii="Consolas" w:hAnsi="Consolas"/>
          <w:color w:val="000000"/>
          <w:sz w:val="16"/>
          <w:szCs w:val="16"/>
          <w:shd w:fill="FFFFFF" w:val="clear"/>
        </w:rPr>
        <w:t>–l LEVEL</w:t>
      </w:r>
      <w:r>
        <w:rPr/>
        <w:t>) while the default value is 92 dB</w:t>
      </w:r>
      <w:r>
        <w:rPr>
          <w:vertAlign w:val="subscript"/>
        </w:rPr>
        <w:t>SPL</w:t>
      </w:r>
      <w:r>
        <w:rPr/>
        <w:t>, as described in ITU-R BS.1387-1 [2].</w:t>
      </w:r>
    </w:p>
    <w:p>
      <w:pPr>
        <w:pStyle w:val="NO"/>
        <w:rPr/>
      </w:pPr>
      <w:r>
        <w:rPr/>
        <w:t>NOTE:</w:t>
        <w:tab/>
        <w:t xml:space="preserve">The level 80.5 dBSPL was selected at 6 dB above the acoustic level expected for a UE with a receive loudness rating RLR of 8 dB (nominal for a binaural headset UE in TS 26.131), when receiving a signal a level of </w:t>
        <w:noBreakHyphen/>
        <w:t>16 dBm0.</w:t>
      </w:r>
    </w:p>
    <w:p>
      <w:pPr>
        <w:pStyle w:val="Normal"/>
        <w:rPr/>
      </w:pPr>
      <w:r>
        <w:rPr/>
        <w:t>The following 18 implementations (platforms &amp; compiler optimization combination) have been tested:</w:t>
      </w:r>
    </w:p>
    <w:p>
      <w:pPr>
        <w:pStyle w:val="B1"/>
        <w:rPr/>
      </w:pPr>
      <w:r>
        <w:rPr/>
        <w:t>-</w:t>
        <w:tab/>
        <w:t>ARMv6 VFPv2 gcc-8 –Os</w:t>
      </w:r>
    </w:p>
    <w:p>
      <w:pPr>
        <w:pStyle w:val="B1"/>
        <w:rPr/>
      </w:pPr>
      <w:r>
        <w:rPr/>
        <w:t>-</w:t>
        <w:tab/>
        <w:t>ARMv7 NEON gcc-8 -O2</w:t>
      </w:r>
    </w:p>
    <w:p>
      <w:pPr>
        <w:pStyle w:val="B1"/>
        <w:rPr/>
      </w:pPr>
      <w:r>
        <w:rPr/>
        <w:t>-</w:t>
        <w:tab/>
        <w:t>ARMv7 VFPv3 gcc-8 –Os</w:t>
      </w:r>
    </w:p>
    <w:p>
      <w:pPr>
        <w:pStyle w:val="B1"/>
        <w:rPr/>
      </w:pPr>
      <w:r>
        <w:rPr/>
        <w:t>-</w:t>
        <w:tab/>
        <w:t>ARMv8 AArch32 gcc-8 –Os</w:t>
      </w:r>
    </w:p>
    <w:p>
      <w:pPr>
        <w:pStyle w:val="B1"/>
        <w:rPr/>
      </w:pPr>
      <w:r>
        <w:rPr/>
        <w:t>-</w:t>
        <w:tab/>
        <w:t>ARMv8 AArch64 gcc-8 –Os</w:t>
      </w:r>
    </w:p>
    <w:p>
      <w:pPr>
        <w:pStyle w:val="B1"/>
        <w:rPr/>
      </w:pPr>
      <w:r>
        <w:rPr/>
        <w:t>-</w:t>
        <w:tab/>
        <w:t>ARMv8 AArch64 gcc-8 -Os -ffp-contract=off</w:t>
      </w:r>
    </w:p>
    <w:p>
      <w:pPr>
        <w:pStyle w:val="B1"/>
        <w:rPr/>
      </w:pPr>
      <w:r>
        <w:rPr/>
        <w:t>-</w:t>
        <w:tab/>
        <w:t>i686 gcc-6 -O3</w:t>
      </w:r>
    </w:p>
    <w:p>
      <w:pPr>
        <w:pStyle w:val="B1"/>
        <w:rPr/>
      </w:pPr>
      <w:r>
        <w:rPr/>
        <w:t>-</w:t>
        <w:tab/>
        <w:t>i686 gcc-6 -O3 -mfpmath=sse -msse2</w:t>
      </w:r>
    </w:p>
    <w:p>
      <w:pPr>
        <w:pStyle w:val="B1"/>
        <w:rPr/>
      </w:pPr>
      <w:r>
        <w:rPr/>
        <w:t>-</w:t>
        <w:tab/>
        <w:t>i686 VS2017 Debug</w:t>
      </w:r>
    </w:p>
    <w:p>
      <w:pPr>
        <w:pStyle w:val="B1"/>
        <w:rPr/>
      </w:pPr>
      <w:r>
        <w:rPr/>
        <w:t>-</w:t>
        <w:tab/>
        <w:t>i686 VS2017 MinSizeRel</w:t>
      </w:r>
    </w:p>
    <w:p>
      <w:pPr>
        <w:pStyle w:val="B1"/>
        <w:rPr/>
      </w:pPr>
      <w:r>
        <w:rPr/>
        <w:t>-</w:t>
        <w:tab/>
        <w:t>i686 VS2017 Release</w:t>
      </w:r>
    </w:p>
    <w:p>
      <w:pPr>
        <w:pStyle w:val="B1"/>
        <w:rPr/>
      </w:pPr>
      <w:r>
        <w:rPr/>
        <w:t>-</w:t>
        <w:tab/>
        <w:t>x86-64 clang-4.0 -O3</w:t>
      </w:r>
    </w:p>
    <w:p>
      <w:pPr>
        <w:pStyle w:val="B1"/>
        <w:rPr/>
      </w:pPr>
      <w:r>
        <w:rPr/>
        <w:t>-</w:t>
        <w:tab/>
        <w:t>x86-64 clang-4.0 –Ofast</w:t>
      </w:r>
    </w:p>
    <w:p>
      <w:pPr>
        <w:pStyle w:val="B1"/>
        <w:rPr/>
      </w:pPr>
      <w:r>
        <w:rPr/>
        <w:t>-</w:t>
        <w:tab/>
        <w:t>x86-64 gcc-6 -O3</w:t>
      </w:r>
    </w:p>
    <w:p>
      <w:pPr>
        <w:pStyle w:val="B1"/>
        <w:rPr/>
      </w:pPr>
      <w:r>
        <w:rPr/>
        <w:t>-</w:t>
        <w:tab/>
        <w:t>x86-64 gcc-6 –Ofast</w:t>
      </w:r>
    </w:p>
    <w:p>
      <w:pPr>
        <w:pStyle w:val="B1"/>
        <w:rPr/>
      </w:pPr>
      <w:r>
        <w:rPr/>
        <w:t>-</w:t>
        <w:tab/>
        <w:t>x86-64 VS2017 Debug</w:t>
      </w:r>
    </w:p>
    <w:p>
      <w:pPr>
        <w:pStyle w:val="B1"/>
        <w:rPr/>
      </w:pPr>
      <w:r>
        <w:rPr/>
        <w:t>-</w:t>
        <w:tab/>
        <w:t>x86-64 VS2017 MinSizeRel</w:t>
      </w:r>
    </w:p>
    <w:p>
      <w:pPr>
        <w:pStyle w:val="B1"/>
        <w:rPr/>
      </w:pPr>
      <w:r>
        <w:rPr/>
        <w:t>-</w:t>
        <w:tab/>
        <w:t>x86-64 VS2017 Release</w:t>
      </w:r>
    </w:p>
    <w:p>
      <w:pPr>
        <w:pStyle w:val="Normal"/>
        <w:rPr/>
      </w:pPr>
      <w:r>
        <w:rPr/>
        <w:t>The boxplots indicate lower and upper quartile (left and right end of box) and median, the horizontal lines attached to the box indicate extreme values excluding outliers. Outliers are depicted as individual values.</w:t>
      </w:r>
    </w:p>
    <w:p>
      <w:pPr>
        <w:pStyle w:val="Normal"/>
        <w:rPr/>
      </w:pPr>
      <w:r>
        <w:rPr/>
        <w:t xml:space="preserve">In Figure 25 the box plot over all test vectors for a particular build is plotted for </w:t>
      </w:r>
      <w:r>
        <w:rPr>
          <w:rFonts w:cs="Calibri"/>
        </w:rPr>
        <w:t>L</w:t>
      </w:r>
      <w:r>
        <w:rPr>
          <w:rFonts w:cs="Calibri"/>
          <w:vertAlign w:val="subscript"/>
        </w:rPr>
        <w:t>max</w:t>
      </w:r>
      <w:r>
        <w:rPr>
          <w:rFonts w:cs="Calibri"/>
          <w:vertAlign w:val="superscript"/>
        </w:rPr>
        <w:t xml:space="preserve"> </w:t>
      </w:r>
      <w:r>
        <w:rPr/>
        <w:t>= 92dB</w:t>
      </w:r>
      <w:r>
        <w:rPr>
          <w:rFonts w:cs="Calibri"/>
          <w:vertAlign w:val="subscript"/>
        </w:rPr>
        <w:t>SPL</w:t>
      </w:r>
      <w:r>
        <w:rPr/>
        <w:t>.</w:t>
      </w:r>
    </w:p>
    <w:p>
      <w:pPr>
        <w:pStyle w:val="TH"/>
        <w:rPr/>
      </w:pPr>
      <w:r>
        <w:rPr/>
        <w:drawing>
          <wp:inline distT="0" distB="0" distL="0" distR="0">
            <wp:extent cx="5939790" cy="4242435"/>
            <wp:effectExtent l="0" t="0" r="0" b="0"/>
            <wp:docPr id="9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3" descr=""/>
                    <pic:cNvPicPr>
                      <a:picLocks noChangeAspect="1" noChangeArrowheads="1"/>
                    </pic:cNvPicPr>
                  </pic:nvPicPr>
                  <pic:blipFill>
                    <a:blip r:embed="rId94"/>
                    <a:srcRect l="-6" t="-8" r="-6" b="-8"/>
                    <a:stretch>
                      <a:fillRect/>
                    </a:stretch>
                  </pic:blipFill>
                  <pic:spPr bwMode="auto">
                    <a:xfrm>
                      <a:off x="0" y="0"/>
                      <a:ext cx="5939790" cy="4242435"/>
                    </a:xfrm>
                    <a:prstGeom prst="rect">
                      <a:avLst/>
                    </a:prstGeom>
                  </pic:spPr>
                </pic:pic>
              </a:graphicData>
            </a:graphic>
          </wp:inline>
        </w:drawing>
      </w:r>
    </w:p>
    <w:p>
      <w:pPr>
        <w:pStyle w:val="TF"/>
        <w:rPr/>
      </w:pPr>
      <w:r>
        <w:rPr/>
        <w:t>Figure 25: MLD Loudness Difference metric for various builds (</w:t>
      </w:r>
      <w:r>
        <w:rPr>
          <w:rFonts w:cs="Calibri"/>
        </w:rPr>
        <w:t>L</w:t>
      </w:r>
      <w:r>
        <w:rPr>
          <w:rFonts w:cs="Calibri"/>
          <w:vertAlign w:val="subscript"/>
        </w:rPr>
        <w:t>max</w:t>
      </w:r>
      <w:r>
        <w:rPr>
          <w:rFonts w:cs="Calibri"/>
          <w:vertAlign w:val="superscript"/>
        </w:rPr>
        <w:t xml:space="preserve"> </w:t>
      </w:r>
      <w:r>
        <w:rPr/>
        <w:t>= 92dB</w:t>
      </w:r>
      <w:r>
        <w:rPr>
          <w:rFonts w:cs="Calibri"/>
          <w:vertAlign w:val="subscript"/>
        </w:rPr>
        <w:t>SPL</w:t>
      </w:r>
      <w:r>
        <w:rPr/>
        <w:t>)</w:t>
      </w:r>
    </w:p>
    <w:p>
      <w:pPr>
        <w:pStyle w:val="Normal"/>
        <w:rPr/>
      </w:pPr>
      <w:r>
        <w:rPr/>
        <w:t>In Figure 25 it can be observed that the builds "i686 VS2017 MinSizeRel" builds do not show any MLD. These builds are identical to the executables used for generating the test vectors. When deviating from the VS2017 Min Size Release builds to builds using an IEEE 754 compatible floating point unit, a maximum MLD of approx. 5 can be observed. Only for builds violating IEEE 754 ("ARMv7 NEON gcc-8 -O2", "ARMv8 AArch64 gcc-8 -Os", "i686 gcc-6 -O3", "x86-64 clang-4.0 -Ofast", "i686 gcc-6 -Ofast") significant higher MLD values can be observed.</w:t>
      </w:r>
    </w:p>
    <w:p>
      <w:pPr>
        <w:pStyle w:val="Normal"/>
        <w:rPr/>
      </w:pPr>
      <w:r>
        <w:rPr/>
        <w:t xml:space="preserve">In Figure 26 the box plot over all test vectors for a particular build is plotted for </w:t>
      </w:r>
      <w:r>
        <w:rPr>
          <w:rFonts w:cs="Calibri"/>
        </w:rPr>
        <w:t>L</w:t>
      </w:r>
      <w:r>
        <w:rPr>
          <w:rFonts w:cs="Calibri"/>
          <w:vertAlign w:val="subscript"/>
        </w:rPr>
        <w:t>max</w:t>
      </w:r>
      <w:r>
        <w:rPr>
          <w:rFonts w:cs="Calibri"/>
          <w:vertAlign w:val="superscript"/>
        </w:rPr>
        <w:t xml:space="preserve"> </w:t>
      </w:r>
      <w:r>
        <w:rPr/>
        <w:t>= 103.7535 dB</w:t>
      </w:r>
      <w:r>
        <w:rPr>
          <w:rFonts w:cs="Calibri"/>
          <w:vertAlign w:val="subscript"/>
        </w:rPr>
        <w:t>SPL</w:t>
      </w:r>
      <w:r>
        <w:rPr/>
        <w:t>.</w:t>
      </w:r>
    </w:p>
    <w:p>
      <w:pPr>
        <w:pStyle w:val="TH"/>
        <w:rPr/>
      </w:pPr>
      <w:r>
        <w:rPr/>
        <w:drawing>
          <wp:inline distT="0" distB="0" distL="0" distR="0">
            <wp:extent cx="5939790" cy="4242435"/>
            <wp:effectExtent l="0" t="0" r="0" b="0"/>
            <wp:docPr id="93"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2" descr=""/>
                    <pic:cNvPicPr>
                      <a:picLocks noChangeAspect="1" noChangeArrowheads="1"/>
                    </pic:cNvPicPr>
                  </pic:nvPicPr>
                  <pic:blipFill>
                    <a:blip r:embed="rId95"/>
                    <a:srcRect l="-6" t="-8" r="-6" b="-8"/>
                    <a:stretch>
                      <a:fillRect/>
                    </a:stretch>
                  </pic:blipFill>
                  <pic:spPr bwMode="auto">
                    <a:xfrm>
                      <a:off x="0" y="0"/>
                      <a:ext cx="5939790" cy="4242435"/>
                    </a:xfrm>
                    <a:prstGeom prst="rect">
                      <a:avLst/>
                    </a:prstGeom>
                  </pic:spPr>
                </pic:pic>
              </a:graphicData>
            </a:graphic>
          </wp:inline>
        </w:drawing>
      </w:r>
    </w:p>
    <w:p>
      <w:pPr>
        <w:pStyle w:val="TF"/>
        <w:rPr/>
      </w:pPr>
      <w:r>
        <w:rPr/>
        <w:t>Figure 26: MLD Loudness Difference metric for various builds (</w:t>
      </w:r>
      <w:r>
        <w:rPr>
          <w:rFonts w:cs="Calibri"/>
        </w:rPr>
        <w:t>L</w:t>
      </w:r>
      <w:r>
        <w:rPr>
          <w:rFonts w:cs="Calibri"/>
          <w:vertAlign w:val="subscript"/>
        </w:rPr>
        <w:t>max</w:t>
      </w:r>
      <w:r>
        <w:rPr>
          <w:rFonts w:cs="Calibri"/>
          <w:vertAlign w:val="superscript"/>
        </w:rPr>
        <w:t xml:space="preserve"> </w:t>
      </w:r>
      <w:r>
        <w:rPr/>
        <w:t>= 103.7535 dB</w:t>
      </w:r>
      <w:r>
        <w:rPr>
          <w:rFonts w:cs="Calibri"/>
          <w:vertAlign w:val="subscript"/>
        </w:rPr>
        <w:t>SPL</w:t>
      </w:r>
      <w:r>
        <w:rPr/>
        <w:t>)</w:t>
      </w:r>
    </w:p>
    <w:p>
      <w:pPr>
        <w:pStyle w:val="Normal"/>
        <w:rPr/>
      </w:pPr>
      <w:r>
        <w:rPr/>
        <w:t>In Figure 26 it can be observed that the builds "i686 VS2017 MinSizeRel" builds do not show any MLD. These builds are identical to the executables used for generating the test vectors. When deviating from the VS2017 Min Size Release builds to builds using an IEEE 754 compatible floating point unit, a maximum MLD of approx. 10 can be observed. Only for builds violating IEEE 754 ("ARMv7 NEON gcc-8 -O2", "ARMv8 AArch64 gcc-8 -Os", "i686 gcc-6 -O3", "x86-64 clang-4.0 -Ofast", "i686 gcc-6 -Ofast") significant higher MLD values can be observed.</w:t>
      </w:r>
    </w:p>
    <w:p>
      <w:pPr>
        <w:pStyle w:val="Normal"/>
        <w:rPr/>
      </w:pPr>
      <w:r>
        <w:rPr/>
        <w:t xml:space="preserve">Based on these results a single MLD threshold could be used as conformance criteria. For example a value of 6 could be selected when using </w:t>
      </w:r>
      <w:r>
        <w:rPr>
          <w:rFonts w:cs="Calibri"/>
        </w:rPr>
        <w:t>L</w:t>
      </w:r>
      <w:r>
        <w:rPr>
          <w:rFonts w:cs="Calibri"/>
          <w:vertAlign w:val="subscript"/>
        </w:rPr>
        <w:t>max</w:t>
      </w:r>
      <w:r>
        <w:rPr>
          <w:rFonts w:cs="Calibri"/>
          <w:vertAlign w:val="superscript"/>
        </w:rPr>
        <w:t xml:space="preserve"> </w:t>
      </w:r>
      <w:r>
        <w:rPr/>
        <w:t>= 92dB</w:t>
      </w:r>
      <w:r>
        <w:rPr>
          <w:rFonts w:cs="Calibri"/>
          <w:vertAlign w:val="subscript"/>
        </w:rPr>
        <w:t>SPL</w:t>
      </w:r>
      <w:r>
        <w:rPr>
          <w:rFonts w:cs="Calibri"/>
        </w:rPr>
        <w:t xml:space="preserve"> or a value of 12 for L</w:t>
      </w:r>
      <w:r>
        <w:rPr>
          <w:rFonts w:cs="Calibri"/>
          <w:vertAlign w:val="subscript"/>
        </w:rPr>
        <w:t>max</w:t>
      </w:r>
      <w:r>
        <w:rPr>
          <w:rFonts w:cs="Calibri"/>
          <w:vertAlign w:val="superscript"/>
        </w:rPr>
        <w:t xml:space="preserve"> </w:t>
      </w:r>
      <w:r>
        <w:rPr/>
        <w:t>= 103.7535 dB</w:t>
      </w:r>
      <w:r>
        <w:rPr>
          <w:rFonts w:cs="Calibri"/>
          <w:vertAlign w:val="subscript"/>
        </w:rPr>
        <w:t>SPL</w:t>
      </w:r>
      <w:r>
        <w:rPr>
          <w:rFonts w:cs="Calibri"/>
        </w:rPr>
        <w:t>.</w:t>
      </w:r>
    </w:p>
    <w:p>
      <w:pPr>
        <w:pStyle w:val="Heading1"/>
        <w:ind w:left="1134" w:hanging="1134"/>
        <w:rPr/>
      </w:pPr>
      <w:bookmarkStart w:id="68" w:name="__RefHeading___Toc524274817"/>
      <w:bookmarkEnd w:id="68"/>
      <w:r>
        <w:rPr/>
        <w:t>7</w:t>
        <w:tab/>
        <w:t>Conformance Process</w:t>
      </w:r>
    </w:p>
    <w:p>
      <w:pPr>
        <w:pStyle w:val="Heading2"/>
        <w:rPr/>
      </w:pPr>
      <w:bookmarkStart w:id="69" w:name="__RefHeading___Toc524274818"/>
      <w:bookmarkEnd w:id="69"/>
      <w:r>
        <w:rPr/>
        <w:t>7.1</w:t>
        <w:tab/>
        <w:t>Description</w:t>
      </w:r>
    </w:p>
    <w:p>
      <w:pPr>
        <w:pStyle w:val="Normal"/>
        <w:rPr/>
      </w:pPr>
      <w:r>
        <w:rPr/>
        <w:t>For a floating-point implementation based on TS 26.443 to be conformant, it is proposed that the following three tests should be done and pass successfully:</w:t>
      </w:r>
    </w:p>
    <w:p>
      <w:pPr>
        <w:pStyle w:val="B1"/>
        <w:rPr/>
      </w:pPr>
      <w:r>
        <w:rPr/>
        <w:t>-</w:t>
        <w:tab/>
        <w:t>Decoder test based on Signal metrics described in Clause 5.2 comparing the CUT decoder implementation with TS 26.443 decoder.</w:t>
      </w:r>
    </w:p>
    <w:p>
      <w:pPr>
        <w:pStyle w:val="B1"/>
        <w:rPr/>
      </w:pPr>
      <w:r>
        <w:rPr/>
        <w:t>-</w:t>
        <w:tab/>
        <w:t>Encoder test (possibly based on Loudness metrics described in Clause 5.3.3) comparing CUT encoder implementation with TS 26.443 encoder.</w:t>
      </w:r>
    </w:p>
    <w:p>
      <w:pPr>
        <w:pStyle w:val="B1"/>
        <w:rPr/>
      </w:pPr>
      <w:r>
        <w:rPr/>
        <w:t>-</w:t>
        <w:tab/>
        <w:t>MOS-LQO verification based on POLQA described in Clause 5.3.2 comparing CUT implementation with TS 26.442 implementation.</w:t>
      </w:r>
    </w:p>
    <w:p>
      <w:pPr>
        <w:pStyle w:val="Normal"/>
        <w:rPr/>
      </w:pPr>
      <w:r>
        <w:rPr/>
        <w:t xml:space="preserve">Figure 27 presents an overview of the possible flow chart for EVS conformance process. </w:t>
      </w:r>
    </w:p>
    <w:p>
      <w:pPr>
        <w:pStyle w:val="TH"/>
        <w:rPr/>
      </w:pPr>
      <w:r>
        <w:rPr/>
        <w:object w:dxaOrig="10970" w:dyaOrig="926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67.35pt;height:394.5pt" filled="f" o:ole="">
            <v:imagedata r:id="rId97" o:title=""/>
          </v:shape>
          <o:OLEObject Type="Embed" ProgID="" ShapeID="ole_rId96" DrawAspect="Content" ObjectID="_224294477" r:id="rId96"/>
        </w:object>
      </w:r>
    </w:p>
    <w:p>
      <w:pPr>
        <w:pStyle w:val="TF"/>
        <w:rPr/>
      </w:pPr>
      <w:r>
        <w:rPr/>
        <w:t>Figure 27: Flow chart for possible EVS float conformance process</w:t>
      </w:r>
    </w:p>
    <w:p>
      <w:pPr>
        <w:pStyle w:val="Heading1"/>
        <w:ind w:left="1134" w:hanging="1134"/>
        <w:rPr/>
      </w:pPr>
      <w:bookmarkStart w:id="70" w:name="__RefHeading___Toc524274819"/>
      <w:bookmarkEnd w:id="70"/>
      <w:r>
        <w:rPr/>
        <w:t>8</w:t>
        <w:tab/>
        <w:t>Interoperability</w:t>
      </w:r>
    </w:p>
    <w:p>
      <w:pPr>
        <w:pStyle w:val="Heading2"/>
        <w:rPr/>
      </w:pPr>
      <w:bookmarkStart w:id="71" w:name="__RefHeading___Toc524274820"/>
      <w:bookmarkEnd w:id="71"/>
      <w:r>
        <w:rPr/>
        <w:t>8.1</w:t>
        <w:tab/>
        <w:t>Description</w:t>
      </w:r>
    </w:p>
    <w:p>
      <w:pPr>
        <w:pStyle w:val="Normal"/>
        <w:rPr>
          <w:rFonts w:ascii="Calibri" w:hAnsi="Calibri" w:cs="Calibri"/>
        </w:rPr>
      </w:pPr>
      <w:r>
        <w:rPr/>
        <w:t>By using implementations being conformant to either TS 26.442 or TS 26. 443, there are two interoperability concerns that comes to mind.</w:t>
      </w:r>
    </w:p>
    <w:p>
      <w:pPr>
        <w:pStyle w:val="Normal"/>
        <w:rPr/>
      </w:pPr>
      <w:r>
        <w:rPr/>
        <w:t xml:space="preserve">The first concern is about interoperability between fixed-point and floating-point implementations. For a given release version of EVS, both implementations in TS 26.442 and TS 26.443 are tested together to minimize any interoperability issue that could be introduced by the code changes. Furthermore, interoperability relevant code parts including all bit-stream operations are included as fixed-point code into TS 26.443. Old versions of EVS implementations showing interoperability issues have been discarded. Based on these it could be assumed that any release of EVS fixed-point and floating-point standards are fully interoperable. </w:t>
      </w:r>
    </w:p>
    <w:p>
      <w:pPr>
        <w:pStyle w:val="Normal"/>
        <w:rPr/>
      </w:pPr>
      <w:r>
        <w:rPr/>
        <w:t xml:space="preserve">The second one arises from the belief that by not using bit-exact criteria two floating-point implementations could be non-interoperable. This is discussed in the next clause.   </w:t>
      </w:r>
    </w:p>
    <w:p>
      <w:pPr>
        <w:pStyle w:val="Heading2"/>
        <w:rPr/>
      </w:pPr>
      <w:bookmarkStart w:id="72" w:name="__RefHeading___Toc524274821"/>
      <w:bookmarkEnd w:id="72"/>
      <w:r>
        <w:rPr/>
        <w:t>8.2</w:t>
        <w:tab/>
        <w:t>Interoperability Testing</w:t>
      </w:r>
    </w:p>
    <w:p>
      <w:pPr>
        <w:pStyle w:val="Normal"/>
        <w:rPr>
          <w:rFonts w:cs="Arial"/>
        </w:rPr>
      </w:pPr>
      <w:r>
        <w:rPr>
          <w:rFonts w:cs="Arial"/>
        </w:rPr>
        <w:t xml:space="preserve">Clauses 5.2 and 5.3 describe signal-based methods and perceptual-based methods for a conformance procedure for evaluating various EVS floating-point implementations. </w:t>
      </w:r>
    </w:p>
    <w:p>
      <w:pPr>
        <w:pStyle w:val="Normal"/>
        <w:rPr/>
      </w:pPr>
      <w:r>
        <w:rPr/>
        <w:t>In Clause 5.2, the decoder implementation on any given compiler is tested against the test vectors from 26.444 (corresponding to e.g., floating point 32-bit MSVC implementation). The decoder conformance procedure is depicted as in Figure 28.</w:t>
      </w:r>
    </w:p>
    <w:p>
      <w:pPr>
        <w:pStyle w:val="Normal"/>
        <w:rPr/>
      </w:pPr>
      <w:r>
        <w:rPr/>
        <w:t>In Clause 5.3, the encoder-decoder chain is proposed to be evaluated based on a delta MOS-LQO measure using the POLQA tool. The encoder-decoder conformance procedure is depicted in Figure 29.</w:t>
      </w:r>
    </w:p>
    <w:p>
      <w:pPr>
        <w:pStyle w:val="TH"/>
        <w:rPr>
          <w:rFonts w:cs="Arial"/>
        </w:rPr>
      </w:pPr>
      <w:r>
        <w:rPr/>
        <w:drawing>
          <wp:inline distT="0" distB="0" distL="0" distR="0">
            <wp:extent cx="2418080" cy="1827530"/>
            <wp:effectExtent l="0" t="0" r="0" b="0"/>
            <wp:docPr id="9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2" descr=""/>
                    <pic:cNvPicPr>
                      <a:picLocks noChangeAspect="1" noChangeArrowheads="1"/>
                    </pic:cNvPicPr>
                  </pic:nvPicPr>
                  <pic:blipFill>
                    <a:blip r:embed="rId98"/>
                    <a:srcRect l="-6" t="-8" r="-6" b="-8"/>
                    <a:stretch>
                      <a:fillRect/>
                    </a:stretch>
                  </pic:blipFill>
                  <pic:spPr bwMode="auto">
                    <a:xfrm>
                      <a:off x="0" y="0"/>
                      <a:ext cx="2418080" cy="1827530"/>
                    </a:xfrm>
                    <a:prstGeom prst="rect">
                      <a:avLst/>
                    </a:prstGeom>
                  </pic:spPr>
                </pic:pic>
              </a:graphicData>
            </a:graphic>
          </wp:inline>
        </w:drawing>
      </w:r>
    </w:p>
    <w:p>
      <w:pPr>
        <w:pStyle w:val="TF"/>
        <w:rPr/>
      </w:pPr>
      <w:r>
        <w:rPr/>
        <w:t>Figure 28: Decoder conformance, where each of the decoder implementations on different compilers (e.g., N different compilers) verified based on the test vectors from TS 26.444</w:t>
      </w:r>
    </w:p>
    <w:p>
      <w:pPr>
        <w:pStyle w:val="TH"/>
        <w:rPr/>
      </w:pPr>
      <w:r>
        <w:rPr>
          <w:rFonts w:eastAsia="Arial"/>
        </w:rPr>
        <w:t xml:space="preserve"> </w:t>
      </w:r>
      <w:r>
        <w:rPr/>
        <w:drawing>
          <wp:inline distT="0" distB="0" distL="0" distR="0">
            <wp:extent cx="2490470" cy="1830705"/>
            <wp:effectExtent l="0" t="0" r="0" b="0"/>
            <wp:docPr id="9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3" descr=""/>
                    <pic:cNvPicPr>
                      <a:picLocks noChangeAspect="1" noChangeArrowheads="1"/>
                    </pic:cNvPicPr>
                  </pic:nvPicPr>
                  <pic:blipFill>
                    <a:blip r:embed="rId99"/>
                    <a:srcRect l="-5" t="-7" r="-5" b="-7"/>
                    <a:stretch>
                      <a:fillRect/>
                    </a:stretch>
                  </pic:blipFill>
                  <pic:spPr bwMode="auto">
                    <a:xfrm>
                      <a:off x="0" y="0"/>
                      <a:ext cx="2490470" cy="1830705"/>
                    </a:xfrm>
                    <a:prstGeom prst="rect">
                      <a:avLst/>
                    </a:prstGeom>
                  </pic:spPr>
                </pic:pic>
              </a:graphicData>
            </a:graphic>
          </wp:inline>
        </w:drawing>
      </w:r>
      <w:r>
        <w:rPr/>
        <w:tab/>
      </w:r>
      <w:r>
        <w:rPr/>
        <w:drawing>
          <wp:inline distT="0" distB="0" distL="0" distR="0">
            <wp:extent cx="2505075" cy="1830705"/>
            <wp:effectExtent l="0" t="0" r="0" b="0"/>
            <wp:docPr id="96"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4" descr=""/>
                    <pic:cNvPicPr>
                      <a:picLocks noChangeAspect="1" noChangeArrowheads="1"/>
                    </pic:cNvPicPr>
                  </pic:nvPicPr>
                  <pic:blipFill>
                    <a:blip r:embed="rId100"/>
                    <a:srcRect l="-5" t="-7" r="-5" b="-7"/>
                    <a:stretch>
                      <a:fillRect/>
                    </a:stretch>
                  </pic:blipFill>
                  <pic:spPr bwMode="auto">
                    <a:xfrm>
                      <a:off x="0" y="0"/>
                      <a:ext cx="2505075" cy="1830705"/>
                    </a:xfrm>
                    <a:prstGeom prst="rect">
                      <a:avLst/>
                    </a:prstGeom>
                  </pic:spPr>
                </pic:pic>
              </a:graphicData>
            </a:graphic>
          </wp:inline>
        </w:drawing>
      </w:r>
    </w:p>
    <w:p>
      <w:pPr>
        <w:pStyle w:val="TF"/>
        <w:rPr/>
      </w:pPr>
      <w:r>
        <w:rPr/>
        <w:t>Figure 29: Encoder-decoder conformance, where each of the encoder/decoder implementations on different compilers (e.g., shown here for 2 compilers) verified against the Fixed (FX) implementation</w:t>
      </w:r>
    </w:p>
    <w:p>
      <w:pPr>
        <w:pStyle w:val="Normal"/>
        <w:rPr/>
      </w:pPr>
      <w:r>
        <w:rPr/>
        <w:t>The conformance procedure shown in Figure 28 evaluates only Float (FL) decoder implementations. The procedure is similar to what is typically followed in MPEG standards for evaluating decoder conformance, that serves streaming or playback type of applications (or decoder-only FL implementations in conversational applications).</w:t>
      </w:r>
    </w:p>
    <w:p>
      <w:pPr>
        <w:pStyle w:val="Normal"/>
        <w:rPr/>
      </w:pPr>
      <w:r>
        <w:rPr/>
        <w:t xml:space="preserve">For end-to-end conversational application, the conformance procedure shown in Figure 29 evaluates Encoder/Decoder chain for the three combinations, i.e., 1) FL_Enc &lt;-&gt; FL_Dec, 2) FX_Enc &lt;-&gt; FL_Dec, and 3) FL_Enc &lt;-&gt; FX_dec against FX_Enc &lt;-&gt; FX_Dec. </w:t>
      </w:r>
    </w:p>
    <w:p>
      <w:pPr>
        <w:pStyle w:val="Normal"/>
        <w:rPr/>
      </w:pPr>
      <w:r>
        <w:rPr/>
        <w:t xml:space="preserve">By combining both conformance procedures (figure 28 &amp; 29), the CUT float implementation is evaluated against both the FX reference implementation and the FL reference implementation, minimizing potential interoperability issues. Furthermore, using both methods the coverage of test vectors is significantly increased, providing more confidence to the float conformance even if bit-exactness criteria are not used. </w:t>
      </w:r>
    </w:p>
    <w:p>
      <w:pPr>
        <w:pStyle w:val="Normal"/>
        <w:rPr/>
      </w:pPr>
      <w:r>
        <w:rPr/>
        <w:t>The conformance test of an implementation (fixed or float) should be done against the reference code and not against another custom implementation. If two implementations are conformant then they should not have interoperability issues</w:t>
      </w:r>
    </w:p>
    <w:p>
      <w:pPr>
        <w:pStyle w:val="Normal"/>
        <w:rPr/>
      </w:pPr>
      <w:r>
        <w:rPr/>
        <w:t xml:space="preserve">To show this point, </w:t>
      </w:r>
      <w:r>
        <w:rPr>
          <w:szCs w:val="22"/>
        </w:rPr>
        <w:t xml:space="preserve">the MOS-LQO verification describes in 5.3.2 of TR 26.843 have been run </w:t>
      </w:r>
      <w:r>
        <w:rPr/>
        <w:t>using two implementations considered conformant in Clause 6:</w:t>
      </w:r>
    </w:p>
    <w:p>
      <w:pPr>
        <w:pStyle w:val="B1"/>
        <w:rPr/>
      </w:pPr>
      <w:r>
        <w:rPr/>
        <w:t>-</w:t>
        <w:tab/>
        <w:t>The Atom 32 bits encoder with no compilation flag and based on C80 code</w:t>
      </w:r>
    </w:p>
    <w:p>
      <w:pPr>
        <w:pStyle w:val="B1"/>
        <w:rPr/>
      </w:pPr>
      <w:r>
        <w:rPr/>
        <w:t>-</w:t>
        <w:tab/>
        <w:t xml:space="preserve">The Xeon 64bits decoder using gcc -02 optimization and based on c90 code </w:t>
      </w:r>
    </w:p>
    <w:p>
      <w:pPr>
        <w:pStyle w:val="Normal"/>
        <w:rPr>
          <w:szCs w:val="22"/>
        </w:rPr>
      </w:pPr>
      <w:r>
        <w:rPr>
          <w:szCs w:val="22"/>
        </w:rPr>
        <w:t>The two codes represent some corner cases in the list of implementations currently tested.</w:t>
      </w:r>
    </w:p>
    <w:p>
      <w:pPr>
        <w:pStyle w:val="Normal"/>
        <w:rPr>
          <w:szCs w:val="22"/>
        </w:rPr>
      </w:pPr>
      <w:r>
        <w:rPr>
          <w:szCs w:val="22"/>
        </w:rPr>
        <w:t>The 3GPP C90 fixed point code was used for reference. Table 25 shows the results of the A-B use case, as well as the thresholds currently proposed in the TR.</w:t>
      </w:r>
    </w:p>
    <w:p>
      <w:pPr>
        <w:pStyle w:val="TH"/>
        <w:rPr/>
      </w:pPr>
      <w:r>
        <w:rPr/>
        <w:t>Table25: Results for an interoperability test using MOS-LQO verification</w:t>
      </w:r>
    </w:p>
    <w:tbl>
      <w:tblPr>
        <w:tblW w:w="9360" w:type="dxa"/>
        <w:jc w:val="left"/>
        <w:tblInd w:w="-5" w:type="dxa"/>
        <w:tblLayout w:type="fixed"/>
        <w:tblCellMar>
          <w:top w:w="0" w:type="dxa"/>
          <w:left w:w="108" w:type="dxa"/>
          <w:bottom w:w="0" w:type="dxa"/>
          <w:right w:w="108" w:type="dxa"/>
        </w:tblCellMar>
      </w:tblPr>
      <w:tblGrid>
        <w:gridCol w:w="1177"/>
        <w:gridCol w:w="994"/>
        <w:gridCol w:w="994"/>
        <w:gridCol w:w="994"/>
        <w:gridCol w:w="1040"/>
        <w:gridCol w:w="1569"/>
        <w:gridCol w:w="864"/>
        <w:gridCol w:w="864"/>
        <w:gridCol w:w="864"/>
      </w:tblGrid>
      <w:tr>
        <w:trPr>
          <w:trHeight w:val="310" w:hRule="atLeast"/>
        </w:trPr>
        <w:tc>
          <w:tcPr>
            <w:tcW w:w="4159" w:type="dxa"/>
            <w:gridSpan w:val="4"/>
            <w:tcBorders>
              <w:top w:val="single" w:sz="4" w:space="0" w:color="000000"/>
              <w:left w:val="single" w:sz="4" w:space="0" w:color="000000"/>
              <w:bottom w:val="single" w:sz="4" w:space="0" w:color="000000"/>
              <w:right w:val="single" w:sz="4" w:space="0" w:color="000000"/>
            </w:tcBorders>
            <w:vAlign w:val="bottom"/>
          </w:tcPr>
          <w:p>
            <w:pPr>
              <w:pStyle w:val="TAH"/>
              <w:rPr/>
            </w:pPr>
            <w:r>
              <w:rPr/>
              <w:t>Enc_Atom - Dec_Xeon - RefCA0</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4161" w:type="dxa"/>
            <w:gridSpan w:val="4"/>
            <w:tcBorders>
              <w:top w:val="single" w:sz="4" w:space="0" w:color="000000"/>
              <w:left w:val="single" w:sz="4" w:space="0" w:color="000000"/>
              <w:bottom w:val="single" w:sz="4" w:space="0" w:color="000000"/>
              <w:right w:val="single" w:sz="4" w:space="0" w:color="000000"/>
            </w:tcBorders>
            <w:vAlign w:val="bottom"/>
          </w:tcPr>
          <w:p>
            <w:pPr>
              <w:pStyle w:val="TAH"/>
              <w:rPr/>
            </w:pPr>
            <w:r>
              <w:rPr/>
              <w:t>Threshold</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H"/>
              <w:rPr/>
            </w:pPr>
            <w:r>
              <w:rPr/>
              <w:t>Average</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H"/>
              <w:rPr/>
            </w:pPr>
            <w:r>
              <w:rPr/>
              <w:t>95%</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H"/>
              <w:rPr/>
            </w:pPr>
            <w:r>
              <w:rPr/>
              <w:t>0.99%</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H"/>
              <w:rPr/>
            </w:pPr>
            <w:r>
              <w:rPr/>
              <w:t>Max</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H"/>
              <w:rPr/>
            </w:pPr>
            <w:r>
              <w:rPr/>
              <w:t>Average</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H"/>
              <w:rPr/>
            </w:pPr>
            <w:r>
              <w:rPr/>
              <w:t>95%</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H"/>
              <w:rPr/>
            </w:pPr>
            <w:r>
              <w:rPr/>
              <w:t>99%</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H"/>
              <w:rPr/>
            </w:pPr>
            <w:r>
              <w:rPr/>
              <w:t>Max</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0.0010</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0.0357</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0.0569</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0.1159</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All</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0.002</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0.12</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0.0058</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0.0488</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0.0611</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0.0824</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NB</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0.009</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0.11</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-0.0002</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0.0301</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0.0518</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0.0587</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WB</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0.002</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-0.0030</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0.0154</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0.0488</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0.0626</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WBIO</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0.002</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0.06</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0.0009</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0.0325</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0.0565</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0.1159</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SWB</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0.002</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0.06</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0.12</w:t>
            </w:r>
          </w:p>
        </w:tc>
      </w:tr>
      <w:tr>
        <w:trPr>
          <w:trHeight w:val="310" w:hRule="atLeast"/>
        </w:trPr>
        <w:tc>
          <w:tcPr>
            <w:tcW w:w="1177" w:type="dxa"/>
            <w:tcBorders>
              <w:top w:val="single" w:sz="4" w:space="0" w:color="000000"/>
              <w:left w:val="single" w:sz="4" w:space="0" w:color="000000"/>
              <w:bottom w:val="single" w:sz="4" w:space="0" w:color="000000"/>
              <w:right w:val="single" w:sz="4" w:space="0" w:color="000000"/>
            </w:tcBorders>
            <w:vAlign w:val="bottom"/>
          </w:tcPr>
          <w:p>
            <w:pPr>
              <w:pStyle w:val="TAC"/>
              <w:rPr/>
            </w:pPr>
            <w:r>
              <w:rPr/>
              <w:t>0.0043</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0.0340</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0.0520</w:t>
            </w:r>
          </w:p>
        </w:tc>
        <w:tc>
          <w:tcPr>
            <w:tcW w:w="994" w:type="dxa"/>
            <w:tcBorders>
              <w:top w:val="single" w:sz="4" w:space="0" w:color="000000"/>
              <w:left w:val="single" w:sz="4" w:space="0" w:color="000000"/>
              <w:bottom w:val="single" w:sz="4" w:space="0" w:color="000000"/>
              <w:right w:val="single" w:sz="4" w:space="0" w:color="000000"/>
            </w:tcBorders>
            <w:vAlign w:val="bottom"/>
          </w:tcPr>
          <w:p>
            <w:pPr>
              <w:pStyle w:val="TAC"/>
              <w:rPr/>
            </w:pPr>
            <w:r>
              <w:rPr/>
              <w:t>0.0598</w:t>
            </w:r>
          </w:p>
        </w:tc>
        <w:tc>
          <w:tcPr>
            <w:tcW w:w="1040" w:type="dxa"/>
            <w:tcBorders>
              <w:top w:val="single" w:sz="4" w:space="0" w:color="000000"/>
              <w:left w:val="single" w:sz="4" w:space="0" w:color="000000"/>
              <w:bottom w:val="single" w:sz="4" w:space="0" w:color="000000"/>
              <w:right w:val="single" w:sz="4" w:space="0" w:color="000000"/>
            </w:tcBorders>
            <w:vAlign w:val="bottom"/>
          </w:tcPr>
          <w:p>
            <w:pPr>
              <w:pStyle w:val="TAH"/>
              <w:rPr/>
            </w:pPr>
            <w:r>
              <w:rPr/>
              <w:t>FB</w:t>
            </w:r>
          </w:p>
        </w:tc>
        <w:tc>
          <w:tcPr>
            <w:tcW w:w="1569" w:type="dxa"/>
            <w:tcBorders>
              <w:top w:val="single" w:sz="4" w:space="0" w:color="000000"/>
              <w:left w:val="single" w:sz="4" w:space="0" w:color="000000"/>
              <w:bottom w:val="single" w:sz="4" w:space="0" w:color="000000"/>
              <w:right w:val="single" w:sz="4" w:space="0" w:color="000000"/>
            </w:tcBorders>
            <w:vAlign w:val="bottom"/>
          </w:tcPr>
          <w:p>
            <w:pPr>
              <w:pStyle w:val="TAC"/>
              <w:rPr/>
            </w:pPr>
            <w:r>
              <w:rPr/>
              <w:t>0.006</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864"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r>
    </w:tbl>
    <w:p>
      <w:pPr>
        <w:pStyle w:val="Normal"/>
        <w:rPr>
          <w:szCs w:val="22"/>
        </w:rPr>
      </w:pPr>
      <w:r>
        <w:rPr>
          <w:szCs w:val="22"/>
        </w:rPr>
      </w:r>
    </w:p>
    <w:p>
      <w:pPr>
        <w:pStyle w:val="Normal"/>
        <w:rPr>
          <w:szCs w:val="22"/>
        </w:rPr>
      </w:pPr>
      <w:r>
        <w:rPr>
          <w:szCs w:val="22"/>
        </w:rPr>
        <w:t>It can be see that all the MOS-LQO differences for all the bandwidths are below the proposed thresholds in Clause 5.3.2.4, Table 6, indicating that the combination of two potentially conformant implementations is still compliant.</w:t>
      </w:r>
    </w:p>
    <w:p>
      <w:pPr>
        <w:pStyle w:val="Normal"/>
        <w:rPr/>
      </w:pPr>
      <w:r>
        <w:rPr/>
        <w:t xml:space="preserve">An interoperability issue could arise when a bit-stream from FL compiler #1 implementation is decoded by compiler #2 implementation and there is a strong artefact observed at the UE #2, is it the issue with FL Encoder at compiler #1 or the issue with FL Decoder at compiler #2? </w:t>
      </w:r>
    </w:p>
    <w:p>
      <w:pPr>
        <w:pStyle w:val="Normal"/>
        <w:rPr/>
      </w:pPr>
      <w:r>
        <w:rPr/>
        <w:t xml:space="preserve">It should be noted that this scenario is not limited to FL compiler implementations but could also arise with fixed-point implementation, as such issue will happened with samples that are not part of the set of test vectors. In case of an artefact occurring, both implementations should be tested against the reference code (Fixed or Float) for the particular test sequence exhibiting the scenario. If the bit-stream from implementation #1 decoded using the 3GPP reference code yield no artefact, the problem is with the implementation #2. However if the decoded output of the 3GPP reference code has the same artefact, the problem is with implementation #1. Similarly if the decoded wave file obtained using 3GPP reference code and implementation #2 decoder yield artefact, the problem is with implementation #2. </w:t>
      </w:r>
    </w:p>
    <w:p>
      <w:pPr>
        <w:pStyle w:val="Normal"/>
        <w:rPr/>
      </w:pPr>
      <w:r>
        <w:rPr/>
        <w:t xml:space="preserve">The main difference from debugging perspective between floating-point and fixed-point implementations is that for the former bit-stream cannot be checked for bit exactness and thus require to assess the decoded output.   </w:t>
      </w:r>
    </w:p>
    <w:p>
      <w:pPr>
        <w:pStyle w:val="Heading2"/>
        <w:rPr/>
      </w:pPr>
      <w:bookmarkStart w:id="73" w:name="__RefHeading___Toc524274822"/>
      <w:bookmarkEnd w:id="73"/>
      <w:r>
        <w:rPr/>
        <w:t>8.3</w:t>
        <w:tab/>
        <w:t>Conclusion</w:t>
      </w:r>
    </w:p>
    <w:p>
      <w:pPr>
        <w:pStyle w:val="Normal"/>
        <w:rPr>
          <w:sz w:val="24"/>
        </w:rPr>
      </w:pPr>
      <w:r>
        <w:rPr/>
        <w:t>The assumption when performing this work was that if all the following conditions are met:</w:t>
      </w:r>
    </w:p>
    <w:p>
      <w:pPr>
        <w:pStyle w:val="B1"/>
        <w:rPr>
          <w:sz w:val="22"/>
        </w:rPr>
      </w:pPr>
      <w:r>
        <w:rPr/>
        <w:t>-</w:t>
        <w:tab/>
        <w:t>passing conformance criteria for encoder only;</w:t>
      </w:r>
    </w:p>
    <w:p>
      <w:pPr>
        <w:pStyle w:val="B1"/>
        <w:rPr/>
      </w:pPr>
      <w:r>
        <w:rPr/>
        <w:t>-</w:t>
        <w:tab/>
        <w:t>passing conformance criteria for decoder only;</w:t>
      </w:r>
    </w:p>
    <w:p>
      <w:pPr>
        <w:pStyle w:val="B1"/>
        <w:rPr/>
      </w:pPr>
      <w:r>
        <w:rPr/>
        <w:t>-</w:t>
        <w:tab/>
        <w:t>passing conformance criteria for encoder-decoder pair;</w:t>
      </w:r>
    </w:p>
    <w:p>
      <w:pPr>
        <w:pStyle w:val="Normal"/>
        <w:rPr/>
      </w:pPr>
      <w:r>
        <w:rPr/>
        <w:t xml:space="preserve">there should not be interoperability issues. </w:t>
      </w:r>
    </w:p>
    <w:p>
      <w:pPr>
        <w:pStyle w:val="Normal"/>
        <w:rPr/>
      </w:pPr>
      <w:r>
        <w:rPr/>
        <w:t>No interoperability issue was found to contradict this approach, however if a counterexample was to be found, the gap would have to be addressed.</w:t>
      </w:r>
    </w:p>
    <w:p>
      <w:pPr>
        <w:pStyle w:val="Normal"/>
        <w:rPr>
          <w:szCs w:val="22"/>
        </w:rPr>
      </w:pPr>
      <w:r>
        <w:rPr>
          <w:szCs w:val="22"/>
        </w:rPr>
        <w:t>The way of debugging potential interoperability issue should be the same regardless if a floating-point or fixed-point implementation is used. If implementation #1 encoder with implementation #2 decoder yields artefact then each implementation should be checked against the reference code.</w:t>
      </w:r>
    </w:p>
    <w:p>
      <w:pPr>
        <w:pStyle w:val="Normal"/>
        <w:rPr>
          <w:szCs w:val="22"/>
        </w:rPr>
      </w:pPr>
      <w:r>
        <w:rPr>
          <w:szCs w:val="22"/>
        </w:rPr>
        <w:t>Adding the MOS-LQO verification to the conformance process allows to strengthen the interoperability testing as the implementation is evaluated not only with 3GPP floating-point reference code but also with 3GPP fixed-point reference code and the test coverage significantly increases using relevant material for voice communications.</w:t>
      </w:r>
    </w:p>
    <w:p>
      <w:pPr>
        <w:pStyle w:val="Heading1"/>
        <w:ind w:left="1134" w:hanging="1134"/>
        <w:rPr/>
      </w:pPr>
      <w:bookmarkStart w:id="74" w:name="__RefHeading___Toc524274823"/>
      <w:bookmarkEnd w:id="74"/>
      <w:r>
        <w:rPr/>
        <w:t>9</w:t>
        <w:tab/>
        <w:t>Coverage Assessment</w:t>
      </w:r>
    </w:p>
    <w:p>
      <w:pPr>
        <w:pStyle w:val="Normal"/>
        <w:rPr/>
      </w:pPr>
      <w:r>
        <w:rPr/>
        <w:t>TBA</w:t>
      </w:r>
    </w:p>
    <w:p>
      <w:pPr>
        <w:pStyle w:val="Heading1"/>
        <w:ind w:left="1134" w:hanging="1134"/>
        <w:rPr/>
      </w:pPr>
      <w:bookmarkStart w:id="75" w:name="__RefHeading___Toc524274824"/>
      <w:bookmarkEnd w:id="75"/>
      <w:r>
        <w:rPr/>
        <w:t>10</w:t>
        <w:tab/>
        <w:t>Conclusions</w:t>
      </w:r>
    </w:p>
    <w:p>
      <w:pPr>
        <w:pStyle w:val="Normal"/>
        <w:rPr/>
      </w:pPr>
      <w:r>
        <w:rPr/>
        <w:t xml:space="preserve">In Clause 5 various methods are presented for assessing floating-point implementations. For decoder verification objective waveform comparison methods (RMS error, SNR, SD) were studied (Clause 5.2). For encoder verification perceptually based objective methods (MOS-LQO, loudness metric) were studied (Clause 5.3). </w:t>
      </w:r>
    </w:p>
    <w:p>
      <w:pPr>
        <w:pStyle w:val="Normal"/>
        <w:rPr/>
      </w:pPr>
      <w:r>
        <w:rPr/>
        <w:t xml:space="preserve">In Clause 6 these methods have been tested with a total of more than 20 implementations using various compilers (gcc, clang, icc) and optimization levels, as well as code changes. In summary, the results show that these verification methods are able to discriminate between assumed correct implementations (no code changes, using only compiler optimization levels not impacting arithmetic behaviour) and assumed incorrect implementations (aggressive optimization levels, code changes). </w:t>
      </w:r>
    </w:p>
    <w:p>
      <w:pPr>
        <w:pStyle w:val="Normal"/>
        <w:rPr/>
      </w:pPr>
      <w:r>
        <w:rPr/>
        <w:t xml:space="preserve">Decoder code changes proposed that created audio artefacts (Clause 6.4.1 &amp; 6.5.1) could be correctly flagged by the decoder test (Clause 6.4.4 &amp; 6.5.3) and the MOS-LQO verification test (Clause 6.4.3 &amp; 6.5.2). Another decoder code change that created a signal modification without audible distortion was correctly flagged by the decoder test (Clause 6.3.3). </w:t>
      </w:r>
    </w:p>
    <w:p>
      <w:pPr>
        <w:pStyle w:val="Normal"/>
        <w:rPr/>
      </w:pPr>
      <w:r>
        <w:rPr/>
        <w:t>There were no proposed encoder code changes to be verified.</w:t>
      </w:r>
    </w:p>
    <w:p>
      <w:pPr>
        <w:pStyle w:val="Normal"/>
        <w:rPr/>
      </w:pPr>
      <w:r>
        <w:rPr/>
        <w:t>Implementations using –fast optimization, which impact arithmetic behaviour, are flagged in the decoder test (6.3.2), MOS-LQO test (6.1.2 &amp; 6.2.2) and encoder test (6.6).</w:t>
      </w:r>
    </w:p>
    <w:p>
      <w:pPr>
        <w:pStyle w:val="Normal"/>
        <w:rPr/>
      </w:pPr>
      <w:r>
        <w:rPr/>
        <w:t>Based on these results a possible conformance process was studied in Clause 7. It relies on passing the following three tests</w:t>
      </w:r>
    </w:p>
    <w:p>
      <w:pPr>
        <w:pStyle w:val="B1"/>
        <w:rPr/>
      </w:pPr>
      <w:r>
        <w:rPr/>
        <w:t>-</w:t>
        <w:tab/>
        <w:t>Decoder test based on signal metrics (RMS error, SNR, SD) described in Clause 5.2 to check closeness of the CUT decoder implementation with the TS 26.443 decoder.</w:t>
      </w:r>
    </w:p>
    <w:p>
      <w:pPr>
        <w:pStyle w:val="B1"/>
        <w:rPr/>
      </w:pPr>
      <w:r>
        <w:rPr/>
        <w:t>-</w:t>
        <w:tab/>
        <w:t>Encoder tests based on loudness metrics described in Clause 5.3.3 to check closeness of the CUT encoder implementation with the TS 26.443 encoder.</w:t>
      </w:r>
    </w:p>
    <w:p>
      <w:pPr>
        <w:pStyle w:val="B1"/>
        <w:rPr/>
      </w:pPr>
      <w:r>
        <w:rPr/>
        <w:t>-</w:t>
        <w:tab/>
        <w:t>MOS-LQO verification using POLQA described in Clause 5.3.2 to check closeness of the CUT implementation with the TS 26.442 implementation. This test also checks for potential interoperability issues as highlighted in Clause 8.</w:t>
      </w:r>
    </w:p>
    <w:p>
      <w:pPr>
        <w:pStyle w:val="Normal"/>
        <w:rPr/>
      </w:pPr>
      <w:r>
        <w:rPr/>
        <w:t>It is recommended to conduct normative work toward specifying a conformance process (including methods, thresholds and test vectors) in TS 26.444 based on the results presented in this technical report. Before a conformance process can be agreed, the following points will have to be finalized:</w:t>
      </w:r>
    </w:p>
    <w:p>
      <w:pPr>
        <w:pStyle w:val="B1"/>
        <w:rPr/>
      </w:pPr>
      <w:r>
        <w:rPr/>
        <w:t>-</w:t>
        <w:tab/>
        <w:t xml:space="preserve">Refinement of the conformance criteria in Clauses 5.2.6, 5.3.2.4 &amp; 5.3.3.2 based on the latest reference code. The conformance process and criteria should be tight enough to avoid interoperability issues </w:t>
      </w:r>
    </w:p>
    <w:p>
      <w:pPr>
        <w:pStyle w:val="B1"/>
        <w:rPr/>
      </w:pPr>
      <w:r>
        <w:rPr/>
        <w:t>-</w:t>
        <w:tab/>
        <w:t>Tools and conformance test vector availability to perform conformance tests</w:t>
      </w:r>
    </w:p>
    <w:p>
      <w:pPr>
        <w:pStyle w:val="B1"/>
        <w:rPr/>
      </w:pPr>
      <w:r>
        <w:rPr/>
        <w:t>-</w:t>
        <w:tab/>
        <w:t xml:space="preserve">Further verification of the loudness tool </w:t>
      </w:r>
    </w:p>
    <w:p>
      <w:pPr>
        <w:pStyle w:val="B1"/>
        <w:rPr/>
      </w:pPr>
      <w:r>
        <w:rPr/>
        <w:t>-</w:t>
        <w:tab/>
        <w:t>Additional testing including validation that more general code changes are properly detected</w:t>
      </w:r>
      <w:r>
        <w:br w:type="page"/>
      </w:r>
    </w:p>
    <w:p>
      <w:pPr>
        <w:pStyle w:val="Heading9"/>
        <w:rPr/>
      </w:pPr>
      <w:bookmarkStart w:id="76" w:name="__RefHeading___Toc524274825"/>
      <w:bookmarkEnd w:id="76"/>
      <w:r>
        <w:rPr/>
        <w:t>Annex A:</w:t>
        <w:br/>
        <w:t>POLQA Considerations for Conformance Test</w:t>
      </w:r>
    </w:p>
    <w:p>
      <w:pPr>
        <w:pStyle w:val="Heading1"/>
        <w:ind w:left="1134" w:hanging="1134"/>
        <w:rPr/>
      </w:pPr>
      <w:bookmarkStart w:id="77" w:name="__RefHeading___Toc524274826"/>
      <w:bookmarkEnd w:id="77"/>
      <w:r>
        <w:rPr>
          <w:rFonts w:eastAsia="SimSun;宋体"/>
        </w:rPr>
        <w:t>A.1</w:t>
        <w:tab/>
        <w:t>Specific Recommendation from ITU-T P.863.1 [9]</w:t>
      </w:r>
    </w:p>
    <w:p>
      <w:pPr>
        <w:pStyle w:val="B1"/>
        <w:rPr>
          <w:color w:val="212121"/>
        </w:rPr>
      </w:pPr>
      <w:r>
        <w:rPr>
          <w:color w:val="212121"/>
        </w:rPr>
        <w:t>A)</w:t>
        <w:tab/>
      </w:r>
      <w:r>
        <w:rPr>
          <w:b/>
          <w:color w:val="212121"/>
        </w:rPr>
        <w:t>Section 8.9 "</w:t>
      </w:r>
      <w:r>
        <w:rPr>
          <w:b/>
        </w:rPr>
        <w:t>To use a reference speech sample longer than the recommended maximum 6 seconds of active speech, it is recommended that the signal is split into multiple 3 to 6 second active speech sections, and a 10 Rec. ITU-T P.863.1 (09/2014) separate score be computed for each section. Average the scores to determine a single score for the complete reference signal.</w:t>
      </w:r>
      <w:r>
        <w:rPr>
          <w:b/>
          <w:color w:val="212121"/>
        </w:rPr>
        <w:t>"</w:t>
      </w:r>
      <w:r>
        <w:rPr>
          <w:color w:val="212121"/>
        </w:rPr>
        <w:t xml:space="preserve"> </w:t>
      </w:r>
    </w:p>
    <w:p>
      <w:pPr>
        <w:pStyle w:val="B1"/>
        <w:rPr/>
      </w:pPr>
      <w:r>
        <w:rPr/>
        <w:t>a)</w:t>
        <w:tab/>
        <w:t>This section explains how to use POLQA tool on a sample longer than the recommended maximum 6 seconds of active speech. The longer sample need to be split into multiple 6 seconds sections and a separate score to be computed for each section. The individual scores for each segment can be averaged later. However, such averaging can lead to the issues described in section 3 below</w:t>
      </w:r>
      <w:r>
        <w:rPr>
          <w:color w:val="212121"/>
        </w:rPr>
        <w:t>.</w:t>
      </w:r>
    </w:p>
    <w:p>
      <w:pPr>
        <w:pStyle w:val="B1"/>
        <w:rPr>
          <w:color w:val="212121"/>
        </w:rPr>
      </w:pPr>
      <w:r>
        <w:rPr>
          <w:color w:val="212121"/>
        </w:rPr>
        <w:t>B)</w:t>
        <w:tab/>
      </w:r>
      <w:r>
        <w:rPr>
          <w:b/>
          <w:color w:val="212121"/>
        </w:rPr>
        <w:t xml:space="preserve">Section 8.1 </w:t>
      </w:r>
      <w:r>
        <w:rPr>
          <w:b/>
        </w:rPr>
        <w:t>"The list below describes a common set of required characteristics for both super-wideband and narrowband reference test signals: • at least three seconds of active speech; • at least 500 ms of silence between active speech periods; • no more than six seconds of active speech; • total length of test sample, including silence, should be no more than 12 seconds; • active speech level of -26 dBov; • 16-bit linear pulse code modulation (PCM) encoded; • noise floor &lt; -75 dBov (A). Additional characteristics for [ITU-T P.863] super-wideband reference test signals are: • 48 k sample rate; • filtered 50 Hz to 14 kHz."</w:t>
      </w:r>
    </w:p>
    <w:p>
      <w:pPr>
        <w:pStyle w:val="B1"/>
        <w:rPr/>
      </w:pPr>
      <w:r>
        <w:rPr/>
        <w:t>b)</w:t>
        <w:tab/>
        <w:t>This section explains that the reference signal should be a clean speech signal with a noise floor less than - 75 dBov. Hence, it is not appropriate to use POLQA with noisy speech vectors for conformance testing</w:t>
      </w:r>
      <w:r>
        <w:rPr>
          <w:color w:val="212121"/>
        </w:rPr>
        <w:t>.</w:t>
      </w:r>
    </w:p>
    <w:p>
      <w:pPr>
        <w:pStyle w:val="B1"/>
        <w:rPr>
          <w:color w:val="212121"/>
        </w:rPr>
      </w:pPr>
      <w:r>
        <w:rPr>
          <w:color w:val="212121"/>
        </w:rPr>
        <w:t>C)</w:t>
        <w:tab/>
        <w:t>Section 14.2 "</w:t>
      </w:r>
      <w:r>
        <w:rPr/>
        <w:t xml:space="preserve">[ITU-T P.863] has not been validated against the variables given in Table 9 • </w:t>
      </w:r>
      <w:r>
        <w:rPr>
          <w:color w:val="212121"/>
        </w:rPr>
        <w:t>Music as input to a codec"</w:t>
      </w:r>
    </w:p>
    <w:p>
      <w:pPr>
        <w:pStyle w:val="B1"/>
        <w:rPr/>
      </w:pPr>
      <w:r>
        <w:rPr/>
        <w:t>c)</w:t>
        <w:tab/>
        <w:t>This section mentions Music as input to a codec is not validated for POLQA. A relevant example will be discussed in Section 4 below</w:t>
      </w:r>
      <w:r>
        <w:rPr>
          <w:color w:val="212121"/>
        </w:rPr>
        <w:t xml:space="preserve">. </w:t>
      </w:r>
    </w:p>
    <w:p>
      <w:pPr>
        <w:pStyle w:val="B1"/>
        <w:rPr>
          <w:color w:val="212121"/>
        </w:rPr>
      </w:pPr>
      <w:r>
        <w:rPr>
          <w:color w:val="212121"/>
        </w:rPr>
        <w:t>D)</w:t>
        <w:tab/>
      </w:r>
      <w:r>
        <w:rPr>
          <w:b/>
          <w:color w:val="212121"/>
        </w:rPr>
        <w:t xml:space="preserve">Section 8.4 </w:t>
      </w:r>
      <w:r>
        <w:rPr>
          <w:b/>
        </w:rPr>
        <w:t>"A reference signal should be filtered before presenting it to the [ITU-T P.863] model. A different filter is required for the super-wideband and narrowband modes. The filter definitions are provided in Tables 2 and 3."</w:t>
      </w:r>
    </w:p>
    <w:p>
      <w:pPr>
        <w:pStyle w:val="B1"/>
        <w:rPr/>
      </w:pPr>
      <w:r>
        <w:rPr/>
        <w:t>d)</w:t>
        <w:tab/>
        <w:t>Table 2 referenced here mentions that a super wideband reference signal should be filtered to 50 Hz to 14 kHz. Any content above 14 kHz will be ignored by POLQA and hence any artifacts that can happen above 14 kHz during the conformance testing will remain undetectable.</w:t>
      </w:r>
    </w:p>
    <w:p>
      <w:pPr>
        <w:pStyle w:val="Heading1"/>
        <w:ind w:left="1134" w:hanging="1134"/>
        <w:rPr/>
      </w:pPr>
      <w:bookmarkStart w:id="78" w:name="__RefHeading___Toc524274827"/>
      <w:bookmarkEnd w:id="78"/>
      <w:r>
        <w:rPr>
          <w:rFonts w:eastAsia="SimSun;宋体"/>
        </w:rPr>
        <w:t>A.2</w:t>
        <w:tab/>
        <w:t>Averaging of MOS-LQO Scores Over Long Inputs</w:t>
      </w:r>
    </w:p>
    <w:p>
      <w:pPr>
        <w:pStyle w:val="Normal"/>
        <w:rPr/>
      </w:pPr>
      <w:r>
        <w:rPr/>
        <w:t xml:space="preserve">POLQA evaluation for long inputs (e.g., greater than 12 sec or more than 6 sec of active speech) should be done according the ITU P.863.1 specification text highlighted in Section 2.A. i.e. the signal is split into multiple 3 to 6 second active speech sections, and a separate MOS-LQO score be computed for each section, and averaged over all such segments. If an artifact occurs in one short speech segment (3-6 seconds as mentioned in Section 2.A above) out of a longer sample (e.g. 2 minutes), MOS-LQO score for this one small segment will show a higher deviation beyond the expected reference value (large segmental Delta-MOS-LQO value). However, after averaging over the long sample, overall Delta-MOS-LQO value will become insignificant and it will be impossible to detect the serious issue within one segment by only looking at the average Delta-MOS-LQO value and testing it against a threshold. This issue will persist even if the threshold applied to the average MOS-LQO score is very tight. </w:t>
      </w:r>
    </w:p>
    <w:p>
      <w:pPr>
        <w:pStyle w:val="Heading1"/>
        <w:ind w:left="1134" w:hanging="1134"/>
        <w:rPr/>
      </w:pPr>
      <w:bookmarkStart w:id="79" w:name="__RefHeading___Toc524274828"/>
      <w:bookmarkEnd w:id="79"/>
      <w:r>
        <w:rPr>
          <w:rFonts w:eastAsia="SimSun;宋体"/>
        </w:rPr>
        <w:t>A.3</w:t>
        <w:tab/>
        <w:t>Concerns over the Suitability of Perceptually Based Methods</w:t>
      </w:r>
    </w:p>
    <w:p>
      <w:pPr>
        <w:pStyle w:val="Normal"/>
        <w:rPr/>
      </w:pPr>
      <w:r>
        <w:rPr/>
        <w:t xml:space="preserve">The POLQA algorithm, which is standardized as Recommendation ITU-T P.863 [12], has been developed as an objective method to predict the scores of subjective ACR MOS tests for speech signals. The listening quality scores produced by POLQA, and similar objective algorithms, are denoted as MOS-LQO whereas those derived from human subjective assessment are denoted MOS-LQS. </w:t>
      </w:r>
    </w:p>
    <w:p>
      <w:pPr>
        <w:pStyle w:val="Normal"/>
        <w:rPr/>
      </w:pPr>
      <w:r>
        <w:rPr/>
        <w:t xml:space="preserve">ACR MOS-LQS scores are not precise single values but have an associated variance determined from the spread of individual votes cast by the subjects taking part in the ACR MOS test. The POLQA algorithm has been trained on many of the mean subjective test scores in order to derive its MOS-LQO scores but these are assumed to be point-values. From [12] it is claimed and can be seen that the MOS-LQO scores from Recommendation ITU-T P.863 provide good correlation but not perfect prediction of MOS-LQS scores from real tests involving clean speech signals. </w:t>
      </w:r>
    </w:p>
    <w:p>
      <w:pPr>
        <w:pStyle w:val="Normal"/>
        <w:rPr/>
      </w:pPr>
      <w:r>
        <w:rPr/>
        <w:t xml:space="preserve">Appendix I of [12] provides information about the prediction accuracy of POLQA for NB, WB and SWB when compared to actual scores from ACR tests after appropriate mapping of the results. Examining figures I.2, I.4 &amp; I.5, it can be seen that, for a given MOS-LQO score from the POLQA algorithm after appropriate mapping and averaged over all appropriate samples in the test, the actual MOS-LQS score range in the very best cases would be in the region of between 0.5 MOS-LQS to 0.8 MOS-LQS. Examining figures 1.3, 1.5 &amp; 1.7 from Appendix I of [12], it can be seen that in the worst case these errors increase to 1.6 MOS-LQS. </w:t>
      </w:r>
    </w:p>
    <w:p>
      <w:pPr>
        <w:pStyle w:val="Normal"/>
        <w:rPr/>
      </w:pPr>
      <w:r>
        <w:rPr/>
        <w:t xml:space="preserve">The points highlighted above raise concerns whether POLQA or delta-POLQA can be relied upon solely to detect different signal qualities and therefore non-conformant implementations of EVS. </w:t>
      </w:r>
      <w:r>
        <w:br w:type="page"/>
      </w:r>
    </w:p>
    <w:p>
      <w:pPr>
        <w:pStyle w:val="Heading9"/>
        <w:rPr/>
      </w:pPr>
      <w:bookmarkStart w:id="80" w:name="__RefHeading___Toc524274829"/>
      <w:bookmarkStart w:id="81" w:name="historyclause"/>
      <w:bookmarkEnd w:id="80"/>
      <w:bookmarkEnd w:id="81"/>
      <w:r>
        <w:rPr/>
        <w:t>Annex B:</w:t>
        <w:br/>
        <w:t>Change history</w:t>
      </w:r>
    </w:p>
    <w:p>
      <w:pPr>
        <w:pStyle w:val="TH"/>
        <w:rPr/>
      </w:pPr>
      <w:r>
        <w:rPr/>
      </w:r>
      <w:bookmarkStart w:id="82" w:name="historyclause"/>
      <w:bookmarkStart w:id="83" w:name="historyclause"/>
      <w:bookmarkEnd w:id="83"/>
    </w:p>
    <w:tbl>
      <w:tblPr>
        <w:tblW w:w="9639" w:type="dxa"/>
        <w:jc w:val="center"/>
        <w:tblInd w:w="0" w:type="dxa"/>
        <w:tblLayout w:type="fixed"/>
        <w:tblCellMar>
          <w:top w:w="0" w:type="dxa"/>
          <w:left w:w="28"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SP-180284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SP-180935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TSG SA#81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spacing w:before="0" w:after="180"/>
        <w:rPr/>
      </w:pPr>
      <w:r>
        <w:rPr/>
      </w:r>
    </w:p>
    <w:sectPr>
      <w:headerReference w:type="default" r:id="rId101"/>
      <w:footerReference w:type="default" r:id="rId10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alibri Light">
    <w:charset w:val="00"/>
    <w:family w:val="swiss"/>
    <w:pitch w:val="variable"/>
  </w:font>
  <w:font w:name="Courier">
    <w:altName w:val="Courier New"/>
    <w:charset w:val="00"/>
    <w:family w:val="modern"/>
    <w:pitch w:val="default"/>
  </w:font>
  <w:font w:name="Intel Clear">
    <w:altName w:val="Arial"/>
    <w:charset w:val="00"/>
    <w:family w:val="swiss"/>
    <w:pitch w:val="variable"/>
  </w:font>
  <w:font w:name="Consolas">
    <w:charset w:val="0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49">
              <wp:simplePos x="0" y="0"/>
              <wp:positionH relativeFrom="margin">
                <wp:align>right</wp:align>
              </wp:positionH>
              <wp:positionV relativeFrom="paragraph">
                <wp:posOffset>635</wp:posOffset>
              </wp:positionV>
              <wp:extent cx="1824990" cy="180340"/>
              <wp:effectExtent l="0" t="0" r="0" b="0"/>
              <wp:wrapSquare wrapText="largest"/>
              <wp:docPr id="97"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26.843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26.843 V16.0.0 (2018-09)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7">
              <wp:simplePos x="0" y="0"/>
              <wp:positionH relativeFrom="margin">
                <wp:align>center</wp:align>
              </wp:positionH>
              <wp:positionV relativeFrom="paragraph">
                <wp:posOffset>4445</wp:posOffset>
              </wp:positionV>
              <wp:extent cx="127635" cy="180340"/>
              <wp:effectExtent l="0" t="0" r="0" b="0"/>
              <wp:wrapSquare wrapText="largest"/>
              <wp:docPr id="98"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5">
              <wp:simplePos x="0" y="0"/>
              <wp:positionH relativeFrom="margin">
                <wp:align>left</wp:align>
              </wp:positionH>
              <wp:positionV relativeFrom="paragraph">
                <wp:posOffset>4445</wp:posOffset>
              </wp:positionV>
              <wp:extent cx="591820" cy="180340"/>
              <wp:effectExtent l="0" t="0" r="0" b="0"/>
              <wp:wrapSquare wrapText="largest"/>
              <wp:docPr id="99"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Calibri" w:hAnsi="Calibri" w:eastAsia="Calibri" w:cs="Calibri"/>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color w:val="000000"/>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DefaultParagraphFont">
    <w:name w:val="Default Paragraph Font"/>
    <w:qFormat/>
    <w:rPr/>
  </w:style>
  <w:style w:type="character" w:styleId="ZGSM">
    <w:name w:val="ZGSM"/>
    <w:qFormat/>
    <w:rPr/>
  </w:style>
  <w:style w:type="character" w:styleId="B1Char1">
    <w:name w:val="B1 Char1"/>
    <w:qFormat/>
    <w:rPr/>
  </w:style>
  <w:style w:type="character" w:styleId="THChar">
    <w:name w:val="TH Char"/>
    <w:qFormat/>
    <w:rPr>
      <w:rFonts w:ascii="Arial" w:hAnsi="Arial" w:cs="Arial"/>
      <w:b/>
    </w:rPr>
  </w:style>
  <w:style w:type="character" w:styleId="B1Car">
    <w:name w:val="B1+ Car"/>
    <w:qFormat/>
    <w:rPr/>
  </w:style>
  <w:style w:type="character" w:styleId="InternetLink">
    <w:name w:val="Hyperlink"/>
    <w:rPr>
      <w:color w:val="0563C1"/>
      <w:u w:val="single"/>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rFonts w:ascii="Segoe UI" w:hAnsi="Segoe UI" w:cs="Segoe UI"/>
      <w:sz w:val="18"/>
      <w:szCs w:val="18"/>
      <w:lang w:val="en-GB"/>
    </w:rPr>
  </w:style>
  <w:style w:type="character" w:styleId="BodyTextChar">
    <w:name w:val="Body Text Char"/>
    <w:qFormat/>
    <w:rPr>
      <w:lang w:val="en-GB"/>
    </w:rPr>
  </w:style>
  <w:style w:type="character" w:styleId="S1">
    <w:name w:val="s1"/>
    <w:qFormat/>
    <w:rPr>
      <w:color w:val="0433FF"/>
    </w:rPr>
  </w:style>
  <w:style w:type="character" w:styleId="Appleconvertedspace">
    <w:name w:val="apple-converted-space"/>
    <w:qFormat/>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TFChar">
    <w:name w:val="TF Char"/>
    <w:qFormat/>
    <w:rPr>
      <w:rFonts w:ascii="Arial" w:hAnsi="Arial" w:cs="Arial"/>
      <w:b/>
    </w:rPr>
  </w:style>
  <w:style w:type="character" w:styleId="B1Char">
    <w:name w:val="B1 Char"/>
    <w:qFormat/>
    <w:rPr>
      <w:rFonts w:ascii="Calibri" w:hAnsi="Calibri" w:eastAsia="Calibri" w:cs="Calibri"/>
      <w:sz w:val="22"/>
      <w:szCs w:val="22"/>
      <w:lang w:val="de-CH"/>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textAlignment w:val="baseline"/>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tabs>
        <w:tab w:val="clear" w:pos="284"/>
        <w:tab w:val="left" w:pos="737" w:leader="none"/>
      </w:tabs>
      <w:ind w:left="737" w:hanging="453"/>
    </w:pPr>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E74B5"/>
      <w:sz w:val="32"/>
      <w:szCs w:val="32"/>
      <w:lang w:val="en-US"/>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cs="Segoe UI"/>
      <w:sz w:val="18"/>
      <w:szCs w:val="18"/>
    </w:rPr>
  </w:style>
  <w:style w:type="paragraph" w:styleId="ListParagraph">
    <w:name w:val="List Paragraph"/>
    <w:basedOn w:val="Normal"/>
    <w:qFormat/>
    <w:pPr>
      <w:spacing w:before="0" w:after="0"/>
      <w:ind w:left="720" w:hanging="0"/>
    </w:pPr>
    <w:rPr>
      <w:rFonts w:ascii="Calibri" w:hAnsi="Calibri" w:eastAsia="Calibri" w:cs="Calibri"/>
      <w:sz w:val="22"/>
      <w:szCs w:val="22"/>
      <w:lang w:val="en-US"/>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2"/>
      </w:numPr>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1.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2.png"/><Relationship Id="rId45" Type="http://schemas.openxmlformats.org/officeDocument/2006/relationships/image" Target="media/image32.png"/><Relationship Id="rId46" Type="http://schemas.openxmlformats.org/officeDocument/2006/relationships/image" Target="media/image32.png"/><Relationship Id="rId47" Type="http://schemas.openxmlformats.org/officeDocument/2006/relationships/image" Target="media/image31.png"/><Relationship Id="rId48" Type="http://schemas.openxmlformats.org/officeDocument/2006/relationships/image" Target="media/image31.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oleObject" Target="embeddings/oleObject2.bin"/><Relationship Id="rId53" Type="http://schemas.openxmlformats.org/officeDocument/2006/relationships/image" Target="media/image36.wmf"/><Relationship Id="rId54" Type="http://schemas.openxmlformats.org/officeDocument/2006/relationships/image" Target="media/image37.wmf"/><Relationship Id="rId55" Type="http://schemas.openxmlformats.org/officeDocument/2006/relationships/oleObject" Target="embeddings/oleObject3.bin"/><Relationship Id="rId56" Type="http://schemas.openxmlformats.org/officeDocument/2006/relationships/image" Target="media/image38.wmf"/><Relationship Id="rId57" Type="http://schemas.openxmlformats.org/officeDocument/2006/relationships/oleObject" Target="embeddings/oleObject4.bin"/><Relationship Id="rId58" Type="http://schemas.openxmlformats.org/officeDocument/2006/relationships/image" Target="media/image39.wmf"/><Relationship Id="rId59" Type="http://schemas.openxmlformats.org/officeDocument/2006/relationships/oleObject" Target="embeddings/oleObject5.bin"/><Relationship Id="rId60" Type="http://schemas.openxmlformats.org/officeDocument/2006/relationships/image" Target="media/image40.wmf"/><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3.png"/><Relationship Id="rId69" Type="http://schemas.openxmlformats.org/officeDocument/2006/relationships/image" Target="media/image43.png"/><Relationship Id="rId70" Type="http://schemas.openxmlformats.org/officeDocument/2006/relationships/image" Target="media/image48.png"/><Relationship Id="rId71" Type="http://schemas.openxmlformats.org/officeDocument/2006/relationships/image" Target="media/image49.wmf"/><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oleObject" Target="embeddings/oleObject6.bin"/><Relationship Id="rId97" Type="http://schemas.openxmlformats.org/officeDocument/2006/relationships/image" Target="media/image74.wmf"/><Relationship Id="rId98" Type="http://schemas.openxmlformats.org/officeDocument/2006/relationships/image" Target="media/image75.wmf"/><Relationship Id="rId99" Type="http://schemas.openxmlformats.org/officeDocument/2006/relationships/image" Target="media/image76.wmf"/><Relationship Id="rId100" Type="http://schemas.openxmlformats.org/officeDocument/2006/relationships/image" Target="media/image77.wmf"/><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2018-07-24T08:43:00Z</dcterms:created>
  <dc:creator>TSG SA WG4 Codec</dc:creator>
  <dc:description/>
  <cp:keywords>Non Bit-Exact Conformance Floating-Point EVS Codec CTPClassification=CTP_IC</cp:keywords>
  <dc:language>en-US</dc:language>
  <cp:lastModifiedBy>9720</cp:lastModifiedBy>
  <dcterms:modified xsi:type="dcterms:W3CDTF">2018-09-09T14:43:00Z</dcterms:modified>
  <cp:revision>18</cp:revision>
  <dc:subject>3GPP TS 26.843 Study on Non Bit-Exact Conformance Criteria and Tools for Floating-Point EVS Codec (Release 16)</dc:subject>
  <dc:title>3GPP TS 26.843 v. 16.0.0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CTP_IC</vt:lpwstr>
  </property>
  <property fmtid="{D5CDD505-2E9C-101B-9397-08002B2CF9AE}" pid="3" name="CTP_BU">
    <vt:lpwstr>MODEM TECHNOLOGY DEVELOPMENT</vt:lpwstr>
  </property>
  <property fmtid="{D5CDD505-2E9C-101B-9397-08002B2CF9AE}" pid="4" name="CTP_TimeStamp">
    <vt:lpwstr>2018-07-12 12:19:39Z</vt:lpwstr>
  </property>
  <property fmtid="{D5CDD505-2E9C-101B-9397-08002B2CF9AE}" pid="5" name="TitusGUID">
    <vt:lpwstr>42f53d50-925d-46e4-93d3-d9fe7572aa17</vt:lpwstr>
  </property>
  <property fmtid="{D5CDD505-2E9C-101B-9397-08002B2CF9AE}" pid="6" name="_NewReviewCycle">
    <vt:lpwstr/>
  </property>
</Properties>
</file>