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4.wmf" ContentType="image/x-wmf"/>
  <Override PartName="/word/media/image5.png" ContentType="image/png"/>
  <Override PartName="/word/media/image2.png" ContentType="image/png"/>
  <Override PartName="/word/media/image3.png" ContentType="image/png"/>
  <Override PartName="/word/embeddings/oleObject1.bin" ContentType="application/vnd.openxmlformats-officedocument.oleObject"/>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endnotes.xml" ContentType="application/vnd.openxmlformats-officedocument.wordprocessingml.endnot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lang w:val="en-GB" w:eastAsia="en-US"/>
                              </w:rPr>
                            </w:pPr>
                            <w:bookmarkStart w:id="0" w:name="page1"/>
                            <w:bookmarkEnd w:id="0"/>
                            <w:r>
                              <w:rPr>
                                <w:sz w:val="64"/>
                                <w:lang w:val="en-GB" w:eastAsia="en-US"/>
                              </w:rPr>
                              <w:t xml:space="preserve">3GPP TR 26.925 </w:t>
                            </w:r>
                            <w:r>
                              <w:rPr>
                                <w:lang w:val="en-GB" w:eastAsia="en-US"/>
                              </w:rPr>
                              <w:t>V</w:t>
                            </w:r>
                            <w:bookmarkStart w:id="1" w:name="specVersion"/>
                            <w:r>
                              <w:rPr>
                                <w:lang w:val="en-GB" w:eastAsia="en-US"/>
                              </w:rPr>
                              <w:t>16.0.</w:t>
                            </w:r>
                            <w:bookmarkEnd w:id="1"/>
                            <w:r>
                              <w:rPr>
                                <w:lang w:val="en-GB" w:eastAsia="en-US"/>
                              </w:rPr>
                              <w:t xml:space="preserve">0 </w:t>
                            </w:r>
                            <w:r>
                              <w:rPr>
                                <w:sz w:val="32"/>
                                <w:lang w:val="en-GB" w:eastAsia="en-US"/>
                              </w:rPr>
                              <w:t>(2020-03)</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lang w:val="en-GB" w:eastAsia="en-US"/>
                        </w:rPr>
                      </w:pPr>
                      <w:bookmarkStart w:id="2" w:name="page1"/>
                      <w:bookmarkEnd w:id="2"/>
                      <w:r>
                        <w:rPr>
                          <w:sz w:val="64"/>
                          <w:lang w:val="en-GB" w:eastAsia="en-US"/>
                        </w:rPr>
                        <w:t xml:space="preserve">3GPP TR 26.925 </w:t>
                      </w:r>
                      <w:r>
                        <w:rPr>
                          <w:lang w:val="en-GB" w:eastAsia="en-US"/>
                        </w:rPr>
                        <w:t>V</w:t>
                      </w:r>
                      <w:bookmarkStart w:id="3" w:name="specVersion"/>
                      <w:r>
                        <w:rPr>
                          <w:lang w:val="en-GB" w:eastAsia="en-US"/>
                        </w:rPr>
                        <w:t>16.0.</w:t>
                      </w:r>
                      <w:bookmarkEnd w:id="3"/>
                      <w:r>
                        <w:rPr>
                          <w:lang w:val="en-GB" w:eastAsia="en-US"/>
                        </w:rPr>
                        <w:t xml:space="preserve">0 </w:t>
                      </w:r>
                      <w:r>
                        <w:rPr>
                          <w:sz w:val="32"/>
                          <w:lang w:val="en-GB" w:eastAsia="en-US"/>
                        </w:rPr>
                        <w:t>(2020-03)</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lang w:val="en-GB" w:eastAsia="en-US"/>
                              </w:rPr>
                            </w:pPr>
                            <w:r>
                              <w:rPr>
                                <w:lang w:val="en-GB" w:eastAsia="en-US"/>
                              </w:rPr>
                              <w:t>Technical Report</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lang w:val="en-GB" w:eastAsia="en-US"/>
                        </w:rPr>
                      </w:pPr>
                      <w:r>
                        <w:rPr>
                          <w:lang w:val="en-GB" w:eastAsia="en-US"/>
                        </w:rPr>
                        <w:t>Technical Report</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241425"/>
                <wp:effectExtent l="0" t="0" r="0" b="0"/>
                <wp:wrapTopAndBottom/>
                <wp:docPr id="3" name="Frame3"/>
                <a:graphic xmlns:a="http://schemas.openxmlformats.org/drawingml/2006/main">
                  <a:graphicData uri="http://schemas.microsoft.com/office/word/2010/wordprocessingShape">
                    <wps:wsp>
                      <wps:cNvSpPr txBox="1"/>
                      <wps:spPr>
                        <a:xfrm>
                          <a:off x="0" y="0"/>
                          <a:ext cx="6479540" cy="1241425"/>
                        </a:xfrm>
                        <a:prstGeom prst="rect"/>
                        <a:solidFill>
                          <a:srgbClr val="FFFFFF">
                            <a:alpha val="0"/>
                          </a:srgbClr>
                        </a:solidFill>
                      </wps:spPr>
                      <wps:txbx>
                        <w:txbxContent>
                          <w:p>
                            <w:pPr>
                              <w:pStyle w:val="ZT"/>
                              <w:rPr/>
                            </w:pPr>
                            <w:r>
                              <w:rPr/>
                              <w:t>3rd Generation Partnership Project;</w:t>
                            </w:r>
                          </w:p>
                          <w:p>
                            <w:pPr>
                              <w:pStyle w:val="ZT"/>
                              <w:rPr/>
                            </w:pPr>
                            <w:r>
                              <w:rPr/>
                              <w:t>Technical Specification Group Services and System Aspects; Typical traffic characteristics of media services on 3GPP networks</w:t>
                            </w:r>
                          </w:p>
                          <w:p>
                            <w:pPr>
                              <w:pStyle w:val="ZT"/>
                              <w:rPr>
                                <w:i/>
                                <w:i/>
                                <w:sz w:val="28"/>
                              </w:rPr>
                            </w:pPr>
                            <w:r>
                              <w:rPr>
                                <w:rFonts w:eastAsia="Arial"/>
                              </w:rPr>
                              <w:t xml:space="preserve"> </w:t>
                            </w:r>
                            <w:r>
                              <w:rPr/>
                              <w:t>(</w:t>
                            </w:r>
                            <w:r>
                              <w:rPr>
                                <w:rStyle w:val="ZGSM"/>
                              </w:rPr>
                              <w:t>Release 16</w:t>
                            </w:r>
                            <w:r>
                              <w:rPr/>
                              <w:t>)</w:t>
                            </w:r>
                          </w:p>
                        </w:txbxContent>
                      </wps:txbx>
                      <wps:bodyPr anchor="t" lIns="0" tIns="0" rIns="0" bIns="0">
                        <a:noAutofit/>
                      </wps:bodyPr>
                    </wps:wsp>
                  </a:graphicData>
                </a:graphic>
              </wp:anchor>
            </w:drawing>
          </mc:Choice>
          <mc:Fallback>
            <w:pict>
              <v:rect fillcolor="#FFFFFF" style="position:absolute;rotation:-0;width:510.2pt;height:97.75pt;mso-wrap-distance-left:0pt;mso-wrap-distance-right:0pt;mso-wrap-distance-top:0pt;mso-wrap-distance-bottom:0pt;margin-top:46.05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Services and System Aspects; Typical traffic characteristics of media services on 3GPP networks</w:t>
                      </w:r>
                    </w:p>
                    <w:p>
                      <w:pPr>
                        <w:pStyle w:val="ZT"/>
                        <w:rPr>
                          <w:i/>
                          <w:i/>
                          <w:sz w:val="28"/>
                        </w:rPr>
                      </w:pPr>
                      <w:r>
                        <w:rPr>
                          <w:rFonts w:eastAsia="Arial"/>
                        </w:rPr>
                        <w:t xml:space="preserve"> </w:t>
                      </w:r>
                      <w:r>
                        <w:rPr/>
                        <w:t>(</w:t>
                      </w:r>
                      <w:r>
                        <w:rPr>
                          <w:rStyle w:val="ZGSM"/>
                        </w:rPr>
                        <w:t>Release 16</w:t>
                      </w:r>
                      <w:r>
                        <w:rPr/>
                        <w:t>)</w:t>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3129915"/>
                <wp:effectExtent l="0" t="0" r="0" b="0"/>
                <wp:wrapTopAndBottom/>
                <wp:docPr id="4" name="Frame4"/>
                <a:graphic xmlns:a="http://schemas.openxmlformats.org/drawingml/2006/main">
                  <a:graphicData uri="http://schemas.microsoft.com/office/word/2010/wordprocessingShape">
                    <wps:wsp>
                      <wps:cNvSpPr txBox="1"/>
                      <wps:spPr>
                        <a:xfrm>
                          <a:off x="0" y="0"/>
                          <a:ext cx="6480810" cy="3129915"/>
                        </a:xfrm>
                        <a:prstGeom prst="rect"/>
                        <a:solidFill>
                          <a:srgbClr val="FFFFFF">
                            <a:alpha val="0"/>
                          </a:srgbClr>
                        </a:solidFill>
                      </wps:spPr>
                      <wps:txbx>
                        <w:txbxContent>
                          <w:p>
                            <w:pPr>
                              <w:pStyle w:val="ZU"/>
                              <w:tabs>
                                <w:tab w:val="clear" w:pos="284"/>
                                <w:tab w:val="right" w:pos="10206" w:leader="none"/>
                              </w:tabs>
                              <w:jc w:val="left"/>
                              <w:rPr>
                                <w:color w:val="0000FF"/>
                                <w:lang w:val="en-GB" w:eastAsia="en-US"/>
                              </w:rPr>
                            </w:pPr>
                            <w:r>
                              <w:rPr>
                                <w:color w:val="0000FF"/>
                                <w:lang w:val="en-GB" w:eastAsia="en-US"/>
                              </w:rPr>
                              <w:tab/>
                            </w:r>
                          </w:p>
                          <w:p>
                            <w:pPr>
                              <w:pStyle w:val="ZU"/>
                              <w:tabs>
                                <w:tab w:val="clear" w:pos="284"/>
                                <w:tab w:val="right" w:pos="10206" w:leader="none"/>
                              </w:tabs>
                              <w:jc w:val="left"/>
                              <w:rPr>
                                <w:lang w:val="en-GB" w:eastAsia="en-US"/>
                              </w:rPr>
                            </w:pPr>
                            <w:r>
                              <w:rPr>
                                <w:color w:val="0000FF"/>
                                <w:lang w:val="en-GB" w:eastAsia="en-US"/>
                              </w:rPr>
                              <w:tab/>
                            </w:r>
                          </w:p>
                          <w:p>
                            <w:pPr>
                              <w:pStyle w:val="ZU"/>
                              <w:tabs>
                                <w:tab w:val="clear" w:pos="284"/>
                                <w:tab w:val="right" w:pos="10206" w:leader="none"/>
                              </w:tabs>
                              <w:jc w:val="left"/>
                              <w:rPr>
                                <w:lang w:val="en-GB" w:eastAsia="en-US"/>
                              </w:rPr>
                            </w:pPr>
                            <w:r>
                              <w:rPr>
                                <w:color w:val="0000FF"/>
                                <w:lang w:val="en-GB" w:eastAsia="en-US"/>
                              </w:rPr>
                              <w:tab/>
                            </w:r>
                          </w:p>
                          <w:p>
                            <w:pPr>
                              <w:pStyle w:val="ZU"/>
                              <w:pBdr>
                                <w:top w:val="nil"/>
                              </w:pBdr>
                              <w:tabs>
                                <w:tab w:val="clear" w:pos="284"/>
                                <w:tab w:val="right" w:pos="10206" w:leader="none"/>
                              </w:tabs>
                              <w:jc w:val="left"/>
                              <w:rPr>
                                <w:lang w:val="en-GB" w:eastAsia="en-US"/>
                              </w:rPr>
                            </w:pPr>
                            <w:r>
                              <w:rPr>
                                <w:color w:val="0000FF"/>
                                <w:lang w:val="en-GB" w:eastAsia="en-US"/>
                              </w:rPr>
                              <w:tab/>
                            </w:r>
                          </w:p>
                          <w:p>
                            <w:pPr>
                              <w:pStyle w:val="ZU"/>
                              <w:pBdr>
                                <w:top w:val="nil"/>
                              </w:pBdr>
                              <w:tabs>
                                <w:tab w:val="clear" w:pos="284"/>
                                <w:tab w:val="right" w:pos="10206" w:leader="none"/>
                              </w:tabs>
                              <w:jc w:val="left"/>
                              <w:rPr>
                                <w:lang w:val="en-GB" w:eastAsia="en-US"/>
                              </w:rPr>
                            </w:pPr>
                            <w:r>
                              <w:rPr>
                                <w:rFonts w:eastAsia="Arial"/>
                                <w:i/>
                                <w:lang w:val="en-GB" w:eastAsia="en-US"/>
                              </w:rPr>
                              <w:t xml:space="preserve">  </w:t>
                            </w:r>
                            <w:r>
                              <w:rPr>
                                <w:i/>
                                <w:lang w:val="en-GB" w:eastAsia="en-US"/>
                              </w:rPr>
                              <w:drawing>
                                <wp:inline distT="0" distB="0" distL="0" distR="0">
                                  <wp:extent cx="1208405" cy="838835"/>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2"/>
                                          <a:srcRect l="-22" t="-31" r="-22" b="-31"/>
                                          <a:stretch>
                                            <a:fillRect/>
                                          </a:stretch>
                                        </pic:blipFill>
                                        <pic:spPr bwMode="auto">
                                          <a:xfrm>
                                            <a:off x="0" y="0"/>
                                            <a:ext cx="1208405" cy="838835"/>
                                          </a:xfrm>
                                          <a:prstGeom prst="rect">
                                            <a:avLst/>
                                          </a:prstGeom>
                                        </pic:spPr>
                                      </pic:pic>
                                    </a:graphicData>
                                  </a:graphic>
                                </wp:inline>
                              </w:drawing>
                            </w:r>
                            <w:r>
                              <w:rPr>
                                <w:color w:val="0000FF"/>
                                <w:lang w:val="en-GB" w:eastAsia="en-US"/>
                              </w:rPr>
                              <w:tab/>
                            </w:r>
                            <w:r>
                              <w:rPr>
                                <w:lang w:val="en-GB" w:eastAsia="en-US"/>
                              </w:rPr>
                              <w:drawing>
                                <wp:inline distT="0" distB="0" distL="0" distR="0">
                                  <wp:extent cx="1624965" cy="949960"/>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3"/>
                                          <a:srcRect l="-13" t="-23" r="-13" b="-23"/>
                                          <a:stretch>
                                            <a:fillRect/>
                                          </a:stretch>
                                        </pic:blipFill>
                                        <pic:spPr bwMode="auto">
                                          <a:xfrm>
                                            <a:off x="0" y="0"/>
                                            <a:ext cx="1624965" cy="949960"/>
                                          </a:xfrm>
                                          <a:prstGeom prst="rect">
                                            <a:avLst/>
                                          </a:prstGeom>
                                        </pic:spPr>
                                      </pic:pic>
                                    </a:graphicData>
                                  </a:graphic>
                                </wp:inline>
                              </w:drawing>
                            </w:r>
                          </w:p>
                          <w:p>
                            <w:pPr>
                              <w:pStyle w:val="ZU"/>
                              <w:tabs>
                                <w:tab w:val="clear" w:pos="284"/>
                                <w:tab w:val="right" w:pos="10206" w:leader="none"/>
                              </w:tabs>
                              <w:jc w:val="left"/>
                              <w:rPr>
                                <w:lang w:val="en-GB" w:eastAsia="en-US"/>
                              </w:rPr>
                            </w:pPr>
                            <w:r>
                              <w:rPr>
                                <w:lang w:val="en-GB" w:eastAsia="en-US"/>
                              </w:rPr>
                            </w:r>
                          </w:p>
                        </w:txbxContent>
                      </wps:txbx>
                      <wps:bodyPr anchor="t" lIns="0" tIns="12700" rIns="0" bIns="0">
                        <a:noAutofit/>
                      </wps:bodyPr>
                    </wps:wsp>
                  </a:graphicData>
                </a:graphic>
              </wp:anchor>
            </w:drawing>
          </mc:Choice>
          <mc:Fallback>
            <w:pict>
              <v:rect fillcolor="#FFFFFF" style="position:absolute;rotation:-0;width:510.3pt;height:246.4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jc w:val="left"/>
                        <w:rPr>
                          <w:color w:val="0000FF"/>
                          <w:lang w:val="en-GB" w:eastAsia="en-US"/>
                        </w:rPr>
                      </w:pPr>
                      <w:r>
                        <w:rPr>
                          <w:color w:val="0000FF"/>
                          <w:lang w:val="en-GB" w:eastAsia="en-US"/>
                        </w:rPr>
                        <w:tab/>
                      </w:r>
                    </w:p>
                    <w:p>
                      <w:pPr>
                        <w:pStyle w:val="ZU"/>
                        <w:tabs>
                          <w:tab w:val="clear" w:pos="284"/>
                          <w:tab w:val="right" w:pos="10206" w:leader="none"/>
                        </w:tabs>
                        <w:jc w:val="left"/>
                        <w:rPr>
                          <w:lang w:val="en-GB" w:eastAsia="en-US"/>
                        </w:rPr>
                      </w:pPr>
                      <w:r>
                        <w:rPr>
                          <w:color w:val="0000FF"/>
                          <w:lang w:val="en-GB" w:eastAsia="en-US"/>
                        </w:rPr>
                        <w:tab/>
                      </w:r>
                    </w:p>
                    <w:p>
                      <w:pPr>
                        <w:pStyle w:val="ZU"/>
                        <w:tabs>
                          <w:tab w:val="clear" w:pos="284"/>
                          <w:tab w:val="right" w:pos="10206" w:leader="none"/>
                        </w:tabs>
                        <w:jc w:val="left"/>
                        <w:rPr>
                          <w:lang w:val="en-GB" w:eastAsia="en-US"/>
                        </w:rPr>
                      </w:pPr>
                      <w:r>
                        <w:rPr>
                          <w:color w:val="0000FF"/>
                          <w:lang w:val="en-GB" w:eastAsia="en-US"/>
                        </w:rPr>
                        <w:tab/>
                      </w:r>
                    </w:p>
                    <w:p>
                      <w:pPr>
                        <w:pStyle w:val="ZU"/>
                        <w:pBdr>
                          <w:top w:val="nil"/>
                        </w:pBdr>
                        <w:tabs>
                          <w:tab w:val="clear" w:pos="284"/>
                          <w:tab w:val="right" w:pos="10206" w:leader="none"/>
                        </w:tabs>
                        <w:jc w:val="left"/>
                        <w:rPr>
                          <w:lang w:val="en-GB" w:eastAsia="en-US"/>
                        </w:rPr>
                      </w:pPr>
                      <w:r>
                        <w:rPr>
                          <w:color w:val="0000FF"/>
                          <w:lang w:val="en-GB" w:eastAsia="en-US"/>
                        </w:rPr>
                        <w:tab/>
                      </w:r>
                    </w:p>
                    <w:p>
                      <w:pPr>
                        <w:pStyle w:val="ZU"/>
                        <w:pBdr>
                          <w:top w:val="nil"/>
                        </w:pBdr>
                        <w:tabs>
                          <w:tab w:val="clear" w:pos="284"/>
                          <w:tab w:val="right" w:pos="10206" w:leader="none"/>
                        </w:tabs>
                        <w:jc w:val="left"/>
                        <w:rPr>
                          <w:lang w:val="en-GB" w:eastAsia="en-US"/>
                        </w:rPr>
                      </w:pPr>
                      <w:r>
                        <w:rPr>
                          <w:rFonts w:eastAsia="Arial"/>
                          <w:i/>
                          <w:lang w:val="en-GB" w:eastAsia="en-US"/>
                        </w:rPr>
                        <w:t xml:space="preserve">  </w:t>
                      </w:r>
                      <w:r>
                        <w:rPr>
                          <w:i/>
                          <w:lang w:val="en-GB" w:eastAsia="en-US"/>
                        </w:rPr>
                        <w:drawing>
                          <wp:inline distT="0" distB="0" distL="0" distR="0">
                            <wp:extent cx="1208405" cy="838835"/>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4"/>
                                    <a:srcRect l="-22" t="-31" r="-22" b="-31"/>
                                    <a:stretch>
                                      <a:fillRect/>
                                    </a:stretch>
                                  </pic:blipFill>
                                  <pic:spPr bwMode="auto">
                                    <a:xfrm>
                                      <a:off x="0" y="0"/>
                                      <a:ext cx="1208405" cy="838835"/>
                                    </a:xfrm>
                                    <a:prstGeom prst="rect">
                                      <a:avLst/>
                                    </a:prstGeom>
                                  </pic:spPr>
                                </pic:pic>
                              </a:graphicData>
                            </a:graphic>
                          </wp:inline>
                        </w:drawing>
                      </w:r>
                      <w:r>
                        <w:rPr>
                          <w:color w:val="0000FF"/>
                          <w:lang w:val="en-GB" w:eastAsia="en-US"/>
                        </w:rPr>
                        <w:tab/>
                      </w:r>
                      <w:r>
                        <w:rPr>
                          <w:lang w:val="en-GB" w:eastAsia="en-US"/>
                        </w:rPr>
                        <w:drawing>
                          <wp:inline distT="0" distB="0" distL="0" distR="0">
                            <wp:extent cx="1624965" cy="949960"/>
                            <wp:effectExtent l="0" t="0" r="0" b="0"/>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5"/>
                                    <a:srcRect l="-13" t="-23" r="-13" b="-23"/>
                                    <a:stretch>
                                      <a:fillRect/>
                                    </a:stretch>
                                  </pic:blipFill>
                                  <pic:spPr bwMode="auto">
                                    <a:xfrm>
                                      <a:off x="0" y="0"/>
                                      <a:ext cx="1624965" cy="949960"/>
                                    </a:xfrm>
                                    <a:prstGeom prst="rect">
                                      <a:avLst/>
                                    </a:prstGeom>
                                  </pic:spPr>
                                </pic:pic>
                              </a:graphicData>
                            </a:graphic>
                          </wp:inline>
                        </w:drawing>
                      </w:r>
                    </w:p>
                    <w:p>
                      <w:pPr>
                        <w:pStyle w:val="ZU"/>
                        <w:tabs>
                          <w:tab w:val="clear" w:pos="284"/>
                          <w:tab w:val="right" w:pos="10206" w:leader="none"/>
                        </w:tabs>
                        <w:jc w:val="left"/>
                        <w:rPr>
                          <w:lang w:val="en-GB" w:eastAsia="en-US"/>
                        </w:rPr>
                      </w:pPr>
                      <w:r>
                        <w:rPr>
                          <w:lang w:val="en-GB" w:eastAsia="en-US"/>
                        </w:rPr>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9601835</wp:posOffset>
                </wp:positionV>
                <wp:extent cx="6353810" cy="1038860"/>
                <wp:effectExtent l="0" t="0" r="0" b="0"/>
                <wp:wrapTopAndBottom/>
                <wp:docPr id="9" name="Frame5"/>
                <a:graphic xmlns:a="http://schemas.openxmlformats.org/drawingml/2006/main">
                  <a:graphicData uri="http://schemas.microsoft.com/office/word/2010/wordprocessingShape">
                    <wps:wsp>
                      <wps:cNvSpPr txBox="1"/>
                      <wps:spPr>
                        <a:xfrm>
                          <a:off x="0" y="0"/>
                          <a:ext cx="6353810" cy="1038860"/>
                        </a:xfrm>
                        <a:prstGeom prst="rect"/>
                        <a:solidFill>
                          <a:srgbClr val="FFFFFF">
                            <a:alpha val="0"/>
                          </a:srgbClr>
                        </a:solidFill>
                      </wps:spPr>
                      <wps:txbx>
                        <w:txbxContent>
                          <w:p>
                            <w:pPr>
                              <w:pStyle w:val="Normal"/>
                              <w:widowControl/>
                              <w:overflowPunct w:val="false"/>
                              <w:autoSpaceDE w:val="false"/>
                              <w:bidi w:val="0"/>
                              <w:spacing w:before="0" w:after="180"/>
                              <w:textAlignment w:val="baseline"/>
                              <w:rPr/>
                            </w:pPr>
                            <w:r>
                              <w:rPr>
                                <w:sz w:val="16"/>
                              </w:rPr>
                              <w:t>The present document has been developed within the 3rd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Report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500.3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widowControl/>
                        <w:overflowPunct w:val="false"/>
                        <w:autoSpaceDE w:val="false"/>
                        <w:bidi w:val="0"/>
                        <w:spacing w:before="0" w:after="180"/>
                        <w:textAlignment w:val="baseline"/>
                        <w:rPr/>
                      </w:pPr>
                      <w:r>
                        <w:rPr>
                          <w:sz w:val="16"/>
                        </w:rPr>
                        <w:t>The present document has been developed within the 3rd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Report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lang w:val="en-GB" w:eastAsia="en-US"/>
                              </w:rPr>
                            </w:pPr>
                            <w:r>
                              <w:rPr>
                                <w:lang w:val="en-GB" w:eastAsia="en-US"/>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lang w:val="en-GB" w:eastAsia="en-US"/>
                        </w:rPr>
                      </w:pPr>
                      <w:r>
                        <w:rPr>
                          <w:lang w:val="en-GB" w:eastAsia="en-US"/>
                        </w:rPr>
                      </w:r>
                    </w:p>
                  </w:txbxContent>
                </v:textbox>
                <w10:wrap type="topAndBottom"/>
              </v:rect>
            </w:pict>
          </mc:Fallback>
        </mc:AlternateContent>
      </w:r>
    </w:p>
    <w:p>
      <w:pPr>
        <w:pStyle w:val="Normal"/>
        <w:rPr/>
      </w:pPr>
      <w:r>
        <w:rPr/>
      </w:r>
      <w:bookmarkStart w:id="4" w:name="page2"/>
      <w:bookmarkStart w:id="5" w:name="page2"/>
      <w:bookmarkEnd w:id="5"/>
    </w:p>
    <w:p>
      <w:pPr>
        <w:pStyle w:val="Normal"/>
        <w:rPr/>
      </w:pPr>
      <w:r>
        <w:rPr/>
      </w:r>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margin">
                  <wp:align>center</wp:align>
                </wp:positionV>
                <wp:extent cx="6121400" cy="1779905"/>
                <wp:effectExtent l="0" t="0" r="0" b="0"/>
                <wp:wrapTopAndBottom/>
                <wp:docPr id="11" name="Frame7"/>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pPr>
                            <w:r>
                              <w:rPr>
                                <w:rFonts w:cs="Arial" w:ascii="Arial" w:hAnsi="Arial"/>
                                <w:sz w:val="18"/>
                                <w:lang w:val="fr-FR"/>
                              </w:rPr>
                              <w:t>650 Route des Lucioles - Sophia Antipolis</w:t>
                            </w:r>
                          </w:p>
                          <w:p>
                            <w:pPr>
                              <w:pStyle w:val="FP"/>
                              <w:ind w:left="2835" w:right="2835" w:hanging="0"/>
                              <w:jc w:val="center"/>
                              <w:rPr/>
                            </w:pPr>
                            <w:r>
                              <w:rPr>
                                <w:rFonts w:cs="Arial" w:ascii="Arial" w:hAnsi="Arial"/>
                                <w:sz w:val="18"/>
                                <w:lang w:val="fr-FR"/>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pPr>
                      <w:r>
                        <w:rPr>
                          <w:rFonts w:cs="Arial" w:ascii="Arial" w:hAnsi="Arial"/>
                          <w:sz w:val="18"/>
                          <w:lang w:val="fr-FR"/>
                        </w:rPr>
                        <w:t>650 Route des Lucioles - Sophia Antipolis</w:t>
                      </w:r>
                    </w:p>
                    <w:p>
                      <w:pPr>
                        <w:pStyle w:val="FP"/>
                        <w:ind w:left="2835" w:right="2835" w:hanging="0"/>
                        <w:jc w:val="center"/>
                        <w:rPr/>
                      </w:pPr>
                      <w:r>
                        <w:rPr>
                          <w:rFonts w:cs="Arial" w:ascii="Arial" w:hAnsi="Arial"/>
                          <w:sz w:val="18"/>
                          <w:lang w:val="fr-FR"/>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0" allowOverlap="1" relativeHeight="11">
                <wp:simplePos x="0" y="0"/>
                <wp:positionH relativeFrom="margin">
                  <wp:align>left</wp:align>
                </wp:positionH>
                <wp:positionV relativeFrom="page">
                  <wp:posOffset>8004175</wp:posOffset>
                </wp:positionV>
                <wp:extent cx="6121400" cy="1941195"/>
                <wp:effectExtent l="0" t="0" r="0" b="0"/>
                <wp:wrapTopAndBottom/>
                <wp:docPr id="12" name="Frame8"/>
                <a:graphic xmlns:a="http://schemas.openxmlformats.org/drawingml/2006/main">
                  <a:graphicData uri="http://schemas.microsoft.com/office/word/2010/wordprocessingShape">
                    <wps:wsp>
                      <wps:cNvSpPr txBox="1"/>
                      <wps:spPr>
                        <a:xfrm>
                          <a:off x="0" y="0"/>
                          <a:ext cx="6121400" cy="1941195"/>
                        </a:xfrm>
                        <a:prstGeom prst="rect"/>
                        <a:solidFill>
                          <a:srgbClr val="FFFFFF">
                            <a:alpha val="0"/>
                          </a:srgbClr>
                        </a:solidFill>
                      </wps:spPr>
                      <wps:txbx>
                        <w:txbxContent>
                          <w:p>
                            <w:pPr>
                              <w:pStyle w:val="FP"/>
                              <w:spacing w:before="0" w:after="240"/>
                              <w:jc w:val="center"/>
                              <w:rPr/>
                            </w:pPr>
                            <w:r>
                              <w:rPr>
                                <w:rFonts w:cs="Arial" w:ascii="Arial" w:hAnsi="Arial"/>
                                <w:b/>
                                <w:i/>
                              </w:rPr>
                              <w:t>Copyright Notification</w:t>
                            </w:r>
                          </w:p>
                          <w:p>
                            <w:pPr>
                              <w:pStyle w:val="FP"/>
                              <w:jc w:val="center"/>
                              <w:rPr/>
                            </w:pPr>
                            <w:r>
                              <w:rPr/>
                              <w:t>No part may be reproduced except as authorized by written permission.</w:t>
                              <w:br/>
                              <w:t>The copyright and the foregoing restriction extend to reproduction in all media.</w:t>
                            </w:r>
                          </w:p>
                          <w:p>
                            <w:pPr>
                              <w:pStyle w:val="FP"/>
                              <w:jc w:val="center"/>
                              <w:rPr/>
                            </w:pPr>
                            <w:r>
                              <w:rPr/>
                            </w:r>
                          </w:p>
                          <w:p>
                            <w:pPr>
                              <w:pStyle w:val="FP"/>
                              <w:jc w:val="center"/>
                              <w:rPr/>
                            </w:pPr>
                            <w:r>
                              <w:rPr>
                                <w:sz w:val="18"/>
                              </w:rPr>
                              <w:t>© 2020, 3GPP Organizational Partners (ARIB, ATIS, CCSA, ETSI, TSDSI, TTA, TTC).</w:t>
                            </w:r>
                            <w:bookmarkStart w:id="6" w:name="copyrightaddon"/>
                            <w:bookmarkEnd w:id="6"/>
                          </w:p>
                          <w:p>
                            <w:pPr>
                              <w:pStyle w:val="FP"/>
                              <w:jc w:val="center"/>
                              <w:rPr/>
                            </w:pPr>
                            <w:r>
                              <w:rPr>
                                <w:sz w:val="18"/>
                              </w:rPr>
                              <w:t>All rights reserved.</w:t>
                            </w:r>
                          </w:p>
                          <w:p>
                            <w:pPr>
                              <w:pStyle w:val="FP"/>
                              <w:rPr>
                                <w:sz w:val="18"/>
                              </w:rPr>
                            </w:pPr>
                            <w:r>
                              <w:rPr>
                                <w:sz w:val="18"/>
                              </w:rPr>
                            </w:r>
                          </w:p>
                          <w:p>
                            <w:pPr>
                              <w:pStyle w:val="FP"/>
                              <w:rPr>
                                <w:sz w:val="18"/>
                              </w:rPr>
                            </w:pPr>
                            <w:r>
                              <w:rPr>
                                <w:sz w:val="18"/>
                              </w:rPr>
                              <w:t>UMTS™ is a Trade Mark of ETSI registered for the benefit of its members</w:t>
                            </w:r>
                          </w:p>
                          <w:p>
                            <w:pPr>
                              <w:pStyle w:val="FP"/>
                              <w:rPr/>
                            </w:pPr>
                            <w:r>
                              <w:rPr>
                                <w:sz w:val="18"/>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rPr>
                            </w:pPr>
                            <w:r>
                              <w:rPr>
                                <w:sz w:val="18"/>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pPr>
                      <w:r>
                        <w:rPr>
                          <w:rFonts w:cs="Arial" w:ascii="Arial" w:hAnsi="Arial"/>
                          <w:b/>
                          <w:i/>
                        </w:rPr>
                        <w:t>Copyright Notification</w:t>
                      </w:r>
                    </w:p>
                    <w:p>
                      <w:pPr>
                        <w:pStyle w:val="FP"/>
                        <w:jc w:val="center"/>
                        <w:rPr/>
                      </w:pPr>
                      <w:r>
                        <w:rPr/>
                        <w:t>No part may be reproduced except as authorized by written permission.</w:t>
                        <w:br/>
                        <w:t>The copyright and the foregoing restriction extend to reproduction in all media.</w:t>
                      </w:r>
                    </w:p>
                    <w:p>
                      <w:pPr>
                        <w:pStyle w:val="FP"/>
                        <w:jc w:val="center"/>
                        <w:rPr/>
                      </w:pPr>
                      <w:r>
                        <w:rPr/>
                      </w:r>
                    </w:p>
                    <w:p>
                      <w:pPr>
                        <w:pStyle w:val="FP"/>
                        <w:jc w:val="center"/>
                        <w:rPr/>
                      </w:pPr>
                      <w:r>
                        <w:rPr>
                          <w:sz w:val="18"/>
                        </w:rPr>
                        <w:t>© 2020, 3GPP Organizational Partners (ARIB, ATIS, CCSA, ETSI, TSDSI, TTA, TTC).</w:t>
                      </w:r>
                      <w:bookmarkStart w:id="7" w:name="copyrightaddon"/>
                      <w:bookmarkEnd w:id="7"/>
                    </w:p>
                    <w:p>
                      <w:pPr>
                        <w:pStyle w:val="FP"/>
                        <w:jc w:val="center"/>
                        <w:rPr/>
                      </w:pPr>
                      <w:r>
                        <w:rPr>
                          <w:sz w:val="18"/>
                        </w:rPr>
                        <w:t>All rights reserved.</w:t>
                      </w:r>
                    </w:p>
                    <w:p>
                      <w:pPr>
                        <w:pStyle w:val="FP"/>
                        <w:rPr>
                          <w:sz w:val="18"/>
                        </w:rPr>
                      </w:pPr>
                      <w:r>
                        <w:rPr>
                          <w:sz w:val="18"/>
                        </w:rPr>
                      </w:r>
                    </w:p>
                    <w:p>
                      <w:pPr>
                        <w:pStyle w:val="FP"/>
                        <w:rPr>
                          <w:sz w:val="18"/>
                        </w:rPr>
                      </w:pPr>
                      <w:r>
                        <w:rPr>
                          <w:sz w:val="18"/>
                        </w:rPr>
                        <w:t>UMTS™ is a Trade Mark of ETSI registered for the benefit of its members</w:t>
                      </w:r>
                    </w:p>
                    <w:p>
                      <w:pPr>
                        <w:pStyle w:val="FP"/>
                        <w:rPr/>
                      </w:pPr>
                      <w:r>
                        <w:rPr>
                          <w:sz w:val="18"/>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rPr>
                      </w:pPr>
                      <w:r>
                        <w:rPr>
                          <w:sz w:val="18"/>
                        </w:rPr>
                        <w:t>GSM® and the GSM logo are registered and owned by the GSM Association</w:t>
                      </w:r>
                    </w:p>
                  </w:txbxContent>
                </v:textbox>
                <w10:wrap type="topAndBottom"/>
              </v:rect>
            </w:pict>
          </mc:Fallback>
        </mc:AlternateContent>
      </w:r>
    </w:p>
    <w:p>
      <w:pPr>
        <w:pStyle w:val="TT"/>
        <w:rPr/>
      </w:pPr>
      <w:bookmarkStart w:id="8" w:name="page2"/>
      <w:bookmarkEnd w:id="8"/>
      <w:r>
        <w:rPr/>
        <w:t>Contents</w:t>
      </w:r>
    </w:p>
    <w:sdt>
      <w:sdtPr>
        <w:docPartObj>
          <w:docPartGallery w:val="Table of Contents"/>
          <w:docPartUnique w:val="true"/>
        </w:docPartObj>
      </w:sdtPr>
      <w:sdtContent>
        <w:p>
          <w:pPr>
            <w:pStyle w:val="Contents1"/>
            <w:keepLines/>
            <w:widowControl w:val="false"/>
            <w:overflowPunct w:val="false"/>
            <w:autoSpaceDE w:val="false"/>
            <w:bidi w:val="0"/>
            <w:spacing w:before="120" w:after="0"/>
            <w:ind w:left="567" w:right="425" w:hanging="567"/>
            <w:textAlignment w:val="baseline"/>
            <w:rPr>
              <w:rFonts w:ascii="Calibri" w:hAnsi="Calibri" w:cs="Calibri"/>
              <w:szCs w:val="22"/>
              <w:lang w:val="en-GB" w:eastAsia="en-GB"/>
            </w:rPr>
          </w:pPr>
          <w:r>
            <w:fldChar w:fldCharType="begin"/>
          </w:r>
          <w:r>
            <w:rPr>
              <w:sz w:val="22"/>
              <w:szCs w:val="20"/>
              <w:rFonts w:eastAsia="Times New Roman" w:cs="Times New Roman"/>
              <w:color w:val="auto"/>
              <w:lang w:val="en-GB" w:eastAsia="en-US" w:bidi="ar-SA"/>
            </w:rPr>
            <w:instrText xml:space="preserve"> TOC \o "1-9"</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32311306">
            <w:r>
              <w:rPr>
                <w:rStyle w:val="IndexLink"/>
                <w:rFonts w:eastAsia="Times New Roman" w:cs="Times New Roman"/>
                <w:color w:val="auto"/>
                <w:sz w:val="22"/>
                <w:szCs w:val="20"/>
                <w:lang w:val="en-GB" w:eastAsia="en-US" w:bidi="ar-SA"/>
              </w:rPr>
              <w:t>5</w:t>
            </w:r>
          </w:hyperlink>
        </w:p>
        <w:p>
          <w:pPr>
            <w:pStyle w:val="Contents1"/>
            <w:rPr>
              <w:rFonts w:ascii="Calibri" w:hAnsi="Calibri" w:cs="Calibri"/>
              <w:szCs w:val="22"/>
              <w:lang w:val="en-GB" w:eastAsia="en-GB"/>
            </w:rPr>
          </w:pPr>
          <w:r>
            <w:rPr>
              <w:lang w:val="en-GB" w:eastAsia="en-US"/>
            </w:rPr>
            <w:t>Introduction</w:t>
            <w:tab/>
          </w:r>
          <w:hyperlink w:anchor="__RefHeading___Toc32311307">
            <w:r>
              <w:rPr>
                <w:rStyle w:val="IndexLink"/>
                <w:lang w:val="en-GB" w:eastAsia="en-US"/>
              </w:rPr>
              <w:t>6</w:t>
            </w:r>
          </w:hyperlink>
        </w:p>
        <w:p>
          <w:pPr>
            <w:pStyle w:val="Contents1"/>
            <w:rPr>
              <w:rFonts w:ascii="Calibri" w:hAnsi="Calibri" w:cs="Calibri"/>
              <w:szCs w:val="22"/>
              <w:lang w:val="en-GB" w:eastAsia="en-GB"/>
            </w:rPr>
          </w:pPr>
          <w:r>
            <w:rPr>
              <w:lang w:val="en-GB" w:eastAsia="en-US"/>
            </w:rPr>
            <w:t>1</w:t>
          </w:r>
          <w:r>
            <w:rPr>
              <w:rFonts w:cs="Calibri" w:ascii="Calibri" w:hAnsi="Calibri"/>
              <w:szCs w:val="22"/>
              <w:lang w:val="en-GB" w:eastAsia="en-GB"/>
            </w:rPr>
            <w:tab/>
          </w:r>
          <w:r>
            <w:rPr>
              <w:lang w:val="en-GB" w:eastAsia="en-US"/>
            </w:rPr>
            <w:t>Scope</w:t>
            <w:tab/>
          </w:r>
          <w:hyperlink w:anchor="__RefHeading___Toc32311308">
            <w:r>
              <w:rPr>
                <w:rStyle w:val="IndexLink"/>
                <w:lang w:val="en-GB" w:eastAsia="en-US"/>
              </w:rPr>
              <w:t>7</w:t>
            </w:r>
          </w:hyperlink>
        </w:p>
        <w:p>
          <w:pPr>
            <w:pStyle w:val="Contents1"/>
            <w:rPr>
              <w:rFonts w:ascii="Calibri" w:hAnsi="Calibri" w:cs="Calibri"/>
              <w:szCs w:val="22"/>
              <w:lang w:val="en-GB" w:eastAsia="en-GB"/>
            </w:rPr>
          </w:pPr>
          <w:r>
            <w:rPr>
              <w:lang w:val="en-GB" w:eastAsia="en-US"/>
            </w:rPr>
            <w:t>2</w:t>
          </w:r>
          <w:r>
            <w:rPr>
              <w:rFonts w:cs="Calibri" w:ascii="Calibri" w:hAnsi="Calibri"/>
              <w:szCs w:val="22"/>
              <w:lang w:val="en-GB" w:eastAsia="en-GB"/>
            </w:rPr>
            <w:tab/>
          </w:r>
          <w:r>
            <w:rPr>
              <w:lang w:val="en-GB" w:eastAsia="en-US"/>
            </w:rPr>
            <w:t>References</w:t>
            <w:tab/>
          </w:r>
          <w:hyperlink w:anchor="__RefHeading___Toc32311309">
            <w:r>
              <w:rPr>
                <w:rStyle w:val="IndexLink"/>
                <w:lang w:val="en-GB" w:eastAsia="en-US"/>
              </w:rPr>
              <w:t>7</w:t>
            </w:r>
          </w:hyperlink>
        </w:p>
        <w:p>
          <w:pPr>
            <w:pStyle w:val="Contents1"/>
            <w:rPr>
              <w:rFonts w:ascii="Calibri" w:hAnsi="Calibri" w:cs="Calibri"/>
              <w:szCs w:val="22"/>
              <w:lang w:val="en-GB" w:eastAsia="en-GB"/>
            </w:rPr>
          </w:pPr>
          <w:r>
            <w:rPr>
              <w:lang w:val="en-GB" w:eastAsia="en-US"/>
            </w:rPr>
            <w:t>3</w:t>
          </w:r>
          <w:r>
            <w:rPr>
              <w:rFonts w:cs="Calibri" w:ascii="Calibri" w:hAnsi="Calibri"/>
              <w:szCs w:val="22"/>
              <w:lang w:val="en-GB" w:eastAsia="en-GB"/>
            </w:rPr>
            <w:tab/>
          </w:r>
          <w:r>
            <w:rPr>
              <w:lang w:val="en-GB" w:eastAsia="en-US"/>
            </w:rPr>
            <w:t>Definitions of terms, symbols and abbreviations</w:t>
            <w:tab/>
          </w:r>
          <w:hyperlink w:anchor="__RefHeading___Toc32311310">
            <w:r>
              <w:rPr>
                <w:rStyle w:val="IndexLink"/>
                <w:lang w:val="en-GB" w:eastAsia="en-US"/>
              </w:rPr>
              <w:t>9</w:t>
            </w:r>
          </w:hyperlink>
        </w:p>
        <w:p>
          <w:pPr>
            <w:pStyle w:val="Contents2"/>
            <w:rPr>
              <w:rFonts w:ascii="Calibri" w:hAnsi="Calibri" w:cs="Calibri"/>
              <w:sz w:val="22"/>
              <w:szCs w:val="22"/>
              <w:lang w:val="en-GB" w:eastAsia="en-GB"/>
            </w:rPr>
          </w:pPr>
          <w:r>
            <w:rPr>
              <w:lang w:val="en-GB" w:eastAsia="en-US"/>
            </w:rPr>
            <w:t>3.1</w:t>
          </w:r>
          <w:r>
            <w:rPr>
              <w:rFonts w:cs="Calibri" w:ascii="Calibri" w:hAnsi="Calibri"/>
              <w:sz w:val="22"/>
              <w:szCs w:val="22"/>
              <w:lang w:val="en-GB" w:eastAsia="en-GB"/>
            </w:rPr>
            <w:tab/>
          </w:r>
          <w:r>
            <w:rPr>
              <w:lang w:val="en-GB" w:eastAsia="en-US"/>
            </w:rPr>
            <w:t>Terms</w:t>
            <w:tab/>
          </w:r>
          <w:hyperlink w:anchor="__RefHeading___Toc32311311">
            <w:r>
              <w:rPr>
                <w:rStyle w:val="IndexLink"/>
                <w:lang w:val="en-GB" w:eastAsia="en-US"/>
              </w:rPr>
              <w:t>9</w:t>
            </w:r>
          </w:hyperlink>
        </w:p>
        <w:p>
          <w:pPr>
            <w:pStyle w:val="Contents2"/>
            <w:rPr>
              <w:rFonts w:ascii="Calibri" w:hAnsi="Calibri" w:cs="Calibri"/>
              <w:sz w:val="22"/>
              <w:szCs w:val="22"/>
              <w:lang w:val="en-GB" w:eastAsia="en-GB"/>
            </w:rPr>
          </w:pPr>
          <w:r>
            <w:rPr>
              <w:lang w:val="en-GB" w:eastAsia="en-US"/>
            </w:rPr>
            <w:t>3.2</w:t>
          </w:r>
          <w:r>
            <w:rPr>
              <w:rFonts w:cs="Calibri" w:ascii="Calibri" w:hAnsi="Calibri"/>
              <w:sz w:val="22"/>
              <w:szCs w:val="22"/>
              <w:lang w:val="en-GB" w:eastAsia="en-GB"/>
            </w:rPr>
            <w:tab/>
          </w:r>
          <w:r>
            <w:rPr>
              <w:lang w:val="en-GB" w:eastAsia="en-US"/>
            </w:rPr>
            <w:t>Symbols</w:t>
            <w:tab/>
          </w:r>
          <w:hyperlink w:anchor="__RefHeading___Toc32311312">
            <w:r>
              <w:rPr>
                <w:rStyle w:val="IndexLink"/>
                <w:lang w:val="en-GB" w:eastAsia="en-US"/>
              </w:rPr>
              <w:t>9</w:t>
            </w:r>
          </w:hyperlink>
        </w:p>
        <w:p>
          <w:pPr>
            <w:pStyle w:val="Contents1"/>
            <w:rPr>
              <w:rFonts w:ascii="Calibri" w:hAnsi="Calibri" w:cs="Calibri"/>
              <w:szCs w:val="22"/>
              <w:lang w:val="en-GB" w:eastAsia="en-GB"/>
            </w:rPr>
          </w:pPr>
          <w:r>
            <w:rPr>
              <w:lang w:val="en-GB" w:eastAsia="en-US"/>
            </w:rPr>
            <w:t>4</w:t>
          </w:r>
          <w:r>
            <w:rPr>
              <w:rFonts w:cs="Calibri" w:ascii="Calibri" w:hAnsi="Calibri"/>
              <w:szCs w:val="22"/>
              <w:lang w:val="en-GB" w:eastAsia="en-GB"/>
            </w:rPr>
            <w:tab/>
          </w:r>
          <w:r>
            <w:rPr>
              <w:lang w:val="en-GB" w:eastAsia="en-US"/>
            </w:rPr>
            <w:t>Media centric Third-Party and Operator services</w:t>
            <w:tab/>
          </w:r>
          <w:hyperlink w:anchor="__RefHeading___Toc32311313">
            <w:r>
              <w:rPr>
                <w:rStyle w:val="IndexLink"/>
                <w:lang w:val="en-GB" w:eastAsia="en-US"/>
              </w:rPr>
              <w:t>9</w:t>
            </w:r>
          </w:hyperlink>
        </w:p>
        <w:p>
          <w:pPr>
            <w:pStyle w:val="Contents2"/>
            <w:rPr>
              <w:rFonts w:ascii="Calibri" w:hAnsi="Calibri" w:cs="Calibri"/>
              <w:sz w:val="22"/>
              <w:szCs w:val="22"/>
              <w:lang w:val="en-GB" w:eastAsia="en-GB"/>
            </w:rPr>
          </w:pPr>
          <w:r>
            <w:rPr>
              <w:lang w:val="en-GB" w:eastAsia="en-US"/>
            </w:rPr>
            <w:t>4.1</w:t>
          </w:r>
          <w:r>
            <w:rPr>
              <w:rFonts w:cs="Calibri" w:ascii="Calibri" w:hAnsi="Calibri"/>
              <w:sz w:val="22"/>
              <w:szCs w:val="22"/>
              <w:lang w:val="en-GB" w:eastAsia="en-GB"/>
            </w:rPr>
            <w:tab/>
          </w:r>
          <w:r>
            <w:rPr>
              <w:lang w:val="en-GB" w:eastAsia="en-US"/>
            </w:rPr>
            <w:t>A/V Streaming - Enhanced TV</w:t>
            <w:tab/>
          </w:r>
          <w:hyperlink w:anchor="__RefHeading___Toc32311314">
            <w:r>
              <w:rPr>
                <w:rStyle w:val="IndexLink"/>
                <w:lang w:val="en-GB" w:eastAsia="en-US"/>
              </w:rPr>
              <w:t>9</w:t>
            </w:r>
          </w:hyperlink>
        </w:p>
        <w:p>
          <w:pPr>
            <w:pStyle w:val="Contents2"/>
            <w:rPr>
              <w:rFonts w:ascii="Calibri" w:hAnsi="Calibri" w:cs="Calibri"/>
              <w:sz w:val="22"/>
              <w:szCs w:val="22"/>
              <w:lang w:val="en-GB" w:eastAsia="en-GB"/>
            </w:rPr>
          </w:pPr>
          <w:r>
            <w:rPr>
              <w:lang w:val="en-GB" w:eastAsia="en-US"/>
            </w:rPr>
            <w:t>4.2</w:t>
          </w:r>
          <w:r>
            <w:rPr>
              <w:rFonts w:cs="Calibri" w:ascii="Calibri" w:hAnsi="Calibri"/>
              <w:sz w:val="22"/>
              <w:szCs w:val="22"/>
              <w:lang w:val="en-GB" w:eastAsia="en-GB"/>
            </w:rPr>
            <w:tab/>
          </w:r>
          <w:r>
            <w:rPr>
              <w:lang w:val="en-GB" w:eastAsia="en-US"/>
            </w:rPr>
            <w:t>VR 360° Streaming</w:t>
            <w:tab/>
          </w:r>
          <w:hyperlink w:anchor="__RefHeading___Toc32311315">
            <w:r>
              <w:rPr>
                <w:rStyle w:val="IndexLink"/>
                <w:lang w:val="en-GB" w:eastAsia="en-US"/>
              </w:rPr>
              <w:t>9</w:t>
            </w:r>
          </w:hyperlink>
        </w:p>
        <w:p>
          <w:pPr>
            <w:pStyle w:val="Contents2"/>
            <w:rPr>
              <w:rFonts w:ascii="Calibri" w:hAnsi="Calibri" w:cs="Calibri"/>
              <w:sz w:val="22"/>
              <w:szCs w:val="22"/>
              <w:lang w:val="en-GB" w:eastAsia="en-GB"/>
            </w:rPr>
          </w:pPr>
          <w:r>
            <w:rPr>
              <w:lang w:val="en-GB" w:eastAsia="en-US"/>
            </w:rPr>
            <w:t>4.3</w:t>
          </w:r>
          <w:r>
            <w:rPr>
              <w:rFonts w:cs="Calibri" w:ascii="Calibri" w:hAnsi="Calibri"/>
              <w:sz w:val="22"/>
              <w:szCs w:val="22"/>
              <w:lang w:val="en-GB" w:eastAsia="en-GB"/>
            </w:rPr>
            <w:tab/>
          </w:r>
          <w:r>
            <w:rPr>
              <w:lang w:val="en-GB" w:eastAsia="en-US"/>
            </w:rPr>
            <w:t>Conversational Multimedia Telephony and Telepresence</w:t>
            <w:tab/>
          </w:r>
          <w:hyperlink w:anchor="__RefHeading___Toc32311316">
            <w:r>
              <w:rPr>
                <w:rStyle w:val="IndexLink"/>
                <w:lang w:val="en-GB" w:eastAsia="en-US"/>
              </w:rPr>
              <w:t>10</w:t>
            </w:r>
          </w:hyperlink>
        </w:p>
        <w:p>
          <w:pPr>
            <w:pStyle w:val="Contents2"/>
            <w:rPr>
              <w:rFonts w:ascii="Calibri" w:hAnsi="Calibri" w:cs="Calibri"/>
              <w:sz w:val="22"/>
              <w:szCs w:val="22"/>
              <w:lang w:val="en-GB" w:eastAsia="en-GB"/>
            </w:rPr>
          </w:pPr>
          <w:r>
            <w:rPr>
              <w:lang w:val="en-GB" w:eastAsia="en-US"/>
            </w:rPr>
            <w:t>4.4</w:t>
          </w:r>
          <w:r>
            <w:rPr>
              <w:rFonts w:cs="Calibri" w:ascii="Calibri" w:hAnsi="Calibri"/>
              <w:sz w:val="22"/>
              <w:szCs w:val="22"/>
              <w:lang w:val="en-GB" w:eastAsia="en-GB"/>
            </w:rPr>
            <w:tab/>
          </w:r>
          <w:r>
            <w:rPr>
              <w:lang w:val="en-GB" w:eastAsia="en-US"/>
            </w:rPr>
            <w:t>Live uplink A/V streaming</w:t>
            <w:tab/>
          </w:r>
          <w:hyperlink w:anchor="__RefHeading___Toc32311317">
            <w:r>
              <w:rPr>
                <w:rStyle w:val="IndexLink"/>
                <w:lang w:val="en-GB" w:eastAsia="en-US"/>
              </w:rPr>
              <w:t>10</w:t>
            </w:r>
          </w:hyperlink>
        </w:p>
        <w:p>
          <w:pPr>
            <w:pStyle w:val="Contents2"/>
            <w:rPr>
              <w:rFonts w:ascii="Calibri" w:hAnsi="Calibri" w:cs="Calibri"/>
              <w:sz w:val="22"/>
              <w:szCs w:val="22"/>
              <w:lang w:val="en-GB" w:eastAsia="en-GB"/>
            </w:rPr>
          </w:pPr>
          <w:r>
            <w:rPr>
              <w:lang w:val="en-GB" w:eastAsia="en-US"/>
            </w:rPr>
            <w:t>4.5</w:t>
          </w:r>
          <w:r>
            <w:rPr>
              <w:rFonts w:cs="Calibri" w:ascii="Calibri" w:hAnsi="Calibri"/>
              <w:sz w:val="22"/>
              <w:szCs w:val="22"/>
              <w:lang w:val="en-GB" w:eastAsia="en-GB"/>
            </w:rPr>
            <w:tab/>
          </w:r>
          <w:r>
            <w:rPr>
              <w:lang w:val="en-GB" w:eastAsia="en-US"/>
            </w:rPr>
            <w:t>Cloud gaming</w:t>
            <w:tab/>
          </w:r>
          <w:hyperlink w:anchor="__RefHeading___Toc32311318">
            <w:r>
              <w:rPr>
                <w:rStyle w:val="IndexLink"/>
                <w:lang w:val="en-GB" w:eastAsia="en-US"/>
              </w:rPr>
              <w:t>10</w:t>
            </w:r>
          </w:hyperlink>
        </w:p>
        <w:p>
          <w:pPr>
            <w:pStyle w:val="Contents2"/>
            <w:rPr>
              <w:rFonts w:ascii="Calibri" w:hAnsi="Calibri" w:cs="Calibri"/>
              <w:sz w:val="22"/>
              <w:szCs w:val="22"/>
              <w:lang w:val="en-GB" w:eastAsia="en-GB"/>
            </w:rPr>
          </w:pPr>
          <w:r>
            <w:rPr>
              <w:lang w:val="en-GB" w:eastAsia="en-US"/>
            </w:rPr>
            <w:t>4.6</w:t>
          </w:r>
          <w:r>
            <w:rPr>
              <w:rFonts w:cs="Calibri" w:ascii="Calibri" w:hAnsi="Calibri"/>
              <w:sz w:val="22"/>
              <w:szCs w:val="22"/>
              <w:lang w:val="en-GB" w:eastAsia="en-GB"/>
            </w:rPr>
            <w:tab/>
          </w:r>
          <w:r>
            <w:rPr>
              <w:lang w:val="en-GB" w:eastAsia="en-US"/>
            </w:rPr>
            <w:t>XR Media Services</w:t>
            <w:tab/>
          </w:r>
          <w:hyperlink w:anchor="__RefHeading___Toc32311319">
            <w:r>
              <w:rPr>
                <w:rStyle w:val="IndexLink"/>
                <w:lang w:val="en-GB" w:eastAsia="en-US"/>
              </w:rPr>
              <w:t>10</w:t>
            </w:r>
          </w:hyperlink>
        </w:p>
        <w:p>
          <w:pPr>
            <w:pStyle w:val="Contents1"/>
            <w:rPr>
              <w:rFonts w:ascii="Calibri" w:hAnsi="Calibri" w:cs="Calibri"/>
              <w:szCs w:val="22"/>
              <w:lang w:val="en-GB" w:eastAsia="en-GB"/>
            </w:rPr>
          </w:pPr>
          <w:r>
            <w:rPr>
              <w:lang w:val="en-GB" w:eastAsia="en-US"/>
            </w:rPr>
            <w:t>5</w:t>
          </w:r>
          <w:r>
            <w:rPr>
              <w:rFonts w:cs="Calibri" w:ascii="Calibri" w:hAnsi="Calibri"/>
              <w:szCs w:val="22"/>
              <w:lang w:val="en-GB" w:eastAsia="en-GB"/>
            </w:rPr>
            <w:tab/>
          </w:r>
          <w:r>
            <w:rPr>
              <w:lang w:val="en-GB" w:eastAsia="en-US"/>
            </w:rPr>
            <w:t>Typical current deployment characteristics</w:t>
            <w:tab/>
          </w:r>
          <w:hyperlink w:anchor="__RefHeading___Toc32311320">
            <w:r>
              <w:rPr>
                <w:rStyle w:val="IndexLink"/>
                <w:lang w:val="en-GB" w:eastAsia="en-US"/>
              </w:rPr>
              <w:t>10</w:t>
            </w:r>
          </w:hyperlink>
        </w:p>
        <w:p>
          <w:pPr>
            <w:pStyle w:val="Contents2"/>
            <w:rPr>
              <w:rFonts w:ascii="Calibri" w:hAnsi="Calibri" w:cs="Calibri"/>
              <w:sz w:val="22"/>
              <w:szCs w:val="22"/>
              <w:lang w:val="en-GB" w:eastAsia="en-GB"/>
            </w:rPr>
          </w:pPr>
          <w:r>
            <w:rPr>
              <w:rFonts w:eastAsia="SimSun;宋体"/>
              <w:lang w:val="en-GB" w:eastAsia="zh-CN"/>
            </w:rPr>
            <w:t>5.1</w:t>
          </w:r>
          <w:r>
            <w:rPr>
              <w:rFonts w:cs="Calibri" w:ascii="Calibri" w:hAnsi="Calibri"/>
              <w:sz w:val="22"/>
              <w:szCs w:val="22"/>
              <w:lang w:val="en-GB" w:eastAsia="en-GB"/>
            </w:rPr>
            <w:tab/>
          </w:r>
          <w:r>
            <w:rPr>
              <w:rFonts w:eastAsia="SimSun;宋体"/>
              <w:lang w:val="en-GB" w:eastAsia="zh-CN"/>
            </w:rPr>
            <w:t>Typical streaming/broadcast video and audio bitrates</w:t>
          </w:r>
          <w:r>
            <w:rPr>
              <w:lang w:val="en-GB" w:eastAsia="en-US"/>
            </w:rPr>
            <w:tab/>
          </w:r>
          <w:hyperlink w:anchor="__RefHeading___Toc32311321">
            <w:r>
              <w:rPr>
                <w:rStyle w:val="IndexLink"/>
                <w:lang w:val="en-GB" w:eastAsia="en-US"/>
              </w:rPr>
              <w:t>10</w:t>
            </w:r>
          </w:hyperlink>
        </w:p>
        <w:p>
          <w:pPr>
            <w:pStyle w:val="Contents2"/>
            <w:rPr>
              <w:rFonts w:ascii="Calibri" w:hAnsi="Calibri" w:cs="Calibri"/>
              <w:sz w:val="22"/>
              <w:szCs w:val="22"/>
              <w:lang w:val="en-GB" w:eastAsia="en-GB"/>
            </w:rPr>
          </w:pPr>
          <w:r>
            <w:rPr>
              <w:rFonts w:eastAsia="SimSun;宋体"/>
              <w:lang w:val="en-GB" w:eastAsia="zh-CN"/>
            </w:rPr>
            <w:t>5.2</w:t>
          </w:r>
          <w:r>
            <w:rPr>
              <w:rFonts w:cs="Calibri" w:ascii="Calibri" w:hAnsi="Calibri"/>
              <w:sz w:val="22"/>
              <w:szCs w:val="22"/>
              <w:lang w:val="en-GB" w:eastAsia="en-GB"/>
            </w:rPr>
            <w:tab/>
          </w:r>
          <w:r>
            <w:rPr>
              <w:rFonts w:eastAsia="SimSun;宋体"/>
              <w:lang w:val="en-GB" w:eastAsia="zh-CN"/>
            </w:rPr>
            <w:t>Typical streaming/broadcast 360 VR bitrates</w:t>
          </w:r>
          <w:r>
            <w:rPr>
              <w:lang w:val="en-GB" w:eastAsia="en-US"/>
            </w:rPr>
            <w:tab/>
          </w:r>
          <w:hyperlink w:anchor="__RefHeading___Toc32311322">
            <w:r>
              <w:rPr>
                <w:rStyle w:val="IndexLink"/>
                <w:lang w:val="en-GB" w:eastAsia="en-US"/>
              </w:rPr>
              <w:t>11</w:t>
            </w:r>
          </w:hyperlink>
        </w:p>
        <w:p>
          <w:pPr>
            <w:pStyle w:val="Contents2"/>
            <w:rPr>
              <w:rFonts w:ascii="Calibri" w:hAnsi="Calibri" w:cs="Calibri"/>
              <w:sz w:val="22"/>
              <w:szCs w:val="22"/>
              <w:lang w:val="en-GB" w:eastAsia="en-GB"/>
            </w:rPr>
          </w:pPr>
          <w:r>
            <w:rPr>
              <w:rFonts w:eastAsia="SimSun;宋体"/>
              <w:lang w:val="en-GB" w:eastAsia="zh-CN"/>
            </w:rPr>
            <w:t>5.3</w:t>
          </w:r>
          <w:r>
            <w:rPr>
              <w:rFonts w:cs="Calibri" w:ascii="Calibri" w:hAnsi="Calibri"/>
              <w:sz w:val="22"/>
              <w:szCs w:val="22"/>
              <w:lang w:val="en-GB" w:eastAsia="en-GB"/>
            </w:rPr>
            <w:tab/>
          </w:r>
          <w:r>
            <w:rPr>
              <w:rFonts w:eastAsia="SimSun;宋体"/>
              <w:lang w:val="en-GB" w:eastAsia="zh-CN"/>
            </w:rPr>
            <w:t>Typical conversational speech/audio and video bitrates</w:t>
          </w:r>
          <w:r>
            <w:rPr>
              <w:lang w:val="en-GB" w:eastAsia="en-US"/>
            </w:rPr>
            <w:tab/>
          </w:r>
          <w:hyperlink w:anchor="__RefHeading___Toc32311323">
            <w:r>
              <w:rPr>
                <w:rStyle w:val="IndexLink"/>
                <w:lang w:val="en-GB" w:eastAsia="en-US"/>
              </w:rPr>
              <w:t>11</w:t>
            </w:r>
          </w:hyperlink>
        </w:p>
        <w:p>
          <w:pPr>
            <w:pStyle w:val="Contents2"/>
            <w:rPr>
              <w:rFonts w:ascii="Calibri" w:hAnsi="Calibri" w:cs="Calibri"/>
              <w:sz w:val="22"/>
              <w:szCs w:val="22"/>
              <w:lang w:val="en-GB" w:eastAsia="en-GB"/>
            </w:rPr>
          </w:pPr>
          <w:r>
            <w:rPr>
              <w:rFonts w:eastAsia="SimSun;宋体"/>
              <w:lang w:val="en-GB" w:eastAsia="zh-CN"/>
            </w:rPr>
            <w:t>5.4</w:t>
          </w:r>
          <w:r>
            <w:rPr>
              <w:rFonts w:cs="Calibri" w:ascii="Calibri" w:hAnsi="Calibri"/>
              <w:sz w:val="22"/>
              <w:szCs w:val="22"/>
              <w:lang w:val="en-GB" w:eastAsia="en-GB"/>
            </w:rPr>
            <w:tab/>
          </w:r>
          <w:r>
            <w:rPr>
              <w:rFonts w:eastAsia="SimSun;宋体"/>
              <w:lang w:val="en-GB" w:eastAsia="zh-CN"/>
            </w:rPr>
            <w:t>Typical uplink A/V streaming of A/V, including 360 VR content</w:t>
          </w:r>
          <w:r>
            <w:rPr>
              <w:lang w:val="en-GB" w:eastAsia="en-US"/>
            </w:rPr>
            <w:tab/>
          </w:r>
          <w:hyperlink w:anchor="__RefHeading___Toc32311324">
            <w:r>
              <w:rPr>
                <w:rStyle w:val="IndexLink"/>
                <w:lang w:val="en-GB" w:eastAsia="en-US"/>
              </w:rPr>
              <w:t>11</w:t>
            </w:r>
          </w:hyperlink>
        </w:p>
        <w:p>
          <w:pPr>
            <w:pStyle w:val="Contents3"/>
            <w:rPr>
              <w:rFonts w:ascii="Calibri" w:hAnsi="Calibri" w:cs="Calibri"/>
              <w:sz w:val="22"/>
              <w:szCs w:val="22"/>
              <w:lang w:val="en-GB" w:eastAsia="en-GB"/>
            </w:rPr>
          </w:pPr>
          <w:r>
            <w:rPr>
              <w:rFonts w:eastAsia="SimSun;宋体"/>
              <w:lang w:val="en-GB" w:eastAsia="zh-CN"/>
            </w:rPr>
            <w:t>5.4.1</w:t>
          </w:r>
          <w:r>
            <w:rPr>
              <w:rFonts w:cs="Calibri" w:ascii="Calibri" w:hAnsi="Calibri"/>
              <w:sz w:val="22"/>
              <w:szCs w:val="22"/>
              <w:lang w:val="en-GB" w:eastAsia="en-GB"/>
            </w:rPr>
            <w:tab/>
          </w:r>
          <w:r>
            <w:rPr>
              <w:rFonts w:eastAsia="SimSun;宋体"/>
              <w:lang w:val="en-GB" w:eastAsia="zh-CN"/>
            </w:rPr>
            <w:t>Professional production content bitrates</w:t>
          </w:r>
          <w:r>
            <w:rPr>
              <w:lang w:val="en-GB" w:eastAsia="en-US"/>
            </w:rPr>
            <w:tab/>
          </w:r>
          <w:hyperlink w:anchor="__RefHeading___Toc32311325">
            <w:r>
              <w:rPr>
                <w:rStyle w:val="IndexLink"/>
                <w:lang w:val="en-GB" w:eastAsia="en-US"/>
              </w:rPr>
              <w:t>11</w:t>
            </w:r>
          </w:hyperlink>
        </w:p>
        <w:p>
          <w:pPr>
            <w:pStyle w:val="Contents3"/>
            <w:rPr>
              <w:rFonts w:ascii="Calibri" w:hAnsi="Calibri" w:cs="Calibri"/>
              <w:sz w:val="22"/>
              <w:szCs w:val="22"/>
              <w:lang w:val="en-GB" w:eastAsia="en-GB"/>
            </w:rPr>
          </w:pPr>
          <w:r>
            <w:rPr>
              <w:rFonts w:eastAsia="SimSun;宋体"/>
              <w:lang w:val="en-GB" w:eastAsia="zh-CN"/>
            </w:rPr>
            <w:t>5.4.2</w:t>
          </w:r>
          <w:r>
            <w:rPr>
              <w:rFonts w:cs="Calibri" w:ascii="Calibri" w:hAnsi="Calibri"/>
              <w:sz w:val="22"/>
              <w:szCs w:val="22"/>
              <w:lang w:val="en-GB" w:eastAsia="en-GB"/>
            </w:rPr>
            <w:tab/>
          </w:r>
          <w:r>
            <w:rPr>
              <w:rFonts w:eastAsia="SimSun;宋体"/>
              <w:lang w:val="en-GB" w:eastAsia="zh-CN"/>
            </w:rPr>
            <w:t>Live uplink contribution professional content bitrates</w:t>
          </w:r>
          <w:r>
            <w:rPr>
              <w:lang w:val="en-GB" w:eastAsia="en-US"/>
            </w:rPr>
            <w:tab/>
          </w:r>
          <w:hyperlink w:anchor="__RefHeading___Toc32311326">
            <w:r>
              <w:rPr>
                <w:rStyle w:val="IndexLink"/>
                <w:lang w:val="en-GB" w:eastAsia="en-US"/>
              </w:rPr>
              <w:t>13</w:t>
            </w:r>
          </w:hyperlink>
        </w:p>
        <w:p>
          <w:pPr>
            <w:pStyle w:val="Contents3"/>
            <w:rPr>
              <w:rFonts w:ascii="Calibri" w:hAnsi="Calibri" w:cs="Calibri"/>
              <w:sz w:val="22"/>
              <w:szCs w:val="22"/>
              <w:lang w:val="en-GB" w:eastAsia="en-GB"/>
            </w:rPr>
          </w:pPr>
          <w:r>
            <w:rPr>
              <w:lang w:val="en-GB" w:eastAsia="en-US"/>
            </w:rPr>
            <w:t>5.4.3</w:t>
          </w:r>
          <w:r>
            <w:rPr>
              <w:rFonts w:cs="Calibri" w:ascii="Calibri" w:hAnsi="Calibri"/>
              <w:sz w:val="22"/>
              <w:szCs w:val="22"/>
              <w:lang w:val="en-GB" w:eastAsia="en-GB"/>
            </w:rPr>
            <w:tab/>
          </w:r>
          <w:r>
            <w:rPr>
              <w:lang w:val="en-GB" w:eastAsia="en-US"/>
            </w:rPr>
            <w:t>User generated content</w:t>
            <w:tab/>
          </w:r>
          <w:hyperlink w:anchor="__RefHeading___Toc32311327">
            <w:r>
              <w:rPr>
                <w:rStyle w:val="IndexLink"/>
                <w:lang w:val="en-GB" w:eastAsia="en-US"/>
              </w:rPr>
              <w:t>13</w:t>
            </w:r>
          </w:hyperlink>
        </w:p>
        <w:p>
          <w:pPr>
            <w:pStyle w:val="Contents2"/>
            <w:rPr>
              <w:rFonts w:ascii="Calibri" w:hAnsi="Calibri" w:cs="Calibri"/>
              <w:sz w:val="22"/>
              <w:szCs w:val="22"/>
              <w:lang w:val="en-GB" w:eastAsia="en-GB"/>
            </w:rPr>
          </w:pPr>
          <w:r>
            <w:rPr>
              <w:lang w:val="en-GB" w:eastAsia="en-US"/>
            </w:rPr>
            <w:t>5.5</w:t>
          </w:r>
          <w:r>
            <w:rPr>
              <w:rFonts w:cs="Calibri" w:ascii="Calibri" w:hAnsi="Calibri"/>
              <w:sz w:val="22"/>
              <w:szCs w:val="22"/>
              <w:lang w:val="en-GB" w:eastAsia="en-GB"/>
            </w:rPr>
            <w:tab/>
          </w:r>
          <w:r>
            <w:rPr>
              <w:lang w:val="en-GB" w:eastAsia="en-US"/>
            </w:rPr>
            <w:t>Typical Traffic Characteristics for Cloud gaming</w:t>
            <w:tab/>
          </w:r>
          <w:hyperlink w:anchor="__RefHeading___Toc32311328">
            <w:r>
              <w:rPr>
                <w:rStyle w:val="IndexLink"/>
                <w:lang w:val="en-GB" w:eastAsia="en-US"/>
              </w:rPr>
              <w:t>14</w:t>
            </w:r>
          </w:hyperlink>
        </w:p>
        <w:p>
          <w:pPr>
            <w:pStyle w:val="Contents2"/>
            <w:rPr>
              <w:rFonts w:ascii="Calibri" w:hAnsi="Calibri" w:cs="Calibri"/>
              <w:sz w:val="22"/>
              <w:szCs w:val="22"/>
              <w:lang w:val="en-GB" w:eastAsia="en-GB"/>
            </w:rPr>
          </w:pPr>
          <w:r>
            <w:rPr>
              <w:lang w:val="en-GB" w:eastAsia="en-US"/>
            </w:rPr>
            <w:t>5.6</w:t>
          </w:r>
          <w:r>
            <w:rPr>
              <w:rFonts w:cs="Calibri" w:ascii="Calibri" w:hAnsi="Calibri"/>
              <w:sz w:val="22"/>
              <w:szCs w:val="22"/>
              <w:lang w:val="en-GB" w:eastAsia="en-GB"/>
            </w:rPr>
            <w:tab/>
          </w:r>
          <w:r>
            <w:rPr>
              <w:lang w:val="en-GB" w:eastAsia="en-US"/>
            </w:rPr>
            <w:t>XR Traffic Characteristics</w:t>
            <w:tab/>
          </w:r>
          <w:hyperlink w:anchor="__RefHeading___Toc32311329">
            <w:r>
              <w:rPr>
                <w:rStyle w:val="IndexLink"/>
                <w:lang w:val="en-GB" w:eastAsia="en-US"/>
              </w:rPr>
              <w:t>14</w:t>
            </w:r>
          </w:hyperlink>
        </w:p>
        <w:p>
          <w:pPr>
            <w:pStyle w:val="Contents1"/>
            <w:rPr>
              <w:rFonts w:ascii="Calibri" w:hAnsi="Calibri" w:cs="Calibri"/>
              <w:szCs w:val="22"/>
              <w:lang w:val="en-GB" w:eastAsia="en-GB"/>
            </w:rPr>
          </w:pPr>
          <w:r>
            <w:rPr>
              <w:lang w:val="en-GB" w:eastAsia="en-US"/>
            </w:rPr>
            <w:t>6</w:t>
          </w:r>
          <w:r>
            <w:rPr>
              <w:rFonts w:cs="Calibri" w:ascii="Calibri" w:hAnsi="Calibri"/>
              <w:szCs w:val="22"/>
              <w:lang w:val="en-GB" w:eastAsia="en-GB"/>
            </w:rPr>
            <w:tab/>
          </w:r>
          <w:r>
            <w:rPr>
              <w:lang w:val="en-GB" w:eastAsia="en-US"/>
            </w:rPr>
            <w:t>Overview on technological developments for existing and emerging services</w:t>
            <w:tab/>
          </w:r>
          <w:hyperlink w:anchor="__RefHeading___Toc32311330">
            <w:r>
              <w:rPr>
                <w:rStyle w:val="IndexLink"/>
                <w:lang w:val="en-GB" w:eastAsia="en-US"/>
              </w:rPr>
              <w:t>14</w:t>
            </w:r>
          </w:hyperlink>
        </w:p>
        <w:p>
          <w:pPr>
            <w:pStyle w:val="Contents2"/>
            <w:rPr>
              <w:rFonts w:ascii="Calibri" w:hAnsi="Calibri" w:cs="Calibri"/>
              <w:sz w:val="22"/>
              <w:szCs w:val="22"/>
              <w:lang w:val="en-GB" w:eastAsia="en-GB"/>
            </w:rPr>
          </w:pPr>
          <w:r>
            <w:rPr>
              <w:lang w:val="en-GB" w:eastAsia="en-US"/>
            </w:rPr>
            <w:t>6.1</w:t>
          </w:r>
          <w:r>
            <w:rPr>
              <w:rFonts w:cs="Calibri" w:ascii="Calibri" w:hAnsi="Calibri"/>
              <w:sz w:val="22"/>
              <w:szCs w:val="22"/>
              <w:lang w:val="en-GB" w:eastAsia="en-GB"/>
            </w:rPr>
            <w:tab/>
          </w:r>
          <w:r>
            <w:rPr>
              <w:lang w:val="en-GB" w:eastAsia="en-US"/>
            </w:rPr>
            <w:t>Technology Developments</w:t>
            <w:tab/>
          </w:r>
          <w:hyperlink w:anchor="__RefHeading___Toc32311331">
            <w:r>
              <w:rPr>
                <w:rStyle w:val="IndexLink"/>
                <w:lang w:val="en-GB" w:eastAsia="en-US"/>
              </w:rPr>
              <w:t>14</w:t>
            </w:r>
          </w:hyperlink>
        </w:p>
        <w:p>
          <w:pPr>
            <w:pStyle w:val="Contents3"/>
            <w:rPr>
              <w:rFonts w:ascii="Calibri" w:hAnsi="Calibri" w:cs="Calibri"/>
              <w:sz w:val="22"/>
              <w:szCs w:val="22"/>
              <w:lang w:val="en-GB" w:eastAsia="en-GB"/>
            </w:rPr>
          </w:pPr>
          <w:r>
            <w:rPr>
              <w:lang w:val="en-GB" w:eastAsia="en-US"/>
            </w:rPr>
            <w:t>6.1.1</w:t>
          </w:r>
          <w:r>
            <w:rPr>
              <w:rFonts w:cs="Calibri" w:ascii="Calibri" w:hAnsi="Calibri"/>
              <w:sz w:val="22"/>
              <w:szCs w:val="22"/>
              <w:lang w:val="en-GB" w:eastAsia="en-GB"/>
            </w:rPr>
            <w:tab/>
          </w:r>
          <w:r>
            <w:rPr>
              <w:lang w:val="en-GB" w:eastAsia="en-US"/>
            </w:rPr>
            <w:t>Overview</w:t>
            <w:tab/>
          </w:r>
          <w:hyperlink w:anchor="__RefHeading___Toc32311332">
            <w:r>
              <w:rPr>
                <w:rStyle w:val="IndexLink"/>
                <w:lang w:val="en-GB" w:eastAsia="en-US"/>
              </w:rPr>
              <w:t>14</w:t>
            </w:r>
          </w:hyperlink>
        </w:p>
        <w:p>
          <w:pPr>
            <w:pStyle w:val="Contents3"/>
            <w:rPr>
              <w:rFonts w:ascii="Calibri" w:hAnsi="Calibri" w:cs="Calibri"/>
              <w:sz w:val="22"/>
              <w:szCs w:val="22"/>
              <w:lang w:val="en-GB" w:eastAsia="en-GB"/>
            </w:rPr>
          </w:pPr>
          <w:r>
            <w:rPr>
              <w:lang w:val="en-GB" w:eastAsia="en-US"/>
            </w:rPr>
            <w:t>6.1.2</w:t>
          </w:r>
          <w:r>
            <w:rPr>
              <w:rFonts w:cs="Calibri" w:ascii="Calibri" w:hAnsi="Calibri"/>
              <w:sz w:val="22"/>
              <w:szCs w:val="22"/>
              <w:lang w:val="en-GB" w:eastAsia="en-GB"/>
            </w:rPr>
            <w:tab/>
          </w:r>
          <w:r>
            <w:rPr>
              <w:lang w:val="en-GB" w:eastAsia="en-US"/>
            </w:rPr>
            <w:t>Compression Improvements</w:t>
            <w:tab/>
          </w:r>
          <w:hyperlink w:anchor="__RefHeading___Toc32311333">
            <w:r>
              <w:rPr>
                <w:rStyle w:val="IndexLink"/>
                <w:lang w:val="en-GB" w:eastAsia="en-US"/>
              </w:rPr>
              <w:t>14</w:t>
            </w:r>
          </w:hyperlink>
        </w:p>
        <w:p>
          <w:pPr>
            <w:pStyle w:val="Contents3"/>
            <w:rPr>
              <w:rFonts w:ascii="Calibri" w:hAnsi="Calibri" w:cs="Calibri"/>
              <w:sz w:val="22"/>
              <w:szCs w:val="22"/>
              <w:lang w:val="en-GB" w:eastAsia="en-GB"/>
            </w:rPr>
          </w:pPr>
          <w:r>
            <w:rPr>
              <w:lang w:val="en-GB" w:eastAsia="en-US"/>
            </w:rPr>
            <w:t>6.1.3</w:t>
          </w:r>
          <w:r>
            <w:rPr>
              <w:rFonts w:cs="Calibri" w:ascii="Calibri" w:hAnsi="Calibri"/>
              <w:sz w:val="22"/>
              <w:szCs w:val="22"/>
              <w:lang w:val="en-GB" w:eastAsia="en-GB"/>
            </w:rPr>
            <w:tab/>
          </w:r>
          <w:r>
            <w:rPr>
              <w:lang w:val="en-GB" w:eastAsia="en-US"/>
            </w:rPr>
            <w:t>New Media Formats</w:t>
            <w:tab/>
          </w:r>
          <w:hyperlink w:anchor="__RefHeading___Toc32311334">
            <w:r>
              <w:rPr>
                <w:rStyle w:val="IndexLink"/>
                <w:lang w:val="en-GB" w:eastAsia="en-US"/>
              </w:rPr>
              <w:t>16</w:t>
            </w:r>
          </w:hyperlink>
        </w:p>
        <w:p>
          <w:pPr>
            <w:pStyle w:val="Contents3"/>
            <w:rPr>
              <w:rFonts w:ascii="Calibri" w:hAnsi="Calibri" w:cs="Calibri"/>
              <w:sz w:val="22"/>
              <w:szCs w:val="22"/>
              <w:lang w:val="en-GB" w:eastAsia="en-GB"/>
            </w:rPr>
          </w:pPr>
          <w:r>
            <w:rPr>
              <w:lang w:val="en-GB" w:eastAsia="en-US"/>
            </w:rPr>
            <w:t>6.1.4</w:t>
          </w:r>
          <w:r>
            <w:rPr>
              <w:rFonts w:cs="Calibri" w:ascii="Calibri" w:hAnsi="Calibri"/>
              <w:sz w:val="22"/>
              <w:szCs w:val="22"/>
              <w:lang w:val="en-GB" w:eastAsia="en-GB"/>
            </w:rPr>
            <w:tab/>
          </w:r>
          <w:r>
            <w:rPr>
              <w:lang w:val="en-GB" w:eastAsia="en-US"/>
            </w:rPr>
            <w:t>Protocol Improvements</w:t>
            <w:tab/>
          </w:r>
          <w:hyperlink w:anchor="__RefHeading___Toc32311335">
            <w:r>
              <w:rPr>
                <w:rStyle w:val="IndexLink"/>
                <w:lang w:val="en-GB" w:eastAsia="en-US"/>
              </w:rPr>
              <w:t>18</w:t>
            </w:r>
          </w:hyperlink>
        </w:p>
        <w:p>
          <w:pPr>
            <w:pStyle w:val="Contents3"/>
            <w:rPr>
              <w:rFonts w:ascii="Calibri" w:hAnsi="Calibri" w:cs="Calibri"/>
              <w:sz w:val="22"/>
              <w:szCs w:val="22"/>
              <w:lang w:val="en-GB" w:eastAsia="en-GB"/>
            </w:rPr>
          </w:pPr>
          <w:r>
            <w:rPr>
              <w:lang w:val="en-GB" w:eastAsia="en-US"/>
            </w:rPr>
            <w:t>6.1.5</w:t>
          </w:r>
          <w:r>
            <w:rPr>
              <w:rFonts w:cs="Calibri" w:ascii="Calibri" w:hAnsi="Calibri"/>
              <w:sz w:val="22"/>
              <w:szCs w:val="22"/>
              <w:lang w:val="en-GB" w:eastAsia="en-GB"/>
            </w:rPr>
            <w:tab/>
          </w:r>
          <w:r>
            <w:rPr>
              <w:lang w:val="en-GB" w:eastAsia="en-US"/>
            </w:rPr>
            <w:t>Impact on Media Services</w:t>
            <w:tab/>
          </w:r>
          <w:hyperlink w:anchor="__RefHeading___Toc32311336">
            <w:r>
              <w:rPr>
                <w:rStyle w:val="IndexLink"/>
                <w:lang w:val="en-GB" w:eastAsia="en-US"/>
              </w:rPr>
              <w:t>19</w:t>
            </w:r>
          </w:hyperlink>
        </w:p>
        <w:p>
          <w:pPr>
            <w:pStyle w:val="Contents1"/>
            <w:rPr>
              <w:rFonts w:ascii="Calibri" w:hAnsi="Calibri" w:cs="Calibri"/>
              <w:szCs w:val="22"/>
              <w:lang w:val="en-GB" w:eastAsia="en-GB"/>
            </w:rPr>
          </w:pPr>
          <w:r>
            <w:rPr>
              <w:lang w:val="en-GB" w:eastAsia="en-US"/>
            </w:rPr>
            <w:t>7</w:t>
          </w:r>
          <w:r>
            <w:rPr>
              <w:rFonts w:cs="Calibri" w:ascii="Calibri" w:hAnsi="Calibri"/>
              <w:szCs w:val="22"/>
              <w:lang w:val="en-GB" w:eastAsia="en-GB"/>
            </w:rPr>
            <w:tab/>
          </w:r>
          <w:r>
            <w:rPr>
              <w:lang w:val="en-GB" w:eastAsia="en-US"/>
            </w:rPr>
            <w:t>Characteristics and requirements for different media services on 3GPP networks</w:t>
            <w:tab/>
          </w:r>
          <w:hyperlink w:anchor="__RefHeading___Toc32311337">
            <w:r>
              <w:rPr>
                <w:rStyle w:val="IndexLink"/>
                <w:lang w:val="en-GB" w:eastAsia="en-US"/>
              </w:rPr>
              <w:t>19</w:t>
            </w:r>
          </w:hyperlink>
        </w:p>
        <w:p>
          <w:pPr>
            <w:pStyle w:val="Contents2"/>
            <w:rPr>
              <w:rFonts w:ascii="Calibri" w:hAnsi="Calibri" w:cs="Calibri"/>
              <w:sz w:val="22"/>
              <w:szCs w:val="22"/>
              <w:lang w:val="en-GB" w:eastAsia="en-GB"/>
            </w:rPr>
          </w:pPr>
          <w:r>
            <w:rPr>
              <w:lang w:val="en-GB" w:eastAsia="en-US"/>
            </w:rPr>
            <w:t>7.1</w:t>
          </w:r>
          <w:r>
            <w:rPr>
              <w:rFonts w:cs="Calibri" w:ascii="Calibri" w:hAnsi="Calibri"/>
              <w:sz w:val="22"/>
              <w:szCs w:val="22"/>
              <w:lang w:val="en-GB" w:eastAsia="en-GB"/>
            </w:rPr>
            <w:tab/>
          </w:r>
          <w:r>
            <w:rPr>
              <w:lang w:val="en-GB" w:eastAsia="en-US"/>
            </w:rPr>
            <w:t>Introduction</w:t>
            <w:tab/>
          </w:r>
          <w:hyperlink w:anchor="__RefHeading___Toc32311338">
            <w:r>
              <w:rPr>
                <w:rStyle w:val="IndexLink"/>
                <w:lang w:val="en-GB" w:eastAsia="en-US"/>
              </w:rPr>
              <w:t>19</w:t>
            </w:r>
          </w:hyperlink>
        </w:p>
        <w:p>
          <w:pPr>
            <w:pStyle w:val="Contents2"/>
            <w:rPr>
              <w:rFonts w:ascii="Calibri" w:hAnsi="Calibri" w:cs="Calibri"/>
              <w:sz w:val="22"/>
              <w:szCs w:val="22"/>
              <w:lang w:val="en-GB" w:eastAsia="en-GB"/>
            </w:rPr>
          </w:pPr>
          <w:r>
            <w:rPr>
              <w:lang w:val="en-GB" w:eastAsia="en-US"/>
            </w:rPr>
            <w:t>7.2</w:t>
          </w:r>
          <w:r>
            <w:rPr>
              <w:rFonts w:cs="Calibri" w:ascii="Calibri" w:hAnsi="Calibri"/>
              <w:sz w:val="22"/>
              <w:szCs w:val="22"/>
              <w:lang w:val="en-GB" w:eastAsia="en-GB"/>
            </w:rPr>
            <w:tab/>
          </w:r>
          <w:r>
            <w:rPr>
              <w:lang w:val="en-GB" w:eastAsia="en-US"/>
            </w:rPr>
            <w:t>Collection process for requirements for different media services on 3GPP networks</w:t>
            <w:tab/>
          </w:r>
          <w:hyperlink w:anchor="__RefHeading___Toc32311339">
            <w:r>
              <w:rPr>
                <w:rStyle w:val="IndexLink"/>
                <w:lang w:val="en-GB" w:eastAsia="en-US"/>
              </w:rPr>
              <w:t>19</w:t>
            </w:r>
          </w:hyperlink>
        </w:p>
        <w:p>
          <w:pPr>
            <w:pStyle w:val="Contents2"/>
            <w:rPr>
              <w:rFonts w:ascii="Calibri" w:hAnsi="Calibri" w:cs="Calibri"/>
              <w:sz w:val="22"/>
              <w:szCs w:val="22"/>
              <w:lang w:val="en-GB" w:eastAsia="en-GB"/>
            </w:rPr>
          </w:pPr>
          <w:r>
            <w:rPr>
              <w:lang w:val="en-GB" w:eastAsia="en-US"/>
            </w:rPr>
            <w:t>7.3</w:t>
          </w:r>
          <w:r>
            <w:rPr>
              <w:rFonts w:cs="Calibri" w:ascii="Calibri" w:hAnsi="Calibri"/>
              <w:sz w:val="22"/>
              <w:szCs w:val="22"/>
              <w:lang w:val="en-GB" w:eastAsia="en-GB"/>
            </w:rPr>
            <w:tab/>
          </w:r>
          <w:r>
            <w:rPr>
              <w:lang w:val="en-GB" w:eastAsia="en-US"/>
            </w:rPr>
            <w:t>Summary of Responses for Streaming Services</w:t>
            <w:tab/>
          </w:r>
          <w:hyperlink w:anchor="__RefHeading___Toc32311340">
            <w:r>
              <w:rPr>
                <w:rStyle w:val="IndexLink"/>
                <w:lang w:val="en-GB" w:eastAsia="en-US"/>
              </w:rPr>
              <w:t>22</w:t>
            </w:r>
          </w:hyperlink>
        </w:p>
        <w:p>
          <w:pPr>
            <w:pStyle w:val="Contents3"/>
            <w:rPr>
              <w:rFonts w:ascii="Calibri" w:hAnsi="Calibri" w:cs="Calibri"/>
              <w:sz w:val="22"/>
              <w:szCs w:val="22"/>
              <w:lang w:val="en-GB" w:eastAsia="en-GB"/>
            </w:rPr>
          </w:pPr>
          <w:r>
            <w:rPr>
              <w:lang w:val="en-GB" w:eastAsia="en-US"/>
            </w:rPr>
            <w:t>7.3.1</w:t>
          </w:r>
          <w:r>
            <w:rPr>
              <w:rFonts w:cs="Calibri" w:ascii="Calibri" w:hAnsi="Calibri"/>
              <w:sz w:val="22"/>
              <w:szCs w:val="22"/>
              <w:lang w:val="en-GB" w:eastAsia="en-GB"/>
            </w:rPr>
            <w:tab/>
          </w:r>
          <w:r>
            <w:rPr>
              <w:lang w:val="en-GB" w:eastAsia="en-US"/>
            </w:rPr>
            <w:t>Introduction</w:t>
            <w:tab/>
          </w:r>
          <w:hyperlink w:anchor="__RefHeading___Toc32311341">
            <w:r>
              <w:rPr>
                <w:rStyle w:val="IndexLink"/>
                <w:lang w:val="en-GB" w:eastAsia="en-US"/>
              </w:rPr>
              <w:t>22</w:t>
            </w:r>
          </w:hyperlink>
        </w:p>
        <w:p>
          <w:pPr>
            <w:pStyle w:val="Contents3"/>
            <w:rPr>
              <w:rFonts w:ascii="Calibri" w:hAnsi="Calibri" w:cs="Calibri"/>
              <w:sz w:val="22"/>
              <w:szCs w:val="22"/>
              <w:lang w:val="en-GB" w:eastAsia="en-GB"/>
            </w:rPr>
          </w:pPr>
          <w:r>
            <w:rPr>
              <w:lang w:val="en-GB" w:eastAsia="en-US"/>
            </w:rPr>
            <w:t>7.3.2</w:t>
          </w:r>
          <w:r>
            <w:rPr>
              <w:rFonts w:cs="Calibri" w:ascii="Calibri" w:hAnsi="Calibri"/>
              <w:sz w:val="22"/>
              <w:szCs w:val="22"/>
              <w:lang w:val="en-GB" w:eastAsia="en-GB"/>
            </w:rPr>
            <w:tab/>
          </w:r>
          <w:r>
            <w:rPr>
              <w:lang w:val="en-GB" w:eastAsia="en-US"/>
            </w:rPr>
            <w:t>Used Technologies</w:t>
            <w:tab/>
          </w:r>
          <w:hyperlink w:anchor="__RefHeading___Toc32311342">
            <w:r>
              <w:rPr>
                <w:rStyle w:val="IndexLink"/>
                <w:lang w:val="en-GB" w:eastAsia="en-US"/>
              </w:rPr>
              <w:t>22</w:t>
            </w:r>
          </w:hyperlink>
        </w:p>
        <w:p>
          <w:pPr>
            <w:pStyle w:val="Contents4"/>
            <w:rPr>
              <w:rFonts w:ascii="Calibri" w:hAnsi="Calibri" w:cs="Calibri"/>
              <w:sz w:val="22"/>
              <w:szCs w:val="22"/>
              <w:lang w:val="en-GB" w:eastAsia="en-GB"/>
            </w:rPr>
          </w:pPr>
          <w:r>
            <w:rPr>
              <w:lang w:val="en-GB" w:eastAsia="en-US"/>
            </w:rPr>
            <w:t>7.3.2.1</w:t>
          </w:r>
          <w:r>
            <w:rPr>
              <w:rFonts w:cs="Calibri" w:ascii="Calibri" w:hAnsi="Calibri"/>
              <w:sz w:val="22"/>
              <w:szCs w:val="22"/>
              <w:lang w:val="en-GB" w:eastAsia="en-GB"/>
            </w:rPr>
            <w:tab/>
          </w:r>
          <w:r>
            <w:rPr>
              <w:lang w:val="en-GB" w:eastAsia="en-US"/>
            </w:rPr>
            <w:t>Codecs</w:t>
            <w:tab/>
          </w:r>
          <w:hyperlink w:anchor="__RefHeading___Toc32311343">
            <w:r>
              <w:rPr>
                <w:rStyle w:val="IndexLink"/>
                <w:lang w:val="en-GB" w:eastAsia="en-US"/>
              </w:rPr>
              <w:t>22</w:t>
            </w:r>
          </w:hyperlink>
        </w:p>
        <w:p>
          <w:pPr>
            <w:pStyle w:val="Contents4"/>
            <w:rPr>
              <w:rFonts w:ascii="Calibri" w:hAnsi="Calibri" w:cs="Calibri"/>
              <w:sz w:val="22"/>
              <w:szCs w:val="22"/>
              <w:lang w:val="en-GB" w:eastAsia="en-GB"/>
            </w:rPr>
          </w:pPr>
          <w:r>
            <w:rPr>
              <w:lang w:val="en-GB" w:eastAsia="en-US"/>
            </w:rPr>
            <w:t>7.3.2.2</w:t>
          </w:r>
          <w:r>
            <w:rPr>
              <w:rFonts w:cs="Calibri" w:ascii="Calibri" w:hAnsi="Calibri"/>
              <w:sz w:val="22"/>
              <w:szCs w:val="22"/>
              <w:lang w:val="en-GB" w:eastAsia="en-GB"/>
            </w:rPr>
            <w:tab/>
          </w:r>
          <w:r>
            <w:rPr>
              <w:lang w:val="en-GB" w:eastAsia="en-US"/>
            </w:rPr>
            <w:t>Media types and formats</w:t>
            <w:tab/>
          </w:r>
          <w:hyperlink w:anchor="__RefHeading___Toc32311344">
            <w:r>
              <w:rPr>
                <w:rStyle w:val="IndexLink"/>
                <w:lang w:val="en-GB" w:eastAsia="en-US"/>
              </w:rPr>
              <w:t>22</w:t>
            </w:r>
          </w:hyperlink>
        </w:p>
        <w:p>
          <w:pPr>
            <w:pStyle w:val="Contents4"/>
            <w:rPr>
              <w:rFonts w:ascii="Calibri" w:hAnsi="Calibri" w:cs="Calibri"/>
              <w:sz w:val="22"/>
              <w:szCs w:val="22"/>
              <w:lang w:val="en-GB" w:eastAsia="en-GB"/>
            </w:rPr>
          </w:pPr>
          <w:r>
            <w:rPr>
              <w:lang w:val="en-GB" w:eastAsia="en-US"/>
            </w:rPr>
            <w:t>7.3.2.3</w:t>
          </w:r>
          <w:r>
            <w:rPr>
              <w:rFonts w:cs="Calibri" w:ascii="Calibri" w:hAnsi="Calibri"/>
              <w:sz w:val="22"/>
              <w:szCs w:val="22"/>
              <w:lang w:val="en-GB" w:eastAsia="en-GB"/>
            </w:rPr>
            <w:tab/>
          </w:r>
          <w:r>
            <w:rPr>
              <w:lang w:val="en-GB" w:eastAsia="en-US"/>
            </w:rPr>
            <w:t>Media protocols and containers</w:t>
            <w:tab/>
          </w:r>
          <w:hyperlink w:anchor="__RefHeading___Toc32311345">
            <w:r>
              <w:rPr>
                <w:rStyle w:val="IndexLink"/>
                <w:lang w:val="en-GB" w:eastAsia="en-US"/>
              </w:rPr>
              <w:t>23</w:t>
            </w:r>
          </w:hyperlink>
        </w:p>
        <w:p>
          <w:pPr>
            <w:pStyle w:val="Contents4"/>
            <w:rPr>
              <w:rFonts w:ascii="Calibri" w:hAnsi="Calibri" w:cs="Calibri"/>
              <w:sz w:val="22"/>
              <w:szCs w:val="22"/>
              <w:lang w:val="en-GB" w:eastAsia="en-GB"/>
            </w:rPr>
          </w:pPr>
          <w:r>
            <w:rPr>
              <w:lang w:val="en-GB" w:eastAsia="en-US"/>
            </w:rPr>
            <w:t>7.3.2.4</w:t>
          </w:r>
          <w:r>
            <w:rPr>
              <w:rFonts w:cs="Calibri" w:ascii="Calibri" w:hAnsi="Calibri"/>
              <w:sz w:val="22"/>
              <w:szCs w:val="22"/>
              <w:lang w:val="en-GB" w:eastAsia="en-GB"/>
            </w:rPr>
            <w:tab/>
          </w:r>
          <w:r>
            <w:rPr>
              <w:lang w:val="en-GB" w:eastAsia="en-US"/>
            </w:rPr>
            <w:t>Transport protocols</w:t>
            <w:tab/>
          </w:r>
          <w:hyperlink w:anchor="__RefHeading___Toc32311346">
            <w:r>
              <w:rPr>
                <w:rStyle w:val="IndexLink"/>
                <w:lang w:val="en-GB" w:eastAsia="en-US"/>
              </w:rPr>
              <w:t>23</w:t>
            </w:r>
          </w:hyperlink>
        </w:p>
        <w:p>
          <w:pPr>
            <w:pStyle w:val="Contents4"/>
            <w:rPr>
              <w:rFonts w:ascii="Calibri" w:hAnsi="Calibri" w:cs="Calibri"/>
              <w:sz w:val="22"/>
              <w:szCs w:val="22"/>
              <w:lang w:val="en-GB" w:eastAsia="en-GB"/>
            </w:rPr>
          </w:pPr>
          <w:r>
            <w:rPr>
              <w:lang w:val="en-GB" w:eastAsia="en-US"/>
            </w:rPr>
            <w:t>7.3.2.5</w:t>
          </w:r>
          <w:r>
            <w:rPr>
              <w:rFonts w:cs="Calibri" w:ascii="Calibri" w:hAnsi="Calibri"/>
              <w:sz w:val="22"/>
              <w:szCs w:val="22"/>
              <w:lang w:val="en-GB" w:eastAsia="en-GB"/>
            </w:rPr>
            <w:tab/>
          </w:r>
          <w:r>
            <w:rPr>
              <w:lang w:val="en-GB" w:eastAsia="en-US"/>
            </w:rPr>
            <w:t>Clients</w:t>
            <w:tab/>
          </w:r>
          <w:hyperlink w:anchor="__RefHeading___Toc32311347">
            <w:r>
              <w:rPr>
                <w:rStyle w:val="IndexLink"/>
                <w:lang w:val="en-GB" w:eastAsia="en-US"/>
              </w:rPr>
              <w:t>23</w:t>
            </w:r>
          </w:hyperlink>
        </w:p>
        <w:p>
          <w:pPr>
            <w:pStyle w:val="Contents4"/>
            <w:rPr>
              <w:rFonts w:ascii="Calibri" w:hAnsi="Calibri" w:cs="Calibri"/>
              <w:sz w:val="22"/>
              <w:szCs w:val="22"/>
              <w:lang w:val="en-GB" w:eastAsia="en-GB"/>
            </w:rPr>
          </w:pPr>
          <w:r>
            <w:rPr>
              <w:lang w:val="en-GB" w:eastAsia="en-US"/>
            </w:rPr>
            <w:t>7.3.2.6</w:t>
          </w:r>
          <w:r>
            <w:rPr>
              <w:rFonts w:cs="Calibri" w:ascii="Calibri" w:hAnsi="Calibri"/>
              <w:sz w:val="22"/>
              <w:szCs w:val="22"/>
              <w:lang w:val="en-GB" w:eastAsia="en-GB"/>
            </w:rPr>
            <w:tab/>
          </w:r>
          <w:r>
            <w:rPr>
              <w:lang w:val="en-GB" w:eastAsia="en-US"/>
            </w:rPr>
            <w:t>Other Technologies</w:t>
            <w:tab/>
          </w:r>
          <w:hyperlink w:anchor="__RefHeading___Toc32311348">
            <w:r>
              <w:rPr>
                <w:rStyle w:val="IndexLink"/>
                <w:lang w:val="en-GB" w:eastAsia="en-US"/>
              </w:rPr>
              <w:t>23</w:t>
            </w:r>
          </w:hyperlink>
        </w:p>
        <w:p>
          <w:pPr>
            <w:pStyle w:val="Contents3"/>
            <w:rPr>
              <w:rFonts w:ascii="Calibri" w:hAnsi="Calibri" w:cs="Calibri"/>
              <w:sz w:val="22"/>
              <w:szCs w:val="22"/>
              <w:lang w:val="en-GB" w:eastAsia="en-GB"/>
            </w:rPr>
          </w:pPr>
          <w:r>
            <w:rPr>
              <w:lang w:val="en-GB" w:eastAsia="en-US"/>
            </w:rPr>
            <w:t>7.3.3</w:t>
          </w:r>
          <w:r>
            <w:rPr>
              <w:rFonts w:cs="Calibri" w:ascii="Calibri" w:hAnsi="Calibri"/>
              <w:sz w:val="22"/>
              <w:szCs w:val="22"/>
              <w:lang w:val="en-GB" w:eastAsia="en-GB"/>
            </w:rPr>
            <w:tab/>
          </w:r>
          <w:r>
            <w:rPr>
              <w:lang w:val="en-GB" w:eastAsia="en-US"/>
            </w:rPr>
            <w:t>Traffic Characteristics</w:t>
            <w:tab/>
          </w:r>
          <w:hyperlink w:anchor="__RefHeading___Toc32311349">
            <w:r>
              <w:rPr>
                <w:rStyle w:val="IndexLink"/>
                <w:lang w:val="en-GB" w:eastAsia="en-US"/>
              </w:rPr>
              <w:t>23</w:t>
            </w:r>
          </w:hyperlink>
        </w:p>
        <w:p>
          <w:pPr>
            <w:pStyle w:val="Contents4"/>
            <w:rPr>
              <w:rFonts w:ascii="Calibri" w:hAnsi="Calibri" w:cs="Calibri"/>
              <w:sz w:val="22"/>
              <w:szCs w:val="22"/>
              <w:lang w:val="en-GB" w:eastAsia="en-GB"/>
            </w:rPr>
          </w:pPr>
          <w:r>
            <w:rPr>
              <w:lang w:val="en-GB" w:eastAsia="en-US"/>
            </w:rPr>
            <w:t>7.3.3.1</w:t>
          </w:r>
          <w:r>
            <w:rPr>
              <w:rFonts w:cs="Calibri" w:ascii="Calibri" w:hAnsi="Calibri"/>
              <w:sz w:val="22"/>
              <w:szCs w:val="22"/>
              <w:lang w:val="en-GB" w:eastAsia="en-GB"/>
            </w:rPr>
            <w:tab/>
          </w:r>
          <w:r>
            <w:rPr>
              <w:lang w:val="en-GB" w:eastAsia="en-US"/>
            </w:rPr>
            <w:t>Bitrate Characteristics</w:t>
            <w:tab/>
          </w:r>
          <w:hyperlink w:anchor="__RefHeading___Toc32311350">
            <w:r>
              <w:rPr>
                <w:rStyle w:val="IndexLink"/>
                <w:lang w:val="en-GB" w:eastAsia="en-US"/>
              </w:rPr>
              <w:t>23</w:t>
            </w:r>
          </w:hyperlink>
        </w:p>
        <w:p>
          <w:pPr>
            <w:pStyle w:val="Contents4"/>
            <w:rPr>
              <w:rFonts w:ascii="Calibri" w:hAnsi="Calibri" w:cs="Calibri"/>
              <w:sz w:val="22"/>
              <w:szCs w:val="22"/>
              <w:lang w:val="en-GB" w:eastAsia="en-GB"/>
            </w:rPr>
          </w:pPr>
          <w:r>
            <w:rPr>
              <w:lang w:val="en-GB" w:eastAsia="en-US"/>
            </w:rPr>
            <w:t>7.3.3.2</w:t>
          </w:r>
          <w:r>
            <w:rPr>
              <w:rFonts w:cs="Calibri" w:ascii="Calibri" w:hAnsi="Calibri"/>
              <w:sz w:val="22"/>
              <w:szCs w:val="22"/>
              <w:lang w:val="en-GB" w:eastAsia="en-GB"/>
            </w:rPr>
            <w:tab/>
          </w:r>
          <w:r>
            <w:rPr>
              <w:lang w:val="en-GB" w:eastAsia="en-US"/>
            </w:rPr>
            <w:t>Other KPIs</w:t>
            <w:tab/>
          </w:r>
          <w:hyperlink w:anchor="__RefHeading___Toc32311351">
            <w:r>
              <w:rPr>
                <w:rStyle w:val="IndexLink"/>
                <w:lang w:val="en-GB" w:eastAsia="en-US"/>
              </w:rPr>
              <w:t>23</w:t>
            </w:r>
          </w:hyperlink>
        </w:p>
        <w:p>
          <w:pPr>
            <w:pStyle w:val="Contents4"/>
            <w:rPr>
              <w:rFonts w:ascii="Calibri" w:hAnsi="Calibri" w:cs="Calibri"/>
              <w:sz w:val="22"/>
              <w:szCs w:val="22"/>
              <w:lang w:val="en-GB" w:eastAsia="en-GB"/>
            </w:rPr>
          </w:pPr>
          <w:r>
            <w:rPr>
              <w:lang w:val="en-GB" w:eastAsia="en-US"/>
            </w:rPr>
            <w:t>7.3.3.3</w:t>
          </w:r>
          <w:r>
            <w:rPr>
              <w:rFonts w:cs="Calibri" w:ascii="Calibri" w:hAnsi="Calibri"/>
              <w:sz w:val="22"/>
              <w:szCs w:val="22"/>
              <w:lang w:val="en-GB" w:eastAsia="en-GB"/>
            </w:rPr>
            <w:tab/>
          </w:r>
          <w:r>
            <w:rPr>
              <w:lang w:val="en-GB" w:eastAsia="en-US"/>
            </w:rPr>
            <w:t>Potential mapping to 5QIs</w:t>
            <w:tab/>
          </w:r>
          <w:hyperlink w:anchor="__RefHeading___Toc32311352">
            <w:r>
              <w:rPr>
                <w:rStyle w:val="IndexLink"/>
                <w:lang w:val="en-GB" w:eastAsia="en-US"/>
              </w:rPr>
              <w:t>23</w:t>
            </w:r>
          </w:hyperlink>
        </w:p>
        <w:p>
          <w:pPr>
            <w:pStyle w:val="Contents1"/>
            <w:rPr>
              <w:rFonts w:ascii="Calibri" w:hAnsi="Calibri" w:cs="Calibri"/>
              <w:szCs w:val="22"/>
              <w:lang w:val="en-GB" w:eastAsia="en-GB"/>
            </w:rPr>
          </w:pPr>
          <w:r>
            <w:rPr>
              <w:lang w:val="en-GB" w:eastAsia="en-US"/>
            </w:rPr>
            <w:t>8</w:t>
          </w:r>
          <w:r>
            <w:rPr>
              <w:rFonts w:cs="Calibri" w:ascii="Calibri" w:hAnsi="Calibri"/>
              <w:szCs w:val="22"/>
              <w:lang w:val="en-GB" w:eastAsia="en-GB"/>
            </w:rPr>
            <w:tab/>
          </w:r>
          <w:r>
            <w:rPr>
              <w:lang w:val="en-GB" w:eastAsia="en-US"/>
            </w:rPr>
            <w:t>Applicability of existing 5Qis</w:t>
            <w:tab/>
          </w:r>
          <w:hyperlink w:anchor="__RefHeading___Toc32311353">
            <w:r>
              <w:rPr>
                <w:rStyle w:val="IndexLink"/>
                <w:lang w:val="en-GB" w:eastAsia="en-US"/>
              </w:rPr>
              <w:t>24</w:t>
            </w:r>
          </w:hyperlink>
        </w:p>
        <w:p>
          <w:pPr>
            <w:pStyle w:val="Contents2"/>
            <w:rPr>
              <w:rFonts w:ascii="Calibri" w:hAnsi="Calibri" w:cs="Calibri"/>
              <w:sz w:val="22"/>
              <w:szCs w:val="22"/>
              <w:lang w:val="en-GB" w:eastAsia="en-GB"/>
            </w:rPr>
          </w:pPr>
          <w:r>
            <w:rPr>
              <w:lang w:val="en-GB" w:eastAsia="en-US"/>
            </w:rPr>
            <w:t>8.1</w:t>
          </w:r>
          <w:r>
            <w:rPr>
              <w:rFonts w:cs="Calibri" w:ascii="Calibri" w:hAnsi="Calibri"/>
              <w:sz w:val="22"/>
              <w:szCs w:val="22"/>
              <w:lang w:val="en-GB" w:eastAsia="en-GB"/>
            </w:rPr>
            <w:tab/>
          </w:r>
          <w:r>
            <w:rPr>
              <w:lang w:val="en-GB" w:eastAsia="en-US"/>
            </w:rPr>
            <w:t>QoS Model</w:t>
            <w:tab/>
          </w:r>
          <w:hyperlink w:anchor="__RefHeading___Toc32311354">
            <w:r>
              <w:rPr>
                <w:rStyle w:val="IndexLink"/>
                <w:lang w:val="en-GB" w:eastAsia="en-US"/>
              </w:rPr>
              <w:t>24</w:t>
            </w:r>
          </w:hyperlink>
        </w:p>
        <w:p>
          <w:pPr>
            <w:pStyle w:val="Contents3"/>
            <w:rPr>
              <w:rFonts w:ascii="Calibri" w:hAnsi="Calibri" w:cs="Calibri"/>
              <w:sz w:val="22"/>
              <w:szCs w:val="22"/>
              <w:lang w:val="en-GB" w:eastAsia="en-GB"/>
            </w:rPr>
          </w:pPr>
          <w:r>
            <w:rPr>
              <w:lang w:val="en-GB" w:eastAsia="en-US"/>
            </w:rPr>
            <w:t>8.1.1</w:t>
          </w:r>
          <w:r>
            <w:rPr>
              <w:rFonts w:cs="Calibri" w:ascii="Calibri" w:hAnsi="Calibri"/>
              <w:sz w:val="22"/>
              <w:szCs w:val="22"/>
              <w:lang w:val="en-GB" w:eastAsia="en-GB"/>
            </w:rPr>
            <w:tab/>
          </w:r>
          <w:r>
            <w:rPr>
              <w:lang w:val="en-GB" w:eastAsia="en-US"/>
            </w:rPr>
            <w:t>Overview</w:t>
            <w:tab/>
          </w:r>
          <w:hyperlink w:anchor="__RefHeading___Toc32311355">
            <w:r>
              <w:rPr>
                <w:rStyle w:val="IndexLink"/>
                <w:lang w:val="en-GB" w:eastAsia="en-US"/>
              </w:rPr>
              <w:t>24</w:t>
            </w:r>
          </w:hyperlink>
        </w:p>
        <w:p>
          <w:pPr>
            <w:pStyle w:val="Contents3"/>
            <w:rPr>
              <w:rFonts w:ascii="Calibri" w:hAnsi="Calibri" w:cs="Calibri"/>
              <w:sz w:val="22"/>
              <w:szCs w:val="22"/>
              <w:lang w:val="en-GB" w:eastAsia="en-GB"/>
            </w:rPr>
          </w:pPr>
          <w:r>
            <w:rPr>
              <w:lang w:val="en-GB" w:eastAsia="en-US"/>
            </w:rPr>
            <w:t>8.1.2</w:t>
          </w:r>
          <w:r>
            <w:rPr>
              <w:rFonts w:cs="Calibri" w:ascii="Calibri" w:hAnsi="Calibri"/>
              <w:sz w:val="22"/>
              <w:szCs w:val="22"/>
              <w:lang w:val="en-GB" w:eastAsia="en-GB"/>
            </w:rPr>
            <w:tab/>
          </w:r>
          <w:r>
            <w:rPr>
              <w:lang w:val="en-GB" w:eastAsia="en-US"/>
            </w:rPr>
            <w:t>5G QoS Parameters</w:t>
            <w:tab/>
          </w:r>
          <w:hyperlink w:anchor="__RefHeading___Toc32311356">
            <w:r>
              <w:rPr>
                <w:rStyle w:val="IndexLink"/>
                <w:lang w:val="en-GB" w:eastAsia="en-US"/>
              </w:rPr>
              <w:t>25</w:t>
            </w:r>
          </w:hyperlink>
        </w:p>
        <w:p>
          <w:pPr>
            <w:pStyle w:val="Contents3"/>
            <w:rPr>
              <w:rFonts w:ascii="Calibri" w:hAnsi="Calibri" w:cs="Calibri"/>
              <w:sz w:val="22"/>
              <w:szCs w:val="22"/>
              <w:lang w:val="en-GB" w:eastAsia="en-GB"/>
            </w:rPr>
          </w:pPr>
          <w:r>
            <w:rPr>
              <w:lang w:val="en-GB" w:eastAsia="en-US"/>
            </w:rPr>
            <w:t>8.1.3</w:t>
          </w:r>
          <w:r>
            <w:rPr>
              <w:rFonts w:cs="Calibri" w:ascii="Calibri" w:hAnsi="Calibri"/>
              <w:sz w:val="22"/>
              <w:szCs w:val="22"/>
              <w:lang w:val="en-GB" w:eastAsia="en-GB"/>
            </w:rPr>
            <w:tab/>
          </w:r>
          <w:r>
            <w:rPr>
              <w:lang w:val="en-GB" w:eastAsia="en-US"/>
            </w:rPr>
            <w:t>5G QoS Characteristics</w:t>
            <w:tab/>
          </w:r>
          <w:hyperlink w:anchor="__RefHeading___Toc32311357">
            <w:r>
              <w:rPr>
                <w:rStyle w:val="IndexLink"/>
                <w:lang w:val="en-GB" w:eastAsia="en-US"/>
              </w:rPr>
              <w:t>25</w:t>
            </w:r>
          </w:hyperlink>
        </w:p>
        <w:p>
          <w:pPr>
            <w:pStyle w:val="Contents3"/>
            <w:rPr>
              <w:rFonts w:ascii="Calibri" w:hAnsi="Calibri" w:cs="Calibri"/>
              <w:sz w:val="22"/>
              <w:szCs w:val="22"/>
              <w:lang w:val="en-GB" w:eastAsia="en-GB"/>
            </w:rPr>
          </w:pPr>
          <w:r>
            <w:rPr>
              <w:lang w:val="en-GB" w:eastAsia="en-US"/>
            </w:rPr>
            <w:t>8.1.4</w:t>
          </w:r>
          <w:r>
            <w:rPr>
              <w:rFonts w:cs="Calibri" w:ascii="Calibri" w:hAnsi="Calibri"/>
              <w:sz w:val="22"/>
              <w:szCs w:val="22"/>
              <w:lang w:val="en-GB" w:eastAsia="en-GB"/>
            </w:rPr>
            <w:tab/>
          </w:r>
          <w:r>
            <w:rPr>
              <w:lang w:val="en-GB" w:eastAsia="en-US"/>
            </w:rPr>
            <w:t>Standardized 5QI to QoS characteristics mapping</w:t>
            <w:tab/>
          </w:r>
          <w:hyperlink w:anchor="__RefHeading___Toc32311358">
            <w:r>
              <w:rPr>
                <w:rStyle w:val="IndexLink"/>
                <w:lang w:val="en-GB" w:eastAsia="en-US"/>
              </w:rPr>
              <w:t>26</w:t>
            </w:r>
          </w:hyperlink>
        </w:p>
        <w:p>
          <w:pPr>
            <w:pStyle w:val="Contents3"/>
            <w:rPr>
              <w:rFonts w:ascii="Calibri" w:hAnsi="Calibri" w:cs="Calibri"/>
              <w:sz w:val="22"/>
              <w:szCs w:val="22"/>
              <w:lang w:val="en-GB" w:eastAsia="en-GB"/>
            </w:rPr>
          </w:pPr>
          <w:r>
            <w:rPr>
              <w:lang w:val="en-GB" w:eastAsia="en-US"/>
            </w:rPr>
            <w:t>8.1.5</w:t>
          </w:r>
          <w:r>
            <w:rPr>
              <w:rFonts w:cs="Calibri" w:ascii="Calibri" w:hAnsi="Calibri"/>
              <w:sz w:val="22"/>
              <w:szCs w:val="22"/>
              <w:lang w:val="en-GB" w:eastAsia="en-GB"/>
            </w:rPr>
            <w:tab/>
          </w:r>
          <w:r>
            <w:rPr>
              <w:lang w:val="en-GB" w:eastAsia="en-US"/>
            </w:rPr>
            <w:t>Considerations for Media Services</w:t>
            <w:tab/>
          </w:r>
          <w:hyperlink w:anchor="__RefHeading___Toc32311359">
            <w:r>
              <w:rPr>
                <w:rStyle w:val="IndexLink"/>
                <w:lang w:val="en-GB" w:eastAsia="en-US"/>
              </w:rPr>
              <w:t>28</w:t>
            </w:r>
          </w:hyperlink>
        </w:p>
        <w:p>
          <w:pPr>
            <w:pStyle w:val="Contents4"/>
            <w:rPr>
              <w:rFonts w:ascii="Calibri" w:hAnsi="Calibri" w:cs="Calibri"/>
              <w:sz w:val="22"/>
              <w:szCs w:val="22"/>
              <w:lang w:val="en-GB" w:eastAsia="en-GB"/>
            </w:rPr>
          </w:pPr>
          <w:r>
            <w:rPr>
              <w:lang w:val="en-GB" w:eastAsia="en-US"/>
            </w:rPr>
            <w:t>8.1.5.1</w:t>
          </w:r>
          <w:r>
            <w:rPr>
              <w:rFonts w:cs="Calibri" w:ascii="Calibri" w:hAnsi="Calibri"/>
              <w:sz w:val="22"/>
              <w:szCs w:val="22"/>
              <w:lang w:val="en-GB" w:eastAsia="en-GB"/>
            </w:rPr>
            <w:tab/>
          </w:r>
          <w:r>
            <w:rPr>
              <w:lang w:val="en-GB" w:eastAsia="en-US"/>
            </w:rPr>
            <w:t>General</w:t>
            <w:tab/>
          </w:r>
          <w:hyperlink w:anchor="__RefHeading___Toc32311360">
            <w:r>
              <w:rPr>
                <w:rStyle w:val="IndexLink"/>
                <w:lang w:val="en-GB" w:eastAsia="en-US"/>
              </w:rPr>
              <w:t>28</w:t>
            </w:r>
          </w:hyperlink>
        </w:p>
        <w:p>
          <w:pPr>
            <w:pStyle w:val="Contents4"/>
            <w:rPr>
              <w:rFonts w:ascii="Calibri" w:hAnsi="Calibri" w:cs="Calibri"/>
              <w:sz w:val="22"/>
              <w:szCs w:val="22"/>
              <w:lang w:val="en-GB" w:eastAsia="en-GB"/>
            </w:rPr>
          </w:pPr>
          <w:r>
            <w:rPr>
              <w:lang w:val="en-GB" w:eastAsia="en-US"/>
            </w:rPr>
            <w:t>8.1.5.2</w:t>
          </w:r>
          <w:r>
            <w:rPr>
              <w:rFonts w:cs="Calibri" w:ascii="Calibri" w:hAnsi="Calibri"/>
              <w:sz w:val="22"/>
              <w:szCs w:val="22"/>
              <w:lang w:val="en-GB" w:eastAsia="en-GB"/>
            </w:rPr>
            <w:tab/>
          </w:r>
          <w:r>
            <w:rPr>
              <w:lang w:val="en-GB" w:eastAsia="en-US"/>
            </w:rPr>
            <w:t>Expected TCP/IP Performance for non-GBR</w:t>
            <w:tab/>
          </w:r>
          <w:hyperlink w:anchor="__RefHeading___Toc32311361">
            <w:r>
              <w:rPr>
                <w:rStyle w:val="IndexLink"/>
                <w:lang w:val="en-GB" w:eastAsia="en-US"/>
              </w:rPr>
              <w:t>28</w:t>
            </w:r>
          </w:hyperlink>
        </w:p>
        <w:p>
          <w:pPr>
            <w:pStyle w:val="Contents4"/>
            <w:rPr>
              <w:rFonts w:ascii="Calibri" w:hAnsi="Calibri" w:cs="Calibri"/>
              <w:sz w:val="22"/>
              <w:szCs w:val="22"/>
              <w:lang w:val="en-GB" w:eastAsia="en-GB"/>
            </w:rPr>
          </w:pPr>
          <w:r>
            <w:rPr>
              <w:lang w:val="en-GB" w:eastAsia="en-US"/>
            </w:rPr>
            <w:t>8.1.5.3</w:t>
          </w:r>
          <w:r>
            <w:rPr>
              <w:rFonts w:cs="Calibri" w:ascii="Calibri" w:hAnsi="Calibri"/>
              <w:sz w:val="22"/>
              <w:szCs w:val="22"/>
              <w:lang w:val="en-GB" w:eastAsia="en-GB"/>
            </w:rPr>
            <w:tab/>
          </w:r>
          <w:r>
            <w:rPr>
              <w:lang w:val="en-GB" w:eastAsia="en-US"/>
            </w:rPr>
            <w:t>Bitrate considerations for GBR services</w:t>
            <w:tab/>
          </w:r>
          <w:hyperlink w:anchor="__RefHeading___Toc32311362">
            <w:r>
              <w:rPr>
                <w:rStyle w:val="IndexLink"/>
                <w:lang w:val="en-GB" w:eastAsia="en-US"/>
              </w:rPr>
              <w:t>29</w:t>
            </w:r>
          </w:hyperlink>
        </w:p>
        <w:p>
          <w:pPr>
            <w:pStyle w:val="Contents4"/>
            <w:rPr>
              <w:rFonts w:ascii="Calibri" w:hAnsi="Calibri" w:cs="Calibri"/>
              <w:sz w:val="22"/>
              <w:szCs w:val="22"/>
              <w:lang w:val="en-GB" w:eastAsia="en-GB"/>
            </w:rPr>
          </w:pPr>
          <w:r>
            <w:rPr>
              <w:lang w:val="en-GB" w:eastAsia="en-US"/>
            </w:rPr>
            <w:t>8.1.5.4</w:t>
          </w:r>
          <w:r>
            <w:rPr>
              <w:rFonts w:cs="Calibri" w:ascii="Calibri" w:hAnsi="Calibri"/>
              <w:sz w:val="22"/>
              <w:szCs w:val="22"/>
              <w:lang w:val="en-GB" w:eastAsia="en-GB"/>
            </w:rPr>
            <w:tab/>
          </w:r>
          <w:r>
            <w:rPr>
              <w:lang w:val="en-GB" w:eastAsia="en-US"/>
            </w:rPr>
            <w:t>Relevant Parameters for Media Services</w:t>
            <w:tab/>
          </w:r>
          <w:hyperlink w:anchor="__RefHeading___Toc32311363">
            <w:r>
              <w:rPr>
                <w:rStyle w:val="IndexLink"/>
                <w:lang w:val="en-GB" w:eastAsia="en-US"/>
              </w:rPr>
              <w:t>29</w:t>
            </w:r>
          </w:hyperlink>
        </w:p>
        <w:p>
          <w:pPr>
            <w:pStyle w:val="Contents9"/>
            <w:rPr>
              <w:rFonts w:ascii="Calibri" w:hAnsi="Calibri" w:cs="Calibri"/>
              <w:b w:val="false"/>
              <w:b w:val="false"/>
              <w:szCs w:val="22"/>
              <w:lang w:val="en-GB" w:eastAsia="en-GB"/>
            </w:rPr>
          </w:pPr>
          <w:r>
            <w:rPr>
              <w:lang w:val="en-GB" w:eastAsia="en-US"/>
            </w:rPr>
            <w:t>Annex A: Background information on cloud gaming</w:t>
            <w:tab/>
          </w:r>
          <w:hyperlink w:anchor="__RefHeading___Toc32311364">
            <w:r>
              <w:rPr>
                <w:rStyle w:val="IndexLink"/>
                <w:lang w:val="en-GB" w:eastAsia="en-US"/>
              </w:rPr>
              <w:t>30</w:t>
            </w:r>
          </w:hyperlink>
        </w:p>
        <w:p>
          <w:pPr>
            <w:pStyle w:val="Contents9"/>
            <w:rPr>
              <w:rFonts w:ascii="Calibri" w:hAnsi="Calibri" w:cs="Calibri"/>
              <w:szCs w:val="22"/>
              <w:lang w:val="en-GB" w:eastAsia="en-GB"/>
            </w:rPr>
          </w:pPr>
          <w:r>
            <w:rPr>
              <w:b w:val="false"/>
              <w:lang w:val="en-GB" w:eastAsia="en-US"/>
            </w:rPr>
            <w:t>Annex B: Change history</w:t>
            <w:tab/>
          </w:r>
          <w:hyperlink w:anchor="__RefHeading___Toc32311365">
            <w:r>
              <w:rPr>
                <w:rStyle w:val="IndexLink"/>
                <w:b w:val="false"/>
                <w:lang w:val="en-GB" w:eastAsia="en-US"/>
              </w:rPr>
              <w:t>33</w:t>
            </w:r>
          </w:hyperlink>
          <w:r>
            <w:rPr>
              <w:rStyle w:val="IndexLink"/>
              <w:b w:val="false"/>
              <w:lang w:val="en-GB" w:eastAsia="en-US"/>
            </w:rPr>
            <w:fldChar w:fldCharType="end"/>
          </w:r>
        </w:p>
      </w:sdtContent>
    </w:sdt>
    <w:p>
      <w:pPr>
        <w:pStyle w:val="Normal"/>
        <w:rPr>
          <w:rFonts w:ascii="Calibri" w:hAnsi="Calibri" w:cs="Calibri"/>
          <w:b/>
          <w:b/>
          <w:szCs w:val="22"/>
          <w:lang w:val="en-GB" w:eastAsia="en-GB"/>
        </w:rPr>
      </w:pPr>
      <w:r>
        <w:rPr>
          <w:rFonts w:cs="Calibri" w:ascii="Calibri" w:hAnsi="Calibri"/>
          <w:b/>
          <w:szCs w:val="22"/>
          <w:lang w:val="en-GB" w:eastAsia="en-GB"/>
        </w:rPr>
      </w:r>
      <w:r>
        <w:br w:type="page"/>
      </w:r>
    </w:p>
    <w:p>
      <w:pPr>
        <w:pStyle w:val="Heading1"/>
        <w:ind w:left="1134" w:hanging="1134"/>
        <w:rPr/>
      </w:pPr>
      <w:bookmarkStart w:id="9" w:name="__RefHeading___Toc32311306"/>
      <w:bookmarkEnd w:id="9"/>
      <w:r>
        <w:rPr/>
        <w:t>Foreword</w:t>
      </w:r>
    </w:p>
    <w:p>
      <w:pPr>
        <w:pStyle w:val="Normal"/>
        <w:rPr/>
      </w:pPr>
      <w:r>
        <w:rPr/>
        <w:t>This Technical Report has been produced by the 3rd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p>
    <w:p>
      <w:pPr>
        <w:pStyle w:val="Normal"/>
        <w:rPr/>
      </w:pPr>
      <w:r>
        <w:rPr/>
        <w:t>In the present document, modal verbs have the following meanings:</w:t>
      </w:r>
    </w:p>
    <w:p>
      <w:pPr>
        <w:pStyle w:val="EX"/>
        <w:rPr/>
      </w:pPr>
      <w:r>
        <w:rPr>
          <w:b/>
        </w:rPr>
        <w:t>shall</w:t>
      </w:r>
      <w:r>
        <w:rPr/>
        <w:tab/>
        <w:tab/>
        <w:t>indicates a mandatory requirement to do something</w:t>
      </w:r>
    </w:p>
    <w:p>
      <w:pPr>
        <w:pStyle w:val="EX"/>
        <w:rPr/>
      </w:pPr>
      <w:r>
        <w:rPr>
          <w:b/>
        </w:rPr>
        <w:t>shall not</w:t>
      </w:r>
      <w:r>
        <w:rPr/>
        <w:tab/>
        <w:t>indicates an interdiction (prohibition) to do something</w:t>
      </w:r>
    </w:p>
    <w:p>
      <w:pPr>
        <w:pStyle w:val="Normal"/>
        <w:rPr/>
      </w:pPr>
      <w:r>
        <w:rPr/>
        <w:t>The constructions "shall" and "shall not" are confined to the context of normative provisions, and do not appear in Technical Reports.</w:t>
      </w:r>
    </w:p>
    <w:p>
      <w:pPr>
        <w:pStyle w:val="Normal"/>
        <w:rPr/>
      </w:pPr>
      <w:r>
        <w:rPr/>
        <w:t>The constructions "must" and "must not" are not used as substitutes for "shall" and "shall not". Their use is avoided insofar as possible, and they are not used in a normative context except in a direct citation from an external, referenced, non-3GPP document, or so as to maintain continuity of style when extending or modifying the provisions of such a referenced document.</w:t>
      </w:r>
    </w:p>
    <w:p>
      <w:pPr>
        <w:pStyle w:val="EX"/>
        <w:rPr/>
      </w:pPr>
      <w:r>
        <w:rPr>
          <w:b/>
        </w:rPr>
        <w:t>should</w:t>
      </w:r>
      <w:r>
        <w:rPr/>
        <w:tab/>
        <w:tab/>
        <w:t>indicates a recommendation to do something</w:t>
      </w:r>
    </w:p>
    <w:p>
      <w:pPr>
        <w:pStyle w:val="EX"/>
        <w:rPr/>
      </w:pPr>
      <w:r>
        <w:rPr>
          <w:b/>
        </w:rPr>
        <w:t>should not</w:t>
      </w:r>
      <w:r>
        <w:rPr/>
        <w:tab/>
        <w:t>indicates a recommendation not to do something</w:t>
      </w:r>
    </w:p>
    <w:p>
      <w:pPr>
        <w:pStyle w:val="EX"/>
        <w:rPr/>
      </w:pPr>
      <w:r>
        <w:rPr>
          <w:b/>
        </w:rPr>
        <w:t>may</w:t>
      </w:r>
      <w:r>
        <w:rPr/>
        <w:tab/>
        <w:tab/>
        <w:t>indicates permission to do something</w:t>
      </w:r>
    </w:p>
    <w:p>
      <w:pPr>
        <w:pStyle w:val="EX"/>
        <w:rPr/>
      </w:pPr>
      <w:r>
        <w:rPr>
          <w:b/>
        </w:rPr>
        <w:t>need not</w:t>
      </w:r>
      <w:r>
        <w:rPr/>
        <w:tab/>
        <w:t>indicates permission not to do something</w:t>
      </w:r>
    </w:p>
    <w:p>
      <w:pPr>
        <w:pStyle w:val="Normal"/>
        <w:rPr/>
      </w:pPr>
      <w:r>
        <w:rPr/>
        <w:t>The construction "may not" is ambiguous and is not used in normative elements. The unambiguous constructions "might not" or "shall not" are used instead, depending upon the meaning intended.</w:t>
      </w:r>
    </w:p>
    <w:p>
      <w:pPr>
        <w:pStyle w:val="EX"/>
        <w:rPr/>
      </w:pPr>
      <w:r>
        <w:rPr>
          <w:b/>
        </w:rPr>
        <w:t>can</w:t>
      </w:r>
      <w:r>
        <w:rPr/>
        <w:tab/>
        <w:tab/>
        <w:t>indicates that something is possible</w:t>
      </w:r>
    </w:p>
    <w:p>
      <w:pPr>
        <w:pStyle w:val="EX"/>
        <w:rPr/>
      </w:pPr>
      <w:r>
        <w:rPr>
          <w:b/>
        </w:rPr>
        <w:t>cannot</w:t>
      </w:r>
      <w:r>
        <w:rPr/>
        <w:tab/>
        <w:tab/>
        <w:t>indicates that something is impossible</w:t>
      </w:r>
    </w:p>
    <w:p>
      <w:pPr>
        <w:pStyle w:val="Normal"/>
        <w:rPr/>
      </w:pPr>
      <w:r>
        <w:rPr/>
        <w:t>The constructions "can" and "cannot" are not substitutes for "may" and "need not".</w:t>
      </w:r>
    </w:p>
    <w:p>
      <w:pPr>
        <w:pStyle w:val="EX"/>
        <w:rPr/>
      </w:pPr>
      <w:r>
        <w:rPr>
          <w:b/>
        </w:rPr>
        <w:t>will</w:t>
      </w:r>
      <w:r>
        <w:rPr/>
        <w:tab/>
        <w:tab/>
        <w:t>indicates that something is certain or expected to happen as a result of action taken by an agency the behaviour of which is outside the scope of the present document</w:t>
      </w:r>
    </w:p>
    <w:p>
      <w:pPr>
        <w:pStyle w:val="EX"/>
        <w:rPr/>
      </w:pPr>
      <w:r>
        <w:rPr>
          <w:b/>
        </w:rPr>
        <w:t>will not</w:t>
      </w:r>
      <w:r>
        <w:rPr/>
        <w:tab/>
        <w:tab/>
        <w:t>indicates that something is certain or expected not to happen as a result of action taken by an agency the behaviour of which is outside the scope of the present document</w:t>
      </w:r>
    </w:p>
    <w:p>
      <w:pPr>
        <w:pStyle w:val="EX"/>
        <w:rPr/>
      </w:pPr>
      <w:r>
        <w:rPr>
          <w:b/>
        </w:rPr>
        <w:t>might</w:t>
      </w:r>
      <w:r>
        <w:rPr/>
        <w:tab/>
        <w:t>indicates a likelihood that something will happen as a result of action taken by some agency the behaviour of which is outside the scope of the present document</w:t>
      </w:r>
    </w:p>
    <w:p>
      <w:pPr>
        <w:pStyle w:val="EX"/>
        <w:rPr/>
      </w:pPr>
      <w:r>
        <w:rPr>
          <w:b/>
        </w:rPr>
        <w:t>might not</w:t>
      </w:r>
      <w:r>
        <w:rPr/>
        <w:tab/>
        <w:t>indicates a likelihood that something will not happen as a result of action taken by some agency the behaviour of which is outside the scope of the present document</w:t>
      </w:r>
    </w:p>
    <w:p>
      <w:pPr>
        <w:pStyle w:val="Normal"/>
        <w:rPr/>
      </w:pPr>
      <w:r>
        <w:rPr/>
        <w:t>In addition:</w:t>
      </w:r>
    </w:p>
    <w:p>
      <w:pPr>
        <w:pStyle w:val="EX"/>
        <w:rPr/>
      </w:pPr>
      <w:r>
        <w:rPr>
          <w:b/>
        </w:rPr>
        <w:t>is</w:t>
      </w:r>
      <w:r>
        <w:rPr/>
        <w:tab/>
        <w:t>(or any other verb in the indicative mood) indicates a statement of fact</w:t>
      </w:r>
    </w:p>
    <w:p>
      <w:pPr>
        <w:pStyle w:val="EX"/>
        <w:rPr/>
      </w:pPr>
      <w:r>
        <w:rPr>
          <w:b/>
        </w:rPr>
        <w:t>is not</w:t>
      </w:r>
      <w:r>
        <w:rPr/>
        <w:tab/>
        <w:t>(or any other negative verb in the indicative mood) indicates a statement of fact</w:t>
      </w:r>
    </w:p>
    <w:p>
      <w:pPr>
        <w:pStyle w:val="Normal"/>
        <w:rPr/>
      </w:pPr>
      <w:r>
        <w:rPr/>
        <w:t>The constructions "is" and "is not" do not indicate requirements.</w:t>
      </w:r>
    </w:p>
    <w:p>
      <w:pPr>
        <w:pStyle w:val="Heading1"/>
        <w:ind w:left="1134" w:hanging="1134"/>
        <w:rPr/>
      </w:pPr>
      <w:bookmarkStart w:id="10" w:name="__RefHeading___Toc32311307"/>
      <w:bookmarkEnd w:id="10"/>
      <w:r>
        <w:rPr/>
        <w:t>Introduction</w:t>
      </w:r>
    </w:p>
    <w:p>
      <w:pPr>
        <w:pStyle w:val="Normal"/>
        <w:rPr/>
      </w:pPr>
      <w:r>
        <w:rPr/>
        <w:t xml:space="preserve">The document presents typical media traffic characteristics (including bandwidth and latency requirements) that are of importance for 3GPP standardization work. This includes demands based on current services, but also expectations for new services or emerging services, considering developments in the industry in terms of efficiency improvements. </w:t>
      </w:r>
      <w:r>
        <w:br w:type="page"/>
      </w:r>
    </w:p>
    <w:p>
      <w:pPr>
        <w:pStyle w:val="Heading1"/>
        <w:ind w:left="1134" w:hanging="1134"/>
        <w:rPr/>
      </w:pPr>
      <w:bookmarkStart w:id="11" w:name="__RefHeading___Toc32311308"/>
      <w:bookmarkEnd w:id="11"/>
      <w:r>
        <w:rPr/>
        <w:t>1</w:t>
        <w:tab/>
        <w:t>Scope</w:t>
      </w:r>
    </w:p>
    <w:p>
      <w:pPr>
        <w:pStyle w:val="Normal"/>
        <w:rPr/>
      </w:pPr>
      <w:r>
        <w:rPr/>
        <w:t>The present document includes following information:</w:t>
      </w:r>
    </w:p>
    <w:p>
      <w:pPr>
        <w:pStyle w:val="B1"/>
        <w:rPr/>
      </w:pPr>
      <w:r>
        <w:rPr/>
        <w:t>-</w:t>
        <w:tab/>
        <w:t xml:space="preserve">Media centric Third-Party and Operator services currently deployed or expected to be deployed until 2025 on 3GPP defined 4G and 5G networks. </w:t>
      </w:r>
    </w:p>
    <w:p>
      <w:pPr>
        <w:pStyle w:val="B1"/>
        <w:rPr/>
      </w:pPr>
      <w:r>
        <w:rPr/>
        <w:t>-</w:t>
        <w:tab/>
        <w:t>Typical deployment characteristics today, such as bandwidth requirements, client buffered and rate adaptation reception characteristics, codecs, protocols in use and latency requirements.</w:t>
      </w:r>
    </w:p>
    <w:p>
      <w:pPr>
        <w:pStyle w:val="B1"/>
        <w:rPr/>
      </w:pPr>
      <w:r>
        <w:rPr/>
        <w:t>-</w:t>
        <w:tab/>
        <w:t>An overview on technological developments for existing and emerging services and their impact on typical traffic characteristics of media services, e.g. evolution of compression technologies, new demands for high quality, new experiences, etc.</w:t>
      </w:r>
    </w:p>
    <w:p>
      <w:pPr>
        <w:pStyle w:val="B1"/>
        <w:rPr/>
      </w:pPr>
      <w:r>
        <w:rPr/>
        <w:t>-</w:t>
        <w:tab/>
        <w:t>A summary on typical characteristics and requirements for different media services on 3GPP networks.</w:t>
      </w:r>
    </w:p>
    <w:p>
      <w:pPr>
        <w:pStyle w:val="B1"/>
        <w:rPr/>
      </w:pPr>
      <w:r>
        <w:rPr/>
        <w:t>-</w:t>
        <w:tab/>
        <w:t>An identification of the applicability of existing 5QIs for such services and potentially identify requirements for new 5QIs or QoS related parameters.</w:t>
      </w:r>
    </w:p>
    <w:p>
      <w:pPr>
        <w:pStyle w:val="Heading1"/>
        <w:ind w:left="1134" w:hanging="1134"/>
        <w:rPr/>
      </w:pPr>
      <w:bookmarkStart w:id="12" w:name="__RefHeading___Toc32311309"/>
      <w:bookmarkEnd w:id="12"/>
      <w:r>
        <w:rPr/>
        <w:t>2</w:t>
        <w:tab/>
        <w:t>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For a non-specific reference, the latest version applies. In the case of a reference to a 3GPP document (including a GSM document), a non-specific reference implicitly refers to the latest version of that document</w:t>
      </w:r>
      <w:r>
        <w:rPr>
          <w:i/>
        </w:rPr>
        <w:t xml:space="preserve"> in the same Release as the present document</w:t>
      </w:r>
      <w:r>
        <w:rPr/>
        <w:t>.</w:t>
      </w:r>
    </w:p>
    <w:p>
      <w:pPr>
        <w:pStyle w:val="EX"/>
        <w:rPr/>
      </w:pPr>
      <w:r>
        <w:rPr/>
        <w:t>[1]</w:t>
        <w:tab/>
        <w:t>3GPP TR 21.905: "Vocabulary for 3GPP Specifications".</w:t>
      </w:r>
    </w:p>
    <w:p>
      <w:pPr>
        <w:pStyle w:val="EX"/>
        <w:rPr/>
      </w:pPr>
      <w:r>
        <w:rPr/>
        <w:t>[2]</w:t>
        <w:tab/>
        <w:t>3GPP TS 26.234: "Transparent end-to-end Packet-switched Streaming Service (PSS); Protocols and codecs".</w:t>
      </w:r>
    </w:p>
    <w:p>
      <w:pPr>
        <w:pStyle w:val="EX"/>
        <w:rPr/>
      </w:pPr>
      <w:r>
        <w:rPr/>
        <w:t>[3]</w:t>
        <w:tab/>
        <w:t>3GPP TS 26.247: "Transparent end-to-end Packet-switched Streaming Service (PSS); Progressive Download and Dynamic Adaptive Streaming over HTTP (3GP-DASH)".</w:t>
      </w:r>
    </w:p>
    <w:p>
      <w:pPr>
        <w:pStyle w:val="EX"/>
        <w:rPr/>
      </w:pPr>
      <w:r>
        <w:rPr/>
        <w:t>[4]</w:t>
        <w:tab/>
        <w:t>3GPP TS 26.346: "Multimedia Broadcast/Multicast Service (MBMS); Protocols and codecs ".</w:t>
      </w:r>
    </w:p>
    <w:p>
      <w:pPr>
        <w:pStyle w:val="EX"/>
        <w:rPr/>
      </w:pPr>
      <w:r>
        <w:rPr/>
        <w:t>[5]</w:t>
        <w:tab/>
        <w:t>3GPP TS 26.116: "Television (TV) over 3GPP services; Video profiles".</w:t>
      </w:r>
    </w:p>
    <w:p>
      <w:pPr>
        <w:pStyle w:val="EX"/>
        <w:rPr/>
      </w:pPr>
      <w:r>
        <w:rPr/>
        <w:t>[6]</w:t>
        <w:tab/>
        <w:t>3GPP TS 26.118: "3GPP Virtual reality profiles for streaming applications".</w:t>
      </w:r>
    </w:p>
    <w:p>
      <w:pPr>
        <w:pStyle w:val="EX"/>
        <w:rPr/>
      </w:pPr>
      <w:r>
        <w:rPr/>
        <w:t>[7]</w:t>
        <w:tab/>
        <w:t>3GPP TS 26.114: "IP Multimedia Subsystem (IMS); Multimedia telephony; Media handling and interaction".</w:t>
      </w:r>
    </w:p>
    <w:p>
      <w:pPr>
        <w:pStyle w:val="EX"/>
        <w:rPr/>
      </w:pPr>
      <w:r>
        <w:rPr/>
        <w:t>[8]</w:t>
        <w:tab/>
        <w:t>3GPP TS 26.223: "Telepresence using the IP Multimedia Subsystem (IMS); Media handling and interaction ".</w:t>
      </w:r>
    </w:p>
    <w:p>
      <w:pPr>
        <w:pStyle w:val="EX"/>
        <w:rPr/>
      </w:pPr>
      <w:r>
        <w:rPr/>
        <w:t>[9]</w:t>
        <w:tab/>
        <w:t xml:space="preserve">Recommendation </w:t>
      </w:r>
      <w:r>
        <w:rPr>
          <w:rFonts w:eastAsia="SimSun;宋体"/>
          <w:lang w:eastAsia="zh-CN"/>
        </w:rPr>
        <w:t>ITU-R BT.1872-3 (10-2019)</w:t>
      </w:r>
      <w:r>
        <w:rPr/>
        <w:t>: " User requirements for broadcast auxiliary services including digital television outside broadcast, electronic/satellite news gathering and electronic field production".</w:t>
      </w:r>
    </w:p>
    <w:p>
      <w:pPr>
        <w:pStyle w:val="EX"/>
        <w:rPr/>
      </w:pPr>
      <w:r>
        <w:rPr/>
        <w:t>[10]</w:t>
        <w:tab/>
        <w:t>3GPP TS 23.501: "System Architecture for the 5G System ".</w:t>
      </w:r>
    </w:p>
    <w:p>
      <w:pPr>
        <w:pStyle w:val="EX"/>
        <w:rPr/>
      </w:pPr>
      <w:r>
        <w:rPr/>
        <w:t>[11]</w:t>
        <w:tab/>
        <w:t>3GPP TS 26.238: "Uplink streaming".</w:t>
      </w:r>
    </w:p>
    <w:p>
      <w:pPr>
        <w:pStyle w:val="EX"/>
        <w:rPr/>
      </w:pPr>
      <w:r>
        <w:rPr/>
        <w:t>[12]</w:t>
        <w:tab/>
        <w:t>ST 2110-10:2017 - SMPTE Standard - Professional Media Over Managed IP Networks: System Timing and Definitions.</w:t>
      </w:r>
    </w:p>
    <w:p>
      <w:pPr>
        <w:pStyle w:val="EX"/>
        <w:rPr/>
      </w:pPr>
      <w:r>
        <w:rPr/>
        <w:t>[13]</w:t>
        <w:tab/>
        <w:t>Video Services Forum (VSF) Technical Recommendation TR-05, Essential Formats</w:t>
        <w:tab/>
        <w:t>and Descriptions for Interoperability of</w:t>
        <w:tab/>
        <w:t>SMPTE ST 2110-20 Video Signals.</w:t>
      </w:r>
    </w:p>
    <w:p>
      <w:pPr>
        <w:pStyle w:val="EX"/>
        <w:rPr/>
      </w:pPr>
      <w:r>
        <w:rPr/>
        <w:t>[14]</w:t>
        <w:tab/>
        <w:t>Recommendation ITU-T H.264 (04/2017): "Advanced video coding for generic audiovisual services" | ISO/IEC 14496-10:2014: "Information technology - Coding of audio-visual objects - Part 10: Advanced Video Coding".</w:t>
      </w:r>
    </w:p>
    <w:p>
      <w:pPr>
        <w:pStyle w:val="EX"/>
        <w:rPr/>
      </w:pPr>
      <w:r>
        <w:rPr/>
        <w:t>[15]</w:t>
        <w:tab/>
        <w:t>Recommendation ITU-T H.265 (12/2016): "High efficiency video coding" | ISO/IEC 23008-2:2015: "High Efficiency Coding and Media Delivery in Heterogeneous Environments - Part 2: High Efficiency Video Coding".</w:t>
      </w:r>
    </w:p>
    <w:p>
      <w:pPr>
        <w:pStyle w:val="EX"/>
        <w:rPr/>
      </w:pPr>
      <w:r>
        <w:rPr/>
        <w:t>[16]</w:t>
        <w:tab/>
        <w:t>3GPP TR 26.949: "Video formats for 3GPP services".</w:t>
      </w:r>
    </w:p>
    <w:p>
      <w:pPr>
        <w:pStyle w:val="EX"/>
        <w:rPr/>
      </w:pPr>
      <w:r>
        <w:rPr/>
        <w:t>[17]</w:t>
        <w:tab/>
        <w:t>IETF RFC 793: "TCP"</w:t>
      </w:r>
    </w:p>
    <w:p>
      <w:pPr>
        <w:pStyle w:val="EX"/>
        <w:rPr/>
      </w:pPr>
      <w:r>
        <w:rPr/>
        <w:t>[18]</w:t>
        <w:tab/>
        <w:t>https://www.ietf.org/id/draft-ietf-quic-transport-19.txt.</w:t>
      </w:r>
    </w:p>
    <w:p>
      <w:pPr>
        <w:pStyle w:val="EX"/>
        <w:rPr/>
      </w:pPr>
      <w:r>
        <w:rPr/>
        <w:t>[19]</w:t>
        <w:tab/>
        <w:t>DVB BlueBook A176: "Adaptive media streaming over IP multicast - reference architecture".</w:t>
      </w:r>
    </w:p>
    <w:p>
      <w:pPr>
        <w:pStyle w:val="EX"/>
        <w:rPr/>
      </w:pPr>
      <w:r>
        <w:rPr/>
        <w:t>[20]</w:t>
        <w:tab/>
        <w:t>CableLabs OC-TR-IP-MULTI-ARCH: "IP Multicast Adaptive Bit Rate Architecture Technical Report".</w:t>
      </w:r>
    </w:p>
    <w:p>
      <w:pPr>
        <w:pStyle w:val="EX"/>
        <w:rPr/>
      </w:pPr>
      <w:r>
        <w:rPr/>
        <w:t>[21]</w:t>
        <w:tab/>
        <w:t>"</w:t>
      </w:r>
      <w:r>
        <w:rPr>
          <w:rFonts w:cs="Arial"/>
        </w:rPr>
        <w:t>How youtube led to Google's cloud-gaming service</w:t>
      </w:r>
      <w:r>
        <w:rPr/>
        <w:t>"</w:t>
      </w:r>
      <w:r>
        <w:rPr>
          <w:rFonts w:cs="Arial"/>
        </w:rPr>
        <w:t>, spectrum.ieee.org | SEP 2019 | 09.</w:t>
      </w:r>
    </w:p>
    <w:p>
      <w:pPr>
        <w:pStyle w:val="EX"/>
        <w:rPr/>
      </w:pPr>
      <w:r>
        <w:rPr/>
        <w:t>[22]</w:t>
        <w:tab/>
        <w:t>3GPP TR 22.842: "Study on Network Controlled Interactive Services (Release 17)".</w:t>
      </w:r>
    </w:p>
    <w:p>
      <w:pPr>
        <w:pStyle w:val="EX"/>
        <w:rPr/>
      </w:pPr>
      <w:r>
        <w:rPr/>
        <w:t>[23]</w:t>
        <w:tab/>
        <w:t>"Cloud Gaming: Architecture and Performance", Ryan Shea and Jiangchuan Liu, Simon Fraser University; Edith C.-H. Ngai, Uppsala University; Yong Cui, Tsinghua University; IEEE Network-July/August 2013.</w:t>
      </w:r>
    </w:p>
    <w:p>
      <w:pPr>
        <w:pStyle w:val="EX"/>
        <w:rPr/>
      </w:pPr>
      <w:r>
        <w:rPr/>
        <w:t>[24]</w:t>
        <w:tab/>
        <w:t>Jens-Rainer Ohm, Gary J. Sullivan, Heiko Schwarz, Thiow Keng Tan, and Thomas Wiegand, "Comparison of the Coding Efficiency of Video Coding Standards—Including High Efficiency Video Coding (HEVC)" IEEE TRANSACTIONS ON CIRCUITS AND SYSTEMS FOR VIDEO TECHNOLOGY, VOL. 22, NO. 12, DECEMBER 2012.</w:t>
      </w:r>
    </w:p>
    <w:p>
      <w:pPr>
        <w:pStyle w:val="EX"/>
        <w:rPr/>
      </w:pPr>
      <w:r>
        <w:rPr/>
        <w:t>[25]</w:t>
        <w:tab/>
        <w:t>T.K. Tan, M. Mrak, R. Weerakkody, N. Ramzan, V. Baroncini, G.J. Sullivan, J.-R. Ohm, K.D. McCann, "HEVC subjective video quality test results", IBC2014 Conference, 2014.</w:t>
      </w:r>
    </w:p>
    <w:p>
      <w:pPr>
        <w:pStyle w:val="EX"/>
        <w:rPr/>
      </w:pPr>
      <w:r>
        <w:rPr/>
        <w:t>[26]</w:t>
        <w:tab/>
        <w:t>Thiow Keng Tan ; Rajitha Weerakkody ; Marta Mrak ; Naeem Ramzan ; Vittorio Baroncini, Jens-Rainer Ohm, Gary J. Sullivan, "Video Quality Evaluation Methodology and Verification Testing of HEVC Compression Performance" IEEE Transactions on Circuits and Systems for Video Technology, Volume: 26, Issue: 1, Jan. 2016.</w:t>
      </w:r>
    </w:p>
    <w:p>
      <w:pPr>
        <w:pStyle w:val="EX"/>
        <w:rPr/>
      </w:pPr>
      <w:r>
        <w:rPr/>
        <w:t>[27]</w:t>
        <w:tab/>
        <w:t>Minhua Zhou, Jianle Chen, Kiho Choi and Dmytro Rusanovskyy, "Tool comparison between VVC (VTM3.0) and NVC", ISO/IEC JTC1/SC29/WG11 MPEG2019/ m46554, Marrakech, Morocco, January 2019.</w:t>
      </w:r>
    </w:p>
    <w:p>
      <w:pPr>
        <w:pStyle w:val="EX"/>
        <w:rPr/>
      </w:pPr>
      <w:r>
        <w:rPr/>
        <w:t>[28]</w:t>
        <w:tab/>
        <w:t>Frank Bossen, Xiang Li, Karsten Suehring, "AHG report: Test model software development (AHG3)", JVET-M0003, Joint Video Experts Team (JVET) of ITU-T SG 16 WP 3 and ISO/IEC JTC 1/SC 29/WG 11, 13th Meeting: Marrakech, MA, 9-18 Jan. 2019.</w:t>
      </w:r>
    </w:p>
    <w:p>
      <w:pPr>
        <w:pStyle w:val="EX"/>
        <w:rPr/>
      </w:pPr>
      <w:r>
        <w:rPr/>
        <w:t>[29]</w:t>
        <w:tab/>
        <w:t>K. Choi et al., "Description of video coding technology proposal by Samsung, Huawei, and Qualcomm for New Video Coding Standard", MPEG-M46354, Marrakech, Morocco, January 209.</w:t>
      </w:r>
    </w:p>
    <w:p>
      <w:pPr>
        <w:pStyle w:val="EX"/>
        <w:rPr/>
      </w:pPr>
      <w:r>
        <w:rPr/>
        <w:t>[30]</w:t>
        <w:tab/>
        <w:t>3GPP TR 26.928: "Extended Reality over 5G".</w:t>
      </w:r>
    </w:p>
    <w:p>
      <w:pPr>
        <w:pStyle w:val="EX"/>
        <w:rPr/>
      </w:pPr>
      <w:r>
        <w:rPr/>
        <w:t>[31]</w:t>
        <w:tab/>
        <w:t>ST 297:2006 - SMPTE Standard - For Television — Serial Digital Fiber Transmission System for SMPTE 259M, SMPTE 344M, SMPTE 292 and SMPTE 424M Signals.</w:t>
      </w:r>
    </w:p>
    <w:p>
      <w:pPr>
        <w:pStyle w:val="EX"/>
        <w:rPr/>
      </w:pPr>
      <w:r>
        <w:rPr/>
        <w:t>[32]</w:t>
        <w:tab/>
        <w:t>ST 2081-10:2018 - SMPTE Standard - 2160-line and 1080-line Source Image and Ancillary Data Mapping for 6G-SDI.</w:t>
      </w:r>
    </w:p>
    <w:p>
      <w:pPr>
        <w:pStyle w:val="EX"/>
        <w:rPr/>
      </w:pPr>
      <w:r>
        <w:rPr/>
        <w:t>[33]</w:t>
        <w:tab/>
        <w:t>ST 2082-1:2015 - SMPTE Standard - 12 Gb/s Signal/Data Serial Interface — Electrical ST 2082-1:2015.</w:t>
      </w:r>
    </w:p>
    <w:p>
      <w:pPr>
        <w:pStyle w:val="EX"/>
        <w:rPr/>
      </w:pPr>
      <w:r>
        <w:rPr/>
        <w:t>[34]</w:t>
        <w:tab/>
        <w:t>SMPTE ST-2083, 24G-SDI, In development.</w:t>
      </w:r>
    </w:p>
    <w:p>
      <w:pPr>
        <w:pStyle w:val="EX"/>
        <w:rPr/>
      </w:pPr>
      <w:r>
        <w:rPr/>
        <w:t>[35]</w:t>
        <w:tab/>
        <w:t>3GPP TR 22.827: "Study on Audio-Visual Service Production".</w:t>
      </w:r>
    </w:p>
    <w:p>
      <w:pPr>
        <w:pStyle w:val="EX"/>
        <w:rPr>
          <w:rFonts w:eastAsia="SimSun;宋体"/>
          <w:lang w:eastAsia="zh-CN"/>
        </w:rPr>
      </w:pPr>
      <w:r>
        <w:rPr/>
        <w:t xml:space="preserve">[36]                      </w:t>
      </w:r>
      <w:r>
        <w:rPr>
          <w:rFonts w:eastAsia="SimSun;宋体"/>
          <w:lang w:eastAsia="zh-CN"/>
        </w:rPr>
        <w:t>ST 2042-1:2017 - SMPTE Standard - VC-2 Video Compression</w:t>
      </w:r>
    </w:p>
    <w:p>
      <w:pPr>
        <w:pStyle w:val="EX"/>
        <w:rPr>
          <w:rFonts w:eastAsia="SimSun;宋体"/>
          <w:lang w:eastAsia="zh-CN"/>
        </w:rPr>
      </w:pPr>
      <w:r>
        <w:rPr>
          <w:rFonts w:eastAsia="SimSun;宋体"/>
          <w:lang w:eastAsia="zh-CN"/>
        </w:rPr>
        <w:t>[37]                      ITU-T/T.802 | ISO/IEC 15444-3 "Information technology - JPEG 2000 image coding system - Part 3: Motion JPEG 2000</w:t>
      </w:r>
    </w:p>
    <w:p>
      <w:pPr>
        <w:pStyle w:val="EX"/>
        <w:rPr>
          <w:rStyle w:val="Emphasis"/>
          <w:i w:val="false"/>
          <w:i w:val="false"/>
          <w:iCs w:val="false"/>
        </w:rPr>
      </w:pPr>
      <w:r>
        <w:rPr>
          <w:rFonts w:eastAsia="SimSun;宋体"/>
          <w:lang w:eastAsia="zh-CN"/>
        </w:rPr>
        <w:t xml:space="preserve">[38]                     </w:t>
      </w:r>
      <w:r>
        <w:rPr>
          <w:rStyle w:val="Emphasis"/>
          <w:i w:val="false"/>
          <w:iCs w:val="false"/>
        </w:rPr>
        <w:t>ITU-T G.1032 "Influence factors on gaming quality of experience" (</w:t>
      </w:r>
      <w:hyperlink r:id="rId6">
        <w:r>
          <w:rPr>
            <w:rStyle w:val="InternetLink"/>
            <w:i w:val="false"/>
            <w:iCs w:val="false"/>
            <w:color w:val="0000FF"/>
            <w:u w:val="single"/>
          </w:rPr>
          <w:t>https://www.itu.int/rec/T-REC-G.1032-201710-I/en</w:t>
        </w:r>
      </w:hyperlink>
      <w:r>
        <w:rPr>
          <w:rStyle w:val="Emphasis"/>
          <w:i w:val="false"/>
          <w:iCs w:val="false"/>
        </w:rPr>
        <w:t>)</w:t>
      </w:r>
    </w:p>
    <w:p>
      <w:pPr>
        <w:pStyle w:val="EX"/>
        <w:rPr>
          <w:rStyle w:val="Emphasis"/>
          <w:i w:val="false"/>
          <w:i w:val="false"/>
          <w:iCs w:val="false"/>
        </w:rPr>
      </w:pPr>
      <w:r>
        <w:rPr>
          <w:rStyle w:val="Emphasis"/>
          <w:i w:val="false"/>
          <w:iCs w:val="false"/>
        </w:rPr>
        <w:t>[39]                     ITU-T P.809 "Subjective evaluation methods for gaming quality" (</w:t>
      </w:r>
      <w:hyperlink r:id="rId7">
        <w:r>
          <w:rPr>
            <w:rStyle w:val="InternetLink"/>
            <w:i w:val="false"/>
            <w:iCs w:val="false"/>
            <w:color w:val="0000FF"/>
            <w:u w:val="single"/>
          </w:rPr>
          <w:t>https://www.itu.int/rec/T-REC-P.809/en</w:t>
        </w:r>
      </w:hyperlink>
      <w:r>
        <w:rPr>
          <w:rStyle w:val="Emphasis"/>
          <w:i w:val="false"/>
          <w:iCs w:val="false"/>
        </w:rPr>
        <w:t>)</w:t>
      </w:r>
    </w:p>
    <w:p>
      <w:pPr>
        <w:pStyle w:val="EX"/>
        <w:rPr/>
      </w:pPr>
      <w:r>
        <w:rPr>
          <w:rStyle w:val="Emphasis"/>
          <w:i w:val="false"/>
          <w:iCs w:val="false"/>
        </w:rPr>
        <w:t xml:space="preserve">[40]                  </w:t>
      </w:r>
      <w:r>
        <w:rPr/>
        <w:t xml:space="preserve">   M. Mathis, J. Semke, J. Mahdavi, The macroscopic behavior of the TCP congestion avoidance algorithm. Comput. Commun. Rev. (ACM SIGCOMM) </w:t>
      </w:r>
      <w:r>
        <w:rPr>
          <w:b/>
          <w:bCs/>
        </w:rPr>
        <w:t>27</w:t>
      </w:r>
      <w:r>
        <w:rPr/>
        <w:t>(3), 67–82 (1997)</w:t>
      </w:r>
    </w:p>
    <w:p>
      <w:pPr>
        <w:pStyle w:val="EX"/>
        <w:rPr>
          <w:rStyle w:val="Emphasis"/>
          <w:i w:val="false"/>
          <w:i w:val="false"/>
          <w:iCs w:val="false"/>
        </w:rPr>
      </w:pPr>
      <w:r>
        <w:rPr>
          <w:rStyle w:val="Emphasis"/>
          <w:i w:val="false"/>
          <w:iCs w:val="false"/>
        </w:rPr>
        <w:t xml:space="preserve">[41]                  </w:t>
      </w:r>
      <w:r>
        <w:rPr/>
        <w:t xml:space="preserve">   Yusuke Miki, Tsuyoshi Sakiyama, Kenichiro Ichikawa, Mayumi Abe, Seiji Mitsuhashi, Masayuki Miyazaki , </w:t>
      </w:r>
      <w:r>
        <w:rPr>
          <w:rStyle w:val="Emphasis"/>
          <w:i w:val="false"/>
          <w:iCs w:val="false"/>
        </w:rPr>
        <w:t>"</w:t>
      </w:r>
      <w:r>
        <w:rPr/>
        <w:t>Ready for 8K UHDTV broadcasting in Japan</w:t>
      </w:r>
      <w:r>
        <w:rPr>
          <w:rStyle w:val="Emphasis"/>
          <w:i w:val="false"/>
          <w:iCs w:val="false"/>
        </w:rPr>
        <w:t>", IBC 2015 Conference.</w:t>
      </w:r>
    </w:p>
    <w:p>
      <w:pPr>
        <w:pStyle w:val="EX"/>
        <w:rPr>
          <w:rStyle w:val="Emphasis"/>
          <w:i w:val="false"/>
          <w:i w:val="false"/>
          <w:iCs w:val="false"/>
        </w:rPr>
      </w:pPr>
      <w:r>
        <w:rPr>
          <w:rStyle w:val="Emphasis"/>
          <w:i w:val="false"/>
          <w:iCs w:val="false"/>
        </w:rPr>
        <w:t>[42]</w:t>
        <w:tab/>
        <w:t>Hirokazu Kamoda, "NHK Launched World’s First 8K Broadcasting in Japan", NAB Pilot guest blog post (</w:t>
      </w:r>
      <w:hyperlink r:id="rId8">
        <w:r>
          <w:rPr>
            <w:rStyle w:val="InternetLink"/>
          </w:rPr>
          <w:t>https://nabpilot.org/nhk-launch-worlds-first-8k-broadcasting/</w:t>
        </w:r>
      </w:hyperlink>
      <w:r>
        <w:rPr>
          <w:rStyle w:val="Emphasis"/>
          <w:i w:val="false"/>
          <w:iCs w:val="false"/>
        </w:rPr>
        <w:t>)</w:t>
      </w:r>
    </w:p>
    <w:p>
      <w:pPr>
        <w:pStyle w:val="EX"/>
        <w:rPr>
          <w:lang w:val="en-US"/>
        </w:rPr>
      </w:pPr>
      <w:r>
        <w:rPr>
          <w:rStyle w:val="Emphasis"/>
          <w:i w:val="false"/>
          <w:iCs w:val="false"/>
        </w:rPr>
        <w:t>[43]</w:t>
        <w:tab/>
        <w:t>Thierry Fautier, Eric Mazieres, France Television Lab blog post "8K EXPERIMENT AT ROLAND GARROS 2019" (https://www.francetelevisions.fr/lab/projets/8K-Experiment-at-Roland-Garros-2019)</w:t>
      </w:r>
    </w:p>
    <w:p>
      <w:pPr>
        <w:pStyle w:val="EX"/>
        <w:rPr>
          <w:lang w:val="en-US"/>
        </w:rPr>
      </w:pPr>
      <w:r>
        <w:rPr>
          <w:lang w:val="en-US"/>
        </w:rPr>
      </w:r>
    </w:p>
    <w:p>
      <w:pPr>
        <w:pStyle w:val="Heading1"/>
        <w:ind w:left="1134" w:hanging="1134"/>
        <w:rPr/>
      </w:pPr>
      <w:bookmarkStart w:id="13" w:name="__RefHeading___Toc32311310"/>
      <w:bookmarkEnd w:id="13"/>
      <w:r>
        <w:rPr/>
        <w:t>3</w:t>
        <w:tab/>
        <w:t>Definitions of terms, symbols and abbreviations</w:t>
      </w:r>
    </w:p>
    <w:p>
      <w:pPr>
        <w:pStyle w:val="Heading2"/>
        <w:rPr/>
      </w:pPr>
      <w:bookmarkStart w:id="14" w:name="__RefHeading___Toc32311311"/>
      <w:r>
        <w:rPr/>
        <w:t>3.1</w:t>
        <w:tab/>
      </w:r>
      <w:bookmarkEnd w:id="14"/>
      <w:r>
        <w:rPr/>
        <w:t>Terms</w:t>
      </w:r>
    </w:p>
    <w:p>
      <w:pPr>
        <w:pStyle w:val="Normal"/>
        <w:rPr/>
      </w:pPr>
      <w:r>
        <w:rPr/>
        <w:t xml:space="preserve">For the purposes of the present document, the terms and definitions given in </w:t>
      </w:r>
      <w:bookmarkStart w:id="15" w:name="OLE_LINK5"/>
      <w:bookmarkStart w:id="16" w:name="OLE_LINK4"/>
      <w:bookmarkStart w:id="17" w:name="OLE_LINK3"/>
      <w:bookmarkStart w:id="18" w:name="OLE_LINK2"/>
      <w:bookmarkStart w:id="19" w:name="OLE_LINK1"/>
      <w:r>
        <w:rPr/>
        <w:t xml:space="preserve">3GPP </w:t>
      </w:r>
      <w:bookmarkEnd w:id="15"/>
      <w:bookmarkEnd w:id="16"/>
      <w:bookmarkEnd w:id="17"/>
      <w:bookmarkEnd w:id="18"/>
      <w:bookmarkEnd w:id="19"/>
      <w:r>
        <w:rPr/>
        <w:t>TR 21.905 [1] and the following apply. A term defined in the present document takes precedence over the definition of the same term, if any, in 3GPP TR 21.905 [1].</w:t>
      </w:r>
    </w:p>
    <w:p>
      <w:pPr>
        <w:pStyle w:val="Normal"/>
        <w:rPr/>
      </w:pPr>
      <w:r>
        <w:rPr>
          <w:b/>
        </w:rPr>
        <w:t>360 VR:</w:t>
      </w:r>
      <w:r>
        <w:rPr/>
        <w:t xml:space="preserve"> Virtual Reality 360° video and 3D audio content.</w:t>
      </w:r>
    </w:p>
    <w:p>
      <w:pPr>
        <w:pStyle w:val="Normal"/>
        <w:rPr/>
      </w:pPr>
      <w:r>
        <w:rPr>
          <w:b/>
        </w:rPr>
        <w:t>720p:</w:t>
      </w:r>
      <w:r>
        <w:rPr/>
        <w:t xml:space="preserve"> a video with an image resolution of 1 280 × 720 pixels.</w:t>
      </w:r>
    </w:p>
    <w:p>
      <w:pPr>
        <w:pStyle w:val="Normal"/>
        <w:rPr/>
      </w:pPr>
      <w:r>
        <w:rPr>
          <w:b/>
        </w:rPr>
        <w:t>4K UHD:</w:t>
      </w:r>
      <w:r>
        <w:rPr/>
        <w:t xml:space="preserve"> a video with an image resolution of 3 840 x 2 160 pixels a.k.a. 2160p.</w:t>
      </w:r>
    </w:p>
    <w:p>
      <w:pPr>
        <w:pStyle w:val="Normal"/>
        <w:rPr/>
      </w:pPr>
      <w:r>
        <w:rPr>
          <w:b/>
        </w:rPr>
        <w:t>8K UHD:</w:t>
      </w:r>
      <w:r>
        <w:rPr/>
        <w:t xml:space="preserve"> a video with an image resolution of 7680 x 4 320 pixels a.k.a. 4320p.</w:t>
      </w:r>
    </w:p>
    <w:p>
      <w:pPr>
        <w:pStyle w:val="Heading2"/>
        <w:rPr/>
      </w:pPr>
      <w:bookmarkStart w:id="20" w:name="__RefHeading___Toc32311312"/>
      <w:r>
        <w:rPr/>
        <w:t>3.2</w:t>
        <w:tab/>
      </w:r>
      <w:bookmarkEnd w:id="20"/>
      <w:r>
        <w:rPr/>
        <w:t>Symbols</w:t>
      </w:r>
    </w:p>
    <w:p>
      <w:pPr>
        <w:pStyle w:val="Normal"/>
        <w:rPr/>
      </w:pPr>
      <w:r>
        <w:rPr/>
        <w:t>Void.</w:t>
      </w:r>
    </w:p>
    <w:p>
      <w:pPr>
        <w:pStyle w:val="Heading2"/>
        <w:rPr/>
      </w:pPr>
      <w:r>
        <w:rPr/>
        <w:t>3.3</w:t>
        <w:tab/>
        <w:t>Abbreviations</w:t>
      </w:r>
    </w:p>
    <w:p>
      <w:pPr>
        <w:pStyle w:val="Normal"/>
        <w:keepNext w:val="true"/>
        <w:rPr/>
      </w:pPr>
      <w:r>
        <w:rPr/>
        <w:t>For the purposes of the present document, the abbreviations given in 3GPP TR 21.905 [1] and the following apply. An abbreviation defined in the present document takes precedence over the definition of the same abbreviation, if any, in 3GPP TR 21.905 [1].</w:t>
      </w:r>
    </w:p>
    <w:p>
      <w:pPr>
        <w:pStyle w:val="EW"/>
        <w:rPr/>
      </w:pPr>
      <w:r>
        <w:rPr/>
        <w:t>A/V</w:t>
        <w:tab/>
        <w:t>Audio/Visual</w:t>
      </w:r>
    </w:p>
    <w:p>
      <w:pPr>
        <w:pStyle w:val="EW"/>
        <w:rPr/>
      </w:pPr>
      <w:r>
        <w:rPr/>
        <w:t>FFS</w:t>
        <w:tab/>
        <w:t>For Further Study</w:t>
      </w:r>
    </w:p>
    <w:p>
      <w:pPr>
        <w:pStyle w:val="EW"/>
        <w:rPr/>
      </w:pPr>
      <w:r>
        <w:rPr/>
        <w:t>HD</w:t>
        <w:tab/>
        <w:t>High Definition</w:t>
      </w:r>
    </w:p>
    <w:p>
      <w:pPr>
        <w:pStyle w:val="EW"/>
        <w:rPr/>
      </w:pPr>
      <w:r>
        <w:rPr/>
        <w:t>PSS</w:t>
        <w:tab/>
        <w:t>Packet Switched Streaming</w:t>
      </w:r>
    </w:p>
    <w:p>
      <w:pPr>
        <w:pStyle w:val="EW"/>
        <w:rPr/>
      </w:pPr>
      <w:r>
        <w:rPr/>
        <w:t>STB</w:t>
        <w:tab/>
        <w:t>Set-Top-Box</w:t>
      </w:r>
    </w:p>
    <w:p>
      <w:pPr>
        <w:pStyle w:val="EW"/>
        <w:rPr/>
      </w:pPr>
      <w:r>
        <w:rPr/>
        <w:t>TV</w:t>
        <w:tab/>
        <w:t>Television</w:t>
      </w:r>
    </w:p>
    <w:p>
      <w:pPr>
        <w:pStyle w:val="EW"/>
        <w:rPr/>
      </w:pPr>
      <w:r>
        <w:rPr/>
        <w:t>UHD</w:t>
        <w:tab/>
        <w:t>Ultra High Definition</w:t>
      </w:r>
    </w:p>
    <w:p>
      <w:pPr>
        <w:pStyle w:val="EW"/>
        <w:rPr/>
      </w:pPr>
      <w:r>
        <w:rPr/>
        <w:t>VR</w:t>
        <w:tab/>
        <w:t>Virtual Reality</w:t>
      </w:r>
    </w:p>
    <w:p>
      <w:pPr>
        <w:pStyle w:val="EW"/>
        <w:rPr/>
      </w:pPr>
      <w:r>
        <w:rPr/>
      </w:r>
    </w:p>
    <w:p>
      <w:pPr>
        <w:pStyle w:val="Heading1"/>
        <w:ind w:left="1134" w:hanging="1134"/>
        <w:rPr/>
      </w:pPr>
      <w:bookmarkStart w:id="21" w:name="__RefHeading___Toc32311313"/>
      <w:bookmarkEnd w:id="21"/>
      <w:r>
        <w:rPr/>
        <w:t>4</w:t>
        <w:tab/>
        <w:t>Media centric Third-Party and Operator services</w:t>
      </w:r>
    </w:p>
    <w:p>
      <w:pPr>
        <w:pStyle w:val="Heading2"/>
        <w:rPr/>
      </w:pPr>
      <w:bookmarkStart w:id="22" w:name="__RefHeading___Toc32311314"/>
      <w:bookmarkEnd w:id="22"/>
      <w:r>
        <w:rPr/>
        <w:t>4.1</w:t>
        <w:tab/>
        <w:t>A/V Streaming - Enhanced TV</w:t>
      </w:r>
    </w:p>
    <w:p>
      <w:pPr>
        <w:pStyle w:val="Normal"/>
        <w:rPr/>
      </w:pPr>
      <w:r>
        <w:rPr/>
        <w:t>Live and on-demand audio-visual streaming and enhanced TV services are considered according to 3GPP PSS [2], 3GP-DASH [3], MBMS [4] and the media profiles in TS 26.116 [5].</w:t>
      </w:r>
    </w:p>
    <w:p>
      <w:pPr>
        <w:pStyle w:val="Heading2"/>
        <w:rPr/>
      </w:pPr>
      <w:bookmarkStart w:id="23" w:name="__RefHeading___Toc32311315"/>
      <w:bookmarkEnd w:id="23"/>
      <w:r>
        <w:rPr/>
        <w:t>4.2</w:t>
        <w:tab/>
        <w:t>VR 360° Streaming</w:t>
      </w:r>
    </w:p>
    <w:p>
      <w:pPr>
        <w:pStyle w:val="Normal"/>
        <w:rPr/>
      </w:pPr>
      <w:r>
        <w:rPr/>
        <w:t>Live and on-demand VR 360° streaming are considered according to 3GPP PSS [2], 3GP-DASH [3], MBMS [4] and the media profiles in TS 26.118 [6].</w:t>
      </w:r>
    </w:p>
    <w:p>
      <w:pPr>
        <w:pStyle w:val="Heading2"/>
        <w:rPr/>
      </w:pPr>
      <w:bookmarkStart w:id="24" w:name="__RefHeading___Toc32311316"/>
      <w:bookmarkEnd w:id="24"/>
      <w:r>
        <w:rPr/>
        <w:t>4.3</w:t>
        <w:tab/>
        <w:t>Conversational Multimedia Telephony and Telepresence</w:t>
      </w:r>
    </w:p>
    <w:p>
      <w:pPr>
        <w:pStyle w:val="Normal"/>
        <w:rPr/>
      </w:pPr>
      <w:r>
        <w:rPr/>
        <w:t>Conversational Multimedia Telephony and Telepresence are considered according to MTSI [7] and IMS Telepresence [8].</w:t>
      </w:r>
    </w:p>
    <w:p>
      <w:pPr>
        <w:pStyle w:val="Heading2"/>
        <w:rPr/>
      </w:pPr>
      <w:bookmarkStart w:id="25" w:name="__RefHeading___Toc32311317"/>
      <w:bookmarkEnd w:id="25"/>
      <w:r>
        <w:rPr/>
        <w:t>4.4</w:t>
        <w:tab/>
        <w:t>Live uplink A/V streaming</w:t>
      </w:r>
    </w:p>
    <w:p>
      <w:pPr>
        <w:pStyle w:val="Normal"/>
        <w:rPr/>
      </w:pPr>
      <w:r>
        <w:rPr/>
        <w:t>Professional and consumer live uplink streaming contribution of A/V content are considered according to FLUS [11].</w:t>
      </w:r>
    </w:p>
    <w:p>
      <w:pPr>
        <w:pStyle w:val="Heading2"/>
        <w:rPr/>
      </w:pPr>
      <w:bookmarkStart w:id="26" w:name="__RefHeading___Toc32311318"/>
      <w:bookmarkEnd w:id="26"/>
      <w:r>
        <w:rPr/>
        <w:t>4.5</w:t>
        <w:tab/>
        <w:t>Cloud gaming</w:t>
      </w:r>
    </w:p>
    <w:p>
      <w:pPr>
        <w:pStyle w:val="Normal"/>
        <w:rPr/>
      </w:pPr>
      <w:r>
        <w:rPr/>
        <w:t>Cloud gaming (a.k.a. game streaming) implies that, while the game is being played by a user on a UE or on a device attached to a UE, game processing and rendering is totally or partly performed in a network entity, potentially at the edge of the network. The traffic typically consists of uplink and downlink game status/control information traffic between a client and a server and of downlink streaming of rendered and encoded 2D or VR360 video.</w:t>
      </w:r>
    </w:p>
    <w:p>
      <w:pPr>
        <w:pStyle w:val="Heading2"/>
        <w:rPr/>
      </w:pPr>
      <w:bookmarkStart w:id="27" w:name="__RefHeading___Toc32311319"/>
      <w:bookmarkEnd w:id="27"/>
      <w:r>
        <w:rPr/>
        <w:t>4.6</w:t>
        <w:tab/>
        <w:t>XR Media Services</w:t>
      </w:r>
    </w:p>
    <w:p>
      <w:pPr>
        <w:pStyle w:val="Normal"/>
        <w:rPr/>
      </w:pPr>
      <w:r>
        <w:rPr/>
        <w:t>For details on XR Services including AR and VR, refer to 3GPP TR 26.928 [30].</w:t>
      </w:r>
    </w:p>
    <w:p>
      <w:pPr>
        <w:pStyle w:val="Heading1"/>
        <w:ind w:left="1134" w:hanging="1134"/>
        <w:rPr/>
      </w:pPr>
      <w:bookmarkStart w:id="28" w:name="__RefHeading___Toc32311320"/>
      <w:bookmarkEnd w:id="28"/>
      <w:r>
        <w:rPr/>
        <w:t>5</w:t>
        <w:tab/>
        <w:t>Typical current deployment characteristics</w:t>
      </w:r>
    </w:p>
    <w:p>
      <w:pPr>
        <w:pStyle w:val="Heading2"/>
        <w:rPr>
          <w:rFonts w:eastAsia="SimSun;宋体"/>
          <w:lang w:eastAsia="zh-CN"/>
        </w:rPr>
      </w:pPr>
      <w:bookmarkStart w:id="29" w:name="__RefHeading___Toc32311321"/>
      <w:bookmarkEnd w:id="29"/>
      <w:r>
        <w:rPr>
          <w:rFonts w:eastAsia="SimSun;宋体"/>
          <w:lang w:eastAsia="zh-CN"/>
        </w:rPr>
        <w:t>5.1</w:t>
        <w:tab/>
        <w:t>Typical streaming/broadcast video and audio bitrates</w:t>
      </w:r>
    </w:p>
    <w:p>
      <w:pPr>
        <w:pStyle w:val="Normal"/>
        <w:rPr>
          <w:rFonts w:eastAsia="SimSun;宋体"/>
          <w:lang w:eastAsia="zh-CN"/>
        </w:rPr>
      </w:pPr>
      <w:r>
        <w:rPr>
          <w:rFonts w:eastAsia="SimSun;宋体"/>
          <w:lang w:eastAsia="zh-CN"/>
        </w:rPr>
        <w:t>These figures are valid for both HDR/non-HDR video:</w:t>
      </w:r>
    </w:p>
    <w:p>
      <w:pPr>
        <w:pStyle w:val="B1"/>
        <w:rPr>
          <w:rFonts w:eastAsia="SimSun;宋体"/>
        </w:rPr>
      </w:pPr>
      <w:r>
        <w:rPr>
          <w:rFonts w:eastAsia="SimSun;宋体"/>
          <w:lang w:eastAsia="zh-CN"/>
        </w:rPr>
        <w:t>-</w:t>
        <w:tab/>
        <w:t>720p HD: 2 - 5 Mbps</w:t>
      </w:r>
    </w:p>
    <w:p>
      <w:pPr>
        <w:pStyle w:val="NO"/>
        <w:rPr>
          <w:rFonts w:eastAsia="SimSun;宋体"/>
          <w:lang w:eastAsia="zh-CN"/>
        </w:rPr>
      </w:pPr>
      <w:r>
        <w:rPr>
          <w:rFonts w:eastAsia="SimSun;宋体"/>
          <w:lang w:eastAsia="zh-CN"/>
        </w:rPr>
        <w:t xml:space="preserve">NOTE 1: </w:t>
        <w:tab/>
        <w:t>Today typically 3 Mbps for HEVC [15] and 5Mbps for AVC [14], but bitrate reductions expected with better encoding and coding tools. See Clause 6.1.2.</w:t>
      </w:r>
    </w:p>
    <w:p>
      <w:pPr>
        <w:pStyle w:val="B1"/>
        <w:rPr>
          <w:rFonts w:eastAsia="SimSun;宋体"/>
          <w:lang w:eastAsia="zh-CN"/>
        </w:rPr>
      </w:pPr>
      <w:r>
        <w:rPr>
          <w:rFonts w:eastAsia="SimSun;宋体"/>
          <w:lang w:eastAsia="zh-CN"/>
        </w:rPr>
        <w:t>-</w:t>
        <w:tab/>
        <w:t>Full HD: 3 - 12 Mbps</w:t>
      </w:r>
    </w:p>
    <w:p>
      <w:pPr>
        <w:pStyle w:val="NO"/>
        <w:rPr>
          <w:rFonts w:eastAsia="SimSun;宋体"/>
          <w:lang w:eastAsia="zh-CN"/>
        </w:rPr>
      </w:pPr>
      <w:r>
        <w:rPr>
          <w:rFonts w:eastAsia="SimSun;宋体"/>
          <w:lang w:eastAsia="zh-CN"/>
        </w:rPr>
        <w:t xml:space="preserve">NOTE 2: </w:t>
        <w:tab/>
        <w:t>Today typically 5-7 Mbps for HEVC [15] and 10-12 Mbps for AVC [14], but bitrate reductions expected with better encoding and coding tools. See Clause 6.1.2.</w:t>
      </w:r>
    </w:p>
    <w:p>
      <w:pPr>
        <w:pStyle w:val="B1"/>
        <w:rPr>
          <w:rFonts w:eastAsia="SimSun;宋体"/>
          <w:lang w:eastAsia="zh-CN"/>
        </w:rPr>
      </w:pPr>
      <w:r>
        <w:rPr>
          <w:rFonts w:eastAsia="SimSun;宋体"/>
          <w:lang w:eastAsia="zh-CN"/>
        </w:rPr>
        <w:t>-</w:t>
        <w:tab/>
        <w:t>4k UHD: 5- 25Mbps</w:t>
      </w:r>
    </w:p>
    <w:p>
      <w:pPr>
        <w:pStyle w:val="NO"/>
        <w:rPr>
          <w:rFonts w:eastAsia="SimSun;宋体"/>
          <w:lang w:eastAsia="zh-CN"/>
        </w:rPr>
      </w:pPr>
      <w:r>
        <w:rPr>
          <w:rFonts w:eastAsia="SimSun;宋体"/>
          <w:lang w:eastAsia="zh-CN"/>
        </w:rPr>
        <w:t>NOTE 3: today typically 8-16 Mbps for HEVC [15] and 15-25 Mbps for AVC [14], but bitrate reductions expected with better encoding and coding tools. See Clause 6.1.2.</w:t>
      </w:r>
    </w:p>
    <w:p>
      <w:pPr>
        <w:pStyle w:val="B1"/>
        <w:rPr>
          <w:rFonts w:eastAsia="SimSun;宋体"/>
          <w:lang w:eastAsia="zh-CN"/>
        </w:rPr>
      </w:pPr>
      <w:r>
        <w:rPr>
          <w:rFonts w:eastAsia="SimSun;宋体"/>
          <w:lang w:eastAsia="zh-CN"/>
        </w:rPr>
        <w:t>-</w:t>
        <w:tab/>
        <w:t>8k UHD: 20 - 80 Mbps</w:t>
      </w:r>
    </w:p>
    <w:p>
      <w:pPr>
        <w:pStyle w:val="NO"/>
        <w:rPr>
          <w:rFonts w:eastAsia="SimSun;宋体"/>
          <w:lang w:eastAsia="zh-CN"/>
        </w:rPr>
      </w:pPr>
      <w:r>
        <w:rPr>
          <w:rFonts w:eastAsia="SimSun;宋体"/>
          <w:lang w:eastAsia="zh-CN"/>
        </w:rPr>
        <w:t xml:space="preserve">NOTE 4: </w:t>
        <w:tab/>
        <w:t>Today typically up to 80 Mbps for HEVC [15], but bitrate reductions expected with better encoding and coding tools. See Clause 6.1.2.</w:t>
      </w:r>
    </w:p>
    <w:p>
      <w:pPr>
        <w:pStyle w:val="NO"/>
        <w:rPr>
          <w:rFonts w:eastAsia="SimSun;宋体"/>
          <w:lang w:eastAsia="zh-CN"/>
        </w:rPr>
      </w:pPr>
      <w:r>
        <w:rPr>
          <w:rFonts w:eastAsia="SimSun;宋体"/>
          <w:lang w:eastAsia="zh-CN"/>
        </w:rPr>
        <w:t xml:space="preserve">NOTE 5: </w:t>
        <w:tab/>
        <w:t>On 8k UHD: currently not specified in 3GPP TS 26.116. Bitrate figures are based on limited available deployment data.</w:t>
      </w:r>
    </w:p>
    <w:p>
      <w:pPr>
        <w:pStyle w:val="NO"/>
        <w:rPr>
          <w:rFonts w:eastAsia="SimSun;宋体"/>
          <w:lang w:eastAsia="zh-CN"/>
        </w:rPr>
      </w:pPr>
      <w:r>
        <w:rPr>
          <w:rFonts w:eastAsia="SimSun;宋体"/>
          <w:lang w:eastAsia="zh-CN"/>
        </w:rPr>
        <w:t>These figures apply for audio:</w:t>
      </w:r>
    </w:p>
    <w:p>
      <w:pPr>
        <w:pStyle w:val="B1"/>
        <w:rPr>
          <w:rFonts w:eastAsia="SimSun;宋体"/>
          <w:lang w:eastAsia="zh-CN"/>
        </w:rPr>
      </w:pPr>
      <w:r>
        <w:rPr>
          <w:rFonts w:eastAsia="SimSun;宋体"/>
          <w:lang w:eastAsia="zh-CN"/>
        </w:rPr>
        <w:t>-</w:t>
        <w:tab/>
        <w:t>Normal quality audio: mono/stereo: 24-48 kbps</w:t>
      </w:r>
    </w:p>
    <w:p>
      <w:pPr>
        <w:pStyle w:val="B1"/>
        <w:rPr/>
      </w:pPr>
      <w:r>
        <w:rPr>
          <w:rFonts w:eastAsia="SimSun;宋体"/>
          <w:lang w:eastAsia="zh-CN"/>
        </w:rPr>
        <w:t>-</w:t>
        <w:tab/>
        <w:t>High quality audio: mono/stereo/immersive 24-512 kbps</w:t>
      </w:r>
    </w:p>
    <w:p>
      <w:pPr>
        <w:pStyle w:val="B1"/>
        <w:rPr>
          <w:rFonts w:eastAsia="SimSun;宋体"/>
          <w:lang w:eastAsia="zh-CN"/>
        </w:rPr>
      </w:pPr>
      <w:r>
        <w:rPr>
          <w:rFonts w:eastAsia="SimSun;宋体"/>
          <w:lang w:eastAsia="zh-CN"/>
        </w:rPr>
        <w:t>-</w:t>
        <w:tab/>
        <w:t>Extreme quality audio: mono/stereo/immersive 512 kbps</w:t>
      </w:r>
    </w:p>
    <w:p>
      <w:pPr>
        <w:pStyle w:val="Heading2"/>
        <w:rPr>
          <w:rFonts w:eastAsia="SimSun;宋体"/>
          <w:lang w:eastAsia="zh-CN"/>
        </w:rPr>
      </w:pPr>
      <w:bookmarkStart w:id="30" w:name="__RefHeading___Toc32311322"/>
      <w:bookmarkEnd w:id="30"/>
      <w:r>
        <w:rPr>
          <w:rFonts w:eastAsia="SimSun;宋体"/>
          <w:lang w:eastAsia="zh-CN"/>
        </w:rPr>
        <w:t>5.2</w:t>
        <w:tab/>
        <w:t>Typical streaming/broadcast 360 VR bitrates</w:t>
      </w:r>
    </w:p>
    <w:p>
      <w:pPr>
        <w:pStyle w:val="Normal"/>
        <w:rPr>
          <w:rFonts w:eastAsia="SimSun;宋体"/>
          <w:lang w:eastAsia="zh-CN"/>
        </w:rPr>
      </w:pPr>
      <w:r>
        <w:rPr>
          <w:rFonts w:eastAsia="SimSun;宋体"/>
          <w:lang w:eastAsia="zh-CN"/>
        </w:rPr>
        <w:t>The following bitrates apply for streaming/broadcast 360 VR.</w:t>
      </w:r>
    </w:p>
    <w:p>
      <w:pPr>
        <w:pStyle w:val="B1"/>
        <w:rPr>
          <w:rFonts w:eastAsia="SimSun;宋体"/>
          <w:lang w:eastAsia="zh-CN"/>
        </w:rPr>
      </w:pPr>
      <w:r>
        <w:rPr>
          <w:rFonts w:eastAsia="SimSun;宋体"/>
          <w:lang w:eastAsia="zh-CN"/>
        </w:rPr>
        <w:t>-</w:t>
        <w:tab/>
        <w:t>Basic 360 VR: 2.5 - 25 Mbps</w:t>
      </w:r>
    </w:p>
    <w:p>
      <w:pPr>
        <w:pStyle w:val="NO"/>
        <w:rPr>
          <w:rFonts w:eastAsia="SimSun;宋体"/>
          <w:lang w:eastAsia="zh-CN"/>
        </w:rPr>
      </w:pPr>
      <w:r>
        <w:rPr>
          <w:rFonts w:eastAsia="SimSun;宋体"/>
          <w:lang w:eastAsia="zh-CN"/>
        </w:rPr>
        <w:t>NOTE 1: For viewport agnostic, the 4k UHD numbers apply. For viewport dependent, the bitrates likely can be reduced to half.</w:t>
      </w:r>
    </w:p>
    <w:p>
      <w:pPr>
        <w:pStyle w:val="B1"/>
        <w:rPr>
          <w:rFonts w:eastAsia="SimSun;宋体"/>
          <w:lang w:eastAsia="zh-CN"/>
        </w:rPr>
      </w:pPr>
      <w:r>
        <w:rPr>
          <w:rFonts w:eastAsia="SimSun;宋体"/>
          <w:lang w:eastAsia="zh-CN"/>
        </w:rPr>
        <w:t>-</w:t>
        <w:tab/>
        <w:t>HD 360 VR: 10 - 80 Mbps</w:t>
      </w:r>
    </w:p>
    <w:p>
      <w:pPr>
        <w:pStyle w:val="NO"/>
        <w:rPr>
          <w:rFonts w:eastAsia="SimSun;宋体"/>
          <w:lang w:eastAsia="zh-CN"/>
        </w:rPr>
      </w:pPr>
      <w:r>
        <w:rPr>
          <w:rFonts w:eastAsia="SimSun;宋体"/>
          <w:lang w:eastAsia="zh-CN"/>
        </w:rPr>
        <w:t>NOTE 2: For viewport agnostic, the 8k UHD numbers apply. For viewport dependent, the bitrates likely can be reduced to half.</w:t>
      </w:r>
    </w:p>
    <w:p>
      <w:pPr>
        <w:pStyle w:val="B1"/>
        <w:rPr>
          <w:rFonts w:eastAsia="SimSun;宋体"/>
          <w:lang w:eastAsia="zh-CN"/>
        </w:rPr>
      </w:pPr>
      <w:r>
        <w:rPr>
          <w:rFonts w:eastAsia="SimSun;宋体"/>
          <w:lang w:eastAsia="zh-CN"/>
        </w:rPr>
        <w:t>-</w:t>
        <w:tab/>
        <w:t>Retinal VR: 15 - 150 Mbps</w:t>
      </w:r>
    </w:p>
    <w:p>
      <w:pPr>
        <w:pStyle w:val="NO"/>
        <w:rPr/>
      </w:pPr>
      <w:r>
        <w:rPr>
          <w:rFonts w:eastAsia="SimSun;宋体"/>
          <w:lang w:eastAsia="zh-CN"/>
        </w:rPr>
        <w:t>NOTE 3: For viewport agnostic, the 8k UHD numbers multiplied by 4 apply. For viewport dependent, the bitrates likely can be reduced to half or even on third.</w:t>
      </w:r>
    </w:p>
    <w:p>
      <w:pPr>
        <w:pStyle w:val="NO"/>
        <w:rPr/>
      </w:pPr>
      <w:r>
        <w:rPr>
          <w:caps/>
        </w:rPr>
        <w:t>Note</w:t>
      </w:r>
      <w:r>
        <w:rPr/>
        <w:t xml:space="preserve"> 4 on framerates: cinema content is usually captured and distributed at 24 fps. TV content is usually captured and distributed at 50 or 60 fps depending on the region. The above video bitrates include frame rates of up to 60fps.</w:t>
      </w:r>
    </w:p>
    <w:p>
      <w:pPr>
        <w:pStyle w:val="NO"/>
        <w:rPr/>
      </w:pPr>
      <w:r>
        <w:rPr>
          <w:caps/>
        </w:rPr>
        <w:t>Note</w:t>
      </w:r>
      <w:r>
        <w:rPr/>
        <w:t xml:space="preserve"> 5 on bitrate ranges: the bitrates are dependent on codec (e.g. AVC/H.264 [14] or HEVC/H.265 </w:t>
      </w:r>
      <w:r>
        <w:rPr>
          <w:rFonts w:eastAsia="SimSun;宋体"/>
          <w:lang w:eastAsia="zh-CN"/>
        </w:rPr>
        <w:t>[15]</w:t>
      </w:r>
      <w:r>
        <w:rPr/>
        <w:t>), on content type and whether it is live or on-demand. Bitrates are expected to be reduced with expected encoder implementation enhancements and new codecs. In the past, that reduction has been observed to be in the order of 50 % every 10 years.</w:t>
      </w:r>
    </w:p>
    <w:p>
      <w:pPr>
        <w:pStyle w:val="Heading2"/>
        <w:rPr/>
      </w:pPr>
      <w:bookmarkStart w:id="31" w:name="__RefHeading___Toc32311323"/>
      <w:bookmarkEnd w:id="31"/>
      <w:r>
        <w:rPr>
          <w:rFonts w:eastAsia="SimSun;宋体"/>
          <w:lang w:eastAsia="zh-CN"/>
        </w:rPr>
        <w:t>5.3</w:t>
        <w:tab/>
        <w:t>Typical conversational speech/audio and video bitrates</w:t>
      </w:r>
    </w:p>
    <w:p>
      <w:pPr>
        <w:pStyle w:val="NO"/>
        <w:rPr/>
      </w:pPr>
      <w:r>
        <w:rPr/>
        <w:t>The following bitrates are typical in commercial services according to clause 4.3:</w:t>
      </w:r>
    </w:p>
    <w:p>
      <w:pPr>
        <w:pStyle w:val="B1"/>
        <w:rPr>
          <w:rFonts w:eastAsia="SimSun;宋体"/>
          <w:lang w:eastAsia="zh-CN"/>
        </w:rPr>
      </w:pPr>
      <w:r>
        <w:rPr>
          <w:rFonts w:eastAsia="SimSun;宋体"/>
          <w:lang w:eastAsia="zh-CN"/>
        </w:rPr>
        <w:t>-</w:t>
        <w:tab/>
        <w:t>Narrowband voice (mono): 7.2-13.2 kbps</w:t>
      </w:r>
    </w:p>
    <w:p>
      <w:pPr>
        <w:pStyle w:val="B1"/>
        <w:rPr>
          <w:rFonts w:eastAsia="SimSun;宋体"/>
          <w:lang w:eastAsia="zh-CN"/>
        </w:rPr>
      </w:pPr>
      <w:r>
        <w:rPr>
          <w:rFonts w:eastAsia="SimSun;宋体"/>
          <w:lang w:eastAsia="zh-CN"/>
        </w:rPr>
        <w:t>-</w:t>
        <w:tab/>
        <w:t>Wideband voice (mono): 7.2-24.4 kbps</w:t>
      </w:r>
    </w:p>
    <w:p>
      <w:pPr>
        <w:pStyle w:val="B1"/>
        <w:rPr>
          <w:rFonts w:eastAsia="SimSun;宋体"/>
          <w:lang w:eastAsia="zh-CN"/>
        </w:rPr>
      </w:pPr>
      <w:r>
        <w:rPr>
          <w:rFonts w:eastAsia="SimSun;宋体"/>
          <w:lang w:eastAsia="zh-CN"/>
        </w:rPr>
        <w:t>-</w:t>
        <w:tab/>
        <w:t>Super-wideband voice (mono): 9.6-24.4 kbps</w:t>
      </w:r>
    </w:p>
    <w:p>
      <w:pPr>
        <w:pStyle w:val="B1"/>
        <w:rPr>
          <w:rFonts w:eastAsia="SimSun;宋体"/>
          <w:lang w:eastAsia="zh-CN"/>
        </w:rPr>
      </w:pPr>
      <w:r>
        <w:rPr>
          <w:rFonts w:eastAsia="SimSun;宋体"/>
          <w:lang w:eastAsia="zh-CN"/>
        </w:rPr>
        <w:t>-</w:t>
        <w:tab/>
        <w:t>Fullband voice (mono): 16.4-[TBD] kbps</w:t>
      </w:r>
    </w:p>
    <w:p>
      <w:pPr>
        <w:pStyle w:val="NO"/>
        <w:rPr>
          <w:rFonts w:eastAsia="SimSun;宋体"/>
        </w:rPr>
      </w:pPr>
      <w:r>
        <w:rPr>
          <w:rFonts w:eastAsia="SimSun;宋体"/>
        </w:rPr>
        <w:t xml:space="preserve">NOTE: </w:t>
        <w:tab/>
        <w:t>Unlike NB, WB and SWB which all are audio bandwidths used in commercial networks, no FB usage has yet been seen for commercial conversational services.</w:t>
      </w:r>
    </w:p>
    <w:p>
      <w:pPr>
        <w:pStyle w:val="B1"/>
        <w:rPr>
          <w:rFonts w:eastAsia="SimSun;宋体"/>
          <w:lang w:eastAsia="zh-CN"/>
        </w:rPr>
      </w:pPr>
      <w:r>
        <w:rPr>
          <w:rFonts w:eastAsia="SimSun;宋体"/>
          <w:lang w:eastAsia="zh-CN"/>
        </w:rPr>
        <w:t>-</w:t>
        <w:tab/>
        <w:t>VGA video: 300 - 900 kbps</w:t>
      </w:r>
    </w:p>
    <w:p>
      <w:pPr>
        <w:pStyle w:val="B1"/>
        <w:rPr>
          <w:rFonts w:eastAsia="SimSun;宋体"/>
          <w:lang w:eastAsia="zh-CN"/>
        </w:rPr>
      </w:pPr>
      <w:r>
        <w:rPr>
          <w:rFonts w:eastAsia="SimSun;宋体"/>
          <w:lang w:eastAsia="zh-CN"/>
        </w:rPr>
        <w:t>-</w:t>
        <w:tab/>
        <w:t>720p HD video: 800 - 1500 kbps</w:t>
      </w:r>
    </w:p>
    <w:p>
      <w:pPr>
        <w:pStyle w:val="B1"/>
        <w:rPr>
          <w:rFonts w:eastAsia="SimSun;宋体"/>
          <w:lang w:eastAsia="zh-CN"/>
        </w:rPr>
      </w:pPr>
      <w:r>
        <w:rPr>
          <w:rFonts w:eastAsia="SimSun;宋体"/>
          <w:lang w:eastAsia="zh-CN"/>
        </w:rPr>
        <w:t>-</w:t>
        <w:tab/>
        <w:t>Telepresence video 1080p: 1500 - 3000 kbps</w:t>
      </w:r>
    </w:p>
    <w:p>
      <w:pPr>
        <w:pStyle w:val="Heading2"/>
        <w:rPr>
          <w:rFonts w:eastAsia="SimSun;宋体"/>
          <w:lang w:eastAsia="zh-CN"/>
        </w:rPr>
      </w:pPr>
      <w:bookmarkStart w:id="32" w:name="__RefHeading___Toc32311324"/>
      <w:bookmarkEnd w:id="32"/>
      <w:r>
        <w:rPr>
          <w:rFonts w:eastAsia="SimSun;宋体"/>
          <w:lang w:eastAsia="zh-CN"/>
        </w:rPr>
        <w:t>5.4</w:t>
        <w:tab/>
        <w:t>Typical uplink A/V streaming of A/V, including 360 VR content</w:t>
      </w:r>
    </w:p>
    <w:p>
      <w:pPr>
        <w:pStyle w:val="Heading3"/>
        <w:rPr>
          <w:rFonts w:eastAsia="SimSun;宋体"/>
          <w:lang w:eastAsia="zh-CN"/>
        </w:rPr>
      </w:pPr>
      <w:bookmarkStart w:id="33" w:name="__RefHeading___Toc32311325"/>
      <w:bookmarkEnd w:id="33"/>
      <w:r>
        <w:rPr>
          <w:rFonts w:eastAsia="SimSun;宋体"/>
          <w:lang w:eastAsia="zh-CN"/>
        </w:rPr>
        <w:t>5.4.1</w:t>
        <w:tab/>
        <w:t>Professional production content bitrates</w:t>
      </w:r>
    </w:p>
    <w:p>
      <w:pPr>
        <w:pStyle w:val="Normal"/>
        <w:rPr/>
      </w:pPr>
      <w:r>
        <w:rPr>
          <w:rFonts w:eastAsia="SimSun;宋体"/>
          <w:lang w:eastAsia="zh-CN"/>
        </w:rPr>
        <w:t>Table 5.4.1-1 lists common content formats from professional cameras that are output in uncompressed form over the SDI interface, and their corresponding bit rates:</w:t>
      </w:r>
    </w:p>
    <w:p>
      <w:pPr>
        <w:pStyle w:val="NO"/>
        <w:rPr>
          <w:rFonts w:eastAsia="SimSun;宋体"/>
          <w:lang w:eastAsia="zh-CN"/>
        </w:rPr>
      </w:pPr>
      <w:r>
        <w:rPr>
          <w:rFonts w:eastAsia="SimSun;宋体"/>
          <w:lang w:eastAsia="zh-CN"/>
        </w:rPr>
        <w:t>NOTE 1: The formal standard references are listed in table 5.4.1-1.</w:t>
      </w:r>
    </w:p>
    <w:p>
      <w:pPr>
        <w:pStyle w:val="NO"/>
        <w:rPr>
          <w:rFonts w:eastAsia="SimSun;宋体"/>
          <w:lang w:eastAsia="zh-CN"/>
        </w:rPr>
      </w:pPr>
      <w:r>
        <w:rPr>
          <w:rFonts w:eastAsia="SimSun;宋体"/>
          <w:lang w:eastAsia="zh-CN"/>
        </w:rPr>
        <w:t xml:space="preserve">NOTE 2: See also </w:t>
      </w:r>
      <w:r>
        <w:rPr/>
        <w:t>3GPP TR 22.827 [35].</w:t>
      </w:r>
    </w:p>
    <w:p>
      <w:pPr>
        <w:pStyle w:val="NO"/>
        <w:rPr>
          <w:rFonts w:eastAsia="SimSun;宋体"/>
          <w:lang w:eastAsia="zh-CN"/>
        </w:rPr>
      </w:pPr>
      <w:r>
        <w:rPr>
          <w:rFonts w:eastAsia="SimSun;宋体"/>
          <w:lang w:eastAsia="zh-CN"/>
        </w:rPr>
        <w:t xml:space="preserve">NOTE 3: </w:t>
        <w:tab/>
        <w:t xml:space="preserve">The SDI rates given below are for wired connections within professional production environments. </w:t>
      </w:r>
    </w:p>
    <w:p>
      <w:pPr>
        <w:pStyle w:val="TH"/>
        <w:rPr>
          <w:rFonts w:eastAsia="SimSun;宋体"/>
          <w:lang w:eastAsia="zh-CN"/>
        </w:rPr>
      </w:pPr>
      <w:r>
        <w:rPr>
          <w:rFonts w:eastAsia="SimSun;宋体"/>
          <w:lang w:eastAsia="zh-CN"/>
        </w:rPr>
        <w:t>Table 5.4.1-1: SDI interface, and their corresponding bit rates</w:t>
      </w:r>
    </w:p>
    <w:tbl>
      <w:tblPr>
        <w:tblW w:w="9342" w:type="dxa"/>
        <w:jc w:val="center"/>
        <w:tblInd w:w="0" w:type="dxa"/>
        <w:tblLayout w:type="fixed"/>
        <w:tblCellMar>
          <w:top w:w="108" w:type="dxa"/>
          <w:left w:w="0" w:type="dxa"/>
          <w:bottom w:w="108" w:type="dxa"/>
          <w:right w:w="108" w:type="dxa"/>
        </w:tblCellMar>
      </w:tblPr>
      <w:tblGrid>
        <w:gridCol w:w="2260"/>
        <w:gridCol w:w="2245"/>
        <w:gridCol w:w="2246"/>
        <w:gridCol w:w="2591"/>
      </w:tblGrid>
      <w:tr>
        <w:trPr/>
        <w:tc>
          <w:tcPr>
            <w:tcW w:w="2260" w:type="dxa"/>
            <w:tcBorders>
              <w:top w:val="single" w:sz="4" w:space="0" w:color="000000"/>
              <w:left w:val="single" w:sz="4" w:space="0" w:color="000000"/>
              <w:bottom w:val="single" w:sz="4" w:space="0" w:color="000000"/>
              <w:right w:val="single" w:sz="4" w:space="0" w:color="000000"/>
            </w:tcBorders>
            <w:vAlign w:val="center"/>
          </w:tcPr>
          <w:p>
            <w:pPr>
              <w:pStyle w:val="TAH"/>
              <w:rPr>
                <w:rFonts w:eastAsia="SimSun;宋体"/>
                <w:lang w:eastAsia="zh-CN"/>
              </w:rPr>
            </w:pPr>
            <w:r>
              <w:rPr>
                <w:rFonts w:eastAsia="SimSun;宋体"/>
                <w:lang w:eastAsia="zh-CN"/>
              </w:rPr>
              <w:t>Standard</w:t>
            </w:r>
          </w:p>
        </w:tc>
        <w:tc>
          <w:tcPr>
            <w:tcW w:w="2245" w:type="dxa"/>
            <w:tcBorders>
              <w:top w:val="single" w:sz="4" w:space="0" w:color="000000"/>
              <w:left w:val="single" w:sz="4" w:space="0" w:color="000000"/>
              <w:bottom w:val="single" w:sz="4" w:space="0" w:color="000000"/>
              <w:right w:val="single" w:sz="4" w:space="0" w:color="000000"/>
            </w:tcBorders>
            <w:tcMar>
              <w:left w:w="108" w:type="dxa"/>
            </w:tcMar>
            <w:vAlign w:val="center"/>
          </w:tcPr>
          <w:p>
            <w:pPr>
              <w:pStyle w:val="TAH"/>
              <w:rPr>
                <w:rFonts w:eastAsia="SimSun;宋体"/>
                <w:lang w:eastAsia="zh-CN"/>
              </w:rPr>
            </w:pPr>
            <w:r>
              <w:rPr>
                <w:rFonts w:eastAsia="SimSun;宋体"/>
                <w:lang w:eastAsia="zh-CN"/>
              </w:rPr>
              <w:t>Name</w:t>
            </w:r>
          </w:p>
        </w:tc>
        <w:tc>
          <w:tcPr>
            <w:tcW w:w="2246" w:type="dxa"/>
            <w:tcBorders>
              <w:top w:val="single" w:sz="4" w:space="0" w:color="000000"/>
              <w:left w:val="single" w:sz="4" w:space="0" w:color="000000"/>
              <w:bottom w:val="single" w:sz="4" w:space="0" w:color="000000"/>
              <w:right w:val="single" w:sz="4" w:space="0" w:color="000000"/>
            </w:tcBorders>
            <w:tcMar>
              <w:left w:w="108" w:type="dxa"/>
            </w:tcMar>
            <w:vAlign w:val="center"/>
          </w:tcPr>
          <w:p>
            <w:pPr>
              <w:pStyle w:val="TAH"/>
              <w:rPr>
                <w:rFonts w:eastAsia="SimSun;宋体"/>
                <w:lang w:eastAsia="zh-CN"/>
              </w:rPr>
            </w:pPr>
            <w:r>
              <w:rPr>
                <w:rFonts w:eastAsia="SimSun;宋体"/>
                <w:lang w:eastAsia="zh-CN"/>
              </w:rPr>
              <w:t>Bitrates</w:t>
            </w:r>
          </w:p>
        </w:tc>
        <w:tc>
          <w:tcPr>
            <w:tcW w:w="2591" w:type="dxa"/>
            <w:tcBorders>
              <w:top w:val="single" w:sz="4" w:space="0" w:color="000000"/>
              <w:left w:val="single" w:sz="4" w:space="0" w:color="000000"/>
              <w:bottom w:val="single" w:sz="4" w:space="0" w:color="000000"/>
              <w:right w:val="single" w:sz="4" w:space="0" w:color="000000"/>
            </w:tcBorders>
            <w:tcMar>
              <w:left w:w="108" w:type="dxa"/>
              <w:right w:w="0" w:type="dxa"/>
            </w:tcMar>
            <w:vAlign w:val="center"/>
          </w:tcPr>
          <w:p>
            <w:pPr>
              <w:pStyle w:val="TAH"/>
              <w:rPr>
                <w:rFonts w:eastAsia="SimSun;宋体"/>
                <w:lang w:eastAsia="zh-CN"/>
              </w:rPr>
            </w:pPr>
            <w:r>
              <w:rPr>
                <w:rFonts w:eastAsia="SimSun;宋体"/>
                <w:lang w:eastAsia="zh-CN"/>
              </w:rPr>
              <w:t>Example video formats</w:t>
            </w:r>
          </w:p>
        </w:tc>
      </w:tr>
      <w:tr>
        <w:trPr/>
        <w:tc>
          <w:tcPr>
            <w:tcW w:w="2260" w:type="dxa"/>
            <w:tcBorders>
              <w:top w:val="single" w:sz="4" w:space="0" w:color="000000"/>
              <w:left w:val="single" w:sz="4" w:space="0" w:color="000000"/>
              <w:bottom w:val="single" w:sz="4" w:space="0" w:color="000000"/>
              <w:right w:val="single" w:sz="4" w:space="0" w:color="000000"/>
            </w:tcBorders>
            <w:vAlign w:val="center"/>
          </w:tcPr>
          <w:p>
            <w:pPr>
              <w:pStyle w:val="TAL"/>
              <w:rPr>
                <w:rFonts w:eastAsia="SimSun;宋体"/>
                <w:lang w:eastAsia="zh-CN"/>
              </w:rPr>
            </w:pPr>
            <w:r>
              <w:rPr>
                <w:rFonts w:eastAsia="SimSun;宋体"/>
                <w:lang w:eastAsia="zh-CN"/>
              </w:rPr>
              <w:t>SMPTE 259M [31]</w:t>
            </w:r>
          </w:p>
        </w:tc>
        <w:tc>
          <w:tcPr>
            <w:tcW w:w="2245" w:type="dxa"/>
            <w:tcBorders>
              <w:top w:val="single" w:sz="4" w:space="0" w:color="000000"/>
              <w:left w:val="single" w:sz="4" w:space="0" w:color="000000"/>
              <w:bottom w:val="single" w:sz="4" w:space="0" w:color="000000"/>
              <w:right w:val="single" w:sz="4" w:space="0" w:color="000000"/>
            </w:tcBorders>
            <w:tcMar>
              <w:left w:w="108" w:type="dxa"/>
            </w:tcMar>
            <w:vAlign w:val="center"/>
          </w:tcPr>
          <w:p>
            <w:pPr>
              <w:pStyle w:val="TAL"/>
              <w:rPr>
                <w:rFonts w:eastAsia="SimSun;宋体"/>
                <w:lang w:eastAsia="zh-CN"/>
              </w:rPr>
            </w:pPr>
            <w:r>
              <w:rPr>
                <w:rFonts w:eastAsia="SimSun;宋体"/>
                <w:lang w:eastAsia="zh-CN"/>
              </w:rPr>
              <w:t>SD-SDI</w:t>
            </w:r>
          </w:p>
        </w:tc>
        <w:tc>
          <w:tcPr>
            <w:tcW w:w="2246" w:type="dxa"/>
            <w:tcBorders>
              <w:top w:val="single" w:sz="4" w:space="0" w:color="000000"/>
              <w:left w:val="single" w:sz="4" w:space="0" w:color="000000"/>
              <w:bottom w:val="single" w:sz="4" w:space="0" w:color="000000"/>
              <w:right w:val="single" w:sz="4" w:space="0" w:color="000000"/>
            </w:tcBorders>
            <w:tcMar>
              <w:left w:w="108" w:type="dxa"/>
            </w:tcMar>
            <w:vAlign w:val="center"/>
          </w:tcPr>
          <w:p>
            <w:pPr>
              <w:pStyle w:val="TAL"/>
              <w:rPr>
                <w:rFonts w:eastAsia="SimSun;宋体"/>
                <w:lang w:eastAsia="zh-CN"/>
              </w:rPr>
            </w:pPr>
            <w:r>
              <w:rPr>
                <w:rFonts w:eastAsia="SimSun;宋体"/>
                <w:lang w:eastAsia="zh-CN"/>
              </w:rPr>
              <w:t>270 Mbit/s, 360 Mbit/s, 143 Mbit/s, and 177 Mbit/s</w:t>
            </w:r>
          </w:p>
        </w:tc>
        <w:tc>
          <w:tcPr>
            <w:tcW w:w="2591" w:type="dxa"/>
            <w:tcBorders>
              <w:top w:val="single" w:sz="4" w:space="0" w:color="000000"/>
              <w:left w:val="single" w:sz="4" w:space="0" w:color="000000"/>
              <w:bottom w:val="single" w:sz="4" w:space="0" w:color="000000"/>
              <w:right w:val="single" w:sz="4" w:space="0" w:color="000000"/>
            </w:tcBorders>
            <w:tcMar>
              <w:left w:w="108" w:type="dxa"/>
              <w:right w:w="0" w:type="dxa"/>
            </w:tcMar>
            <w:vAlign w:val="center"/>
          </w:tcPr>
          <w:p>
            <w:pPr>
              <w:pStyle w:val="TAL"/>
              <w:rPr/>
            </w:pPr>
            <w:r>
              <w:rPr>
                <w:rFonts w:eastAsia="SimSun;宋体"/>
                <w:lang w:eastAsia="zh-CN"/>
              </w:rPr>
              <w:t>480i, 576i</w:t>
            </w:r>
          </w:p>
        </w:tc>
      </w:tr>
      <w:tr>
        <w:trPr/>
        <w:tc>
          <w:tcPr>
            <w:tcW w:w="2260" w:type="dxa"/>
            <w:tcBorders>
              <w:top w:val="single" w:sz="4" w:space="0" w:color="000000"/>
              <w:left w:val="single" w:sz="4" w:space="0" w:color="000000"/>
              <w:bottom w:val="single" w:sz="4" w:space="0" w:color="000000"/>
              <w:right w:val="single" w:sz="4" w:space="0" w:color="000000"/>
            </w:tcBorders>
            <w:vAlign w:val="center"/>
          </w:tcPr>
          <w:p>
            <w:pPr>
              <w:pStyle w:val="TAL"/>
              <w:rPr>
                <w:rFonts w:eastAsia="SimSun;宋体"/>
                <w:lang w:eastAsia="zh-CN"/>
              </w:rPr>
            </w:pPr>
            <w:r>
              <w:rPr>
                <w:rFonts w:eastAsia="SimSun;宋体"/>
                <w:lang w:eastAsia="zh-CN"/>
              </w:rPr>
              <w:t>SMPTE 344M [31]</w:t>
            </w:r>
          </w:p>
        </w:tc>
        <w:tc>
          <w:tcPr>
            <w:tcW w:w="2245" w:type="dxa"/>
            <w:tcBorders>
              <w:top w:val="single" w:sz="4" w:space="0" w:color="000000"/>
              <w:left w:val="single" w:sz="4" w:space="0" w:color="000000"/>
              <w:bottom w:val="single" w:sz="4" w:space="0" w:color="000000"/>
              <w:right w:val="single" w:sz="4" w:space="0" w:color="000000"/>
            </w:tcBorders>
            <w:tcMar>
              <w:left w:w="108" w:type="dxa"/>
            </w:tcMar>
            <w:vAlign w:val="center"/>
          </w:tcPr>
          <w:p>
            <w:pPr>
              <w:pStyle w:val="TAL"/>
              <w:rPr>
                <w:rFonts w:eastAsia="SimSun;宋体"/>
                <w:lang w:eastAsia="zh-CN"/>
              </w:rPr>
            </w:pPr>
            <w:r>
              <w:rPr>
                <w:rFonts w:eastAsia="SimSun;宋体"/>
                <w:lang w:eastAsia="zh-CN"/>
              </w:rPr>
              <w:t>ED-SDI</w:t>
            </w:r>
          </w:p>
        </w:tc>
        <w:tc>
          <w:tcPr>
            <w:tcW w:w="2246" w:type="dxa"/>
            <w:tcBorders>
              <w:top w:val="single" w:sz="4" w:space="0" w:color="000000"/>
              <w:left w:val="single" w:sz="4" w:space="0" w:color="000000"/>
              <w:bottom w:val="single" w:sz="4" w:space="0" w:color="000000"/>
              <w:right w:val="single" w:sz="4" w:space="0" w:color="000000"/>
            </w:tcBorders>
            <w:tcMar>
              <w:left w:w="108" w:type="dxa"/>
            </w:tcMar>
            <w:vAlign w:val="center"/>
          </w:tcPr>
          <w:p>
            <w:pPr>
              <w:pStyle w:val="TAL"/>
              <w:rPr>
                <w:rFonts w:eastAsia="SimSun;宋体"/>
                <w:lang w:eastAsia="zh-CN"/>
              </w:rPr>
            </w:pPr>
            <w:r>
              <w:rPr>
                <w:rFonts w:eastAsia="SimSun;宋体"/>
                <w:lang w:eastAsia="zh-CN"/>
              </w:rPr>
              <w:t>540 Mbit/s</w:t>
            </w:r>
          </w:p>
        </w:tc>
        <w:tc>
          <w:tcPr>
            <w:tcW w:w="2591" w:type="dxa"/>
            <w:tcBorders>
              <w:top w:val="single" w:sz="4" w:space="0" w:color="000000"/>
              <w:left w:val="single" w:sz="4" w:space="0" w:color="000000"/>
              <w:bottom w:val="single" w:sz="4" w:space="0" w:color="000000"/>
              <w:right w:val="single" w:sz="4" w:space="0" w:color="000000"/>
            </w:tcBorders>
            <w:tcMar>
              <w:left w:w="108" w:type="dxa"/>
              <w:right w:w="0" w:type="dxa"/>
            </w:tcMar>
            <w:vAlign w:val="center"/>
          </w:tcPr>
          <w:p>
            <w:pPr>
              <w:pStyle w:val="TAL"/>
              <w:rPr/>
            </w:pPr>
            <w:r>
              <w:rPr>
                <w:rFonts w:eastAsia="SimSun;宋体"/>
                <w:lang w:eastAsia="zh-CN"/>
              </w:rPr>
              <w:t>480p, 576p</w:t>
            </w:r>
          </w:p>
        </w:tc>
      </w:tr>
      <w:tr>
        <w:trPr/>
        <w:tc>
          <w:tcPr>
            <w:tcW w:w="2260" w:type="dxa"/>
            <w:tcBorders>
              <w:top w:val="single" w:sz="4" w:space="0" w:color="000000"/>
              <w:left w:val="single" w:sz="4" w:space="0" w:color="000000"/>
              <w:bottom w:val="single" w:sz="4" w:space="0" w:color="000000"/>
              <w:right w:val="single" w:sz="4" w:space="0" w:color="000000"/>
            </w:tcBorders>
            <w:vAlign w:val="center"/>
          </w:tcPr>
          <w:p>
            <w:pPr>
              <w:pStyle w:val="TAL"/>
              <w:rPr>
                <w:rFonts w:eastAsia="SimSun;宋体"/>
                <w:lang w:eastAsia="zh-CN"/>
              </w:rPr>
            </w:pPr>
            <w:r>
              <w:rPr>
                <w:rFonts w:eastAsia="SimSun;宋体"/>
                <w:lang w:eastAsia="zh-CN"/>
              </w:rPr>
              <w:t>SMPTE 292M [31]</w:t>
            </w:r>
          </w:p>
        </w:tc>
        <w:tc>
          <w:tcPr>
            <w:tcW w:w="2245" w:type="dxa"/>
            <w:tcBorders>
              <w:top w:val="single" w:sz="4" w:space="0" w:color="000000"/>
              <w:left w:val="single" w:sz="4" w:space="0" w:color="000000"/>
              <w:bottom w:val="single" w:sz="4" w:space="0" w:color="000000"/>
              <w:right w:val="single" w:sz="4" w:space="0" w:color="000000"/>
            </w:tcBorders>
            <w:tcMar>
              <w:left w:w="108" w:type="dxa"/>
            </w:tcMar>
            <w:vAlign w:val="center"/>
          </w:tcPr>
          <w:p>
            <w:pPr>
              <w:pStyle w:val="TAL"/>
              <w:rPr>
                <w:rFonts w:eastAsia="SimSun;宋体"/>
                <w:lang w:eastAsia="zh-CN"/>
              </w:rPr>
            </w:pPr>
            <w:r>
              <w:rPr>
                <w:rFonts w:eastAsia="SimSun;宋体"/>
                <w:lang w:eastAsia="zh-CN"/>
              </w:rPr>
              <w:t>HD-SDI</w:t>
            </w:r>
          </w:p>
        </w:tc>
        <w:tc>
          <w:tcPr>
            <w:tcW w:w="2246" w:type="dxa"/>
            <w:tcBorders>
              <w:top w:val="single" w:sz="4" w:space="0" w:color="000000"/>
              <w:left w:val="single" w:sz="4" w:space="0" w:color="000000"/>
              <w:bottom w:val="single" w:sz="4" w:space="0" w:color="000000"/>
              <w:right w:val="single" w:sz="4" w:space="0" w:color="000000"/>
            </w:tcBorders>
            <w:tcMar>
              <w:left w:w="108" w:type="dxa"/>
            </w:tcMar>
            <w:vAlign w:val="center"/>
          </w:tcPr>
          <w:p>
            <w:pPr>
              <w:pStyle w:val="TAL"/>
              <w:rPr/>
            </w:pPr>
            <w:r>
              <w:rPr>
                <w:rFonts w:eastAsia="SimSun;宋体"/>
                <w:lang w:eastAsia="zh-CN"/>
              </w:rPr>
              <w:t>1.485 Gbit/s, and 1.485/1.001 Gbit/s</w:t>
            </w:r>
          </w:p>
        </w:tc>
        <w:tc>
          <w:tcPr>
            <w:tcW w:w="2591" w:type="dxa"/>
            <w:tcBorders>
              <w:top w:val="single" w:sz="4" w:space="0" w:color="000000"/>
              <w:left w:val="single" w:sz="4" w:space="0" w:color="000000"/>
              <w:bottom w:val="single" w:sz="4" w:space="0" w:color="000000"/>
              <w:right w:val="single" w:sz="4" w:space="0" w:color="000000"/>
            </w:tcBorders>
            <w:tcMar>
              <w:left w:w="108" w:type="dxa"/>
              <w:right w:w="0" w:type="dxa"/>
            </w:tcMar>
            <w:vAlign w:val="center"/>
          </w:tcPr>
          <w:p>
            <w:pPr>
              <w:pStyle w:val="TAL"/>
              <w:rPr/>
            </w:pPr>
            <w:r>
              <w:rPr>
                <w:rFonts w:eastAsia="SimSun;宋体"/>
                <w:lang w:eastAsia="zh-CN"/>
              </w:rPr>
              <w:t>720p, 1080i</w:t>
            </w:r>
          </w:p>
        </w:tc>
      </w:tr>
      <w:tr>
        <w:trPr/>
        <w:tc>
          <w:tcPr>
            <w:tcW w:w="2260" w:type="dxa"/>
            <w:tcBorders>
              <w:top w:val="single" w:sz="4" w:space="0" w:color="000000"/>
              <w:left w:val="single" w:sz="4" w:space="0" w:color="000000"/>
              <w:bottom w:val="single" w:sz="4" w:space="0" w:color="000000"/>
              <w:right w:val="single" w:sz="4" w:space="0" w:color="000000"/>
            </w:tcBorders>
            <w:vAlign w:val="center"/>
          </w:tcPr>
          <w:p>
            <w:pPr>
              <w:pStyle w:val="TAL"/>
              <w:rPr>
                <w:rFonts w:eastAsia="SimSun;宋体"/>
                <w:lang w:eastAsia="zh-CN"/>
              </w:rPr>
            </w:pPr>
            <w:r>
              <w:rPr>
                <w:rFonts w:eastAsia="SimSun;宋体"/>
                <w:lang w:eastAsia="zh-CN"/>
              </w:rPr>
              <w:t>SMPTE 372M [31]</w:t>
            </w:r>
          </w:p>
        </w:tc>
        <w:tc>
          <w:tcPr>
            <w:tcW w:w="2245" w:type="dxa"/>
            <w:tcBorders>
              <w:top w:val="single" w:sz="4" w:space="0" w:color="000000"/>
              <w:left w:val="single" w:sz="4" w:space="0" w:color="000000"/>
              <w:bottom w:val="single" w:sz="4" w:space="0" w:color="000000"/>
              <w:right w:val="single" w:sz="4" w:space="0" w:color="000000"/>
            </w:tcBorders>
            <w:tcMar>
              <w:left w:w="108" w:type="dxa"/>
            </w:tcMar>
            <w:vAlign w:val="center"/>
          </w:tcPr>
          <w:p>
            <w:pPr>
              <w:pStyle w:val="TAL"/>
              <w:rPr/>
            </w:pPr>
            <w:r>
              <w:rPr>
                <w:rFonts w:eastAsia="SimSun;宋体"/>
                <w:lang w:eastAsia="zh-CN"/>
              </w:rPr>
              <w:t>Dual Link HD-SDI</w:t>
            </w:r>
          </w:p>
        </w:tc>
        <w:tc>
          <w:tcPr>
            <w:tcW w:w="2246" w:type="dxa"/>
            <w:tcBorders>
              <w:top w:val="single" w:sz="4" w:space="0" w:color="000000"/>
              <w:left w:val="single" w:sz="4" w:space="0" w:color="000000"/>
              <w:bottom w:val="single" w:sz="4" w:space="0" w:color="000000"/>
              <w:right w:val="single" w:sz="4" w:space="0" w:color="000000"/>
            </w:tcBorders>
            <w:tcMar>
              <w:left w:w="108" w:type="dxa"/>
            </w:tcMar>
            <w:vAlign w:val="center"/>
          </w:tcPr>
          <w:p>
            <w:pPr>
              <w:pStyle w:val="TAL"/>
              <w:rPr/>
            </w:pPr>
            <w:r>
              <w:rPr>
                <w:rFonts w:eastAsia="SimSun;宋体"/>
                <w:lang w:eastAsia="zh-CN"/>
              </w:rPr>
              <w:t>2.970 Gbit/s, and 2.970/1.001 Gbit/s</w:t>
            </w:r>
          </w:p>
        </w:tc>
        <w:tc>
          <w:tcPr>
            <w:tcW w:w="2591" w:type="dxa"/>
            <w:tcBorders>
              <w:top w:val="single" w:sz="4" w:space="0" w:color="000000"/>
              <w:left w:val="single" w:sz="4" w:space="0" w:color="000000"/>
              <w:bottom w:val="single" w:sz="4" w:space="0" w:color="000000"/>
              <w:right w:val="single" w:sz="4" w:space="0" w:color="000000"/>
            </w:tcBorders>
            <w:tcMar>
              <w:left w:w="108" w:type="dxa"/>
              <w:right w:w="0" w:type="dxa"/>
            </w:tcMar>
            <w:vAlign w:val="center"/>
          </w:tcPr>
          <w:p>
            <w:pPr>
              <w:pStyle w:val="TAL"/>
              <w:rPr>
                <w:rFonts w:eastAsia="SimSun;宋体"/>
                <w:lang w:eastAsia="zh-CN"/>
              </w:rPr>
            </w:pPr>
            <w:r>
              <w:rPr>
                <w:rFonts w:eastAsia="SimSun;宋体"/>
                <w:lang w:eastAsia="zh-CN"/>
              </w:rPr>
              <w:t>1080p60</w:t>
            </w:r>
          </w:p>
        </w:tc>
      </w:tr>
      <w:tr>
        <w:trPr/>
        <w:tc>
          <w:tcPr>
            <w:tcW w:w="2260" w:type="dxa"/>
            <w:tcBorders>
              <w:top w:val="single" w:sz="4" w:space="0" w:color="000000"/>
              <w:left w:val="single" w:sz="4" w:space="0" w:color="000000"/>
              <w:bottom w:val="single" w:sz="4" w:space="0" w:color="000000"/>
              <w:right w:val="single" w:sz="4" w:space="0" w:color="000000"/>
            </w:tcBorders>
            <w:vAlign w:val="center"/>
          </w:tcPr>
          <w:p>
            <w:pPr>
              <w:pStyle w:val="TAL"/>
              <w:rPr>
                <w:rFonts w:eastAsia="SimSun;宋体"/>
                <w:lang w:eastAsia="zh-CN"/>
              </w:rPr>
            </w:pPr>
            <w:r>
              <w:rPr>
                <w:rFonts w:eastAsia="SimSun;宋体"/>
                <w:lang w:eastAsia="zh-CN"/>
              </w:rPr>
              <w:t>SMPTE 424M [31]</w:t>
            </w:r>
          </w:p>
        </w:tc>
        <w:tc>
          <w:tcPr>
            <w:tcW w:w="2245" w:type="dxa"/>
            <w:tcBorders>
              <w:top w:val="single" w:sz="4" w:space="0" w:color="000000"/>
              <w:left w:val="single" w:sz="4" w:space="0" w:color="000000"/>
              <w:bottom w:val="single" w:sz="4" w:space="0" w:color="000000"/>
              <w:right w:val="single" w:sz="4" w:space="0" w:color="000000"/>
            </w:tcBorders>
            <w:tcMar>
              <w:left w:w="108" w:type="dxa"/>
            </w:tcMar>
            <w:vAlign w:val="center"/>
          </w:tcPr>
          <w:p>
            <w:pPr>
              <w:pStyle w:val="TAL"/>
              <w:rPr/>
            </w:pPr>
            <w:r>
              <w:rPr>
                <w:rFonts w:eastAsia="SimSun;宋体"/>
                <w:lang w:eastAsia="zh-CN"/>
              </w:rPr>
              <w:t>3G-SDI</w:t>
            </w:r>
          </w:p>
        </w:tc>
        <w:tc>
          <w:tcPr>
            <w:tcW w:w="2246" w:type="dxa"/>
            <w:tcBorders>
              <w:top w:val="single" w:sz="4" w:space="0" w:color="000000"/>
              <w:left w:val="single" w:sz="4" w:space="0" w:color="000000"/>
              <w:bottom w:val="single" w:sz="4" w:space="0" w:color="000000"/>
              <w:right w:val="single" w:sz="4" w:space="0" w:color="000000"/>
            </w:tcBorders>
            <w:tcMar>
              <w:left w:w="108" w:type="dxa"/>
            </w:tcMar>
            <w:vAlign w:val="center"/>
          </w:tcPr>
          <w:p>
            <w:pPr>
              <w:pStyle w:val="TAL"/>
              <w:rPr/>
            </w:pPr>
            <w:r>
              <w:rPr>
                <w:rFonts w:eastAsia="SimSun;宋体"/>
                <w:lang w:eastAsia="zh-CN"/>
              </w:rPr>
              <w:t>2.970 Gbit/s, and 2.970/1.001 Gbit/s</w:t>
            </w:r>
          </w:p>
        </w:tc>
        <w:tc>
          <w:tcPr>
            <w:tcW w:w="2591" w:type="dxa"/>
            <w:tcBorders>
              <w:top w:val="single" w:sz="4" w:space="0" w:color="000000"/>
              <w:left w:val="single" w:sz="4" w:space="0" w:color="000000"/>
              <w:bottom w:val="single" w:sz="4" w:space="0" w:color="000000"/>
              <w:right w:val="single" w:sz="4" w:space="0" w:color="000000"/>
            </w:tcBorders>
            <w:tcMar>
              <w:left w:w="108" w:type="dxa"/>
              <w:right w:w="0" w:type="dxa"/>
            </w:tcMar>
            <w:vAlign w:val="center"/>
          </w:tcPr>
          <w:p>
            <w:pPr>
              <w:pStyle w:val="TAL"/>
              <w:rPr>
                <w:rFonts w:eastAsia="SimSun;宋体"/>
                <w:lang w:eastAsia="zh-CN"/>
              </w:rPr>
            </w:pPr>
            <w:r>
              <w:rPr>
                <w:rFonts w:eastAsia="SimSun;宋体"/>
                <w:lang w:eastAsia="zh-CN"/>
              </w:rPr>
              <w:t>1080p60</w:t>
            </w:r>
          </w:p>
        </w:tc>
      </w:tr>
      <w:tr>
        <w:trPr/>
        <w:tc>
          <w:tcPr>
            <w:tcW w:w="2260" w:type="dxa"/>
            <w:tcBorders>
              <w:top w:val="single" w:sz="4" w:space="0" w:color="000000"/>
              <w:left w:val="single" w:sz="4" w:space="0" w:color="000000"/>
              <w:bottom w:val="single" w:sz="4" w:space="0" w:color="000000"/>
              <w:right w:val="single" w:sz="4" w:space="0" w:color="000000"/>
            </w:tcBorders>
            <w:vAlign w:val="center"/>
          </w:tcPr>
          <w:p>
            <w:pPr>
              <w:pStyle w:val="TAL"/>
              <w:rPr>
                <w:rFonts w:eastAsia="SimSun;宋体"/>
                <w:lang w:eastAsia="zh-CN"/>
              </w:rPr>
            </w:pPr>
            <w:r>
              <w:rPr>
                <w:rFonts w:eastAsia="SimSun;宋体"/>
                <w:lang w:eastAsia="zh-CN"/>
              </w:rPr>
              <w:t>SMPTE ST-2081 [32]</w:t>
            </w:r>
          </w:p>
        </w:tc>
        <w:tc>
          <w:tcPr>
            <w:tcW w:w="2245" w:type="dxa"/>
            <w:tcBorders>
              <w:top w:val="single" w:sz="4" w:space="0" w:color="000000"/>
              <w:left w:val="single" w:sz="4" w:space="0" w:color="000000"/>
              <w:bottom w:val="single" w:sz="4" w:space="0" w:color="000000"/>
              <w:right w:val="single" w:sz="4" w:space="0" w:color="000000"/>
            </w:tcBorders>
            <w:tcMar>
              <w:left w:w="108" w:type="dxa"/>
            </w:tcMar>
            <w:vAlign w:val="center"/>
          </w:tcPr>
          <w:p>
            <w:pPr>
              <w:pStyle w:val="TAL"/>
              <w:rPr>
                <w:rFonts w:eastAsia="SimSun;宋体"/>
                <w:lang w:eastAsia="zh-CN"/>
              </w:rPr>
            </w:pPr>
            <w:r>
              <w:rPr>
                <w:rFonts w:eastAsia="SimSun;宋体"/>
                <w:lang w:eastAsia="zh-CN"/>
              </w:rPr>
              <w:t>6G-SDI</w:t>
            </w:r>
          </w:p>
        </w:tc>
        <w:tc>
          <w:tcPr>
            <w:tcW w:w="2246" w:type="dxa"/>
            <w:tcBorders>
              <w:top w:val="single" w:sz="4" w:space="0" w:color="000000"/>
              <w:left w:val="single" w:sz="4" w:space="0" w:color="000000"/>
              <w:bottom w:val="single" w:sz="4" w:space="0" w:color="000000"/>
              <w:right w:val="single" w:sz="4" w:space="0" w:color="000000"/>
            </w:tcBorders>
            <w:tcMar>
              <w:left w:w="108" w:type="dxa"/>
            </w:tcMar>
            <w:vAlign w:val="center"/>
          </w:tcPr>
          <w:p>
            <w:pPr>
              <w:pStyle w:val="TAL"/>
              <w:rPr/>
            </w:pPr>
            <w:r>
              <w:rPr>
                <w:rFonts w:eastAsia="SimSun;宋体"/>
                <w:lang w:eastAsia="zh-CN"/>
              </w:rPr>
              <w:t>6 Gbit/s</w:t>
            </w:r>
          </w:p>
        </w:tc>
        <w:tc>
          <w:tcPr>
            <w:tcW w:w="2591" w:type="dxa"/>
            <w:tcBorders>
              <w:top w:val="single" w:sz="4" w:space="0" w:color="000000"/>
              <w:left w:val="single" w:sz="4" w:space="0" w:color="000000"/>
              <w:bottom w:val="single" w:sz="4" w:space="0" w:color="000000"/>
              <w:right w:val="single" w:sz="4" w:space="0" w:color="000000"/>
            </w:tcBorders>
            <w:tcMar>
              <w:left w:w="108" w:type="dxa"/>
              <w:right w:w="0" w:type="dxa"/>
            </w:tcMar>
            <w:vAlign w:val="center"/>
          </w:tcPr>
          <w:p>
            <w:pPr>
              <w:pStyle w:val="TAL"/>
              <w:rPr>
                <w:rFonts w:eastAsia="SimSun;宋体"/>
                <w:lang w:eastAsia="zh-CN"/>
              </w:rPr>
            </w:pPr>
            <w:r>
              <w:rPr>
                <w:rFonts w:eastAsia="SimSun;宋体"/>
                <w:lang w:eastAsia="zh-CN"/>
              </w:rPr>
              <w:t>2160p30</w:t>
            </w:r>
          </w:p>
        </w:tc>
      </w:tr>
      <w:tr>
        <w:trPr/>
        <w:tc>
          <w:tcPr>
            <w:tcW w:w="2260" w:type="dxa"/>
            <w:tcBorders>
              <w:top w:val="single" w:sz="4" w:space="0" w:color="000000"/>
              <w:left w:val="single" w:sz="4" w:space="0" w:color="000000"/>
              <w:bottom w:val="single" w:sz="4" w:space="0" w:color="000000"/>
              <w:right w:val="single" w:sz="4" w:space="0" w:color="000000"/>
            </w:tcBorders>
            <w:vAlign w:val="center"/>
          </w:tcPr>
          <w:p>
            <w:pPr>
              <w:pStyle w:val="TAL"/>
              <w:rPr>
                <w:rFonts w:eastAsia="SimSun;宋体"/>
                <w:lang w:eastAsia="zh-CN"/>
              </w:rPr>
            </w:pPr>
            <w:r>
              <w:rPr>
                <w:rFonts w:eastAsia="SimSun;宋体"/>
                <w:lang w:eastAsia="zh-CN"/>
              </w:rPr>
              <w:t>SMPTE ST-2082 [33]</w:t>
            </w:r>
          </w:p>
        </w:tc>
        <w:tc>
          <w:tcPr>
            <w:tcW w:w="2245" w:type="dxa"/>
            <w:tcBorders>
              <w:top w:val="single" w:sz="4" w:space="0" w:color="000000"/>
              <w:left w:val="single" w:sz="4" w:space="0" w:color="000000"/>
              <w:bottom w:val="single" w:sz="4" w:space="0" w:color="000000"/>
              <w:right w:val="single" w:sz="4" w:space="0" w:color="000000"/>
            </w:tcBorders>
            <w:tcMar>
              <w:left w:w="108" w:type="dxa"/>
            </w:tcMar>
            <w:vAlign w:val="center"/>
          </w:tcPr>
          <w:p>
            <w:pPr>
              <w:pStyle w:val="TAL"/>
              <w:rPr>
                <w:rFonts w:eastAsia="SimSun;宋体"/>
                <w:lang w:eastAsia="zh-CN"/>
              </w:rPr>
            </w:pPr>
            <w:r>
              <w:rPr>
                <w:rFonts w:eastAsia="SimSun;宋体"/>
                <w:lang w:eastAsia="zh-CN"/>
              </w:rPr>
              <w:t>12G-SDI</w:t>
            </w:r>
          </w:p>
        </w:tc>
        <w:tc>
          <w:tcPr>
            <w:tcW w:w="2246" w:type="dxa"/>
            <w:tcBorders>
              <w:top w:val="single" w:sz="4" w:space="0" w:color="000000"/>
              <w:left w:val="single" w:sz="4" w:space="0" w:color="000000"/>
              <w:bottom w:val="single" w:sz="4" w:space="0" w:color="000000"/>
              <w:right w:val="single" w:sz="4" w:space="0" w:color="000000"/>
            </w:tcBorders>
            <w:tcMar>
              <w:left w:w="108" w:type="dxa"/>
            </w:tcMar>
            <w:vAlign w:val="center"/>
          </w:tcPr>
          <w:p>
            <w:pPr>
              <w:pStyle w:val="TAL"/>
              <w:rPr>
                <w:rFonts w:eastAsia="SimSun;宋体"/>
                <w:lang w:eastAsia="zh-CN"/>
              </w:rPr>
            </w:pPr>
            <w:r>
              <w:rPr>
                <w:rFonts w:eastAsia="SimSun;宋体"/>
                <w:lang w:eastAsia="zh-CN"/>
              </w:rPr>
              <w:t>12 Gbit/s</w:t>
            </w:r>
          </w:p>
        </w:tc>
        <w:tc>
          <w:tcPr>
            <w:tcW w:w="2591" w:type="dxa"/>
            <w:tcBorders>
              <w:top w:val="single" w:sz="4" w:space="0" w:color="000000"/>
              <w:left w:val="single" w:sz="4" w:space="0" w:color="000000"/>
              <w:bottom w:val="single" w:sz="4" w:space="0" w:color="000000"/>
              <w:right w:val="single" w:sz="4" w:space="0" w:color="000000"/>
            </w:tcBorders>
            <w:tcMar>
              <w:left w:w="108" w:type="dxa"/>
              <w:right w:w="0" w:type="dxa"/>
            </w:tcMar>
            <w:vAlign w:val="center"/>
          </w:tcPr>
          <w:p>
            <w:pPr>
              <w:pStyle w:val="TAL"/>
              <w:rPr/>
            </w:pPr>
            <w:r>
              <w:rPr>
                <w:rFonts w:eastAsia="SimSun;宋体"/>
                <w:lang w:eastAsia="zh-CN"/>
              </w:rPr>
              <w:t>2160p60</w:t>
            </w:r>
          </w:p>
        </w:tc>
      </w:tr>
      <w:tr>
        <w:trPr/>
        <w:tc>
          <w:tcPr>
            <w:tcW w:w="2260" w:type="dxa"/>
            <w:tcBorders>
              <w:top w:val="single" w:sz="4" w:space="0" w:color="000000"/>
              <w:left w:val="single" w:sz="4" w:space="0" w:color="000000"/>
              <w:bottom w:val="single" w:sz="4" w:space="0" w:color="000000"/>
              <w:right w:val="single" w:sz="4" w:space="0" w:color="000000"/>
            </w:tcBorders>
            <w:vAlign w:val="center"/>
          </w:tcPr>
          <w:p>
            <w:pPr>
              <w:pStyle w:val="TAL"/>
              <w:rPr>
                <w:rFonts w:eastAsia="SimSun;宋体"/>
                <w:lang w:eastAsia="zh-CN"/>
              </w:rPr>
            </w:pPr>
            <w:r>
              <w:rPr>
                <w:rFonts w:eastAsia="SimSun;宋体"/>
                <w:lang w:eastAsia="zh-CN"/>
              </w:rPr>
              <w:t>SMPTE ST-2083 [34]</w:t>
            </w:r>
          </w:p>
        </w:tc>
        <w:tc>
          <w:tcPr>
            <w:tcW w:w="2245" w:type="dxa"/>
            <w:tcBorders>
              <w:top w:val="single" w:sz="4" w:space="0" w:color="000000"/>
              <w:left w:val="single" w:sz="4" w:space="0" w:color="000000"/>
              <w:bottom w:val="single" w:sz="4" w:space="0" w:color="000000"/>
              <w:right w:val="single" w:sz="4" w:space="0" w:color="000000"/>
            </w:tcBorders>
            <w:tcMar>
              <w:left w:w="108" w:type="dxa"/>
            </w:tcMar>
            <w:vAlign w:val="center"/>
          </w:tcPr>
          <w:p>
            <w:pPr>
              <w:pStyle w:val="TAL"/>
              <w:rPr>
                <w:rFonts w:eastAsia="SimSun;宋体"/>
                <w:lang w:eastAsia="zh-CN"/>
              </w:rPr>
            </w:pPr>
            <w:r>
              <w:rPr>
                <w:rFonts w:eastAsia="SimSun;宋体"/>
                <w:lang w:eastAsia="zh-CN"/>
              </w:rPr>
              <w:t>24G-SDI</w:t>
            </w:r>
          </w:p>
        </w:tc>
        <w:tc>
          <w:tcPr>
            <w:tcW w:w="2246" w:type="dxa"/>
            <w:tcBorders>
              <w:top w:val="single" w:sz="4" w:space="0" w:color="000000"/>
              <w:left w:val="single" w:sz="4" w:space="0" w:color="000000"/>
              <w:bottom w:val="single" w:sz="4" w:space="0" w:color="000000"/>
              <w:right w:val="single" w:sz="4" w:space="0" w:color="000000"/>
            </w:tcBorders>
            <w:tcMar>
              <w:left w:w="108" w:type="dxa"/>
            </w:tcMar>
            <w:vAlign w:val="center"/>
          </w:tcPr>
          <w:p>
            <w:pPr>
              <w:pStyle w:val="TAL"/>
              <w:rPr>
                <w:rFonts w:eastAsia="SimSun;宋体"/>
                <w:lang w:eastAsia="zh-CN"/>
              </w:rPr>
            </w:pPr>
            <w:r>
              <w:rPr>
                <w:rFonts w:eastAsia="SimSun;宋体"/>
                <w:lang w:eastAsia="zh-CN"/>
              </w:rPr>
              <w:t>24 Gbit/s</w:t>
            </w:r>
          </w:p>
        </w:tc>
        <w:tc>
          <w:tcPr>
            <w:tcW w:w="2591" w:type="dxa"/>
            <w:tcBorders>
              <w:top w:val="single" w:sz="4" w:space="0" w:color="000000"/>
              <w:left w:val="single" w:sz="4" w:space="0" w:color="000000"/>
              <w:bottom w:val="single" w:sz="4" w:space="0" w:color="000000"/>
              <w:right w:val="single" w:sz="4" w:space="0" w:color="000000"/>
            </w:tcBorders>
            <w:tcMar>
              <w:left w:w="108" w:type="dxa"/>
              <w:right w:w="0" w:type="dxa"/>
            </w:tcMar>
            <w:vAlign w:val="center"/>
          </w:tcPr>
          <w:p>
            <w:pPr>
              <w:pStyle w:val="TAL"/>
              <w:rPr/>
            </w:pPr>
            <w:r>
              <w:rPr>
                <w:rFonts w:eastAsia="SimSun;宋体"/>
                <w:lang w:eastAsia="zh-CN"/>
              </w:rPr>
              <w:t>2160p/4k@120,8k@60</w:t>
            </w:r>
          </w:p>
        </w:tc>
      </w:tr>
    </w:tbl>
    <w:p>
      <w:pPr>
        <w:pStyle w:val="Normal"/>
        <w:rPr>
          <w:rFonts w:eastAsia="SimSun;宋体"/>
          <w:lang w:eastAsia="zh-CN"/>
        </w:rPr>
      </w:pPr>
      <w:r>
        <w:rPr>
          <w:rFonts w:eastAsia="SimSun;宋体"/>
          <w:lang w:eastAsia="zh-CN"/>
        </w:rPr>
      </w:r>
    </w:p>
    <w:p>
      <w:pPr>
        <w:pStyle w:val="Normal"/>
        <w:rPr>
          <w:rFonts w:eastAsia="SimSun;宋体"/>
          <w:lang w:eastAsia="zh-CN"/>
        </w:rPr>
      </w:pPr>
      <w:r>
        <w:rPr>
          <w:rFonts w:eastAsia="SimSun;宋体"/>
          <w:lang w:eastAsia="zh-CN"/>
        </w:rPr>
        <w:t>SMPTE ST 2110 [12] can support transport of compressed or uncompressed streams from cameras with the resolutions above. According to [13], in case of uncompressed streams, the video rates for YCbCr 4:2:2 10b format can be derived as follows.</w:t>
      </w:r>
    </w:p>
    <w:p>
      <w:pPr>
        <w:pStyle w:val="TH"/>
        <w:rPr/>
      </w:pPr>
      <w:r>
        <w:rPr>
          <w:rFonts w:eastAsia="SimSun;宋体"/>
          <w:lang w:eastAsia="zh-CN"/>
        </w:rPr>
        <w:t>Table 5.4.1-2: ST 2110 Video uncompres</w:t>
      </w:r>
      <w:r>
        <w:rPr/>
        <w:t>sed streams bitrates</w:t>
      </w:r>
    </w:p>
    <w:tbl>
      <w:tblPr>
        <w:tblW w:w="6520" w:type="dxa"/>
        <w:jc w:val="center"/>
        <w:tblInd w:w="0" w:type="dxa"/>
        <w:tblLayout w:type="fixed"/>
        <w:tblCellMar>
          <w:top w:w="0" w:type="dxa"/>
          <w:left w:w="108" w:type="dxa"/>
          <w:bottom w:w="0" w:type="dxa"/>
          <w:right w:w="108" w:type="dxa"/>
        </w:tblCellMar>
      </w:tblPr>
      <w:tblGrid>
        <w:gridCol w:w="3260"/>
        <w:gridCol w:w="3260"/>
      </w:tblGrid>
      <w:tr>
        <w:trPr/>
        <w:tc>
          <w:tcPr>
            <w:tcW w:w="3260" w:type="dxa"/>
            <w:tcBorders>
              <w:top w:val="single" w:sz="4" w:space="0" w:color="000000"/>
              <w:left w:val="single" w:sz="4" w:space="0" w:color="000000"/>
              <w:bottom w:val="single" w:sz="4" w:space="0" w:color="000000"/>
              <w:right w:val="single" w:sz="4" w:space="0" w:color="000000"/>
            </w:tcBorders>
          </w:tcPr>
          <w:p>
            <w:pPr>
              <w:pStyle w:val="TAH"/>
              <w:rPr>
                <w:lang w:eastAsia="zh-CN"/>
              </w:rPr>
            </w:pPr>
            <w:r>
              <w:rPr>
                <w:lang w:eastAsia="zh-CN"/>
              </w:rPr>
              <w:t>Format</w:t>
            </w:r>
          </w:p>
        </w:tc>
        <w:tc>
          <w:tcPr>
            <w:tcW w:w="3260" w:type="dxa"/>
            <w:tcBorders>
              <w:top w:val="single" w:sz="4" w:space="0" w:color="000000"/>
              <w:left w:val="single" w:sz="4" w:space="0" w:color="000000"/>
              <w:bottom w:val="single" w:sz="4" w:space="0" w:color="000000"/>
              <w:right w:val="single" w:sz="4" w:space="0" w:color="000000"/>
            </w:tcBorders>
          </w:tcPr>
          <w:p>
            <w:pPr>
              <w:pStyle w:val="TAH"/>
              <w:rPr>
                <w:rFonts w:ascii="Calibri" w:hAnsi="Calibri" w:cs="Calibri"/>
                <w:sz w:val="22"/>
                <w:szCs w:val="22"/>
                <w:lang w:eastAsia="zh-CN"/>
              </w:rPr>
            </w:pPr>
            <w:r>
              <w:rPr>
                <w:lang w:eastAsia="zh-CN"/>
              </w:rPr>
              <w:t>Corresponding ST 2110 Video uncompressed bitrate (</w:t>
            </w:r>
            <w:r>
              <w:rPr/>
              <w:t>YCbCr 4:2:2 10b</w:t>
            </w:r>
            <w:r>
              <w:rPr>
                <w:lang w:eastAsia="zh-CN"/>
              </w:rPr>
              <w:t>) [12] in Gbps</w:t>
            </w:r>
          </w:p>
        </w:tc>
      </w:tr>
      <w:tr>
        <w:trPr/>
        <w:tc>
          <w:tcPr>
            <w:tcW w:w="3260"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480p30, 576p25</w:t>
            </w:r>
          </w:p>
        </w:tc>
        <w:tc>
          <w:tcPr>
            <w:tcW w:w="3260"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0.221</w:t>
            </w:r>
          </w:p>
        </w:tc>
      </w:tr>
      <w:tr>
        <w:trPr/>
        <w:tc>
          <w:tcPr>
            <w:tcW w:w="3260"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720p50/60</w:t>
            </w:r>
          </w:p>
        </w:tc>
        <w:tc>
          <w:tcPr>
            <w:tcW w:w="3260"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0.982 / 1.178</w:t>
            </w:r>
          </w:p>
        </w:tc>
      </w:tr>
      <w:tr>
        <w:trPr/>
        <w:tc>
          <w:tcPr>
            <w:tcW w:w="3260"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1080p50/60</w:t>
            </w:r>
          </w:p>
        </w:tc>
        <w:tc>
          <w:tcPr>
            <w:tcW w:w="3260"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2.210 / 2.650</w:t>
            </w:r>
          </w:p>
        </w:tc>
      </w:tr>
      <w:tr>
        <w:trPr/>
        <w:tc>
          <w:tcPr>
            <w:tcW w:w="3260"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2160p50/60</w:t>
            </w:r>
          </w:p>
        </w:tc>
        <w:tc>
          <w:tcPr>
            <w:tcW w:w="3260"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8.842 / 10.600</w:t>
            </w:r>
          </w:p>
        </w:tc>
      </w:tr>
      <w:tr>
        <w:trPr/>
        <w:tc>
          <w:tcPr>
            <w:tcW w:w="3260"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 xml:space="preserve">2160p100 (4K) </w:t>
            </w:r>
          </w:p>
        </w:tc>
        <w:tc>
          <w:tcPr>
            <w:tcW w:w="3260"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17.684</w:t>
            </w:r>
          </w:p>
        </w:tc>
      </w:tr>
      <w:tr>
        <w:trPr/>
        <w:tc>
          <w:tcPr>
            <w:tcW w:w="3260"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4320p50/60/100 (8K)</w:t>
            </w:r>
          </w:p>
        </w:tc>
        <w:tc>
          <w:tcPr>
            <w:tcW w:w="3260"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36.103 / 43.280 / 72.206</w:t>
            </w:r>
          </w:p>
        </w:tc>
      </w:tr>
    </w:tbl>
    <w:p>
      <w:pPr>
        <w:pStyle w:val="Normal"/>
        <w:rPr>
          <w:rFonts w:eastAsia="SimSun;宋体"/>
          <w:lang w:eastAsia="zh-CN"/>
        </w:rPr>
      </w:pPr>
      <w:r>
        <w:rPr>
          <w:rFonts w:eastAsia="SimSun;宋体"/>
          <w:lang w:eastAsia="zh-CN"/>
        </w:rPr>
      </w:r>
    </w:p>
    <w:p>
      <w:pPr>
        <w:pStyle w:val="Normal"/>
        <w:rPr/>
      </w:pPr>
      <w:r>
        <w:rPr>
          <w:rFonts w:eastAsia="SimSun;宋体"/>
          <w:lang w:eastAsia="zh-CN"/>
        </w:rPr>
        <w:t>Audio uncompressed channels come in addition, but their bitrates are some magnitude smaller than uncompressed video.</w:t>
      </w:r>
    </w:p>
    <w:p>
      <w:pPr>
        <w:pStyle w:val="Normal"/>
        <w:rPr/>
      </w:pPr>
      <w:r>
        <w:rPr>
          <w:rFonts w:eastAsia="SimSun;宋体"/>
          <w:lang w:eastAsia="zh-CN"/>
        </w:rPr>
        <w:t>Light compression can also be used for such production environments using for example VC-2 (ST 2042-1:2017 - SMPTE Standard - VC-2 Video Compression) [36] which is typically used with a coding ratio of 4:1 and MJ2 - Motion JPEG 2000 (ISO/IEC IS 15444-3 | ITU-T T.802)[37] which is typically used with a coding ratio of 6:1.</w:t>
      </w:r>
    </w:p>
    <w:p>
      <w:pPr>
        <w:pStyle w:val="Normal"/>
        <w:rPr>
          <w:rFonts w:eastAsia="SimSun;宋体"/>
          <w:lang w:eastAsia="zh-CN"/>
        </w:rPr>
      </w:pPr>
      <w:r>
        <w:rPr>
          <w:rFonts w:eastAsia="SimSun;宋体"/>
          <w:lang w:eastAsia="zh-CN"/>
        </w:rPr>
        <w:t>Compression is used for portable cameras equipped with wireless (Wireless LAN and 4G LTE) modules. The bitrates are 9, 6, 3, 2Mbps for up to 720p@60fps and 9, 6, 3 Mbps for 1080@30fps with AVC/H.264 [14].</w:t>
      </w:r>
    </w:p>
    <w:p>
      <w:pPr>
        <w:pStyle w:val="Heading3"/>
        <w:rPr>
          <w:rFonts w:eastAsia="SimSun;宋体"/>
          <w:lang w:eastAsia="zh-CN"/>
        </w:rPr>
      </w:pPr>
      <w:bookmarkStart w:id="34" w:name="__RefHeading___Toc32311326"/>
      <w:bookmarkEnd w:id="34"/>
      <w:r>
        <w:rPr>
          <w:rFonts w:eastAsia="SimSun;宋体"/>
          <w:lang w:eastAsia="zh-CN"/>
        </w:rPr>
        <w:t>5.4.2</w:t>
        <w:tab/>
        <w:t>Live uplink contribution professional content bitrates</w:t>
      </w:r>
    </w:p>
    <w:p>
      <w:pPr>
        <w:pStyle w:val="Normal"/>
        <w:rPr>
          <w:rFonts w:eastAsia="SimSun;宋体"/>
          <w:lang w:eastAsia="zh-CN"/>
        </w:rPr>
      </w:pPr>
      <w:r>
        <w:rPr>
          <w:rFonts w:eastAsia="SimSun;宋体"/>
          <w:lang w:eastAsia="zh-CN"/>
        </w:rPr>
        <w:t>Contribution feeds as seen in real deployed systems:</w:t>
      </w:r>
    </w:p>
    <w:p>
      <w:pPr>
        <w:pStyle w:val="B1"/>
        <w:rPr>
          <w:rFonts w:eastAsia="SimSun;宋体"/>
          <w:lang w:eastAsia="zh-CN"/>
        </w:rPr>
      </w:pPr>
      <w:r>
        <w:rPr>
          <w:rFonts w:eastAsia="SimSun;宋体"/>
          <w:lang w:eastAsia="zh-CN"/>
        </w:rPr>
        <w:t>-</w:t>
        <w:tab/>
        <w:t xml:space="preserve">80 Mbps 422 10 bits for HD @60fps  </w:t>
      </w:r>
    </w:p>
    <w:p>
      <w:pPr>
        <w:pStyle w:val="B1"/>
        <w:rPr>
          <w:rFonts w:eastAsia="SimSun;宋体"/>
          <w:lang w:eastAsia="zh-CN"/>
        </w:rPr>
      </w:pPr>
      <w:r>
        <w:rPr>
          <w:rFonts w:eastAsia="SimSun;宋体"/>
          <w:lang w:eastAsia="zh-CN"/>
        </w:rPr>
        <w:t>-</w:t>
        <w:tab/>
        <w:t>165 Mbps 422 10 bits for UHD (4K, AVC/H.264 [14]) @60fps</w:t>
      </w:r>
    </w:p>
    <w:p>
      <w:pPr>
        <w:pStyle w:val="B1"/>
        <w:rPr/>
      </w:pPr>
      <w:r>
        <w:rPr>
          <w:rFonts w:eastAsia="SimSun;宋体"/>
          <w:lang w:eastAsia="zh-CN"/>
        </w:rPr>
        <w:t>-</w:t>
        <w:tab/>
        <w:t>120 Mbps 422 10 bits for UHD (4K, HEVC/H.265 [15]) @60fps</w:t>
      </w:r>
    </w:p>
    <w:p>
      <w:pPr>
        <w:pStyle w:val="B1"/>
        <w:rPr/>
      </w:pPr>
      <w:r>
        <w:rPr>
          <w:rFonts w:eastAsia="SimSun;宋体"/>
          <w:lang w:eastAsia="zh-CN"/>
        </w:rPr>
        <w:t>-</w:t>
        <w:tab/>
        <w:t>Normal quality 360 VR: [TBD 96 Mbps]</w:t>
      </w:r>
    </w:p>
    <w:p>
      <w:pPr>
        <w:pStyle w:val="B1"/>
        <w:rPr/>
      </w:pPr>
      <w:r>
        <w:rPr>
          <w:rFonts w:eastAsia="SimSun;宋体"/>
          <w:lang w:eastAsia="zh-CN"/>
        </w:rPr>
        <w:t>-</w:t>
        <w:tab/>
        <w:t>High quality 360 VR: [TBD 140 Mbps]</w:t>
      </w:r>
    </w:p>
    <w:p>
      <w:pPr>
        <w:pStyle w:val="NO"/>
        <w:rPr>
          <w:rFonts w:eastAsia="SimSun;宋体"/>
          <w:lang w:eastAsia="zh-CN"/>
        </w:rPr>
      </w:pPr>
      <w:r>
        <w:rPr>
          <w:rFonts w:eastAsia="SimSun;宋体"/>
          <w:lang w:eastAsia="zh-CN"/>
        </w:rPr>
        <w:t xml:space="preserve">NOTE 1: </w:t>
        <w:tab/>
        <w:t>The above video profiles include frame rates of up to 60fps.</w:t>
      </w:r>
    </w:p>
    <w:p>
      <w:pPr>
        <w:pStyle w:val="B1"/>
        <w:rPr>
          <w:rFonts w:eastAsia="SimSun;宋体"/>
          <w:lang w:eastAsia="zh-CN"/>
        </w:rPr>
      </w:pPr>
      <w:r>
        <w:rPr>
          <w:rFonts w:eastAsia="SimSun;宋体"/>
          <w:lang w:eastAsia="zh-CN"/>
        </w:rPr>
        <w:t>-</w:t>
        <w:tab/>
        <w:t>Broadcast auxiliary services (e.g. electronic news gathering) according to Recommendation ITU-R BT.1872-3 [9]:21-35 Mbps for HD TV (AVC/H.264 [14])</w:t>
      </w:r>
    </w:p>
    <w:p>
      <w:pPr>
        <w:pStyle w:val="B1"/>
        <w:rPr>
          <w:rFonts w:eastAsia="SimSun;宋体"/>
          <w:lang w:eastAsia="zh-CN"/>
        </w:rPr>
      </w:pPr>
      <w:r>
        <w:rPr>
          <w:rFonts w:eastAsia="SimSun;宋体"/>
          <w:lang w:eastAsia="zh-CN"/>
        </w:rPr>
        <w:t>-</w:t>
        <w:tab/>
        <w:t>18-30 Mbps for HD TV (HEVC/H.265 [15])</w:t>
      </w:r>
    </w:p>
    <w:p>
      <w:pPr>
        <w:pStyle w:val="B1"/>
        <w:rPr>
          <w:rFonts w:eastAsia="SimSun;宋体"/>
          <w:lang w:eastAsia="zh-CN"/>
        </w:rPr>
      </w:pPr>
      <w:r>
        <w:rPr>
          <w:rFonts w:eastAsia="SimSun;宋体"/>
          <w:lang w:eastAsia="zh-CN"/>
        </w:rPr>
        <w:t>-</w:t>
        <w:tab/>
        <w:t>96-145 Mbps for UHD TV (4K, HEVC/H.265 [15])</w:t>
      </w:r>
    </w:p>
    <w:p>
      <w:pPr>
        <w:pStyle w:val="B1"/>
        <w:rPr>
          <w:rFonts w:eastAsia="SimSun;宋体"/>
          <w:lang w:eastAsia="zh-CN"/>
        </w:rPr>
      </w:pPr>
      <w:r>
        <w:rPr>
          <w:rFonts w:eastAsia="SimSun;宋体"/>
          <w:lang w:eastAsia="zh-CN"/>
        </w:rPr>
        <w:t>-</w:t>
        <w:tab/>
        <w:t>140-285 Mbps for UHD TV (8K, HEVC/H.265 [15])</w:t>
      </w:r>
    </w:p>
    <w:p>
      <w:pPr>
        <w:pStyle w:val="B1"/>
        <w:rPr>
          <w:rFonts w:eastAsia="SimSun;宋体"/>
          <w:lang w:eastAsia="zh-CN"/>
        </w:rPr>
      </w:pPr>
      <w:r>
        <w:rPr>
          <w:rFonts w:eastAsia="SimSun;宋体"/>
          <w:lang w:eastAsia="zh-CN"/>
        </w:rPr>
        <w:t>-</w:t>
        <w:tab/>
        <w:t>Compressed audio: 96-180 kbps per channel</w:t>
      </w:r>
    </w:p>
    <w:p>
      <w:pPr>
        <w:pStyle w:val="B1"/>
        <w:rPr>
          <w:rFonts w:eastAsia="SimSun;宋体"/>
          <w:lang w:eastAsia="zh-CN"/>
        </w:rPr>
      </w:pPr>
      <w:r>
        <w:rPr>
          <w:rFonts w:eastAsia="SimSun;宋体"/>
          <w:lang w:eastAsia="zh-CN"/>
        </w:rPr>
        <w:t>-</w:t>
        <w:tab/>
        <w:t>Uncompressed audio: 768-1152 kbps per channel</w:t>
      </w:r>
    </w:p>
    <w:p>
      <w:pPr>
        <w:pStyle w:val="NO"/>
        <w:rPr>
          <w:rFonts w:eastAsia="SimSun;宋体"/>
          <w:lang w:eastAsia="zh-CN"/>
        </w:rPr>
      </w:pPr>
      <w:r>
        <w:rPr>
          <w:rFonts w:eastAsia="SimSun;宋体"/>
          <w:lang w:eastAsia="zh-CN"/>
        </w:rPr>
        <w:t xml:space="preserve">NOTE 2: </w:t>
        <w:tab/>
        <w:t>The lower video rates from BT.1872-3 concern a single codec while the higher rates have headroom for 3 coding steps in tandem.</w:t>
      </w:r>
    </w:p>
    <w:p>
      <w:pPr>
        <w:pStyle w:val="Heading3"/>
        <w:rPr/>
      </w:pPr>
      <w:bookmarkStart w:id="35" w:name="__RefHeading___Toc32311327"/>
      <w:bookmarkEnd w:id="35"/>
      <w:r>
        <w:rPr/>
        <w:t>5.4.3</w:t>
        <w:tab/>
        <w:t>User generated content</w:t>
      </w:r>
    </w:p>
    <w:p>
      <w:pPr>
        <w:pStyle w:val="NO"/>
        <w:ind w:left="0" w:hanging="0"/>
        <w:rPr/>
      </w:pPr>
      <w:r>
        <w:rPr/>
        <w:t>The following bitrates are typical for user generated content:</w:t>
      </w:r>
    </w:p>
    <w:p>
      <w:pPr>
        <w:pStyle w:val="B1"/>
        <w:rPr>
          <w:rFonts w:eastAsia="SimSun;宋体"/>
          <w:lang w:eastAsia="zh-CN"/>
        </w:rPr>
      </w:pPr>
      <w:r>
        <w:rPr>
          <w:rFonts w:eastAsia="SimSun;宋体"/>
          <w:lang w:eastAsia="zh-CN"/>
        </w:rPr>
        <w:t>-</w:t>
        <w:tab/>
        <w:t>720p HD: 3 - 10 Mbps</w:t>
      </w:r>
    </w:p>
    <w:p>
      <w:pPr>
        <w:pStyle w:val="NO"/>
        <w:rPr>
          <w:rFonts w:eastAsia="SimSun;宋体"/>
          <w:lang w:eastAsia="zh-CN"/>
        </w:rPr>
      </w:pPr>
      <w:r>
        <w:rPr>
          <w:rFonts w:eastAsia="SimSun;宋体"/>
          <w:lang w:eastAsia="zh-CN"/>
        </w:rPr>
        <w:t>NOTE 1: Today typically 5-10 Mbps for AVC [14] depending on frame rate and dynamic range, but bitrate reductions expected with better encoding and coding tools. See Clause 6.1.2.</w:t>
      </w:r>
    </w:p>
    <w:p>
      <w:pPr>
        <w:pStyle w:val="B1"/>
        <w:rPr>
          <w:rFonts w:eastAsia="SimSun;宋体"/>
          <w:lang w:eastAsia="zh-CN"/>
        </w:rPr>
      </w:pPr>
      <w:r>
        <w:rPr>
          <w:rFonts w:eastAsia="SimSun;宋体"/>
          <w:lang w:eastAsia="zh-CN"/>
        </w:rPr>
        <w:t>-</w:t>
        <w:tab/>
        <w:t>Full HD: 5 - 15 Mbps</w:t>
      </w:r>
    </w:p>
    <w:p>
      <w:pPr>
        <w:pStyle w:val="NO"/>
        <w:rPr>
          <w:rFonts w:eastAsia="SimSun;宋体"/>
          <w:lang w:eastAsia="zh-CN"/>
        </w:rPr>
      </w:pPr>
      <w:r>
        <w:rPr>
          <w:rFonts w:eastAsia="SimSun;宋体"/>
          <w:lang w:eastAsia="zh-CN"/>
        </w:rPr>
        <w:t>NOTE 2: Today typically 8-15 Mbps for AVC [14], but bitrate reductions expected with better encoding and coding tools. See Clause 6.1.2.</w:t>
      </w:r>
    </w:p>
    <w:p>
      <w:pPr>
        <w:pStyle w:val="B1"/>
        <w:rPr>
          <w:rFonts w:eastAsia="SimSun;宋体"/>
          <w:lang w:eastAsia="zh-CN"/>
        </w:rPr>
      </w:pPr>
      <w:r>
        <w:rPr>
          <w:rFonts w:eastAsia="SimSun;宋体"/>
          <w:lang w:eastAsia="zh-CN"/>
        </w:rPr>
        <w:t>-</w:t>
        <w:tab/>
        <w:t>4k UHD: 10 - 85 Mbps</w:t>
      </w:r>
    </w:p>
    <w:p>
      <w:pPr>
        <w:pStyle w:val="NO"/>
        <w:rPr>
          <w:rFonts w:eastAsia="SimSun;宋体"/>
          <w:lang w:eastAsia="zh-CN"/>
        </w:rPr>
      </w:pPr>
      <w:r>
        <w:rPr>
          <w:rFonts w:eastAsia="SimSun;宋体"/>
          <w:lang w:eastAsia="zh-CN"/>
        </w:rPr>
        <w:t>NOTE 3: Today typically 8-16 Mbps for HEVC [15] and 15-25 Mbps for AVC [14], but bitrate reductions expected with better encoding and coding tools. See Clause 6.1.2.</w:t>
      </w:r>
    </w:p>
    <w:p>
      <w:pPr>
        <w:pStyle w:val="B1"/>
        <w:rPr>
          <w:rFonts w:eastAsia="SimSun;宋体"/>
          <w:lang w:eastAsia="zh-CN"/>
        </w:rPr>
      </w:pPr>
      <w:r>
        <w:rPr>
          <w:rFonts w:eastAsia="SimSun;宋体"/>
          <w:lang w:eastAsia="zh-CN"/>
        </w:rPr>
        <w:t>-</w:t>
        <w:tab/>
        <w:t>8k UHD: 20 - 150 Mbps</w:t>
      </w:r>
    </w:p>
    <w:p>
      <w:pPr>
        <w:pStyle w:val="NO"/>
        <w:rPr>
          <w:rFonts w:eastAsia="SimSun;宋体"/>
          <w:lang w:eastAsia="zh-CN"/>
        </w:rPr>
      </w:pPr>
      <w:r>
        <w:rPr>
          <w:rFonts w:eastAsia="SimSun;宋体"/>
          <w:lang w:eastAsia="zh-CN"/>
        </w:rPr>
        <w:t>NOTE 4: No information is available today, but the numbers are extrapolated from 4K by multiplying with a factor 4.</w:t>
      </w:r>
    </w:p>
    <w:p>
      <w:pPr>
        <w:pStyle w:val="B1"/>
        <w:rPr>
          <w:rFonts w:eastAsia="SimSun;宋体"/>
          <w:lang w:eastAsia="zh-CN"/>
        </w:rPr>
      </w:pPr>
      <w:r>
        <w:rPr>
          <w:rFonts w:eastAsia="SimSun;宋体"/>
          <w:lang w:eastAsia="zh-CN"/>
        </w:rPr>
        <w:t>-</w:t>
        <w:tab/>
        <w:t>Basic 360 VR: the numbers for 4k UHD apply</w:t>
      </w:r>
    </w:p>
    <w:p>
      <w:pPr>
        <w:pStyle w:val="B1"/>
        <w:rPr>
          <w:rFonts w:eastAsia="SimSun;宋体"/>
          <w:lang w:eastAsia="zh-CN"/>
        </w:rPr>
      </w:pPr>
      <w:r>
        <w:rPr>
          <w:rFonts w:eastAsia="SimSun;宋体"/>
          <w:lang w:eastAsia="zh-CN"/>
        </w:rPr>
        <w:t>-</w:t>
        <w:tab/>
        <w:t>HD 360 VR: the numbers for 8k UHD apply</w:t>
      </w:r>
    </w:p>
    <w:p>
      <w:pPr>
        <w:pStyle w:val="B1"/>
        <w:rPr>
          <w:rFonts w:eastAsia="SimSun;宋体"/>
          <w:lang w:eastAsia="zh-CN"/>
        </w:rPr>
      </w:pPr>
      <w:r>
        <w:rPr>
          <w:rFonts w:eastAsia="SimSun;宋体"/>
          <w:lang w:eastAsia="zh-CN"/>
        </w:rPr>
        <w:t>-</w:t>
        <w:tab/>
        <w:t>Retinal VR: this is roughly 16k as expected, so a factor 4 to 8k UHD is applicable, i.e. 40-300 Mbps</w:t>
      </w:r>
    </w:p>
    <w:p>
      <w:pPr>
        <w:pStyle w:val="B1"/>
        <w:rPr>
          <w:rFonts w:eastAsia="SimSun;宋体"/>
          <w:lang w:eastAsia="zh-CN"/>
        </w:rPr>
      </w:pPr>
      <w:r>
        <w:rPr>
          <w:rFonts w:eastAsia="SimSun;宋体"/>
          <w:lang w:eastAsia="zh-CN"/>
        </w:rPr>
        <w:t>-</w:t>
        <w:tab/>
        <w:t>Normal quality audio: 24.4kbps/channel</w:t>
      </w:r>
    </w:p>
    <w:p>
      <w:pPr>
        <w:pStyle w:val="NO"/>
        <w:rPr>
          <w:rFonts w:eastAsia="SimSun;宋体"/>
          <w:lang w:eastAsia="zh-CN"/>
        </w:rPr>
      </w:pPr>
      <w:r>
        <w:rPr>
          <w:rFonts w:eastAsia="SimSun;宋体"/>
          <w:lang w:eastAsia="zh-CN"/>
        </w:rPr>
        <w:t>NOTE 5: Super-wideband 3GPP audio codecs may be used.</w:t>
      </w:r>
    </w:p>
    <w:p>
      <w:pPr>
        <w:pStyle w:val="B1"/>
        <w:rPr>
          <w:rFonts w:eastAsia="SimSun;宋体"/>
          <w:lang w:eastAsia="zh-CN"/>
        </w:rPr>
      </w:pPr>
      <w:r>
        <w:rPr>
          <w:rFonts w:eastAsia="SimSun;宋体"/>
          <w:lang w:eastAsia="zh-CN"/>
        </w:rPr>
        <w:t>-</w:t>
        <w:tab/>
        <w:t xml:space="preserve">High quality audio: 128kbps/channel </w:t>
      </w:r>
    </w:p>
    <w:p>
      <w:pPr>
        <w:pStyle w:val="NO"/>
        <w:rPr>
          <w:rFonts w:eastAsia="SimSun;宋体"/>
          <w:lang w:eastAsia="zh-CN"/>
        </w:rPr>
      </w:pPr>
      <w:r>
        <w:rPr>
          <w:rFonts w:eastAsia="SimSun;宋体"/>
          <w:lang w:eastAsia="zh-CN"/>
        </w:rPr>
        <w:t>NOTE 6 on user generated content: the video bitrate ranges are wide as user generated content may have different quality expectations including semi-professional content.</w:t>
      </w:r>
    </w:p>
    <w:p>
      <w:pPr>
        <w:pStyle w:val="Heading2"/>
        <w:rPr/>
      </w:pPr>
      <w:bookmarkStart w:id="36" w:name="__RefHeading___Toc32311328"/>
      <w:bookmarkEnd w:id="36"/>
      <w:r>
        <w:rPr/>
        <w:t>5.5</w:t>
        <w:tab/>
        <w:t>Typical Traffic Characteristics for Cloud gaming</w:t>
      </w:r>
    </w:p>
    <w:p>
      <w:pPr>
        <w:pStyle w:val="Normal"/>
        <w:rPr/>
      </w:pPr>
      <w:r>
        <w:rPr/>
        <w:t>For cloud gaming, the downlink streaming of 720p/1080p/4k @60fps encoded A/V typically consists of a 5-35Mbps bitstream. One instance of a cloud gaming service requires a minimum uplink bitrate of 1.5 Mbps [</w:t>
      </w:r>
      <w:r>
        <w:rPr>
          <w:rFonts w:cs="Arial"/>
        </w:rPr>
        <w:t>21</w:t>
      </w:r>
      <w:r>
        <w:rPr/>
        <w:t>].</w:t>
      </w:r>
    </w:p>
    <w:p>
      <w:pPr>
        <w:pStyle w:val="Normal"/>
        <w:rPr/>
      </w:pPr>
      <w:r>
        <w:rPr/>
        <w:t>In the future the cloud gaming is presumed to reach up to 8k resolutions and up to 120fps downlink bitstreams. No information on such currently deployed services are available to formulate typical bitrates. However, Clause 6 provides indication that allows estimation of bitrates. Annex A provides background information on deployed cloud gaming services.</w:t>
      </w:r>
    </w:p>
    <w:p>
      <w:pPr>
        <w:pStyle w:val="Normal"/>
        <w:rPr/>
      </w:pPr>
      <w:r>
        <w:rPr/>
        <w:t>Different game types result in different round-trip user interaction delay requirements (sometimes referred also as acceptable game latency). As discussed in TR 26.928 [30], clause 4.2, with regards to such requirements, games may be divided into the following 4 types: games requiring (i) at most 50 ms, (ii) at most 100 ms, (iii) at most 200ms, and (iv) games with no latency requirements. The game latency impacts the traffic model as well as the requirements on the delivery system. The shorter the latency requirements, the higher the expected bitrate.</w:t>
      </w:r>
    </w:p>
    <w:p>
      <w:pPr>
        <w:pStyle w:val="Heading2"/>
        <w:rPr/>
      </w:pPr>
      <w:bookmarkStart w:id="37" w:name="__RefHeading___Toc32311329"/>
      <w:bookmarkEnd w:id="37"/>
      <w:r>
        <w:rPr/>
        <w:t>5.6</w:t>
        <w:tab/>
        <w:t>XR Traffic Characteristics</w:t>
      </w:r>
    </w:p>
    <w:p>
      <w:pPr>
        <w:pStyle w:val="Normal"/>
        <w:rPr/>
      </w:pPr>
      <w:r>
        <w:rPr/>
        <w:t>Initial typical bitrates and traffic characteristics for XR services are collected in TR 26.928 [30], clause 6.</w:t>
      </w:r>
    </w:p>
    <w:p>
      <w:pPr>
        <w:pStyle w:val="Normal"/>
        <w:rPr/>
      </w:pPr>
      <w:r>
        <w:rPr/>
        <w:t>More details are FFS.</w:t>
      </w:r>
    </w:p>
    <w:p>
      <w:pPr>
        <w:pStyle w:val="Heading1"/>
        <w:ind w:left="1134" w:hanging="1134"/>
        <w:rPr/>
      </w:pPr>
      <w:bookmarkStart w:id="38" w:name="__RefHeading___Toc32311330"/>
      <w:bookmarkEnd w:id="38"/>
      <w:r>
        <w:rPr/>
        <w:t>6</w:t>
        <w:tab/>
        <w:t>Overview on technological developments for existing and emerging services</w:t>
      </w:r>
    </w:p>
    <w:p>
      <w:pPr>
        <w:pStyle w:val="Heading2"/>
        <w:rPr/>
      </w:pPr>
      <w:bookmarkStart w:id="39" w:name="__RefHeading___Toc32311331"/>
      <w:bookmarkEnd w:id="39"/>
      <w:r>
        <w:rPr/>
        <w:t>6.1</w:t>
        <w:tab/>
        <w:t>Technology Developments</w:t>
      </w:r>
    </w:p>
    <w:p>
      <w:pPr>
        <w:pStyle w:val="Heading3"/>
        <w:rPr/>
      </w:pPr>
      <w:bookmarkStart w:id="40" w:name="__RefHeading___Toc32311332"/>
      <w:bookmarkEnd w:id="40"/>
      <w:r>
        <w:rPr/>
        <w:t>6.1.1</w:t>
        <w:tab/>
        <w:t>Overview</w:t>
      </w:r>
    </w:p>
    <w:p>
      <w:pPr>
        <w:pStyle w:val="NO"/>
        <w:ind w:left="0" w:hanging="0"/>
        <w:rPr/>
      </w:pPr>
      <w:r>
        <w:rPr/>
        <w:t>This clause collects developments in the industry on compression advances, content formats, protocol improvements and other advances that may impact the traffic characteristics documented in clause 4.</w:t>
      </w:r>
    </w:p>
    <w:p>
      <w:pPr>
        <w:pStyle w:val="Heading3"/>
        <w:rPr/>
      </w:pPr>
      <w:bookmarkStart w:id="41" w:name="__RefHeading___Toc32311333"/>
      <w:bookmarkEnd w:id="41"/>
      <w:r>
        <w:rPr/>
        <w:t>6.1.2</w:t>
        <w:tab/>
        <w:t>Compression Improvements</w:t>
      </w:r>
    </w:p>
    <w:p>
      <w:pPr>
        <w:pStyle w:val="Normal"/>
        <w:rPr/>
      </w:pPr>
      <w:r>
        <w:rPr/>
        <w:t xml:space="preserve">Due to the increasing consumption of video content with higher resolutions, the need for more efficient video compression techniques is growing. The first version of the High Efficiency Video Coding (HEVC) standard </w:t>
      </w:r>
      <w:r>
        <w:rPr>
          <w:rFonts w:eastAsia="SimSun;宋体"/>
          <w:lang w:eastAsia="zh-CN"/>
        </w:rPr>
        <w:t>[15]</w:t>
      </w:r>
      <w:r>
        <w:rPr/>
        <w:t xml:space="preserve">, jointly developed by the ITU-T VCEG and the ISO MPEG, was finalized in 2013. A wide range of products and services support HEVC </w:t>
      </w:r>
      <w:r>
        <w:rPr>
          <w:rFonts w:eastAsia="SimSun;宋体"/>
          <w:lang w:eastAsia="zh-CN"/>
        </w:rPr>
        <w:t xml:space="preserve">[15] </w:t>
      </w:r>
      <w:r>
        <w:rPr/>
        <w:t xml:space="preserve">for video encoding/decoding, especially for Ultra High Definition (UHD) content, where HEVC </w:t>
      </w:r>
      <w:r>
        <w:rPr>
          <w:rFonts w:eastAsia="SimSun;宋体"/>
          <w:lang w:eastAsia="zh-CN"/>
        </w:rPr>
        <w:t xml:space="preserve">[15] </w:t>
      </w:r>
      <w:r>
        <w:rPr/>
        <w:t xml:space="preserve">can provide around 50% bitrate savings for the same subjective quality as its predecessor H.264/AVC </w:t>
      </w:r>
      <w:r>
        <w:rPr>
          <w:rFonts w:eastAsia="SimSun;宋体"/>
          <w:lang w:eastAsia="zh-CN"/>
        </w:rPr>
        <w:t>[14]</w:t>
      </w:r>
      <w:r>
        <w:rPr/>
        <w:t xml:space="preserve">. </w:t>
      </w:r>
    </w:p>
    <w:p>
      <w:pPr>
        <w:pStyle w:val="Normal"/>
        <w:rPr/>
      </w:pPr>
      <w:r>
        <w:rPr/>
        <w:t>Both codecs are defined as part of the TV Video Profiles in TS 26.116 [5] and are also the foundation of the VR Video Profiles in TS 26.118 [6].</w:t>
      </w:r>
    </w:p>
    <w:p>
      <w:pPr>
        <w:pStyle w:val="Normal"/>
        <w:rPr/>
      </w:pPr>
      <w:r>
        <w:rPr/>
        <w:t xml:space="preserve">Work on video compression technologies beyond the capabilities of HEVC </w:t>
      </w:r>
      <w:r>
        <w:rPr>
          <w:rFonts w:eastAsia="SimSun;宋体"/>
          <w:lang w:eastAsia="zh-CN"/>
        </w:rPr>
        <w:t>[15]</w:t>
      </w:r>
      <w:r>
        <w:rPr/>
        <w:t xml:space="preserve"> are continued by the MPEG/ITU, with the creation of the Joint Video Exploration Team (JVET) on future video coding in October 2015. Many new coding tools have been proposed in the context of JVET, which eventually led to a Call for Proposals on video coding technologies with video compression capabilities beyond HEVC </w:t>
      </w:r>
      <w:r>
        <w:rPr>
          <w:rFonts w:eastAsia="SimSun;宋体"/>
          <w:lang w:eastAsia="zh-CN"/>
        </w:rPr>
        <w:t>[15]</w:t>
      </w:r>
      <w:r>
        <w:rPr/>
        <w:t xml:space="preserve">. The reference software used in the exploration phase of JVET, called Joint Exploration Model (JEM), was leveraged as the base for the majority of responses to the call. Results included responses demonstrating compression efficiency gains of around 40 % or more with respect to HEVC [15]. This initiated the work by the Joint Video Experts Team (JVET) on the development of a new video coding standard, to be known as Versatile Video Coding (VVC). </w:t>
      </w:r>
    </w:p>
    <w:p>
      <w:pPr>
        <w:pStyle w:val="Normal"/>
        <w:rPr/>
      </w:pPr>
      <w:r>
        <w:rPr/>
        <w:t>MPEG has started working on a new video coding standard to be known as MPEG-5 Essential Video Coding (EVC) in January 2019. MPEG-5 EVC aims to provide a standardized video coding solution to address business needs in some use cases, such as video streaming, where existing ISO video coding standards have not been as widely adopted as might be expected from their purely technical characteristics. In addition, a main profile adds a small number of additional tools, each of which is individually capable of being either properly deactivated or switched to the corresponding basic tool. The target coding efficiency for the call for proposals was to be at least as efficient as HEVC. This target was exceeded by approximately 24 % in the responses to the call for proposals, which were evaluated at this meeting. The development of the MPEG-5 EVC standard is expected to be completed in 2020.</w:t>
      </w:r>
    </w:p>
    <w:p>
      <w:pPr>
        <w:pStyle w:val="NO"/>
        <w:ind w:left="0" w:hanging="0"/>
        <w:rPr/>
      </w:pPr>
      <w:r>
        <w:rPr/>
        <w:t>Figure 6.1.2-1 shows the typical improvements of video compression rates over time as well as the target for the VVC standard. It is also observed that compression technologies have enabled the reduction of bitrates by 50 % in a time frame of 7-10 years. Most of the gains come by the increase of encoding and decoding complexity, spurred according to Moore's law.</w:t>
      </w:r>
    </w:p>
    <w:p>
      <w:pPr>
        <w:pStyle w:val="TH"/>
        <w:rPr/>
      </w:pPr>
      <w:r>
        <w:rPr/>
        <w:drawing>
          <wp:inline distT="0" distB="0" distL="0" distR="0">
            <wp:extent cx="6156960" cy="2623820"/>
            <wp:effectExtent l="0" t="0" r="0" b="0"/>
            <wp:docPr id="13"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 descr=""/>
                    <pic:cNvPicPr>
                      <a:picLocks noChangeAspect="1" noChangeArrowheads="1"/>
                    </pic:cNvPicPr>
                  </pic:nvPicPr>
                  <pic:blipFill>
                    <a:blip r:embed="rId9"/>
                    <a:srcRect l="-5" t="-11" r="-5" b="-11"/>
                    <a:stretch>
                      <a:fillRect/>
                    </a:stretch>
                  </pic:blipFill>
                  <pic:spPr bwMode="auto">
                    <a:xfrm>
                      <a:off x="0" y="0"/>
                      <a:ext cx="6156960" cy="2623820"/>
                    </a:xfrm>
                    <a:prstGeom prst="rect">
                      <a:avLst/>
                    </a:prstGeom>
                  </pic:spPr>
                </pic:pic>
              </a:graphicData>
            </a:graphic>
          </wp:inline>
        </w:drawing>
      </w:r>
    </w:p>
    <w:p>
      <w:pPr>
        <w:pStyle w:val="TF"/>
        <w:rPr/>
      </w:pPr>
      <w:r>
        <w:rPr/>
        <w:t xml:space="preserve">Figure </w:t>
      </w:r>
      <w:bookmarkStart w:id="42" w:name="_Hlk32835594"/>
      <w:r>
        <w:rPr/>
        <w:t>6.1.2-1</w:t>
      </w:r>
      <w:bookmarkEnd w:id="42"/>
      <w:r>
        <w:rPr/>
        <w:t>: Video bitrate efficiency improvements and target for the final VVC standard [reproduced with appropriate permission from Fraunhofer]</w:t>
      </w:r>
    </w:p>
    <w:p>
      <w:pPr>
        <w:pStyle w:val="Normal"/>
        <w:keepLines/>
        <w:rPr/>
      </w:pPr>
      <w:r>
        <w:rPr/>
        <w:t>Table 6.1.2-1 provides a summary of the expected compression efficiency of different codecs and expectations on target bitrates for different video technologies.</w:t>
      </w:r>
    </w:p>
    <w:p>
      <w:pPr>
        <w:pStyle w:val="TH"/>
        <w:rPr/>
      </w:pPr>
      <w:r>
        <w:rPr/>
        <w:t>Table 6.1.2-1: Expected Video coding standards performance and bitrate target</w:t>
      </w:r>
    </w:p>
    <w:tbl>
      <w:tblPr>
        <w:tblW w:w="5000" w:type="pct"/>
        <w:jc w:val="left"/>
        <w:tblInd w:w="-113" w:type="dxa"/>
        <w:tblLayout w:type="fixed"/>
        <w:tblCellMar>
          <w:top w:w="0" w:type="dxa"/>
          <w:left w:w="108" w:type="dxa"/>
          <w:bottom w:w="0" w:type="dxa"/>
          <w:right w:w="108" w:type="dxa"/>
        </w:tblCellMar>
      </w:tblPr>
      <w:tblGrid>
        <w:gridCol w:w="1688"/>
        <w:gridCol w:w="2386"/>
        <w:gridCol w:w="2277"/>
        <w:gridCol w:w="3289"/>
      </w:tblGrid>
      <w:tr>
        <w:trPr>
          <w:trHeight w:val="628" w:hRule="atLeast"/>
        </w:trPr>
        <w:tc>
          <w:tcPr>
            <w:tcW w:w="1688" w:type="dxa"/>
            <w:vMerge w:val="restart"/>
            <w:tcBorders>
              <w:top w:val="single" w:sz="4" w:space="0" w:color="000000"/>
              <w:left w:val="single" w:sz="4" w:space="0" w:color="000000"/>
              <w:bottom w:val="single" w:sz="4" w:space="0" w:color="000000"/>
              <w:right w:val="single" w:sz="4" w:space="0" w:color="000000"/>
            </w:tcBorders>
            <w:vAlign w:val="center"/>
          </w:tcPr>
          <w:p>
            <w:pPr>
              <w:pStyle w:val="TAH"/>
              <w:rPr/>
            </w:pPr>
            <w:r>
              <w:rPr/>
              <w:t>Codec</w:t>
            </w:r>
          </w:p>
        </w:tc>
        <w:tc>
          <w:tcPr>
            <w:tcW w:w="4663" w:type="dxa"/>
            <w:gridSpan w:val="2"/>
            <w:tcBorders>
              <w:top w:val="single" w:sz="4" w:space="0" w:color="000000"/>
              <w:left w:val="single" w:sz="4" w:space="0" w:color="000000"/>
              <w:bottom w:val="single" w:sz="4" w:space="0" w:color="000000"/>
              <w:right w:val="single" w:sz="4" w:space="0" w:color="000000"/>
            </w:tcBorders>
            <w:vAlign w:val="center"/>
          </w:tcPr>
          <w:p>
            <w:pPr>
              <w:pStyle w:val="TAH"/>
              <w:rPr/>
            </w:pPr>
            <w:r>
              <w:rPr/>
              <w:t>Coding performance</w:t>
            </w:r>
          </w:p>
          <w:p>
            <w:pPr>
              <w:pStyle w:val="TAH"/>
              <w:rPr/>
            </w:pPr>
            <w:r>
              <w:rPr/>
              <w:t>(Random-Access)</w:t>
            </w:r>
          </w:p>
        </w:tc>
        <w:tc>
          <w:tcPr>
            <w:tcW w:w="3289" w:type="dxa"/>
            <w:tcBorders>
              <w:top w:val="single" w:sz="4" w:space="0" w:color="000000"/>
              <w:left w:val="single" w:sz="4" w:space="0" w:color="000000"/>
              <w:bottom w:val="single" w:sz="4" w:space="0" w:color="000000"/>
              <w:right w:val="single" w:sz="4" w:space="0" w:color="000000"/>
            </w:tcBorders>
            <w:vAlign w:val="center"/>
          </w:tcPr>
          <w:p>
            <w:pPr>
              <w:pStyle w:val="TAH"/>
              <w:rPr/>
            </w:pPr>
            <w:r>
              <w:rPr/>
              <w:t>Targeted bitrate</w:t>
            </w:r>
          </w:p>
          <w:p>
            <w:pPr>
              <w:pStyle w:val="TAH"/>
              <w:rPr/>
            </w:pPr>
            <w:r>
              <w:rPr/>
              <w:t>(Random Access)</w:t>
            </w:r>
          </w:p>
        </w:tc>
      </w:tr>
      <w:tr>
        <w:trPr>
          <w:trHeight w:val="113" w:hRule="atLeast"/>
        </w:trPr>
        <w:tc>
          <w:tcPr>
            <w:tcW w:w="1688" w:type="dxa"/>
            <w:vMerge w:val="continue"/>
            <w:tcBorders>
              <w:top w:val="single" w:sz="4" w:space="0" w:color="000000"/>
              <w:left w:val="single" w:sz="4" w:space="0" w:color="000000"/>
              <w:bottom w:val="single" w:sz="4" w:space="0" w:color="000000"/>
              <w:right w:val="single" w:sz="4" w:space="0" w:color="000000"/>
            </w:tcBorders>
            <w:vAlign w:val="center"/>
          </w:tcPr>
          <w:p>
            <w:pPr>
              <w:pStyle w:val="TAH"/>
              <w:snapToGrid w:val="false"/>
              <w:rPr/>
            </w:pPr>
            <w:r>
              <w:rPr/>
            </w:r>
          </w:p>
        </w:tc>
        <w:tc>
          <w:tcPr>
            <w:tcW w:w="2386" w:type="dxa"/>
            <w:tcBorders>
              <w:top w:val="single" w:sz="4" w:space="0" w:color="000000"/>
              <w:left w:val="single" w:sz="4" w:space="0" w:color="000000"/>
              <w:bottom w:val="single" w:sz="4" w:space="0" w:color="000000"/>
              <w:right w:val="single" w:sz="4" w:space="0" w:color="000000"/>
            </w:tcBorders>
            <w:vAlign w:val="center"/>
          </w:tcPr>
          <w:p>
            <w:pPr>
              <w:pStyle w:val="TAH"/>
              <w:rPr/>
            </w:pPr>
            <w:r>
              <w:rPr/>
              <w:t>Objective</w:t>
            </w:r>
          </w:p>
        </w:tc>
        <w:tc>
          <w:tcPr>
            <w:tcW w:w="2277" w:type="dxa"/>
            <w:tcBorders>
              <w:top w:val="single" w:sz="4" w:space="0" w:color="000000"/>
              <w:left w:val="single" w:sz="4" w:space="0" w:color="000000"/>
              <w:bottom w:val="single" w:sz="4" w:space="0" w:color="000000"/>
              <w:right w:val="single" w:sz="4" w:space="0" w:color="000000"/>
            </w:tcBorders>
            <w:vAlign w:val="center"/>
          </w:tcPr>
          <w:p>
            <w:pPr>
              <w:pStyle w:val="TAH"/>
              <w:rPr/>
            </w:pPr>
            <w:r>
              <w:rPr/>
              <w:t>Subjective</w:t>
            </w:r>
          </w:p>
        </w:tc>
        <w:tc>
          <w:tcPr>
            <w:tcW w:w="3289" w:type="dxa"/>
            <w:tcBorders>
              <w:top w:val="single" w:sz="4" w:space="0" w:color="000000"/>
              <w:left w:val="single" w:sz="4" w:space="0" w:color="000000"/>
              <w:bottom w:val="single" w:sz="4" w:space="0" w:color="000000"/>
              <w:right w:val="single" w:sz="4" w:space="0" w:color="000000"/>
            </w:tcBorders>
          </w:tcPr>
          <w:p>
            <w:pPr>
              <w:pStyle w:val="TAH"/>
              <w:snapToGrid w:val="false"/>
              <w:rPr/>
            </w:pPr>
            <w:r>
              <w:rPr/>
            </w:r>
          </w:p>
        </w:tc>
      </w:tr>
      <w:tr>
        <w:trPr/>
        <w:tc>
          <w:tcPr>
            <w:tcW w:w="1688" w:type="dxa"/>
            <w:tcBorders>
              <w:top w:val="single" w:sz="4" w:space="0" w:color="000000"/>
              <w:left w:val="single" w:sz="4" w:space="0" w:color="000000"/>
              <w:bottom w:val="single" w:sz="4" w:space="0" w:color="000000"/>
              <w:right w:val="single" w:sz="4" w:space="0" w:color="000000"/>
            </w:tcBorders>
            <w:vAlign w:val="center"/>
          </w:tcPr>
          <w:p>
            <w:pPr>
              <w:pStyle w:val="TAC"/>
              <w:rPr>
                <w:b/>
                <w:b/>
                <w:bCs/>
              </w:rPr>
            </w:pPr>
            <w:r>
              <w:rPr>
                <w:b/>
                <w:bCs/>
              </w:rPr>
              <w:t>HEVC</w:t>
            </w:r>
          </w:p>
        </w:tc>
        <w:tc>
          <w:tcPr>
            <w:tcW w:w="2386" w:type="dxa"/>
            <w:tcBorders>
              <w:top w:val="single" w:sz="4" w:space="0" w:color="000000"/>
              <w:left w:val="single" w:sz="4" w:space="0" w:color="000000"/>
              <w:bottom w:val="single" w:sz="4" w:space="0" w:color="000000"/>
              <w:right w:val="single" w:sz="4" w:space="0" w:color="000000"/>
            </w:tcBorders>
            <w:vAlign w:val="center"/>
          </w:tcPr>
          <w:p>
            <w:pPr>
              <w:pStyle w:val="TAL"/>
              <w:rPr/>
            </w:pPr>
            <w:r>
              <w:rPr/>
              <w:t>-40 % vs AVC [24][25][26]</w:t>
            </w:r>
          </w:p>
        </w:tc>
        <w:tc>
          <w:tcPr>
            <w:tcW w:w="2277" w:type="dxa"/>
            <w:tcBorders>
              <w:top w:val="single" w:sz="4" w:space="0" w:color="000000"/>
              <w:left w:val="single" w:sz="4" w:space="0" w:color="000000"/>
              <w:bottom w:val="single" w:sz="4" w:space="0" w:color="000000"/>
              <w:right w:val="single" w:sz="4" w:space="0" w:color="000000"/>
            </w:tcBorders>
            <w:vAlign w:val="center"/>
          </w:tcPr>
          <w:p>
            <w:pPr>
              <w:pStyle w:val="TAL"/>
              <w:rPr/>
            </w:pPr>
            <w:r>
              <w:rPr/>
              <w:t>-60 % vs AVC [24][25][26]</w:t>
            </w:r>
          </w:p>
        </w:tc>
        <w:tc>
          <w:tcPr>
            <w:tcW w:w="3289"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rPr>
                <w:rFonts w:ascii="Arial" w:hAnsi="Arial" w:cs="Arial"/>
                <w:sz w:val="18"/>
                <w:szCs w:val="18"/>
              </w:rPr>
            </w:pPr>
            <w:r>
              <w:rPr>
                <w:rFonts w:cs="Arial" w:ascii="Arial" w:hAnsi="Arial"/>
                <w:sz w:val="18"/>
                <w:szCs w:val="18"/>
              </w:rPr>
              <w:t>4k:</w:t>
            </w:r>
          </w:p>
          <w:p>
            <w:pPr>
              <w:pStyle w:val="ListParagraph"/>
              <w:keepNext w:val="true"/>
              <w:keepLines/>
              <w:numPr>
                <w:ilvl w:val="0"/>
                <w:numId w:val="4"/>
              </w:numPr>
              <w:spacing w:lineRule="auto" w:line="276" w:before="0" w:after="0"/>
              <w:contextualSpacing/>
              <w:rPr>
                <w:rFonts w:ascii="Arial" w:hAnsi="Arial" w:cs="Arial"/>
                <w:sz w:val="18"/>
                <w:szCs w:val="18"/>
                <w:lang w:val="en-GB"/>
              </w:rPr>
            </w:pPr>
            <w:r>
              <w:rPr>
                <w:rFonts w:cs="Arial" w:ascii="Arial" w:hAnsi="Arial"/>
                <w:sz w:val="18"/>
                <w:szCs w:val="18"/>
                <w:lang w:val="en-GB"/>
              </w:rPr>
              <w:t>Statmux: 10-13 Mbps</w:t>
            </w:r>
          </w:p>
          <w:p>
            <w:pPr>
              <w:pStyle w:val="ListParagraph"/>
              <w:keepNext w:val="true"/>
              <w:keepLines/>
              <w:numPr>
                <w:ilvl w:val="0"/>
                <w:numId w:val="4"/>
              </w:numPr>
              <w:spacing w:lineRule="auto" w:line="276" w:before="0" w:after="0"/>
              <w:contextualSpacing/>
              <w:rPr/>
            </w:pPr>
            <w:r>
              <w:rPr>
                <w:rFonts w:cs="Arial" w:ascii="Arial" w:hAnsi="Arial"/>
                <w:sz w:val="18"/>
                <w:szCs w:val="18"/>
                <w:lang w:val="en-GB"/>
              </w:rPr>
              <w:t>CBR: 18-25 Mbps</w:t>
            </w:r>
          </w:p>
          <w:p>
            <w:pPr>
              <w:pStyle w:val="Normal"/>
              <w:keepNext w:val="true"/>
              <w:keepLines/>
              <w:spacing w:before="0" w:after="0"/>
              <w:rPr/>
            </w:pPr>
            <w:r>
              <w:rPr>
                <w:rFonts w:cs="Arial" w:ascii="Arial" w:hAnsi="Arial"/>
                <w:sz w:val="18"/>
                <w:szCs w:val="18"/>
              </w:rPr>
              <w:t xml:space="preserve">8k: </w:t>
            </w:r>
          </w:p>
          <w:p>
            <w:pPr>
              <w:pStyle w:val="ListParagraph"/>
              <w:keepNext w:val="true"/>
              <w:keepLines/>
              <w:numPr>
                <w:ilvl w:val="0"/>
                <w:numId w:val="5"/>
              </w:numPr>
              <w:spacing w:lineRule="auto" w:line="276" w:before="0" w:after="0"/>
              <w:contextualSpacing/>
              <w:rPr/>
            </w:pPr>
            <w:r>
              <w:rPr>
                <w:rFonts w:cs="Arial" w:ascii="Arial" w:hAnsi="Arial"/>
                <w:sz w:val="18"/>
                <w:szCs w:val="18"/>
                <w:lang w:val="en-GB"/>
              </w:rPr>
              <w:t>CBR: 40-56 Mbps</w:t>
            </w:r>
          </w:p>
          <w:p>
            <w:pPr>
              <w:pStyle w:val="ListParagraph"/>
              <w:keepNext w:val="true"/>
              <w:keepLines/>
              <w:numPr>
                <w:ilvl w:val="0"/>
                <w:numId w:val="5"/>
              </w:numPr>
              <w:spacing w:lineRule="auto" w:line="276" w:before="0" w:after="0"/>
              <w:contextualSpacing/>
              <w:rPr>
                <w:rFonts w:ascii="Arial" w:hAnsi="Arial" w:cs="Arial"/>
                <w:sz w:val="18"/>
                <w:szCs w:val="18"/>
                <w:lang w:val="en-GB"/>
              </w:rPr>
            </w:pPr>
            <w:r>
              <w:rPr>
                <w:rFonts w:cs="Arial" w:ascii="Arial" w:hAnsi="Arial"/>
                <w:sz w:val="18"/>
                <w:szCs w:val="18"/>
                <w:lang w:val="en-GB"/>
              </w:rPr>
              <w:t>High quality: 80-90 Mbps</w:t>
            </w:r>
          </w:p>
          <w:p>
            <w:pPr>
              <w:pStyle w:val="ListParagraph"/>
              <w:keepNext w:val="true"/>
              <w:keepLines/>
              <w:spacing w:lineRule="auto" w:line="276" w:before="0" w:after="0"/>
              <w:ind w:left="360" w:hanging="0"/>
              <w:contextualSpacing/>
              <w:rPr>
                <w:rFonts w:ascii="Arial" w:hAnsi="Arial" w:cs="Arial"/>
                <w:sz w:val="18"/>
                <w:szCs w:val="18"/>
                <w:lang w:val="en-GB"/>
              </w:rPr>
            </w:pPr>
            <w:r>
              <w:rPr>
                <w:rFonts w:cs="Arial" w:ascii="Arial" w:hAnsi="Arial"/>
                <w:sz w:val="18"/>
                <w:szCs w:val="18"/>
                <w:lang w:val="en-GB"/>
              </w:rPr>
              <w:t>[24][25][26]</w:t>
            </w:r>
          </w:p>
        </w:tc>
      </w:tr>
      <w:tr>
        <w:trPr/>
        <w:tc>
          <w:tcPr>
            <w:tcW w:w="1688" w:type="dxa"/>
            <w:tcBorders>
              <w:top w:val="single" w:sz="4" w:space="0" w:color="000000"/>
              <w:left w:val="single" w:sz="4" w:space="0" w:color="000000"/>
              <w:bottom w:val="single" w:sz="4" w:space="0" w:color="000000"/>
              <w:right w:val="single" w:sz="4" w:space="0" w:color="000000"/>
            </w:tcBorders>
            <w:vAlign w:val="center"/>
          </w:tcPr>
          <w:p>
            <w:pPr>
              <w:pStyle w:val="TAC"/>
              <w:rPr>
                <w:b/>
                <w:b/>
                <w:bCs/>
              </w:rPr>
            </w:pPr>
            <w:r>
              <w:rPr>
                <w:b/>
                <w:bCs/>
              </w:rPr>
              <w:t>EVC-Baseline</w:t>
            </w:r>
          </w:p>
        </w:tc>
        <w:tc>
          <w:tcPr>
            <w:tcW w:w="2386" w:type="dxa"/>
            <w:tcBorders>
              <w:top w:val="single" w:sz="4" w:space="0" w:color="000000"/>
              <w:left w:val="single" w:sz="4" w:space="0" w:color="000000"/>
              <w:bottom w:val="single" w:sz="4" w:space="0" w:color="000000"/>
              <w:right w:val="single" w:sz="4" w:space="0" w:color="000000"/>
            </w:tcBorders>
            <w:vAlign w:val="center"/>
          </w:tcPr>
          <w:p>
            <w:pPr>
              <w:pStyle w:val="TAL"/>
              <w:rPr/>
            </w:pPr>
            <w:r>
              <w:rPr/>
              <w:t>-30 % vs AVC [27][29]</w:t>
            </w:r>
          </w:p>
        </w:tc>
        <w:tc>
          <w:tcPr>
            <w:tcW w:w="2277" w:type="dxa"/>
            <w:tcBorders>
              <w:top w:val="single" w:sz="4" w:space="0" w:color="000000"/>
              <w:left w:val="single" w:sz="4" w:space="0" w:color="000000"/>
              <w:bottom w:val="single" w:sz="4" w:space="0" w:color="000000"/>
              <w:right w:val="single" w:sz="4" w:space="0" w:color="000000"/>
            </w:tcBorders>
            <w:vAlign w:val="center"/>
          </w:tcPr>
          <w:p>
            <w:pPr>
              <w:pStyle w:val="TAL"/>
              <w:rPr/>
            </w:pPr>
            <w:r>
              <w:rPr/>
              <w:t>n/a</w:t>
            </w:r>
          </w:p>
        </w:tc>
        <w:tc>
          <w:tcPr>
            <w:tcW w:w="3289"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pPr>
            <w:r>
              <w:rPr>
                <w:rFonts w:cs="Arial" w:ascii="Arial" w:hAnsi="Arial"/>
                <w:sz w:val="18"/>
                <w:szCs w:val="18"/>
              </w:rPr>
              <w:t>Not expected for 4k or 8k</w:t>
            </w:r>
          </w:p>
        </w:tc>
      </w:tr>
      <w:tr>
        <w:trPr/>
        <w:tc>
          <w:tcPr>
            <w:tcW w:w="1688" w:type="dxa"/>
            <w:tcBorders>
              <w:top w:val="single" w:sz="4" w:space="0" w:color="000000"/>
              <w:left w:val="single" w:sz="4" w:space="0" w:color="000000"/>
              <w:bottom w:val="single" w:sz="4" w:space="0" w:color="000000"/>
              <w:right w:val="single" w:sz="4" w:space="0" w:color="000000"/>
            </w:tcBorders>
            <w:vAlign w:val="center"/>
          </w:tcPr>
          <w:p>
            <w:pPr>
              <w:pStyle w:val="TAC"/>
              <w:rPr>
                <w:b/>
                <w:b/>
                <w:bCs/>
              </w:rPr>
            </w:pPr>
            <w:r>
              <w:rPr>
                <w:b/>
                <w:bCs/>
              </w:rPr>
              <w:t>EVC-Main</w:t>
            </w:r>
          </w:p>
        </w:tc>
        <w:tc>
          <w:tcPr>
            <w:tcW w:w="2386" w:type="dxa"/>
            <w:tcBorders>
              <w:top w:val="single" w:sz="4" w:space="0" w:color="000000"/>
              <w:left w:val="single" w:sz="4" w:space="0" w:color="000000"/>
              <w:bottom w:val="single" w:sz="4" w:space="0" w:color="000000"/>
              <w:right w:val="single" w:sz="4" w:space="0" w:color="000000"/>
            </w:tcBorders>
            <w:vAlign w:val="center"/>
          </w:tcPr>
          <w:p>
            <w:pPr>
              <w:pStyle w:val="TAL"/>
              <w:rPr/>
            </w:pPr>
            <w:r>
              <w:rPr/>
              <w:t>-24 % vs HEVC [27][29]</w:t>
            </w:r>
          </w:p>
        </w:tc>
        <w:tc>
          <w:tcPr>
            <w:tcW w:w="2277" w:type="dxa"/>
            <w:tcBorders>
              <w:top w:val="single" w:sz="4" w:space="0" w:color="000000"/>
              <w:left w:val="single" w:sz="4" w:space="0" w:color="000000"/>
              <w:bottom w:val="single" w:sz="4" w:space="0" w:color="000000"/>
              <w:right w:val="single" w:sz="4" w:space="0" w:color="000000"/>
            </w:tcBorders>
            <w:vAlign w:val="center"/>
          </w:tcPr>
          <w:p>
            <w:pPr>
              <w:pStyle w:val="TAL"/>
              <w:rPr/>
            </w:pPr>
            <w:r>
              <w:rPr/>
              <w:t>n/a</w:t>
            </w:r>
          </w:p>
        </w:tc>
        <w:tc>
          <w:tcPr>
            <w:tcW w:w="3289"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rFonts w:ascii="Arial" w:hAnsi="Arial" w:cs="Arial"/>
                <w:sz w:val="18"/>
                <w:szCs w:val="18"/>
              </w:rPr>
            </w:pPr>
            <w:r>
              <w:rPr>
                <w:rFonts w:cs="Arial" w:ascii="Arial" w:hAnsi="Arial"/>
                <w:sz w:val="18"/>
                <w:szCs w:val="18"/>
              </w:rPr>
              <w:t>Expected [27][29]</w:t>
            </w:r>
          </w:p>
          <w:p>
            <w:pPr>
              <w:pStyle w:val="Normal"/>
              <w:spacing w:before="0" w:after="0"/>
              <w:rPr>
                <w:rFonts w:ascii="Arial" w:hAnsi="Arial" w:cs="Arial"/>
                <w:sz w:val="18"/>
                <w:szCs w:val="18"/>
              </w:rPr>
            </w:pPr>
            <w:r>
              <w:rPr>
                <w:rFonts w:cs="Arial" w:ascii="Arial" w:hAnsi="Arial"/>
                <w:sz w:val="18"/>
                <w:szCs w:val="18"/>
              </w:rPr>
              <w:t>4k CBR: 15-19Mbps</w:t>
            </w:r>
          </w:p>
          <w:p>
            <w:pPr>
              <w:pStyle w:val="Normal"/>
              <w:spacing w:before="0" w:after="0"/>
              <w:rPr>
                <w:rFonts w:ascii="Arial" w:hAnsi="Arial" w:cs="Arial"/>
                <w:sz w:val="18"/>
                <w:szCs w:val="18"/>
              </w:rPr>
            </w:pPr>
            <w:r>
              <w:rPr>
                <w:rFonts w:cs="Arial" w:ascii="Arial" w:hAnsi="Arial"/>
                <w:sz w:val="18"/>
                <w:szCs w:val="18"/>
              </w:rPr>
              <w:t>8k CBR: 30-60 Mbps</w:t>
            </w:r>
          </w:p>
        </w:tc>
      </w:tr>
      <w:tr>
        <w:trPr/>
        <w:tc>
          <w:tcPr>
            <w:tcW w:w="1688" w:type="dxa"/>
            <w:tcBorders>
              <w:top w:val="single" w:sz="4" w:space="0" w:color="000000"/>
              <w:left w:val="single" w:sz="4" w:space="0" w:color="000000"/>
              <w:bottom w:val="single" w:sz="4" w:space="0" w:color="000000"/>
              <w:right w:val="single" w:sz="4" w:space="0" w:color="000000"/>
            </w:tcBorders>
            <w:vAlign w:val="center"/>
          </w:tcPr>
          <w:p>
            <w:pPr>
              <w:pStyle w:val="TAC"/>
              <w:rPr>
                <w:b/>
                <w:b/>
                <w:bCs/>
              </w:rPr>
            </w:pPr>
            <w:r>
              <w:rPr>
                <w:b/>
                <w:bCs/>
              </w:rPr>
              <w:t>VVC</w:t>
            </w:r>
          </w:p>
        </w:tc>
        <w:tc>
          <w:tcPr>
            <w:tcW w:w="2386" w:type="dxa"/>
            <w:tcBorders>
              <w:top w:val="single" w:sz="4" w:space="0" w:color="000000"/>
              <w:left w:val="single" w:sz="4" w:space="0" w:color="000000"/>
              <w:bottom w:val="single" w:sz="4" w:space="0" w:color="000000"/>
              <w:right w:val="single" w:sz="4" w:space="0" w:color="000000"/>
            </w:tcBorders>
            <w:vAlign w:val="center"/>
          </w:tcPr>
          <w:p>
            <w:pPr>
              <w:pStyle w:val="TAL"/>
              <w:rPr/>
            </w:pPr>
            <w:r>
              <w:rPr/>
              <w:t>-30 % vs HEVC [28][29]</w:t>
            </w:r>
          </w:p>
          <w:p>
            <w:pPr>
              <w:pStyle w:val="TAL"/>
              <w:rPr/>
            </w:pPr>
            <w:r>
              <w:rPr/>
              <w:t>Best-CfP: -42 % vs HEVC</w:t>
            </w:r>
          </w:p>
          <w:p>
            <w:pPr>
              <w:pStyle w:val="TAL"/>
              <w:rPr/>
            </w:pPr>
            <w:r>
              <w:rPr/>
              <w:t>Target: -50 % vs HEVC</w:t>
            </w:r>
          </w:p>
        </w:tc>
        <w:tc>
          <w:tcPr>
            <w:tcW w:w="2277" w:type="dxa"/>
            <w:tcBorders>
              <w:top w:val="single" w:sz="4" w:space="0" w:color="000000"/>
              <w:left w:val="single" w:sz="4" w:space="0" w:color="000000"/>
              <w:bottom w:val="single" w:sz="4" w:space="0" w:color="000000"/>
              <w:right w:val="single" w:sz="4" w:space="0" w:color="000000"/>
            </w:tcBorders>
            <w:vAlign w:val="center"/>
          </w:tcPr>
          <w:p>
            <w:pPr>
              <w:pStyle w:val="TAL"/>
              <w:rPr/>
            </w:pPr>
            <w:r>
              <w:rPr/>
              <w:t>n/a</w:t>
            </w:r>
          </w:p>
        </w:tc>
        <w:tc>
          <w:tcPr>
            <w:tcW w:w="3289"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rFonts w:ascii="Arial" w:hAnsi="Arial" w:cs="Arial"/>
                <w:sz w:val="18"/>
                <w:szCs w:val="18"/>
              </w:rPr>
            </w:pPr>
            <w:r>
              <w:rPr>
                <w:rFonts w:cs="Arial" w:ascii="Arial" w:hAnsi="Arial"/>
                <w:sz w:val="18"/>
                <w:szCs w:val="18"/>
              </w:rPr>
              <w:t>Expected [28][29]</w:t>
            </w:r>
          </w:p>
          <w:p>
            <w:pPr>
              <w:pStyle w:val="Normal"/>
              <w:spacing w:before="0" w:after="0"/>
              <w:rPr>
                <w:rFonts w:ascii="Arial" w:hAnsi="Arial" w:cs="Arial"/>
                <w:sz w:val="18"/>
                <w:szCs w:val="18"/>
              </w:rPr>
            </w:pPr>
            <w:r>
              <w:rPr>
                <w:rFonts w:cs="Arial" w:ascii="Arial" w:hAnsi="Arial"/>
                <w:sz w:val="18"/>
                <w:szCs w:val="18"/>
              </w:rPr>
              <w:t>4k CBR: 10-15 Mbps</w:t>
            </w:r>
          </w:p>
          <w:p>
            <w:pPr>
              <w:pStyle w:val="Normal"/>
              <w:spacing w:before="0" w:after="0"/>
              <w:rPr>
                <w:rFonts w:ascii="Arial" w:hAnsi="Arial" w:cs="Arial"/>
                <w:sz w:val="18"/>
                <w:szCs w:val="18"/>
              </w:rPr>
            </w:pPr>
            <w:r>
              <w:rPr>
                <w:rFonts w:cs="Arial" w:ascii="Arial" w:hAnsi="Arial"/>
                <w:sz w:val="18"/>
                <w:szCs w:val="18"/>
              </w:rPr>
              <w:t>8k CBR: 25-35 Mbps</w:t>
            </w:r>
          </w:p>
        </w:tc>
      </w:tr>
      <w:tr>
        <w:trPr/>
        <w:tc>
          <w:tcPr>
            <w:tcW w:w="9640" w:type="dxa"/>
            <w:gridSpan w:val="4"/>
            <w:tcBorders>
              <w:top w:val="single" w:sz="4" w:space="0" w:color="000000"/>
              <w:left w:val="single" w:sz="4" w:space="0" w:color="000000"/>
              <w:bottom w:val="single" w:sz="4" w:space="0" w:color="000000"/>
              <w:right w:val="single" w:sz="4" w:space="0" w:color="000000"/>
            </w:tcBorders>
            <w:vAlign w:val="center"/>
          </w:tcPr>
          <w:p>
            <w:pPr>
              <w:pStyle w:val="TAN"/>
              <w:rPr/>
            </w:pPr>
            <w:r>
              <w:rPr>
                <w:caps/>
              </w:rPr>
              <w:t>Note:</w:t>
            </w:r>
            <w:r>
              <w:rPr/>
              <w:t xml:space="preserve"> </w:t>
              <w:tab/>
              <w:t>(Average) with peaks up to 25Mbps thanks to STATMUX.</w:t>
            </w:r>
          </w:p>
        </w:tc>
      </w:tr>
    </w:tbl>
    <w:p>
      <w:pPr>
        <w:pStyle w:val="Normal"/>
        <w:rPr/>
      </w:pPr>
      <w:r>
        <w:rPr/>
      </w:r>
    </w:p>
    <w:p>
      <w:pPr>
        <w:pStyle w:val="Normal"/>
        <w:rPr/>
      </w:pPr>
      <w:r>
        <w:rPr/>
        <w:t>Also noteworthy is the improvement of encoders over time even for existing standards which also leads to bitrate reductions at the same quality.</w:t>
      </w:r>
    </w:p>
    <w:p>
      <w:pPr>
        <w:pStyle w:val="Normal"/>
        <w:rPr/>
      </w:pPr>
      <w:r>
        <w:rPr/>
        <w:t>Based on this information it can be expected that withi</w:t>
        <w:softHyphen/>
        <w:t xml:space="preserve">n the time frame until 2025, video compression technology permit bitrate reductions by a factor of 50 % compared to what is today possible with HEVC </w:t>
      </w:r>
      <w:r>
        <w:rPr>
          <w:rFonts w:eastAsia="SimSun;宋体"/>
          <w:lang w:eastAsia="zh-CN"/>
        </w:rPr>
        <w:t>[15]</w:t>
      </w:r>
      <w:r>
        <w:rPr/>
        <w:t>.</w:t>
      </w:r>
    </w:p>
    <w:p>
      <w:pPr>
        <w:pStyle w:val="Normal"/>
        <w:rPr/>
      </w:pPr>
      <w:r>
        <w:rPr/>
        <w:t>However, not to forget according to Jevons Paradox, stating that the efficiency with which a resource is used tends to increase (rather than decrease) the rate of consumption of that resource. This may well mean that the compression efficiency gains spur even more traffic.</w:t>
      </w:r>
    </w:p>
    <w:p>
      <w:pPr>
        <w:pStyle w:val="Heading3"/>
        <w:rPr/>
      </w:pPr>
      <w:bookmarkStart w:id="43" w:name="__RefHeading___Toc32311334"/>
      <w:bookmarkEnd w:id="43"/>
      <w:r>
        <w:rPr/>
        <w:t>6.1.3</w:t>
        <w:tab/>
        <w:t>New Media Formats</w:t>
      </w:r>
    </w:p>
    <w:p>
      <w:pPr>
        <w:pStyle w:val="Normal"/>
        <w:rPr/>
      </w:pPr>
      <w:r>
        <w:rPr/>
        <w:t>New media formats in media generation and distribution are developed on a continuous basis, taking into account improvements in capturing and display systems. TR 26.949 [16] collects TV distribution formats as they were considered in the time frame of 2015 to 2017. The parameters are summarized in clause 5.4 of the present document in terms of:</w:t>
      </w:r>
    </w:p>
    <w:p>
      <w:pPr>
        <w:pStyle w:val="B1"/>
        <w:rPr/>
      </w:pPr>
      <w:r>
        <w:rPr/>
        <w:t>-</w:t>
        <w:tab/>
        <w:t>Spatial Resolution</w:t>
      </w:r>
    </w:p>
    <w:p>
      <w:pPr>
        <w:pStyle w:val="B1"/>
        <w:rPr/>
      </w:pPr>
      <w:r>
        <w:rPr/>
        <w:t>-</w:t>
        <w:tab/>
        <w:t>Frame Rates</w:t>
      </w:r>
    </w:p>
    <w:p>
      <w:pPr>
        <w:pStyle w:val="B1"/>
        <w:rPr/>
      </w:pPr>
      <w:r>
        <w:rPr/>
        <w:t>-</w:t>
        <w:tab/>
        <w:t>Colorimetry</w:t>
      </w:r>
    </w:p>
    <w:p>
      <w:pPr>
        <w:pStyle w:val="B1"/>
        <w:rPr/>
      </w:pPr>
      <w:r>
        <w:rPr/>
        <w:t>-</w:t>
        <w:tab/>
        <w:t>Other parameters</w:t>
      </w:r>
    </w:p>
    <w:p>
      <w:pPr>
        <w:pStyle w:val="Normal"/>
        <w:rPr/>
      </w:pPr>
      <w:r>
        <w:rPr/>
        <w:t>The latest versions, referred to as UHD-1 Phase 2 is summarized according to TR 26.949, clause 5.4.8:</w:t>
      </w:r>
    </w:p>
    <w:p>
      <w:pPr>
        <w:pStyle w:val="B1"/>
        <w:rPr/>
      </w:pPr>
      <w:r>
        <w:rPr/>
        <w:t>-</w:t>
        <w:tab/>
        <w:t xml:space="preserve">UHD-1 phase 2 exclusively operates with HEVC </w:t>
      </w:r>
      <w:r>
        <w:rPr>
          <w:rFonts w:eastAsia="SimSun;宋体"/>
          <w:lang w:eastAsia="zh-CN"/>
        </w:rPr>
        <w:t xml:space="preserve">[15] </w:t>
      </w:r>
      <w:r>
        <w:rPr/>
        <w:t>and bit depth of 10 bit.</w:t>
      </w:r>
    </w:p>
    <w:p>
      <w:pPr>
        <w:pStyle w:val="B1"/>
        <w:rPr/>
      </w:pPr>
      <w:r>
        <w:rPr/>
        <w:t>-</w:t>
        <w:tab/>
        <w:t>only square pixel resolutions and only progressive scan are supported.</w:t>
      </w:r>
    </w:p>
    <w:p>
      <w:pPr>
        <w:pStyle w:val="B1"/>
        <w:rPr/>
      </w:pPr>
      <w:r>
        <w:rPr/>
        <w:t>-</w:t>
        <w:tab/>
        <w:t>Only BT.2100 [33] non-constant luminance YCbCr is supported.</w:t>
      </w:r>
    </w:p>
    <w:p>
      <w:pPr>
        <w:pStyle w:val="B1"/>
        <w:rPr/>
      </w:pPr>
      <w:r>
        <w:rPr/>
        <w:t>-</w:t>
        <w:tab/>
        <w:t xml:space="preserve">High Dynamic Range is added either through the PQ10 or the HLG10 system, relying on HEVC Main-10 Level 5.1 </w:t>
      </w:r>
      <w:r>
        <w:rPr>
          <w:rFonts w:eastAsia="SimSun;宋体"/>
          <w:lang w:eastAsia="zh-CN"/>
        </w:rPr>
        <w:t>[15].</w:t>
      </w:r>
    </w:p>
    <w:p>
      <w:pPr>
        <w:pStyle w:val="B1"/>
        <w:rPr/>
      </w:pPr>
      <w:r>
        <w:rPr/>
        <w:t>-</w:t>
        <w:tab/>
        <w:t xml:space="preserve">Optional SEI metadata may be provided in the bitstream using HEVC specified SEI messages </w:t>
      </w:r>
      <w:r>
        <w:rPr>
          <w:rFonts w:eastAsia="SimSun;宋体"/>
          <w:lang w:eastAsia="zh-CN"/>
        </w:rPr>
        <w:t>[15].</w:t>
      </w:r>
    </w:p>
    <w:p>
      <w:pPr>
        <w:pStyle w:val="B1"/>
        <w:rPr/>
      </w:pPr>
      <w:r>
        <w:rPr/>
        <w:t>-</w:t>
        <w:tab/>
        <w:t>Addition of High Frame Rate (HFR), i.e. addition of 100, 120 000/1 001 and 120 Hz.</w:t>
      </w:r>
    </w:p>
    <w:p>
      <w:pPr>
        <w:pStyle w:val="B1"/>
        <w:rPr/>
      </w:pPr>
      <w:r>
        <w:rPr/>
        <w:t>-</w:t>
        <w:tab/>
        <w:t>HFR can be supported by two means:</w:t>
      </w:r>
    </w:p>
    <w:p>
      <w:pPr>
        <w:pStyle w:val="B2"/>
        <w:rPr/>
      </w:pPr>
      <w:r>
        <w:rPr/>
        <w:t>-</w:t>
        <w:tab/>
        <w:t>Single PID HFR bitstream.</w:t>
      </w:r>
    </w:p>
    <w:p>
      <w:pPr>
        <w:pStyle w:val="B2"/>
        <w:rPr/>
      </w:pPr>
      <w:r>
        <w:rPr/>
        <w:t>-</w:t>
        <w:tab/>
        <w:t>Dual PID and temporal scalability when the bitstream is intended to be decodable by UHD phase 1 receivers at half frame rate.</w:t>
      </w:r>
    </w:p>
    <w:p>
      <w:pPr>
        <w:pStyle w:val="B1"/>
        <w:rPr/>
      </w:pPr>
      <w:r>
        <w:rPr/>
        <w:t>-</w:t>
        <w:tab/>
        <w:t xml:space="preserve">For HFR on HEVC Main-10 Level 5.2 </w:t>
      </w:r>
      <w:r>
        <w:rPr>
          <w:rFonts w:eastAsia="SimSun;宋体"/>
          <w:lang w:eastAsia="zh-CN"/>
        </w:rPr>
        <w:t xml:space="preserve">[15] </w:t>
      </w:r>
      <w:r>
        <w:rPr/>
        <w:t>is required.</w:t>
      </w:r>
    </w:p>
    <w:p>
      <w:pPr>
        <w:pStyle w:val="B1"/>
        <w:rPr/>
      </w:pPr>
      <w:r>
        <w:rPr/>
        <w:t>-</w:t>
        <w:tab/>
        <w:t>Support for Next Generation Audio (NGA) to enable immersive and personalized audio content.</w:t>
      </w:r>
    </w:p>
    <w:p>
      <w:pPr>
        <w:pStyle w:val="Normal"/>
        <w:rPr/>
      </w:pPr>
      <w:r>
        <w:rPr/>
        <w:t>The TV Video Profiles in TS 26.116 [5] address coded representations of the UHD-1 phase 2 signals to the most extent. Table 6.1.3-1 provides an overview of the TV relevant formats considered in the context of 3GPP TV Video Profiles.</w:t>
      </w:r>
    </w:p>
    <w:p>
      <w:pPr>
        <w:pStyle w:val="TH"/>
        <w:rPr/>
      </w:pPr>
      <w:r>
        <w:rPr/>
        <w:t>Table 6.1.3-1: TV over 3GPP services Video Profile Operation Points (TS 26.116 [5])</w:t>
      </w:r>
    </w:p>
    <w:tbl>
      <w:tblPr>
        <w:tblW w:w="5150" w:type="pct"/>
        <w:jc w:val="center"/>
        <w:tblInd w:w="0" w:type="dxa"/>
        <w:tblLayout w:type="fixed"/>
        <w:tblCellMar>
          <w:top w:w="0" w:type="dxa"/>
          <w:left w:w="108" w:type="dxa"/>
          <w:bottom w:w="0" w:type="dxa"/>
          <w:right w:w="108" w:type="dxa"/>
        </w:tblCellMar>
      </w:tblPr>
      <w:tblGrid>
        <w:gridCol w:w="1216"/>
        <w:gridCol w:w="1118"/>
        <w:gridCol w:w="807"/>
        <w:gridCol w:w="1139"/>
        <w:gridCol w:w="684"/>
        <w:gridCol w:w="6"/>
        <w:gridCol w:w="875"/>
        <w:gridCol w:w="983"/>
        <w:gridCol w:w="689"/>
        <w:gridCol w:w="838"/>
        <w:gridCol w:w="1574"/>
      </w:tblGrid>
      <w:tr>
        <w:trPr>
          <w:tblHeader w:val="true"/>
        </w:trPr>
        <w:tc>
          <w:tcPr>
            <w:tcW w:w="1216" w:type="dxa"/>
            <w:tcBorders>
              <w:top w:val="single" w:sz="4" w:space="0" w:color="000000"/>
              <w:left w:val="single" w:sz="4" w:space="0" w:color="000000"/>
              <w:bottom w:val="single" w:sz="4" w:space="0" w:color="000000"/>
              <w:right w:val="single" w:sz="4" w:space="0" w:color="000000"/>
            </w:tcBorders>
            <w:shd w:fill="D9D9D9" w:val="clear"/>
          </w:tcPr>
          <w:p>
            <w:pPr>
              <w:pStyle w:val="TAH"/>
              <w:keepNext w:val="false"/>
              <w:keepLines w:val="false"/>
              <w:tabs>
                <w:tab w:val="clear" w:pos="284"/>
                <w:tab w:val="left" w:pos="9639" w:leader="none"/>
              </w:tabs>
              <w:rPr/>
            </w:pPr>
            <w:r>
              <w:rPr/>
              <w:t>Operation Point name</w:t>
            </w:r>
          </w:p>
        </w:tc>
        <w:tc>
          <w:tcPr>
            <w:tcW w:w="1118" w:type="dxa"/>
            <w:tcBorders>
              <w:top w:val="single" w:sz="4" w:space="0" w:color="000000"/>
              <w:left w:val="single" w:sz="4" w:space="0" w:color="000000"/>
              <w:bottom w:val="single" w:sz="4" w:space="0" w:color="000000"/>
              <w:right w:val="single" w:sz="4" w:space="0" w:color="000000"/>
            </w:tcBorders>
            <w:shd w:fill="D9D9D9" w:val="clear"/>
          </w:tcPr>
          <w:p>
            <w:pPr>
              <w:pStyle w:val="TAH"/>
              <w:keepNext w:val="false"/>
              <w:keepLines w:val="false"/>
              <w:tabs>
                <w:tab w:val="clear" w:pos="284"/>
                <w:tab w:val="left" w:pos="9639" w:leader="none"/>
              </w:tabs>
              <w:rPr/>
            </w:pPr>
            <w:r>
              <w:rPr/>
              <w:t>Resolution format</w:t>
            </w:r>
          </w:p>
        </w:tc>
        <w:tc>
          <w:tcPr>
            <w:tcW w:w="807" w:type="dxa"/>
            <w:tcBorders>
              <w:top w:val="single" w:sz="4" w:space="0" w:color="000000"/>
              <w:left w:val="single" w:sz="4" w:space="0" w:color="000000"/>
              <w:bottom w:val="single" w:sz="4" w:space="0" w:color="000000"/>
              <w:right w:val="single" w:sz="4" w:space="0" w:color="000000"/>
            </w:tcBorders>
            <w:shd w:fill="D9D9D9" w:val="clear"/>
          </w:tcPr>
          <w:p>
            <w:pPr>
              <w:pStyle w:val="TAH"/>
              <w:keepNext w:val="false"/>
              <w:keepLines w:val="false"/>
              <w:tabs>
                <w:tab w:val="clear" w:pos="284"/>
                <w:tab w:val="left" w:pos="9639" w:leader="none"/>
              </w:tabs>
              <w:rPr/>
            </w:pPr>
            <w:r>
              <w:rPr/>
              <w:t>Picture aspect ratio</w:t>
            </w:r>
          </w:p>
        </w:tc>
        <w:tc>
          <w:tcPr>
            <w:tcW w:w="1139" w:type="dxa"/>
            <w:tcBorders>
              <w:top w:val="single" w:sz="4" w:space="0" w:color="000000"/>
              <w:left w:val="single" w:sz="4" w:space="0" w:color="000000"/>
              <w:bottom w:val="single" w:sz="4" w:space="0" w:color="000000"/>
              <w:right w:val="single" w:sz="4" w:space="0" w:color="000000"/>
            </w:tcBorders>
            <w:shd w:fill="D9D9D9" w:val="clear"/>
          </w:tcPr>
          <w:p>
            <w:pPr>
              <w:pStyle w:val="TAH"/>
              <w:keepNext w:val="false"/>
              <w:keepLines w:val="false"/>
              <w:tabs>
                <w:tab w:val="clear" w:pos="284"/>
                <w:tab w:val="left" w:pos="9639" w:leader="none"/>
              </w:tabs>
              <w:rPr/>
            </w:pPr>
            <w:r>
              <w:rPr/>
              <w:t>Scan</w:t>
            </w:r>
          </w:p>
        </w:tc>
        <w:tc>
          <w:tcPr>
            <w:tcW w:w="690" w:type="dxa"/>
            <w:gridSpan w:val="2"/>
            <w:tcBorders>
              <w:top w:val="single" w:sz="4" w:space="0" w:color="000000"/>
              <w:left w:val="single" w:sz="4" w:space="0" w:color="000000"/>
              <w:bottom w:val="single" w:sz="4" w:space="0" w:color="000000"/>
              <w:right w:val="single" w:sz="4" w:space="0" w:color="000000"/>
            </w:tcBorders>
            <w:shd w:fill="D9D9D9" w:val="clear"/>
          </w:tcPr>
          <w:p>
            <w:pPr>
              <w:pStyle w:val="TAH"/>
              <w:keepNext w:val="false"/>
              <w:keepLines w:val="false"/>
              <w:tabs>
                <w:tab w:val="clear" w:pos="284"/>
                <w:tab w:val="left" w:pos="9639" w:leader="none"/>
              </w:tabs>
              <w:rPr/>
            </w:pPr>
            <w:r>
              <w:rPr/>
              <w:t>Max. frame rate</w:t>
            </w:r>
          </w:p>
        </w:tc>
        <w:tc>
          <w:tcPr>
            <w:tcW w:w="875" w:type="dxa"/>
            <w:tcBorders>
              <w:top w:val="single" w:sz="4" w:space="0" w:color="000000"/>
              <w:left w:val="single" w:sz="4" w:space="0" w:color="000000"/>
              <w:bottom w:val="single" w:sz="4" w:space="0" w:color="000000"/>
              <w:right w:val="single" w:sz="4" w:space="0" w:color="000000"/>
            </w:tcBorders>
            <w:shd w:fill="D9D9D9" w:val="clear"/>
          </w:tcPr>
          <w:p>
            <w:pPr>
              <w:pStyle w:val="TAH"/>
              <w:keepNext w:val="false"/>
              <w:keepLines w:val="false"/>
              <w:tabs>
                <w:tab w:val="clear" w:pos="284"/>
                <w:tab w:val="left" w:pos="9639" w:leader="none"/>
              </w:tabs>
              <w:rPr/>
            </w:pPr>
            <w:r>
              <w:rPr/>
              <w:t>Chroma format</w:t>
            </w:r>
          </w:p>
        </w:tc>
        <w:tc>
          <w:tcPr>
            <w:tcW w:w="983" w:type="dxa"/>
            <w:tcBorders>
              <w:top w:val="single" w:sz="4" w:space="0" w:color="000000"/>
              <w:left w:val="single" w:sz="4" w:space="0" w:color="000000"/>
              <w:bottom w:val="single" w:sz="4" w:space="0" w:color="000000"/>
              <w:right w:val="single" w:sz="4" w:space="0" w:color="000000"/>
            </w:tcBorders>
            <w:shd w:fill="D9D9D9" w:val="clear"/>
          </w:tcPr>
          <w:p>
            <w:pPr>
              <w:pStyle w:val="TAH"/>
              <w:keepNext w:val="false"/>
              <w:keepLines w:val="false"/>
              <w:tabs>
                <w:tab w:val="clear" w:pos="284"/>
                <w:tab w:val="left" w:pos="9639" w:leader="none"/>
              </w:tabs>
              <w:rPr/>
            </w:pPr>
            <w:r>
              <w:rPr/>
              <w:t>Chroma sub-sampling</w:t>
            </w:r>
          </w:p>
        </w:tc>
        <w:tc>
          <w:tcPr>
            <w:tcW w:w="689" w:type="dxa"/>
            <w:tcBorders>
              <w:top w:val="single" w:sz="4" w:space="0" w:color="000000"/>
              <w:left w:val="single" w:sz="4" w:space="0" w:color="000000"/>
              <w:bottom w:val="single" w:sz="4" w:space="0" w:color="000000"/>
              <w:right w:val="single" w:sz="4" w:space="0" w:color="000000"/>
            </w:tcBorders>
            <w:shd w:fill="D9D9D9" w:val="clear"/>
          </w:tcPr>
          <w:p>
            <w:pPr>
              <w:pStyle w:val="TAH"/>
              <w:keepNext w:val="false"/>
              <w:keepLines w:val="false"/>
              <w:tabs>
                <w:tab w:val="clear" w:pos="284"/>
                <w:tab w:val="left" w:pos="9639" w:leader="none"/>
              </w:tabs>
              <w:rPr/>
            </w:pPr>
            <w:r>
              <w:rPr/>
              <w:t>Bit depth</w:t>
            </w:r>
          </w:p>
        </w:tc>
        <w:tc>
          <w:tcPr>
            <w:tcW w:w="838" w:type="dxa"/>
            <w:tcBorders>
              <w:top w:val="single" w:sz="4" w:space="0" w:color="000000"/>
              <w:left w:val="single" w:sz="4" w:space="0" w:color="000000"/>
              <w:bottom w:val="single" w:sz="4" w:space="0" w:color="000000"/>
              <w:right w:val="single" w:sz="4" w:space="0" w:color="000000"/>
            </w:tcBorders>
            <w:shd w:fill="D9D9D9" w:val="clear"/>
          </w:tcPr>
          <w:p>
            <w:pPr>
              <w:pStyle w:val="TAH"/>
              <w:keepNext w:val="false"/>
              <w:keepLines w:val="false"/>
              <w:tabs>
                <w:tab w:val="clear" w:pos="284"/>
                <w:tab w:val="left" w:pos="9639" w:leader="none"/>
              </w:tabs>
              <w:ind w:right="-38" w:hanging="0"/>
              <w:rPr/>
            </w:pPr>
            <w:r>
              <w:rPr/>
              <w:t>Colour space format</w:t>
            </w:r>
          </w:p>
        </w:tc>
        <w:tc>
          <w:tcPr>
            <w:tcW w:w="1574" w:type="dxa"/>
            <w:tcBorders>
              <w:top w:val="single" w:sz="4" w:space="0" w:color="000000"/>
              <w:left w:val="single" w:sz="4" w:space="0" w:color="000000"/>
              <w:bottom w:val="single" w:sz="4" w:space="0" w:color="000000"/>
              <w:right w:val="single" w:sz="4" w:space="0" w:color="000000"/>
            </w:tcBorders>
            <w:shd w:fill="D9D9D9" w:val="clear"/>
          </w:tcPr>
          <w:p>
            <w:pPr>
              <w:pStyle w:val="TAH"/>
              <w:tabs>
                <w:tab w:val="clear" w:pos="284"/>
                <w:tab w:val="left" w:pos="9639" w:leader="none"/>
              </w:tabs>
              <w:ind w:left="96" w:hanging="0"/>
              <w:rPr/>
            </w:pPr>
            <w:r>
              <w:rPr/>
              <w:t>Transfer</w:t>
            </w:r>
          </w:p>
          <w:p>
            <w:pPr>
              <w:pStyle w:val="TAH"/>
              <w:tabs>
                <w:tab w:val="clear" w:pos="284"/>
                <w:tab w:val="left" w:pos="9639" w:leader="none"/>
              </w:tabs>
              <w:ind w:left="96" w:hanging="0"/>
              <w:rPr/>
            </w:pPr>
            <w:r>
              <w:rPr/>
              <w:t>Characteristics</w:t>
            </w:r>
          </w:p>
        </w:tc>
      </w:tr>
      <w:tr>
        <w:trPr/>
        <w:tc>
          <w:tcPr>
            <w:tcW w:w="1216" w:type="dxa"/>
            <w:tcBorders>
              <w:top w:val="single" w:sz="4" w:space="0" w:color="000000"/>
              <w:left w:val="single" w:sz="4" w:space="0" w:color="000000"/>
              <w:bottom w:val="single" w:sz="4" w:space="0" w:color="000000"/>
              <w:right w:val="single" w:sz="4" w:space="0" w:color="000000"/>
            </w:tcBorders>
          </w:tcPr>
          <w:p>
            <w:pPr>
              <w:pStyle w:val="TAL"/>
              <w:rPr/>
            </w:pPr>
            <w:r>
              <w:rPr/>
              <w:t>H.264/AVC 720p HD</w:t>
            </w:r>
          </w:p>
        </w:tc>
        <w:tc>
          <w:tcPr>
            <w:tcW w:w="1118" w:type="dxa"/>
            <w:tcBorders>
              <w:top w:val="single" w:sz="4" w:space="0" w:color="000000"/>
              <w:left w:val="single" w:sz="4" w:space="0" w:color="000000"/>
              <w:bottom w:val="single" w:sz="4" w:space="0" w:color="000000"/>
              <w:right w:val="single" w:sz="4" w:space="0" w:color="000000"/>
            </w:tcBorders>
          </w:tcPr>
          <w:p>
            <w:pPr>
              <w:pStyle w:val="TAL"/>
              <w:keepNext w:val="false"/>
              <w:keepLines w:val="false"/>
              <w:tabs>
                <w:tab w:val="clear" w:pos="284"/>
                <w:tab w:val="left" w:pos="9639" w:leader="none"/>
              </w:tabs>
              <w:rPr/>
            </w:pPr>
            <w:r>
              <w:rPr/>
              <w:t>1280 × 720</w:t>
            </w:r>
          </w:p>
        </w:tc>
        <w:tc>
          <w:tcPr>
            <w:tcW w:w="807" w:type="dxa"/>
            <w:tcBorders>
              <w:top w:val="single" w:sz="4" w:space="0" w:color="000000"/>
              <w:left w:val="single" w:sz="4" w:space="0" w:color="000000"/>
              <w:bottom w:val="single" w:sz="4" w:space="0" w:color="000000"/>
              <w:right w:val="single" w:sz="4" w:space="0" w:color="000000"/>
            </w:tcBorders>
          </w:tcPr>
          <w:p>
            <w:pPr>
              <w:pStyle w:val="TAL"/>
              <w:keepNext w:val="false"/>
              <w:keepLines w:val="false"/>
              <w:tabs>
                <w:tab w:val="clear" w:pos="284"/>
                <w:tab w:val="left" w:pos="9639" w:leader="none"/>
              </w:tabs>
              <w:rPr/>
            </w:pPr>
            <w:r>
              <w:rPr/>
              <w:t>16:9</w:t>
            </w:r>
          </w:p>
        </w:tc>
        <w:tc>
          <w:tcPr>
            <w:tcW w:w="1139" w:type="dxa"/>
            <w:tcBorders>
              <w:top w:val="single" w:sz="4" w:space="0" w:color="000000"/>
              <w:left w:val="single" w:sz="4" w:space="0" w:color="000000"/>
              <w:bottom w:val="single" w:sz="4" w:space="0" w:color="000000"/>
              <w:right w:val="single" w:sz="4" w:space="0" w:color="000000"/>
            </w:tcBorders>
          </w:tcPr>
          <w:p>
            <w:pPr>
              <w:pStyle w:val="TAL"/>
              <w:keepNext w:val="false"/>
              <w:keepLines w:val="false"/>
              <w:tabs>
                <w:tab w:val="clear" w:pos="284"/>
                <w:tab w:val="left" w:pos="9639" w:leader="none"/>
              </w:tabs>
              <w:rPr/>
            </w:pPr>
            <w:r>
              <w:rPr/>
              <w:t>Progressive</w:t>
            </w:r>
          </w:p>
        </w:tc>
        <w:tc>
          <w:tcPr>
            <w:tcW w:w="684" w:type="dxa"/>
            <w:tcBorders>
              <w:top w:val="single" w:sz="4" w:space="0" w:color="000000"/>
              <w:left w:val="single" w:sz="4" w:space="0" w:color="000000"/>
              <w:bottom w:val="single" w:sz="4" w:space="0" w:color="000000"/>
              <w:right w:val="single" w:sz="4" w:space="0" w:color="000000"/>
            </w:tcBorders>
          </w:tcPr>
          <w:p>
            <w:pPr>
              <w:pStyle w:val="TAL"/>
              <w:keepNext w:val="false"/>
              <w:keepLines w:val="false"/>
              <w:tabs>
                <w:tab w:val="clear" w:pos="284"/>
                <w:tab w:val="left" w:pos="9639" w:leader="none"/>
              </w:tabs>
              <w:rPr/>
            </w:pPr>
            <w:r>
              <w:rPr/>
              <w:t>30</w:t>
            </w:r>
          </w:p>
        </w:tc>
        <w:tc>
          <w:tcPr>
            <w:tcW w:w="881" w:type="dxa"/>
            <w:gridSpan w:val="2"/>
            <w:tcBorders>
              <w:top w:val="single" w:sz="4" w:space="0" w:color="000000"/>
              <w:left w:val="single" w:sz="4" w:space="0" w:color="000000"/>
              <w:bottom w:val="single" w:sz="4" w:space="0" w:color="000000"/>
              <w:right w:val="single" w:sz="4" w:space="0" w:color="000000"/>
            </w:tcBorders>
          </w:tcPr>
          <w:p>
            <w:pPr>
              <w:pStyle w:val="TAL"/>
              <w:keepNext w:val="false"/>
              <w:keepLines w:val="false"/>
              <w:tabs>
                <w:tab w:val="clear" w:pos="284"/>
                <w:tab w:val="left" w:pos="9639" w:leader="none"/>
              </w:tabs>
              <w:rPr>
                <w:lang w:eastAsia="en-GB"/>
              </w:rPr>
            </w:pPr>
            <w:r>
              <w:rPr>
                <w:lang w:eastAsia="en-GB"/>
              </w:rPr>
              <w:t>Y'CbCr</w:t>
            </w:r>
          </w:p>
        </w:tc>
        <w:tc>
          <w:tcPr>
            <w:tcW w:w="983" w:type="dxa"/>
            <w:tcBorders>
              <w:top w:val="single" w:sz="4" w:space="0" w:color="000000"/>
              <w:left w:val="single" w:sz="4" w:space="0" w:color="000000"/>
              <w:bottom w:val="single" w:sz="4" w:space="0" w:color="000000"/>
              <w:right w:val="single" w:sz="4" w:space="0" w:color="000000"/>
            </w:tcBorders>
          </w:tcPr>
          <w:p>
            <w:pPr>
              <w:pStyle w:val="TAL"/>
              <w:keepNext w:val="false"/>
              <w:keepLines w:val="false"/>
              <w:tabs>
                <w:tab w:val="clear" w:pos="284"/>
                <w:tab w:val="left" w:pos="9639" w:leader="none"/>
              </w:tabs>
              <w:rPr>
                <w:lang w:eastAsia="en-GB"/>
              </w:rPr>
            </w:pPr>
            <w:r>
              <w:rPr>
                <w:lang w:eastAsia="en-GB"/>
              </w:rPr>
              <w:t>4:2:0</w:t>
            </w:r>
          </w:p>
        </w:tc>
        <w:tc>
          <w:tcPr>
            <w:tcW w:w="689" w:type="dxa"/>
            <w:tcBorders>
              <w:top w:val="single" w:sz="4" w:space="0" w:color="000000"/>
              <w:left w:val="single" w:sz="4" w:space="0" w:color="000000"/>
              <w:bottom w:val="single" w:sz="4" w:space="0" w:color="000000"/>
              <w:right w:val="single" w:sz="4" w:space="0" w:color="000000"/>
            </w:tcBorders>
          </w:tcPr>
          <w:p>
            <w:pPr>
              <w:pStyle w:val="TAL"/>
              <w:keepNext w:val="false"/>
              <w:keepLines w:val="false"/>
              <w:tabs>
                <w:tab w:val="clear" w:pos="284"/>
                <w:tab w:val="left" w:pos="9639" w:leader="none"/>
              </w:tabs>
              <w:jc w:val="center"/>
              <w:rPr/>
            </w:pPr>
            <w:r>
              <w:rPr/>
              <w:t>8</w:t>
            </w:r>
          </w:p>
        </w:tc>
        <w:tc>
          <w:tcPr>
            <w:tcW w:w="838" w:type="dxa"/>
            <w:tcBorders>
              <w:top w:val="single" w:sz="4" w:space="0" w:color="000000"/>
              <w:left w:val="single" w:sz="4" w:space="0" w:color="000000"/>
              <w:bottom w:val="single" w:sz="4" w:space="0" w:color="000000"/>
              <w:right w:val="single" w:sz="4" w:space="0" w:color="000000"/>
            </w:tcBorders>
          </w:tcPr>
          <w:p>
            <w:pPr>
              <w:pStyle w:val="TAL"/>
              <w:keepNext w:val="false"/>
              <w:keepLines w:val="false"/>
              <w:tabs>
                <w:tab w:val="clear" w:pos="284"/>
                <w:tab w:val="left" w:pos="9639" w:leader="none"/>
              </w:tabs>
              <w:ind w:right="-38" w:hanging="0"/>
              <w:rPr/>
            </w:pPr>
            <w:r>
              <w:rPr/>
              <w:t>BT.709</w:t>
            </w:r>
          </w:p>
        </w:tc>
        <w:tc>
          <w:tcPr>
            <w:tcW w:w="1574" w:type="dxa"/>
            <w:tcBorders>
              <w:top w:val="single" w:sz="4" w:space="0" w:color="000000"/>
              <w:left w:val="single" w:sz="4" w:space="0" w:color="000000"/>
              <w:bottom w:val="single" w:sz="4" w:space="0" w:color="000000"/>
              <w:right w:val="single" w:sz="4" w:space="0" w:color="000000"/>
            </w:tcBorders>
          </w:tcPr>
          <w:p>
            <w:pPr>
              <w:pStyle w:val="TAL"/>
              <w:tabs>
                <w:tab w:val="clear" w:pos="284"/>
                <w:tab w:val="left" w:pos="9639" w:leader="none"/>
              </w:tabs>
              <w:ind w:left="96" w:hanging="0"/>
              <w:rPr/>
            </w:pPr>
            <w:r>
              <w:rPr/>
              <w:t>BT.709</w:t>
            </w:r>
          </w:p>
        </w:tc>
      </w:tr>
      <w:tr>
        <w:trPr/>
        <w:tc>
          <w:tcPr>
            <w:tcW w:w="1216" w:type="dxa"/>
            <w:tcBorders>
              <w:top w:val="single" w:sz="4" w:space="0" w:color="000000"/>
              <w:left w:val="single" w:sz="4" w:space="0" w:color="000000"/>
              <w:bottom w:val="single" w:sz="4" w:space="0" w:color="000000"/>
              <w:right w:val="single" w:sz="4" w:space="0" w:color="000000"/>
            </w:tcBorders>
          </w:tcPr>
          <w:p>
            <w:pPr>
              <w:pStyle w:val="TAL"/>
              <w:keepNext w:val="false"/>
              <w:keepLines w:val="false"/>
              <w:tabs>
                <w:tab w:val="clear" w:pos="284"/>
                <w:tab w:val="left" w:pos="9639" w:leader="none"/>
              </w:tabs>
              <w:rPr/>
            </w:pPr>
            <w:r>
              <w:rPr/>
              <w:t>H.265/HEVC 720p HD</w:t>
            </w:r>
          </w:p>
        </w:tc>
        <w:tc>
          <w:tcPr>
            <w:tcW w:w="1118" w:type="dxa"/>
            <w:tcBorders>
              <w:top w:val="single" w:sz="4" w:space="0" w:color="000000"/>
              <w:left w:val="single" w:sz="4" w:space="0" w:color="000000"/>
              <w:bottom w:val="single" w:sz="4" w:space="0" w:color="000000"/>
              <w:right w:val="single" w:sz="4" w:space="0" w:color="000000"/>
            </w:tcBorders>
          </w:tcPr>
          <w:p>
            <w:pPr>
              <w:pStyle w:val="TAL"/>
              <w:keepNext w:val="false"/>
              <w:keepLines w:val="false"/>
              <w:tabs>
                <w:tab w:val="clear" w:pos="284"/>
                <w:tab w:val="left" w:pos="9639" w:leader="none"/>
              </w:tabs>
              <w:rPr/>
            </w:pPr>
            <w:r>
              <w:rPr/>
              <w:t>1280 × 720</w:t>
            </w:r>
          </w:p>
        </w:tc>
        <w:tc>
          <w:tcPr>
            <w:tcW w:w="807" w:type="dxa"/>
            <w:tcBorders>
              <w:top w:val="single" w:sz="4" w:space="0" w:color="000000"/>
              <w:left w:val="single" w:sz="4" w:space="0" w:color="000000"/>
              <w:bottom w:val="single" w:sz="4" w:space="0" w:color="000000"/>
              <w:right w:val="single" w:sz="4" w:space="0" w:color="000000"/>
            </w:tcBorders>
          </w:tcPr>
          <w:p>
            <w:pPr>
              <w:pStyle w:val="TAL"/>
              <w:keepNext w:val="false"/>
              <w:keepLines w:val="false"/>
              <w:tabs>
                <w:tab w:val="clear" w:pos="284"/>
                <w:tab w:val="left" w:pos="9639" w:leader="none"/>
              </w:tabs>
              <w:rPr/>
            </w:pPr>
            <w:r>
              <w:rPr/>
              <w:t>16:9</w:t>
            </w:r>
          </w:p>
        </w:tc>
        <w:tc>
          <w:tcPr>
            <w:tcW w:w="1139" w:type="dxa"/>
            <w:tcBorders>
              <w:top w:val="single" w:sz="4" w:space="0" w:color="000000"/>
              <w:left w:val="single" w:sz="4" w:space="0" w:color="000000"/>
              <w:bottom w:val="single" w:sz="4" w:space="0" w:color="000000"/>
              <w:right w:val="single" w:sz="4" w:space="0" w:color="000000"/>
            </w:tcBorders>
          </w:tcPr>
          <w:p>
            <w:pPr>
              <w:pStyle w:val="TAL"/>
              <w:keepNext w:val="false"/>
              <w:keepLines w:val="false"/>
              <w:tabs>
                <w:tab w:val="clear" w:pos="284"/>
                <w:tab w:val="left" w:pos="9639" w:leader="none"/>
              </w:tabs>
              <w:rPr/>
            </w:pPr>
            <w:r>
              <w:rPr/>
              <w:t>Progressive</w:t>
            </w:r>
          </w:p>
        </w:tc>
        <w:tc>
          <w:tcPr>
            <w:tcW w:w="684" w:type="dxa"/>
            <w:tcBorders>
              <w:top w:val="single" w:sz="4" w:space="0" w:color="000000"/>
              <w:left w:val="single" w:sz="4" w:space="0" w:color="000000"/>
              <w:bottom w:val="single" w:sz="4" w:space="0" w:color="000000"/>
              <w:right w:val="single" w:sz="4" w:space="0" w:color="000000"/>
            </w:tcBorders>
          </w:tcPr>
          <w:p>
            <w:pPr>
              <w:pStyle w:val="TAL"/>
              <w:keepNext w:val="false"/>
              <w:keepLines w:val="false"/>
              <w:tabs>
                <w:tab w:val="clear" w:pos="284"/>
                <w:tab w:val="left" w:pos="9639" w:leader="none"/>
              </w:tabs>
              <w:rPr/>
            </w:pPr>
            <w:r>
              <w:rPr/>
              <w:t>30</w:t>
            </w:r>
          </w:p>
        </w:tc>
        <w:tc>
          <w:tcPr>
            <w:tcW w:w="881" w:type="dxa"/>
            <w:gridSpan w:val="2"/>
            <w:tcBorders>
              <w:top w:val="single" w:sz="4" w:space="0" w:color="000000"/>
              <w:left w:val="single" w:sz="4" w:space="0" w:color="000000"/>
              <w:bottom w:val="single" w:sz="4" w:space="0" w:color="000000"/>
              <w:right w:val="single" w:sz="4" w:space="0" w:color="000000"/>
            </w:tcBorders>
          </w:tcPr>
          <w:p>
            <w:pPr>
              <w:pStyle w:val="TAL"/>
              <w:keepNext w:val="false"/>
              <w:keepLines w:val="false"/>
              <w:tabs>
                <w:tab w:val="clear" w:pos="284"/>
                <w:tab w:val="left" w:pos="9639" w:leader="none"/>
              </w:tabs>
              <w:rPr/>
            </w:pPr>
            <w:r>
              <w:rPr>
                <w:lang w:eastAsia="en-GB"/>
              </w:rPr>
              <w:t>Y'CbCr</w:t>
            </w:r>
          </w:p>
        </w:tc>
        <w:tc>
          <w:tcPr>
            <w:tcW w:w="983" w:type="dxa"/>
            <w:tcBorders>
              <w:top w:val="single" w:sz="4" w:space="0" w:color="000000"/>
              <w:left w:val="single" w:sz="4" w:space="0" w:color="000000"/>
              <w:bottom w:val="single" w:sz="4" w:space="0" w:color="000000"/>
              <w:right w:val="single" w:sz="4" w:space="0" w:color="000000"/>
            </w:tcBorders>
          </w:tcPr>
          <w:p>
            <w:pPr>
              <w:pStyle w:val="TAL"/>
              <w:keepNext w:val="false"/>
              <w:keepLines w:val="false"/>
              <w:tabs>
                <w:tab w:val="clear" w:pos="284"/>
                <w:tab w:val="left" w:pos="9639" w:leader="none"/>
              </w:tabs>
              <w:rPr>
                <w:lang w:eastAsia="en-GB"/>
              </w:rPr>
            </w:pPr>
            <w:r>
              <w:rPr>
                <w:lang w:eastAsia="en-GB"/>
              </w:rPr>
              <w:t>4:2:0</w:t>
            </w:r>
          </w:p>
        </w:tc>
        <w:tc>
          <w:tcPr>
            <w:tcW w:w="689" w:type="dxa"/>
            <w:tcBorders>
              <w:top w:val="single" w:sz="4" w:space="0" w:color="000000"/>
              <w:left w:val="single" w:sz="4" w:space="0" w:color="000000"/>
              <w:bottom w:val="single" w:sz="4" w:space="0" w:color="000000"/>
              <w:right w:val="single" w:sz="4" w:space="0" w:color="000000"/>
            </w:tcBorders>
          </w:tcPr>
          <w:p>
            <w:pPr>
              <w:pStyle w:val="TAL"/>
              <w:keepNext w:val="false"/>
              <w:keepLines w:val="false"/>
              <w:tabs>
                <w:tab w:val="clear" w:pos="284"/>
                <w:tab w:val="left" w:pos="9639" w:leader="none"/>
              </w:tabs>
              <w:jc w:val="center"/>
              <w:rPr/>
            </w:pPr>
            <w:r>
              <w:rPr/>
              <w:t>8</w:t>
            </w:r>
          </w:p>
        </w:tc>
        <w:tc>
          <w:tcPr>
            <w:tcW w:w="838" w:type="dxa"/>
            <w:tcBorders>
              <w:top w:val="single" w:sz="4" w:space="0" w:color="000000"/>
              <w:left w:val="single" w:sz="4" w:space="0" w:color="000000"/>
              <w:bottom w:val="single" w:sz="4" w:space="0" w:color="000000"/>
              <w:right w:val="single" w:sz="4" w:space="0" w:color="000000"/>
            </w:tcBorders>
          </w:tcPr>
          <w:p>
            <w:pPr>
              <w:pStyle w:val="TAL"/>
              <w:keepNext w:val="false"/>
              <w:keepLines w:val="false"/>
              <w:tabs>
                <w:tab w:val="clear" w:pos="284"/>
                <w:tab w:val="left" w:pos="9639" w:leader="none"/>
              </w:tabs>
              <w:ind w:right="-38" w:hanging="0"/>
              <w:rPr/>
            </w:pPr>
            <w:r>
              <w:rPr/>
              <w:t xml:space="preserve">BT.709 </w:t>
            </w:r>
          </w:p>
        </w:tc>
        <w:tc>
          <w:tcPr>
            <w:tcW w:w="1574" w:type="dxa"/>
            <w:tcBorders>
              <w:top w:val="single" w:sz="4" w:space="0" w:color="000000"/>
              <w:left w:val="single" w:sz="4" w:space="0" w:color="000000"/>
              <w:bottom w:val="single" w:sz="4" w:space="0" w:color="000000"/>
              <w:right w:val="single" w:sz="4" w:space="0" w:color="000000"/>
            </w:tcBorders>
          </w:tcPr>
          <w:p>
            <w:pPr>
              <w:pStyle w:val="TAL"/>
              <w:tabs>
                <w:tab w:val="clear" w:pos="284"/>
                <w:tab w:val="left" w:pos="9639" w:leader="none"/>
              </w:tabs>
              <w:ind w:left="96" w:hanging="0"/>
              <w:rPr/>
            </w:pPr>
            <w:r>
              <w:rPr/>
              <w:t>BT.709</w:t>
            </w:r>
          </w:p>
        </w:tc>
      </w:tr>
      <w:tr>
        <w:trPr/>
        <w:tc>
          <w:tcPr>
            <w:tcW w:w="1216" w:type="dxa"/>
            <w:tcBorders>
              <w:top w:val="single" w:sz="4" w:space="0" w:color="000000"/>
              <w:left w:val="single" w:sz="4" w:space="0" w:color="000000"/>
              <w:bottom w:val="single" w:sz="4" w:space="0" w:color="000000"/>
              <w:right w:val="single" w:sz="4" w:space="0" w:color="000000"/>
            </w:tcBorders>
          </w:tcPr>
          <w:p>
            <w:pPr>
              <w:pStyle w:val="TAL"/>
              <w:keepNext w:val="false"/>
              <w:keepLines w:val="false"/>
              <w:tabs>
                <w:tab w:val="clear" w:pos="284"/>
                <w:tab w:val="left" w:pos="9639" w:leader="none"/>
              </w:tabs>
              <w:rPr/>
            </w:pPr>
            <w:r>
              <w:rPr/>
              <w:t>H.264/AVC Full HD</w:t>
            </w:r>
          </w:p>
        </w:tc>
        <w:tc>
          <w:tcPr>
            <w:tcW w:w="1118" w:type="dxa"/>
            <w:tcBorders>
              <w:top w:val="single" w:sz="4" w:space="0" w:color="000000"/>
              <w:left w:val="single" w:sz="4" w:space="0" w:color="000000"/>
              <w:bottom w:val="single" w:sz="4" w:space="0" w:color="000000"/>
              <w:right w:val="single" w:sz="4" w:space="0" w:color="000000"/>
            </w:tcBorders>
          </w:tcPr>
          <w:p>
            <w:pPr>
              <w:pStyle w:val="TAL"/>
              <w:keepNext w:val="false"/>
              <w:keepLines w:val="false"/>
              <w:tabs>
                <w:tab w:val="clear" w:pos="284"/>
                <w:tab w:val="left" w:pos="9639" w:leader="none"/>
              </w:tabs>
              <w:rPr/>
            </w:pPr>
            <w:r>
              <w:rPr/>
              <w:t>1920 × 1080</w:t>
            </w:r>
          </w:p>
        </w:tc>
        <w:tc>
          <w:tcPr>
            <w:tcW w:w="807" w:type="dxa"/>
            <w:tcBorders>
              <w:top w:val="single" w:sz="4" w:space="0" w:color="000000"/>
              <w:left w:val="single" w:sz="4" w:space="0" w:color="000000"/>
              <w:bottom w:val="single" w:sz="4" w:space="0" w:color="000000"/>
              <w:right w:val="single" w:sz="4" w:space="0" w:color="000000"/>
            </w:tcBorders>
          </w:tcPr>
          <w:p>
            <w:pPr>
              <w:pStyle w:val="TAL"/>
              <w:keepNext w:val="false"/>
              <w:keepLines w:val="false"/>
              <w:tabs>
                <w:tab w:val="clear" w:pos="284"/>
                <w:tab w:val="left" w:pos="9639" w:leader="none"/>
              </w:tabs>
              <w:rPr/>
            </w:pPr>
            <w:r>
              <w:rPr/>
              <w:t>16:9</w:t>
            </w:r>
          </w:p>
        </w:tc>
        <w:tc>
          <w:tcPr>
            <w:tcW w:w="1139" w:type="dxa"/>
            <w:tcBorders>
              <w:top w:val="single" w:sz="4" w:space="0" w:color="000000"/>
              <w:left w:val="single" w:sz="4" w:space="0" w:color="000000"/>
              <w:bottom w:val="single" w:sz="4" w:space="0" w:color="000000"/>
              <w:right w:val="single" w:sz="4" w:space="0" w:color="000000"/>
            </w:tcBorders>
          </w:tcPr>
          <w:p>
            <w:pPr>
              <w:pStyle w:val="TAL"/>
              <w:keepNext w:val="false"/>
              <w:keepLines w:val="false"/>
              <w:tabs>
                <w:tab w:val="clear" w:pos="284"/>
                <w:tab w:val="left" w:pos="9639" w:leader="none"/>
              </w:tabs>
              <w:rPr/>
            </w:pPr>
            <w:r>
              <w:rPr/>
              <w:t>Progressive</w:t>
            </w:r>
          </w:p>
        </w:tc>
        <w:tc>
          <w:tcPr>
            <w:tcW w:w="684" w:type="dxa"/>
            <w:tcBorders>
              <w:top w:val="single" w:sz="4" w:space="0" w:color="000000"/>
              <w:left w:val="single" w:sz="4" w:space="0" w:color="000000"/>
              <w:bottom w:val="single" w:sz="4" w:space="0" w:color="000000"/>
              <w:right w:val="single" w:sz="4" w:space="0" w:color="000000"/>
            </w:tcBorders>
          </w:tcPr>
          <w:p>
            <w:pPr>
              <w:pStyle w:val="TAL"/>
              <w:keepNext w:val="false"/>
              <w:keepLines w:val="false"/>
              <w:tabs>
                <w:tab w:val="clear" w:pos="284"/>
                <w:tab w:val="left" w:pos="9639" w:leader="none"/>
              </w:tabs>
              <w:rPr/>
            </w:pPr>
            <w:r>
              <w:rPr/>
              <w:t>60</w:t>
            </w:r>
          </w:p>
        </w:tc>
        <w:tc>
          <w:tcPr>
            <w:tcW w:w="881" w:type="dxa"/>
            <w:gridSpan w:val="2"/>
            <w:tcBorders>
              <w:top w:val="single" w:sz="4" w:space="0" w:color="000000"/>
              <w:left w:val="single" w:sz="4" w:space="0" w:color="000000"/>
              <w:bottom w:val="single" w:sz="4" w:space="0" w:color="000000"/>
              <w:right w:val="single" w:sz="4" w:space="0" w:color="000000"/>
            </w:tcBorders>
          </w:tcPr>
          <w:p>
            <w:pPr>
              <w:pStyle w:val="TAL"/>
              <w:keepNext w:val="false"/>
              <w:keepLines w:val="false"/>
              <w:tabs>
                <w:tab w:val="clear" w:pos="284"/>
                <w:tab w:val="left" w:pos="9639" w:leader="none"/>
              </w:tabs>
              <w:rPr>
                <w:lang w:eastAsia="en-GB"/>
              </w:rPr>
            </w:pPr>
            <w:r>
              <w:rPr>
                <w:lang w:eastAsia="en-GB"/>
              </w:rPr>
              <w:t>Y'CbCr</w:t>
            </w:r>
          </w:p>
        </w:tc>
        <w:tc>
          <w:tcPr>
            <w:tcW w:w="983" w:type="dxa"/>
            <w:tcBorders>
              <w:top w:val="single" w:sz="4" w:space="0" w:color="000000"/>
              <w:left w:val="single" w:sz="4" w:space="0" w:color="000000"/>
              <w:bottom w:val="single" w:sz="4" w:space="0" w:color="000000"/>
              <w:right w:val="single" w:sz="4" w:space="0" w:color="000000"/>
            </w:tcBorders>
          </w:tcPr>
          <w:p>
            <w:pPr>
              <w:pStyle w:val="TAL"/>
              <w:keepNext w:val="false"/>
              <w:keepLines w:val="false"/>
              <w:tabs>
                <w:tab w:val="clear" w:pos="284"/>
                <w:tab w:val="left" w:pos="9639" w:leader="none"/>
              </w:tabs>
              <w:rPr>
                <w:lang w:eastAsia="en-GB"/>
              </w:rPr>
            </w:pPr>
            <w:r>
              <w:rPr>
                <w:lang w:eastAsia="en-GB"/>
              </w:rPr>
              <w:t>4:2:0</w:t>
            </w:r>
          </w:p>
        </w:tc>
        <w:tc>
          <w:tcPr>
            <w:tcW w:w="689" w:type="dxa"/>
            <w:tcBorders>
              <w:top w:val="single" w:sz="4" w:space="0" w:color="000000"/>
              <w:left w:val="single" w:sz="4" w:space="0" w:color="000000"/>
              <w:bottom w:val="single" w:sz="4" w:space="0" w:color="000000"/>
              <w:right w:val="single" w:sz="4" w:space="0" w:color="000000"/>
            </w:tcBorders>
          </w:tcPr>
          <w:p>
            <w:pPr>
              <w:pStyle w:val="TAL"/>
              <w:keepNext w:val="false"/>
              <w:keepLines w:val="false"/>
              <w:tabs>
                <w:tab w:val="clear" w:pos="284"/>
                <w:tab w:val="left" w:pos="9639" w:leader="none"/>
              </w:tabs>
              <w:jc w:val="center"/>
              <w:rPr/>
            </w:pPr>
            <w:r>
              <w:rPr/>
              <w:t>8</w:t>
            </w:r>
          </w:p>
        </w:tc>
        <w:tc>
          <w:tcPr>
            <w:tcW w:w="838" w:type="dxa"/>
            <w:tcBorders>
              <w:top w:val="single" w:sz="4" w:space="0" w:color="000000"/>
              <w:left w:val="single" w:sz="4" w:space="0" w:color="000000"/>
              <w:bottom w:val="single" w:sz="4" w:space="0" w:color="000000"/>
              <w:right w:val="single" w:sz="4" w:space="0" w:color="000000"/>
            </w:tcBorders>
          </w:tcPr>
          <w:p>
            <w:pPr>
              <w:pStyle w:val="TAL"/>
              <w:keepNext w:val="false"/>
              <w:keepLines w:val="false"/>
              <w:tabs>
                <w:tab w:val="clear" w:pos="284"/>
                <w:tab w:val="left" w:pos="9639" w:leader="none"/>
              </w:tabs>
              <w:ind w:right="-38" w:hanging="0"/>
              <w:rPr/>
            </w:pPr>
            <w:r>
              <w:rPr/>
              <w:t>BT.709</w:t>
            </w:r>
          </w:p>
        </w:tc>
        <w:tc>
          <w:tcPr>
            <w:tcW w:w="1574" w:type="dxa"/>
            <w:tcBorders>
              <w:top w:val="single" w:sz="4" w:space="0" w:color="000000"/>
              <w:left w:val="single" w:sz="4" w:space="0" w:color="000000"/>
              <w:bottom w:val="single" w:sz="4" w:space="0" w:color="000000"/>
              <w:right w:val="single" w:sz="4" w:space="0" w:color="000000"/>
            </w:tcBorders>
          </w:tcPr>
          <w:p>
            <w:pPr>
              <w:pStyle w:val="TAL"/>
              <w:keepNext w:val="false"/>
              <w:tabs>
                <w:tab w:val="clear" w:pos="284"/>
                <w:tab w:val="left" w:pos="9639" w:leader="none"/>
              </w:tabs>
              <w:ind w:left="96" w:hanging="0"/>
              <w:rPr/>
            </w:pPr>
            <w:r>
              <w:rPr/>
              <w:t>BT.709</w:t>
            </w:r>
          </w:p>
        </w:tc>
      </w:tr>
      <w:tr>
        <w:trPr/>
        <w:tc>
          <w:tcPr>
            <w:tcW w:w="1216" w:type="dxa"/>
            <w:tcBorders>
              <w:top w:val="single" w:sz="4" w:space="0" w:color="000000"/>
              <w:left w:val="single" w:sz="4" w:space="0" w:color="000000"/>
              <w:bottom w:val="single" w:sz="4" w:space="0" w:color="000000"/>
              <w:right w:val="single" w:sz="4" w:space="0" w:color="000000"/>
            </w:tcBorders>
          </w:tcPr>
          <w:p>
            <w:pPr>
              <w:pStyle w:val="TAL"/>
              <w:keepNext w:val="false"/>
              <w:keepLines w:val="false"/>
              <w:tabs>
                <w:tab w:val="clear" w:pos="284"/>
                <w:tab w:val="left" w:pos="9639" w:leader="none"/>
              </w:tabs>
              <w:rPr/>
            </w:pPr>
            <w:r>
              <w:rPr/>
              <w:t>H.265/HEVC Full HD</w:t>
            </w:r>
          </w:p>
          <w:p>
            <w:pPr>
              <w:pStyle w:val="TAL"/>
              <w:keepNext w:val="false"/>
              <w:keepLines w:val="false"/>
              <w:tabs>
                <w:tab w:val="clear" w:pos="284"/>
                <w:tab w:val="left" w:pos="9639" w:leader="none"/>
              </w:tabs>
              <w:rPr/>
            </w:pPr>
            <w:r>
              <w:rPr/>
            </w:r>
          </w:p>
        </w:tc>
        <w:tc>
          <w:tcPr>
            <w:tcW w:w="1118" w:type="dxa"/>
            <w:tcBorders>
              <w:top w:val="single" w:sz="4" w:space="0" w:color="000000"/>
              <w:left w:val="single" w:sz="4" w:space="0" w:color="000000"/>
              <w:bottom w:val="single" w:sz="4" w:space="0" w:color="000000"/>
              <w:right w:val="single" w:sz="4" w:space="0" w:color="000000"/>
            </w:tcBorders>
          </w:tcPr>
          <w:p>
            <w:pPr>
              <w:pStyle w:val="TAL"/>
              <w:keepNext w:val="false"/>
              <w:keepLines w:val="false"/>
              <w:tabs>
                <w:tab w:val="clear" w:pos="284"/>
                <w:tab w:val="left" w:pos="9639" w:leader="none"/>
              </w:tabs>
              <w:rPr/>
            </w:pPr>
            <w:r>
              <w:rPr/>
              <w:t>1920 × 1080</w:t>
            </w:r>
          </w:p>
        </w:tc>
        <w:tc>
          <w:tcPr>
            <w:tcW w:w="807" w:type="dxa"/>
            <w:tcBorders>
              <w:top w:val="single" w:sz="4" w:space="0" w:color="000000"/>
              <w:left w:val="single" w:sz="4" w:space="0" w:color="000000"/>
              <w:bottom w:val="single" w:sz="4" w:space="0" w:color="000000"/>
              <w:right w:val="single" w:sz="4" w:space="0" w:color="000000"/>
            </w:tcBorders>
          </w:tcPr>
          <w:p>
            <w:pPr>
              <w:pStyle w:val="TAL"/>
              <w:keepNext w:val="false"/>
              <w:keepLines w:val="false"/>
              <w:tabs>
                <w:tab w:val="clear" w:pos="284"/>
                <w:tab w:val="left" w:pos="9639" w:leader="none"/>
              </w:tabs>
              <w:rPr/>
            </w:pPr>
            <w:r>
              <w:rPr/>
              <w:t>16:9</w:t>
            </w:r>
          </w:p>
        </w:tc>
        <w:tc>
          <w:tcPr>
            <w:tcW w:w="1139" w:type="dxa"/>
            <w:tcBorders>
              <w:top w:val="single" w:sz="4" w:space="0" w:color="000000"/>
              <w:left w:val="single" w:sz="4" w:space="0" w:color="000000"/>
              <w:bottom w:val="single" w:sz="4" w:space="0" w:color="000000"/>
              <w:right w:val="single" w:sz="4" w:space="0" w:color="000000"/>
            </w:tcBorders>
          </w:tcPr>
          <w:p>
            <w:pPr>
              <w:pStyle w:val="TAL"/>
              <w:keepNext w:val="false"/>
              <w:keepLines w:val="false"/>
              <w:tabs>
                <w:tab w:val="clear" w:pos="284"/>
                <w:tab w:val="left" w:pos="9639" w:leader="none"/>
              </w:tabs>
              <w:rPr/>
            </w:pPr>
            <w:r>
              <w:rPr/>
              <w:t>Progressive</w:t>
            </w:r>
          </w:p>
        </w:tc>
        <w:tc>
          <w:tcPr>
            <w:tcW w:w="684" w:type="dxa"/>
            <w:tcBorders>
              <w:top w:val="single" w:sz="4" w:space="0" w:color="000000"/>
              <w:left w:val="single" w:sz="4" w:space="0" w:color="000000"/>
              <w:bottom w:val="single" w:sz="4" w:space="0" w:color="000000"/>
              <w:right w:val="single" w:sz="4" w:space="0" w:color="000000"/>
            </w:tcBorders>
          </w:tcPr>
          <w:p>
            <w:pPr>
              <w:pStyle w:val="TAL"/>
              <w:keepNext w:val="false"/>
              <w:keepLines w:val="false"/>
              <w:tabs>
                <w:tab w:val="clear" w:pos="284"/>
                <w:tab w:val="left" w:pos="9639" w:leader="none"/>
              </w:tabs>
              <w:rPr/>
            </w:pPr>
            <w:r>
              <w:rPr/>
              <w:t>60</w:t>
            </w:r>
          </w:p>
        </w:tc>
        <w:tc>
          <w:tcPr>
            <w:tcW w:w="881" w:type="dxa"/>
            <w:gridSpan w:val="2"/>
            <w:tcBorders>
              <w:top w:val="single" w:sz="4" w:space="0" w:color="000000"/>
              <w:left w:val="single" w:sz="4" w:space="0" w:color="000000"/>
              <w:bottom w:val="single" w:sz="4" w:space="0" w:color="000000"/>
              <w:right w:val="single" w:sz="4" w:space="0" w:color="000000"/>
            </w:tcBorders>
          </w:tcPr>
          <w:p>
            <w:pPr>
              <w:pStyle w:val="TAL"/>
              <w:keepNext w:val="false"/>
              <w:keepLines w:val="false"/>
              <w:tabs>
                <w:tab w:val="clear" w:pos="284"/>
                <w:tab w:val="left" w:pos="9639" w:leader="none"/>
              </w:tabs>
              <w:rPr>
                <w:lang w:eastAsia="en-GB"/>
              </w:rPr>
            </w:pPr>
            <w:r>
              <w:rPr>
                <w:lang w:eastAsia="en-GB"/>
              </w:rPr>
              <w:t>Y'CbCr</w:t>
            </w:r>
          </w:p>
        </w:tc>
        <w:tc>
          <w:tcPr>
            <w:tcW w:w="983" w:type="dxa"/>
            <w:tcBorders>
              <w:top w:val="single" w:sz="4" w:space="0" w:color="000000"/>
              <w:left w:val="single" w:sz="4" w:space="0" w:color="000000"/>
              <w:bottom w:val="single" w:sz="4" w:space="0" w:color="000000"/>
              <w:right w:val="single" w:sz="4" w:space="0" w:color="000000"/>
            </w:tcBorders>
          </w:tcPr>
          <w:p>
            <w:pPr>
              <w:pStyle w:val="TAL"/>
              <w:keepNext w:val="false"/>
              <w:keepLines w:val="false"/>
              <w:tabs>
                <w:tab w:val="clear" w:pos="284"/>
                <w:tab w:val="left" w:pos="9639" w:leader="none"/>
              </w:tabs>
              <w:rPr/>
            </w:pPr>
            <w:r>
              <w:rPr>
                <w:lang w:eastAsia="en-GB"/>
              </w:rPr>
              <w:t>4:2:0</w:t>
            </w:r>
          </w:p>
        </w:tc>
        <w:tc>
          <w:tcPr>
            <w:tcW w:w="689" w:type="dxa"/>
            <w:tcBorders>
              <w:top w:val="single" w:sz="4" w:space="0" w:color="000000"/>
              <w:left w:val="single" w:sz="4" w:space="0" w:color="000000"/>
              <w:bottom w:val="single" w:sz="4" w:space="0" w:color="000000"/>
              <w:right w:val="single" w:sz="4" w:space="0" w:color="000000"/>
            </w:tcBorders>
          </w:tcPr>
          <w:p>
            <w:pPr>
              <w:pStyle w:val="TAL"/>
              <w:keepNext w:val="false"/>
              <w:keepLines w:val="false"/>
              <w:tabs>
                <w:tab w:val="clear" w:pos="284"/>
                <w:tab w:val="left" w:pos="9639" w:leader="none"/>
              </w:tabs>
              <w:jc w:val="center"/>
              <w:rPr/>
            </w:pPr>
            <w:r>
              <w:rPr/>
              <w:t>8; 10</w:t>
            </w:r>
          </w:p>
        </w:tc>
        <w:tc>
          <w:tcPr>
            <w:tcW w:w="838" w:type="dxa"/>
            <w:tcBorders>
              <w:top w:val="single" w:sz="4" w:space="0" w:color="000000"/>
              <w:left w:val="single" w:sz="4" w:space="0" w:color="000000"/>
              <w:bottom w:val="single" w:sz="4" w:space="0" w:color="000000"/>
              <w:right w:val="single" w:sz="4" w:space="0" w:color="000000"/>
            </w:tcBorders>
          </w:tcPr>
          <w:p>
            <w:pPr>
              <w:pStyle w:val="TAL"/>
              <w:keepNext w:val="false"/>
              <w:keepLines w:val="false"/>
              <w:tabs>
                <w:tab w:val="clear" w:pos="284"/>
                <w:tab w:val="left" w:pos="9639" w:leader="none"/>
              </w:tabs>
              <w:ind w:right="-38" w:hanging="0"/>
              <w:rPr/>
            </w:pPr>
            <w:r>
              <w:rPr/>
              <w:t>BT.709; BT.2020</w:t>
            </w:r>
          </w:p>
        </w:tc>
        <w:tc>
          <w:tcPr>
            <w:tcW w:w="1574" w:type="dxa"/>
            <w:tcBorders>
              <w:top w:val="single" w:sz="4" w:space="0" w:color="000000"/>
              <w:left w:val="single" w:sz="4" w:space="0" w:color="000000"/>
              <w:bottom w:val="single" w:sz="4" w:space="0" w:color="000000"/>
              <w:right w:val="single" w:sz="4" w:space="0" w:color="000000"/>
            </w:tcBorders>
          </w:tcPr>
          <w:p>
            <w:pPr>
              <w:pStyle w:val="TAL"/>
              <w:tabs>
                <w:tab w:val="clear" w:pos="284"/>
                <w:tab w:val="left" w:pos="9639" w:leader="none"/>
              </w:tabs>
              <w:ind w:left="96" w:hanging="0"/>
              <w:rPr/>
            </w:pPr>
            <w:r>
              <w:rPr/>
              <w:t xml:space="preserve">BT.709; BT.2020 </w:t>
            </w:r>
          </w:p>
        </w:tc>
      </w:tr>
      <w:tr>
        <w:trPr/>
        <w:tc>
          <w:tcPr>
            <w:tcW w:w="1216" w:type="dxa"/>
            <w:tcBorders>
              <w:top w:val="single" w:sz="4" w:space="0" w:color="000000"/>
              <w:left w:val="single" w:sz="4" w:space="0" w:color="000000"/>
              <w:bottom w:val="single" w:sz="4" w:space="0" w:color="000000"/>
              <w:right w:val="single" w:sz="4" w:space="0" w:color="000000"/>
            </w:tcBorders>
          </w:tcPr>
          <w:p>
            <w:pPr>
              <w:pStyle w:val="TAL"/>
              <w:keepNext w:val="false"/>
              <w:keepLines w:val="false"/>
              <w:tabs>
                <w:tab w:val="clear" w:pos="284"/>
                <w:tab w:val="left" w:pos="9639" w:leader="none"/>
              </w:tabs>
              <w:rPr/>
            </w:pPr>
            <w:r>
              <w:rPr/>
              <w:t>H.265/HEVC UHD</w:t>
            </w:r>
          </w:p>
        </w:tc>
        <w:tc>
          <w:tcPr>
            <w:tcW w:w="1118" w:type="dxa"/>
            <w:tcBorders>
              <w:top w:val="single" w:sz="4" w:space="0" w:color="000000"/>
              <w:left w:val="single" w:sz="4" w:space="0" w:color="000000"/>
              <w:bottom w:val="single" w:sz="4" w:space="0" w:color="000000"/>
              <w:right w:val="single" w:sz="4" w:space="0" w:color="000000"/>
            </w:tcBorders>
          </w:tcPr>
          <w:p>
            <w:pPr>
              <w:pStyle w:val="TAL"/>
              <w:keepNext w:val="false"/>
              <w:keepLines w:val="false"/>
              <w:tabs>
                <w:tab w:val="clear" w:pos="284"/>
                <w:tab w:val="left" w:pos="9639" w:leader="none"/>
              </w:tabs>
              <w:rPr/>
            </w:pPr>
            <w:r>
              <w:rPr/>
              <w:t>3840 × 2160</w:t>
            </w:r>
          </w:p>
        </w:tc>
        <w:tc>
          <w:tcPr>
            <w:tcW w:w="807" w:type="dxa"/>
            <w:tcBorders>
              <w:top w:val="single" w:sz="4" w:space="0" w:color="000000"/>
              <w:left w:val="single" w:sz="4" w:space="0" w:color="000000"/>
              <w:bottom w:val="single" w:sz="4" w:space="0" w:color="000000"/>
              <w:right w:val="single" w:sz="4" w:space="0" w:color="000000"/>
            </w:tcBorders>
          </w:tcPr>
          <w:p>
            <w:pPr>
              <w:pStyle w:val="TAL"/>
              <w:keepNext w:val="false"/>
              <w:keepLines w:val="false"/>
              <w:tabs>
                <w:tab w:val="clear" w:pos="284"/>
                <w:tab w:val="left" w:pos="9639" w:leader="none"/>
              </w:tabs>
              <w:rPr/>
            </w:pPr>
            <w:r>
              <w:rPr/>
              <w:t>16:9</w:t>
            </w:r>
          </w:p>
        </w:tc>
        <w:tc>
          <w:tcPr>
            <w:tcW w:w="1139" w:type="dxa"/>
            <w:tcBorders>
              <w:top w:val="single" w:sz="4" w:space="0" w:color="000000"/>
              <w:left w:val="single" w:sz="4" w:space="0" w:color="000000"/>
              <w:bottom w:val="single" w:sz="4" w:space="0" w:color="000000"/>
              <w:right w:val="single" w:sz="4" w:space="0" w:color="000000"/>
            </w:tcBorders>
          </w:tcPr>
          <w:p>
            <w:pPr>
              <w:pStyle w:val="TAL"/>
              <w:keepNext w:val="false"/>
              <w:keepLines w:val="false"/>
              <w:tabs>
                <w:tab w:val="clear" w:pos="284"/>
                <w:tab w:val="left" w:pos="9639" w:leader="none"/>
              </w:tabs>
              <w:rPr/>
            </w:pPr>
            <w:r>
              <w:rPr/>
              <w:t>Progressive</w:t>
            </w:r>
          </w:p>
        </w:tc>
        <w:tc>
          <w:tcPr>
            <w:tcW w:w="684" w:type="dxa"/>
            <w:tcBorders>
              <w:top w:val="single" w:sz="4" w:space="0" w:color="000000"/>
              <w:left w:val="single" w:sz="4" w:space="0" w:color="000000"/>
              <w:bottom w:val="single" w:sz="4" w:space="0" w:color="000000"/>
              <w:right w:val="single" w:sz="4" w:space="0" w:color="000000"/>
            </w:tcBorders>
          </w:tcPr>
          <w:p>
            <w:pPr>
              <w:pStyle w:val="TAL"/>
              <w:keepNext w:val="false"/>
              <w:keepLines w:val="false"/>
              <w:tabs>
                <w:tab w:val="clear" w:pos="284"/>
                <w:tab w:val="left" w:pos="9639" w:leader="none"/>
              </w:tabs>
              <w:rPr/>
            </w:pPr>
            <w:r>
              <w:rPr/>
              <w:t>60</w:t>
            </w:r>
          </w:p>
        </w:tc>
        <w:tc>
          <w:tcPr>
            <w:tcW w:w="881" w:type="dxa"/>
            <w:gridSpan w:val="2"/>
            <w:tcBorders>
              <w:top w:val="single" w:sz="4" w:space="0" w:color="000000"/>
              <w:left w:val="single" w:sz="4" w:space="0" w:color="000000"/>
              <w:bottom w:val="single" w:sz="4" w:space="0" w:color="000000"/>
              <w:right w:val="single" w:sz="4" w:space="0" w:color="000000"/>
            </w:tcBorders>
          </w:tcPr>
          <w:p>
            <w:pPr>
              <w:pStyle w:val="TAL"/>
              <w:keepNext w:val="false"/>
              <w:keepLines w:val="false"/>
              <w:tabs>
                <w:tab w:val="clear" w:pos="284"/>
                <w:tab w:val="left" w:pos="9639" w:leader="none"/>
              </w:tabs>
              <w:rPr>
                <w:lang w:eastAsia="en-GB"/>
              </w:rPr>
            </w:pPr>
            <w:r>
              <w:rPr>
                <w:lang w:eastAsia="en-GB"/>
              </w:rPr>
              <w:t>Y'CbCr</w:t>
            </w:r>
          </w:p>
        </w:tc>
        <w:tc>
          <w:tcPr>
            <w:tcW w:w="983" w:type="dxa"/>
            <w:tcBorders>
              <w:top w:val="single" w:sz="4" w:space="0" w:color="000000"/>
              <w:left w:val="single" w:sz="4" w:space="0" w:color="000000"/>
              <w:bottom w:val="single" w:sz="4" w:space="0" w:color="000000"/>
              <w:right w:val="single" w:sz="4" w:space="0" w:color="000000"/>
            </w:tcBorders>
          </w:tcPr>
          <w:p>
            <w:pPr>
              <w:pStyle w:val="TAL"/>
              <w:keepNext w:val="false"/>
              <w:keepLines w:val="false"/>
              <w:tabs>
                <w:tab w:val="clear" w:pos="284"/>
                <w:tab w:val="left" w:pos="9639" w:leader="none"/>
              </w:tabs>
              <w:rPr/>
            </w:pPr>
            <w:r>
              <w:rPr>
                <w:lang w:eastAsia="en-GB"/>
              </w:rPr>
              <w:t>4:2:0</w:t>
            </w:r>
          </w:p>
        </w:tc>
        <w:tc>
          <w:tcPr>
            <w:tcW w:w="689" w:type="dxa"/>
            <w:tcBorders>
              <w:top w:val="single" w:sz="4" w:space="0" w:color="000000"/>
              <w:left w:val="single" w:sz="4" w:space="0" w:color="000000"/>
              <w:bottom w:val="single" w:sz="4" w:space="0" w:color="000000"/>
              <w:right w:val="single" w:sz="4" w:space="0" w:color="000000"/>
            </w:tcBorders>
          </w:tcPr>
          <w:p>
            <w:pPr>
              <w:pStyle w:val="TAL"/>
              <w:keepNext w:val="false"/>
              <w:keepLines w:val="false"/>
              <w:tabs>
                <w:tab w:val="clear" w:pos="284"/>
                <w:tab w:val="left" w:pos="9639" w:leader="none"/>
              </w:tabs>
              <w:jc w:val="center"/>
              <w:rPr/>
            </w:pPr>
            <w:r>
              <w:rPr/>
              <w:t>10</w:t>
            </w:r>
          </w:p>
        </w:tc>
        <w:tc>
          <w:tcPr>
            <w:tcW w:w="838" w:type="dxa"/>
            <w:tcBorders>
              <w:top w:val="single" w:sz="4" w:space="0" w:color="000000"/>
              <w:left w:val="single" w:sz="4" w:space="0" w:color="000000"/>
              <w:bottom w:val="single" w:sz="4" w:space="0" w:color="000000"/>
              <w:right w:val="single" w:sz="4" w:space="0" w:color="000000"/>
            </w:tcBorders>
          </w:tcPr>
          <w:p>
            <w:pPr>
              <w:pStyle w:val="TAL"/>
              <w:keepNext w:val="false"/>
              <w:keepLines w:val="false"/>
              <w:tabs>
                <w:tab w:val="clear" w:pos="284"/>
                <w:tab w:val="left" w:pos="9639" w:leader="none"/>
              </w:tabs>
              <w:ind w:right="-38" w:hanging="0"/>
              <w:rPr/>
            </w:pPr>
            <w:r>
              <w:rPr/>
              <w:t>BT.2020</w:t>
            </w:r>
          </w:p>
        </w:tc>
        <w:tc>
          <w:tcPr>
            <w:tcW w:w="1574" w:type="dxa"/>
            <w:tcBorders>
              <w:top w:val="single" w:sz="4" w:space="0" w:color="000000"/>
              <w:left w:val="single" w:sz="4" w:space="0" w:color="000000"/>
              <w:bottom w:val="single" w:sz="4" w:space="0" w:color="000000"/>
              <w:right w:val="single" w:sz="4" w:space="0" w:color="000000"/>
            </w:tcBorders>
          </w:tcPr>
          <w:p>
            <w:pPr>
              <w:pStyle w:val="TAL"/>
              <w:tabs>
                <w:tab w:val="clear" w:pos="284"/>
                <w:tab w:val="left" w:pos="9639" w:leader="none"/>
              </w:tabs>
              <w:ind w:left="96" w:hanging="0"/>
              <w:rPr/>
            </w:pPr>
            <w:r>
              <w:rPr/>
              <w:t>BT.2020</w:t>
            </w:r>
          </w:p>
        </w:tc>
      </w:tr>
      <w:tr>
        <w:trPr/>
        <w:tc>
          <w:tcPr>
            <w:tcW w:w="1216" w:type="dxa"/>
            <w:tcBorders>
              <w:top w:val="single" w:sz="4" w:space="0" w:color="000000"/>
              <w:left w:val="single" w:sz="4" w:space="0" w:color="000000"/>
              <w:bottom w:val="single" w:sz="4" w:space="0" w:color="000000"/>
              <w:right w:val="single" w:sz="4" w:space="0" w:color="000000"/>
            </w:tcBorders>
          </w:tcPr>
          <w:p>
            <w:pPr>
              <w:pStyle w:val="TAL"/>
              <w:keepLines w:val="false"/>
              <w:tabs>
                <w:tab w:val="clear" w:pos="284"/>
                <w:tab w:val="left" w:pos="9639" w:leader="none"/>
              </w:tabs>
              <w:rPr/>
            </w:pPr>
            <w:r>
              <w:rPr/>
              <w:t>H.265/HEVC Full HD HDR</w:t>
            </w:r>
          </w:p>
        </w:tc>
        <w:tc>
          <w:tcPr>
            <w:tcW w:w="1118" w:type="dxa"/>
            <w:tcBorders>
              <w:top w:val="single" w:sz="4" w:space="0" w:color="000000"/>
              <w:left w:val="single" w:sz="4" w:space="0" w:color="000000"/>
              <w:bottom w:val="single" w:sz="4" w:space="0" w:color="000000"/>
              <w:right w:val="single" w:sz="4" w:space="0" w:color="000000"/>
            </w:tcBorders>
          </w:tcPr>
          <w:p>
            <w:pPr>
              <w:pStyle w:val="TAL"/>
              <w:keepLines w:val="false"/>
              <w:tabs>
                <w:tab w:val="clear" w:pos="284"/>
                <w:tab w:val="left" w:pos="9639" w:leader="none"/>
              </w:tabs>
              <w:rPr/>
            </w:pPr>
            <w:r>
              <w:rPr/>
              <w:t>1920 x 1080</w:t>
            </w:r>
          </w:p>
        </w:tc>
        <w:tc>
          <w:tcPr>
            <w:tcW w:w="807" w:type="dxa"/>
            <w:tcBorders>
              <w:top w:val="single" w:sz="4" w:space="0" w:color="000000"/>
              <w:left w:val="single" w:sz="4" w:space="0" w:color="000000"/>
              <w:bottom w:val="single" w:sz="4" w:space="0" w:color="000000"/>
              <w:right w:val="single" w:sz="4" w:space="0" w:color="000000"/>
            </w:tcBorders>
          </w:tcPr>
          <w:p>
            <w:pPr>
              <w:pStyle w:val="TAL"/>
              <w:keepLines w:val="false"/>
              <w:tabs>
                <w:tab w:val="clear" w:pos="284"/>
                <w:tab w:val="left" w:pos="9639" w:leader="none"/>
              </w:tabs>
              <w:rPr/>
            </w:pPr>
            <w:r>
              <w:rPr/>
              <w:t>16:9</w:t>
            </w:r>
          </w:p>
        </w:tc>
        <w:tc>
          <w:tcPr>
            <w:tcW w:w="1139" w:type="dxa"/>
            <w:tcBorders>
              <w:top w:val="single" w:sz="4" w:space="0" w:color="000000"/>
              <w:left w:val="single" w:sz="4" w:space="0" w:color="000000"/>
              <w:bottom w:val="single" w:sz="4" w:space="0" w:color="000000"/>
              <w:right w:val="single" w:sz="4" w:space="0" w:color="000000"/>
            </w:tcBorders>
          </w:tcPr>
          <w:p>
            <w:pPr>
              <w:pStyle w:val="TAL"/>
              <w:keepLines w:val="false"/>
              <w:tabs>
                <w:tab w:val="clear" w:pos="284"/>
                <w:tab w:val="left" w:pos="9639" w:leader="none"/>
              </w:tabs>
              <w:rPr/>
            </w:pPr>
            <w:r>
              <w:rPr/>
              <w:t>Progressive</w:t>
            </w:r>
          </w:p>
        </w:tc>
        <w:tc>
          <w:tcPr>
            <w:tcW w:w="684" w:type="dxa"/>
            <w:tcBorders>
              <w:top w:val="single" w:sz="4" w:space="0" w:color="000000"/>
              <w:left w:val="single" w:sz="4" w:space="0" w:color="000000"/>
              <w:bottom w:val="single" w:sz="4" w:space="0" w:color="000000"/>
              <w:right w:val="single" w:sz="4" w:space="0" w:color="000000"/>
            </w:tcBorders>
          </w:tcPr>
          <w:p>
            <w:pPr>
              <w:pStyle w:val="TAL"/>
              <w:keepLines w:val="false"/>
              <w:tabs>
                <w:tab w:val="clear" w:pos="284"/>
                <w:tab w:val="left" w:pos="9639" w:leader="none"/>
              </w:tabs>
              <w:rPr/>
            </w:pPr>
            <w:r>
              <w:rPr/>
              <w:t>60</w:t>
            </w:r>
          </w:p>
        </w:tc>
        <w:tc>
          <w:tcPr>
            <w:tcW w:w="881" w:type="dxa"/>
            <w:gridSpan w:val="2"/>
            <w:tcBorders>
              <w:top w:val="single" w:sz="4" w:space="0" w:color="000000"/>
              <w:left w:val="single" w:sz="4" w:space="0" w:color="000000"/>
              <w:bottom w:val="single" w:sz="4" w:space="0" w:color="000000"/>
              <w:right w:val="single" w:sz="4" w:space="0" w:color="000000"/>
            </w:tcBorders>
          </w:tcPr>
          <w:p>
            <w:pPr>
              <w:pStyle w:val="TAL"/>
              <w:keepLines w:val="false"/>
              <w:tabs>
                <w:tab w:val="clear" w:pos="284"/>
                <w:tab w:val="left" w:pos="9639" w:leader="none"/>
              </w:tabs>
              <w:rPr>
                <w:lang w:eastAsia="en-GB"/>
              </w:rPr>
            </w:pPr>
            <w:r>
              <w:rPr>
                <w:lang w:eastAsia="en-GB"/>
              </w:rPr>
              <w:t>Y'CbCr</w:t>
            </w:r>
          </w:p>
        </w:tc>
        <w:tc>
          <w:tcPr>
            <w:tcW w:w="983" w:type="dxa"/>
            <w:tcBorders>
              <w:top w:val="single" w:sz="4" w:space="0" w:color="000000"/>
              <w:left w:val="single" w:sz="4" w:space="0" w:color="000000"/>
              <w:bottom w:val="single" w:sz="4" w:space="0" w:color="000000"/>
              <w:right w:val="single" w:sz="4" w:space="0" w:color="000000"/>
            </w:tcBorders>
          </w:tcPr>
          <w:p>
            <w:pPr>
              <w:pStyle w:val="TAL"/>
              <w:keepLines w:val="false"/>
              <w:tabs>
                <w:tab w:val="clear" w:pos="284"/>
                <w:tab w:val="left" w:pos="9639" w:leader="none"/>
              </w:tabs>
              <w:rPr>
                <w:lang w:eastAsia="en-GB"/>
              </w:rPr>
            </w:pPr>
            <w:r>
              <w:rPr>
                <w:lang w:eastAsia="en-GB"/>
              </w:rPr>
              <w:t>4:2:0</w:t>
            </w:r>
          </w:p>
        </w:tc>
        <w:tc>
          <w:tcPr>
            <w:tcW w:w="689" w:type="dxa"/>
            <w:tcBorders>
              <w:top w:val="single" w:sz="4" w:space="0" w:color="000000"/>
              <w:left w:val="single" w:sz="4" w:space="0" w:color="000000"/>
              <w:bottom w:val="single" w:sz="4" w:space="0" w:color="000000"/>
              <w:right w:val="single" w:sz="4" w:space="0" w:color="000000"/>
            </w:tcBorders>
          </w:tcPr>
          <w:p>
            <w:pPr>
              <w:pStyle w:val="TAL"/>
              <w:keepLines w:val="false"/>
              <w:tabs>
                <w:tab w:val="clear" w:pos="284"/>
                <w:tab w:val="left" w:pos="9639" w:leader="none"/>
              </w:tabs>
              <w:jc w:val="center"/>
              <w:rPr/>
            </w:pPr>
            <w:r>
              <w:rPr/>
              <w:t>10</w:t>
            </w:r>
          </w:p>
        </w:tc>
        <w:tc>
          <w:tcPr>
            <w:tcW w:w="838" w:type="dxa"/>
            <w:tcBorders>
              <w:top w:val="single" w:sz="4" w:space="0" w:color="000000"/>
              <w:left w:val="single" w:sz="4" w:space="0" w:color="000000"/>
              <w:bottom w:val="single" w:sz="4" w:space="0" w:color="000000"/>
              <w:right w:val="single" w:sz="4" w:space="0" w:color="000000"/>
            </w:tcBorders>
          </w:tcPr>
          <w:p>
            <w:pPr>
              <w:pStyle w:val="TAL"/>
              <w:keepLines w:val="false"/>
              <w:tabs>
                <w:tab w:val="clear" w:pos="284"/>
                <w:tab w:val="left" w:pos="9639" w:leader="none"/>
              </w:tabs>
              <w:ind w:right="-38" w:hanging="0"/>
              <w:rPr/>
            </w:pPr>
            <w:r>
              <w:rPr/>
              <w:t xml:space="preserve">BT.2020 </w:t>
            </w:r>
          </w:p>
        </w:tc>
        <w:tc>
          <w:tcPr>
            <w:tcW w:w="1574" w:type="dxa"/>
            <w:tcBorders>
              <w:top w:val="single" w:sz="4" w:space="0" w:color="000000"/>
              <w:left w:val="single" w:sz="4" w:space="0" w:color="000000"/>
              <w:bottom w:val="single" w:sz="4" w:space="0" w:color="000000"/>
              <w:right w:val="single" w:sz="4" w:space="0" w:color="000000"/>
            </w:tcBorders>
          </w:tcPr>
          <w:p>
            <w:pPr>
              <w:pStyle w:val="TAL"/>
              <w:tabs>
                <w:tab w:val="clear" w:pos="284"/>
                <w:tab w:val="left" w:pos="9639" w:leader="none"/>
              </w:tabs>
              <w:ind w:left="96" w:hanging="0"/>
              <w:rPr/>
            </w:pPr>
            <w:r>
              <w:rPr/>
              <w:t>BT.2100 PQ</w:t>
            </w:r>
          </w:p>
        </w:tc>
      </w:tr>
      <w:tr>
        <w:trPr/>
        <w:tc>
          <w:tcPr>
            <w:tcW w:w="1216" w:type="dxa"/>
            <w:tcBorders>
              <w:top w:val="single" w:sz="4" w:space="0" w:color="000000"/>
              <w:left w:val="single" w:sz="4" w:space="0" w:color="000000"/>
              <w:bottom w:val="single" w:sz="4" w:space="0" w:color="000000"/>
              <w:right w:val="single" w:sz="4" w:space="0" w:color="000000"/>
            </w:tcBorders>
          </w:tcPr>
          <w:p>
            <w:pPr>
              <w:pStyle w:val="TAL"/>
              <w:keepNext w:val="false"/>
              <w:keepLines w:val="false"/>
              <w:tabs>
                <w:tab w:val="clear" w:pos="284"/>
                <w:tab w:val="left" w:pos="9639" w:leader="none"/>
              </w:tabs>
              <w:rPr/>
            </w:pPr>
            <w:r>
              <w:rPr/>
              <w:t>H.265/HEVC UHD HDR</w:t>
            </w:r>
          </w:p>
        </w:tc>
        <w:tc>
          <w:tcPr>
            <w:tcW w:w="1118" w:type="dxa"/>
            <w:tcBorders>
              <w:top w:val="single" w:sz="4" w:space="0" w:color="000000"/>
              <w:left w:val="single" w:sz="4" w:space="0" w:color="000000"/>
              <w:bottom w:val="single" w:sz="4" w:space="0" w:color="000000"/>
              <w:right w:val="single" w:sz="4" w:space="0" w:color="000000"/>
            </w:tcBorders>
          </w:tcPr>
          <w:p>
            <w:pPr>
              <w:pStyle w:val="TAL"/>
              <w:keepNext w:val="false"/>
              <w:keepLines w:val="false"/>
              <w:tabs>
                <w:tab w:val="clear" w:pos="284"/>
                <w:tab w:val="left" w:pos="9639" w:leader="none"/>
              </w:tabs>
              <w:rPr/>
            </w:pPr>
            <w:r>
              <w:rPr/>
              <w:t>3840 x 2160</w:t>
            </w:r>
          </w:p>
        </w:tc>
        <w:tc>
          <w:tcPr>
            <w:tcW w:w="807" w:type="dxa"/>
            <w:tcBorders>
              <w:top w:val="single" w:sz="4" w:space="0" w:color="000000"/>
              <w:left w:val="single" w:sz="4" w:space="0" w:color="000000"/>
              <w:bottom w:val="single" w:sz="4" w:space="0" w:color="000000"/>
              <w:right w:val="single" w:sz="4" w:space="0" w:color="000000"/>
            </w:tcBorders>
          </w:tcPr>
          <w:p>
            <w:pPr>
              <w:pStyle w:val="TAL"/>
              <w:keepNext w:val="false"/>
              <w:keepLines w:val="false"/>
              <w:tabs>
                <w:tab w:val="clear" w:pos="284"/>
                <w:tab w:val="left" w:pos="9639" w:leader="none"/>
              </w:tabs>
              <w:rPr/>
            </w:pPr>
            <w:r>
              <w:rPr/>
              <w:t>16:9</w:t>
            </w:r>
          </w:p>
        </w:tc>
        <w:tc>
          <w:tcPr>
            <w:tcW w:w="1139" w:type="dxa"/>
            <w:tcBorders>
              <w:top w:val="single" w:sz="4" w:space="0" w:color="000000"/>
              <w:left w:val="single" w:sz="4" w:space="0" w:color="000000"/>
              <w:bottom w:val="single" w:sz="4" w:space="0" w:color="000000"/>
              <w:right w:val="single" w:sz="4" w:space="0" w:color="000000"/>
            </w:tcBorders>
          </w:tcPr>
          <w:p>
            <w:pPr>
              <w:pStyle w:val="TAL"/>
              <w:keepNext w:val="false"/>
              <w:keepLines w:val="false"/>
              <w:tabs>
                <w:tab w:val="clear" w:pos="284"/>
                <w:tab w:val="left" w:pos="9639" w:leader="none"/>
              </w:tabs>
              <w:rPr/>
            </w:pPr>
            <w:r>
              <w:rPr/>
              <w:t>Progressive</w:t>
            </w:r>
          </w:p>
        </w:tc>
        <w:tc>
          <w:tcPr>
            <w:tcW w:w="684" w:type="dxa"/>
            <w:tcBorders>
              <w:top w:val="single" w:sz="4" w:space="0" w:color="000000"/>
              <w:left w:val="single" w:sz="4" w:space="0" w:color="000000"/>
              <w:bottom w:val="single" w:sz="4" w:space="0" w:color="000000"/>
              <w:right w:val="single" w:sz="4" w:space="0" w:color="000000"/>
            </w:tcBorders>
          </w:tcPr>
          <w:p>
            <w:pPr>
              <w:pStyle w:val="TAL"/>
              <w:keepNext w:val="false"/>
              <w:keepLines w:val="false"/>
              <w:tabs>
                <w:tab w:val="clear" w:pos="284"/>
                <w:tab w:val="left" w:pos="9639" w:leader="none"/>
              </w:tabs>
              <w:rPr/>
            </w:pPr>
            <w:r>
              <w:rPr/>
              <w:t>60</w:t>
            </w:r>
          </w:p>
        </w:tc>
        <w:tc>
          <w:tcPr>
            <w:tcW w:w="881" w:type="dxa"/>
            <w:gridSpan w:val="2"/>
            <w:tcBorders>
              <w:top w:val="single" w:sz="4" w:space="0" w:color="000000"/>
              <w:left w:val="single" w:sz="4" w:space="0" w:color="000000"/>
              <w:bottom w:val="single" w:sz="4" w:space="0" w:color="000000"/>
              <w:right w:val="single" w:sz="4" w:space="0" w:color="000000"/>
            </w:tcBorders>
          </w:tcPr>
          <w:p>
            <w:pPr>
              <w:pStyle w:val="TAL"/>
              <w:keepNext w:val="false"/>
              <w:keepLines w:val="false"/>
              <w:tabs>
                <w:tab w:val="clear" w:pos="284"/>
                <w:tab w:val="left" w:pos="9639" w:leader="none"/>
              </w:tabs>
              <w:rPr>
                <w:lang w:eastAsia="en-GB"/>
              </w:rPr>
            </w:pPr>
            <w:r>
              <w:rPr>
                <w:lang w:eastAsia="en-GB"/>
              </w:rPr>
              <w:t>Y'CbCr</w:t>
            </w:r>
          </w:p>
        </w:tc>
        <w:tc>
          <w:tcPr>
            <w:tcW w:w="983" w:type="dxa"/>
            <w:tcBorders>
              <w:top w:val="single" w:sz="4" w:space="0" w:color="000000"/>
              <w:left w:val="single" w:sz="4" w:space="0" w:color="000000"/>
              <w:bottom w:val="single" w:sz="4" w:space="0" w:color="000000"/>
              <w:right w:val="single" w:sz="4" w:space="0" w:color="000000"/>
            </w:tcBorders>
          </w:tcPr>
          <w:p>
            <w:pPr>
              <w:pStyle w:val="TAL"/>
              <w:keepNext w:val="false"/>
              <w:keepLines w:val="false"/>
              <w:tabs>
                <w:tab w:val="clear" w:pos="284"/>
                <w:tab w:val="left" w:pos="9639" w:leader="none"/>
              </w:tabs>
              <w:rPr>
                <w:lang w:eastAsia="en-GB"/>
              </w:rPr>
            </w:pPr>
            <w:r>
              <w:rPr>
                <w:lang w:eastAsia="en-GB"/>
              </w:rPr>
              <w:t>4:2:0</w:t>
            </w:r>
          </w:p>
        </w:tc>
        <w:tc>
          <w:tcPr>
            <w:tcW w:w="689" w:type="dxa"/>
            <w:tcBorders>
              <w:top w:val="single" w:sz="4" w:space="0" w:color="000000"/>
              <w:left w:val="single" w:sz="4" w:space="0" w:color="000000"/>
              <w:bottom w:val="single" w:sz="4" w:space="0" w:color="000000"/>
              <w:right w:val="single" w:sz="4" w:space="0" w:color="000000"/>
            </w:tcBorders>
          </w:tcPr>
          <w:p>
            <w:pPr>
              <w:pStyle w:val="TAL"/>
              <w:keepNext w:val="false"/>
              <w:keepLines w:val="false"/>
              <w:tabs>
                <w:tab w:val="clear" w:pos="284"/>
                <w:tab w:val="left" w:pos="9639" w:leader="none"/>
              </w:tabs>
              <w:jc w:val="center"/>
              <w:rPr/>
            </w:pPr>
            <w:r>
              <w:rPr/>
              <w:t>10</w:t>
            </w:r>
          </w:p>
        </w:tc>
        <w:tc>
          <w:tcPr>
            <w:tcW w:w="838" w:type="dxa"/>
            <w:tcBorders>
              <w:top w:val="single" w:sz="4" w:space="0" w:color="000000"/>
              <w:left w:val="single" w:sz="4" w:space="0" w:color="000000"/>
              <w:bottom w:val="single" w:sz="4" w:space="0" w:color="000000"/>
              <w:right w:val="single" w:sz="4" w:space="0" w:color="000000"/>
            </w:tcBorders>
          </w:tcPr>
          <w:p>
            <w:pPr>
              <w:pStyle w:val="TAL"/>
              <w:keepNext w:val="false"/>
              <w:keepLines w:val="false"/>
              <w:tabs>
                <w:tab w:val="clear" w:pos="284"/>
                <w:tab w:val="left" w:pos="9639" w:leader="none"/>
              </w:tabs>
              <w:ind w:right="-38" w:hanging="0"/>
              <w:rPr/>
            </w:pPr>
            <w:r>
              <w:rPr/>
              <w:t xml:space="preserve">BT.2020 </w:t>
            </w:r>
          </w:p>
        </w:tc>
        <w:tc>
          <w:tcPr>
            <w:tcW w:w="1574" w:type="dxa"/>
            <w:tcBorders>
              <w:top w:val="single" w:sz="4" w:space="0" w:color="000000"/>
              <w:left w:val="single" w:sz="4" w:space="0" w:color="000000"/>
              <w:bottom w:val="single" w:sz="4" w:space="0" w:color="000000"/>
              <w:right w:val="single" w:sz="4" w:space="0" w:color="000000"/>
            </w:tcBorders>
          </w:tcPr>
          <w:p>
            <w:pPr>
              <w:pStyle w:val="TAL"/>
              <w:tabs>
                <w:tab w:val="clear" w:pos="284"/>
                <w:tab w:val="left" w:pos="9639" w:leader="none"/>
              </w:tabs>
              <w:ind w:left="96" w:hanging="0"/>
              <w:rPr/>
            </w:pPr>
            <w:r>
              <w:rPr/>
              <w:t>BT.2100 PQ</w:t>
            </w:r>
          </w:p>
        </w:tc>
      </w:tr>
      <w:tr>
        <w:trPr/>
        <w:tc>
          <w:tcPr>
            <w:tcW w:w="1216" w:type="dxa"/>
            <w:tcBorders>
              <w:top w:val="single" w:sz="4" w:space="0" w:color="000000"/>
              <w:left w:val="single" w:sz="4" w:space="0" w:color="000000"/>
              <w:bottom w:val="single" w:sz="4" w:space="0" w:color="000000"/>
              <w:right w:val="single" w:sz="4" w:space="0" w:color="000000"/>
            </w:tcBorders>
          </w:tcPr>
          <w:p>
            <w:pPr>
              <w:pStyle w:val="TAL"/>
              <w:keepNext w:val="false"/>
              <w:keepLines w:val="false"/>
              <w:tabs>
                <w:tab w:val="clear" w:pos="284"/>
                <w:tab w:val="left" w:pos="9639" w:leader="none"/>
              </w:tabs>
              <w:rPr/>
            </w:pPr>
            <w:r>
              <w:rPr/>
              <w:t>H.265/HEVC Full HD HDR HLG</w:t>
            </w:r>
          </w:p>
        </w:tc>
        <w:tc>
          <w:tcPr>
            <w:tcW w:w="1118" w:type="dxa"/>
            <w:tcBorders>
              <w:top w:val="single" w:sz="4" w:space="0" w:color="000000"/>
              <w:left w:val="single" w:sz="4" w:space="0" w:color="000000"/>
              <w:bottom w:val="single" w:sz="4" w:space="0" w:color="000000"/>
              <w:right w:val="single" w:sz="4" w:space="0" w:color="000000"/>
            </w:tcBorders>
          </w:tcPr>
          <w:p>
            <w:pPr>
              <w:pStyle w:val="TAL"/>
              <w:keepNext w:val="false"/>
              <w:keepLines w:val="false"/>
              <w:tabs>
                <w:tab w:val="clear" w:pos="284"/>
                <w:tab w:val="left" w:pos="9639" w:leader="none"/>
              </w:tabs>
              <w:rPr/>
            </w:pPr>
            <w:r>
              <w:rPr/>
              <w:t>1920 x 1080</w:t>
            </w:r>
          </w:p>
        </w:tc>
        <w:tc>
          <w:tcPr>
            <w:tcW w:w="807" w:type="dxa"/>
            <w:tcBorders>
              <w:top w:val="single" w:sz="4" w:space="0" w:color="000000"/>
              <w:left w:val="single" w:sz="4" w:space="0" w:color="000000"/>
              <w:bottom w:val="single" w:sz="4" w:space="0" w:color="000000"/>
              <w:right w:val="single" w:sz="4" w:space="0" w:color="000000"/>
            </w:tcBorders>
          </w:tcPr>
          <w:p>
            <w:pPr>
              <w:pStyle w:val="TAL"/>
              <w:keepNext w:val="false"/>
              <w:keepLines w:val="false"/>
              <w:tabs>
                <w:tab w:val="clear" w:pos="284"/>
                <w:tab w:val="left" w:pos="9639" w:leader="none"/>
              </w:tabs>
              <w:rPr/>
            </w:pPr>
            <w:r>
              <w:rPr/>
              <w:t>16:9</w:t>
            </w:r>
          </w:p>
        </w:tc>
        <w:tc>
          <w:tcPr>
            <w:tcW w:w="1139" w:type="dxa"/>
            <w:tcBorders>
              <w:top w:val="single" w:sz="4" w:space="0" w:color="000000"/>
              <w:left w:val="single" w:sz="4" w:space="0" w:color="000000"/>
              <w:bottom w:val="single" w:sz="4" w:space="0" w:color="000000"/>
              <w:right w:val="single" w:sz="4" w:space="0" w:color="000000"/>
            </w:tcBorders>
          </w:tcPr>
          <w:p>
            <w:pPr>
              <w:pStyle w:val="TAL"/>
              <w:keepNext w:val="false"/>
              <w:keepLines w:val="false"/>
              <w:tabs>
                <w:tab w:val="clear" w:pos="284"/>
                <w:tab w:val="left" w:pos="9639" w:leader="none"/>
              </w:tabs>
              <w:rPr/>
            </w:pPr>
            <w:r>
              <w:rPr/>
              <w:t>Progressive</w:t>
            </w:r>
          </w:p>
        </w:tc>
        <w:tc>
          <w:tcPr>
            <w:tcW w:w="684" w:type="dxa"/>
            <w:tcBorders>
              <w:top w:val="single" w:sz="4" w:space="0" w:color="000000"/>
              <w:left w:val="single" w:sz="4" w:space="0" w:color="000000"/>
              <w:bottom w:val="single" w:sz="4" w:space="0" w:color="000000"/>
              <w:right w:val="single" w:sz="4" w:space="0" w:color="000000"/>
            </w:tcBorders>
          </w:tcPr>
          <w:p>
            <w:pPr>
              <w:pStyle w:val="TAL"/>
              <w:keepNext w:val="false"/>
              <w:keepLines w:val="false"/>
              <w:tabs>
                <w:tab w:val="clear" w:pos="284"/>
                <w:tab w:val="left" w:pos="9639" w:leader="none"/>
              </w:tabs>
              <w:rPr/>
            </w:pPr>
            <w:r>
              <w:rPr/>
              <w:t>60</w:t>
            </w:r>
          </w:p>
        </w:tc>
        <w:tc>
          <w:tcPr>
            <w:tcW w:w="881" w:type="dxa"/>
            <w:gridSpan w:val="2"/>
            <w:tcBorders>
              <w:top w:val="single" w:sz="4" w:space="0" w:color="000000"/>
              <w:left w:val="single" w:sz="4" w:space="0" w:color="000000"/>
              <w:bottom w:val="single" w:sz="4" w:space="0" w:color="000000"/>
              <w:right w:val="single" w:sz="4" w:space="0" w:color="000000"/>
            </w:tcBorders>
          </w:tcPr>
          <w:p>
            <w:pPr>
              <w:pStyle w:val="TAL"/>
              <w:keepNext w:val="false"/>
              <w:keepLines w:val="false"/>
              <w:tabs>
                <w:tab w:val="clear" w:pos="284"/>
                <w:tab w:val="left" w:pos="9639" w:leader="none"/>
              </w:tabs>
              <w:rPr>
                <w:lang w:eastAsia="en-GB"/>
              </w:rPr>
            </w:pPr>
            <w:r>
              <w:rPr>
                <w:lang w:eastAsia="en-GB"/>
              </w:rPr>
              <w:t>Y'CbCr</w:t>
            </w:r>
          </w:p>
        </w:tc>
        <w:tc>
          <w:tcPr>
            <w:tcW w:w="983" w:type="dxa"/>
            <w:tcBorders>
              <w:top w:val="single" w:sz="4" w:space="0" w:color="000000"/>
              <w:left w:val="single" w:sz="4" w:space="0" w:color="000000"/>
              <w:bottom w:val="single" w:sz="4" w:space="0" w:color="000000"/>
              <w:right w:val="single" w:sz="4" w:space="0" w:color="000000"/>
            </w:tcBorders>
          </w:tcPr>
          <w:p>
            <w:pPr>
              <w:pStyle w:val="TAL"/>
              <w:keepNext w:val="false"/>
              <w:keepLines w:val="false"/>
              <w:tabs>
                <w:tab w:val="clear" w:pos="284"/>
                <w:tab w:val="left" w:pos="9639" w:leader="none"/>
              </w:tabs>
              <w:rPr/>
            </w:pPr>
            <w:r>
              <w:rPr>
                <w:lang w:eastAsia="en-GB"/>
              </w:rPr>
              <w:t>4:2:0</w:t>
            </w:r>
          </w:p>
        </w:tc>
        <w:tc>
          <w:tcPr>
            <w:tcW w:w="689" w:type="dxa"/>
            <w:tcBorders>
              <w:top w:val="single" w:sz="4" w:space="0" w:color="000000"/>
              <w:left w:val="single" w:sz="4" w:space="0" w:color="000000"/>
              <w:bottom w:val="single" w:sz="4" w:space="0" w:color="000000"/>
              <w:right w:val="single" w:sz="4" w:space="0" w:color="000000"/>
            </w:tcBorders>
          </w:tcPr>
          <w:p>
            <w:pPr>
              <w:pStyle w:val="TAL"/>
              <w:keepNext w:val="false"/>
              <w:keepLines w:val="false"/>
              <w:tabs>
                <w:tab w:val="clear" w:pos="284"/>
                <w:tab w:val="left" w:pos="9639" w:leader="none"/>
              </w:tabs>
              <w:jc w:val="center"/>
              <w:rPr/>
            </w:pPr>
            <w:r>
              <w:rPr/>
              <w:t>10</w:t>
            </w:r>
          </w:p>
        </w:tc>
        <w:tc>
          <w:tcPr>
            <w:tcW w:w="838" w:type="dxa"/>
            <w:tcBorders>
              <w:top w:val="single" w:sz="4" w:space="0" w:color="000000"/>
              <w:left w:val="single" w:sz="4" w:space="0" w:color="000000"/>
              <w:bottom w:val="single" w:sz="4" w:space="0" w:color="000000"/>
              <w:right w:val="single" w:sz="4" w:space="0" w:color="000000"/>
            </w:tcBorders>
          </w:tcPr>
          <w:p>
            <w:pPr>
              <w:pStyle w:val="TAL"/>
              <w:keepNext w:val="false"/>
              <w:keepLines w:val="false"/>
              <w:tabs>
                <w:tab w:val="clear" w:pos="284"/>
                <w:tab w:val="left" w:pos="9639" w:leader="none"/>
              </w:tabs>
              <w:ind w:right="-38" w:hanging="0"/>
              <w:rPr/>
            </w:pPr>
            <w:r>
              <w:rPr/>
              <w:t>BT.2020</w:t>
            </w:r>
          </w:p>
        </w:tc>
        <w:tc>
          <w:tcPr>
            <w:tcW w:w="1574" w:type="dxa"/>
            <w:tcBorders>
              <w:top w:val="single" w:sz="4" w:space="0" w:color="000000"/>
              <w:left w:val="single" w:sz="4" w:space="0" w:color="000000"/>
              <w:bottom w:val="single" w:sz="4" w:space="0" w:color="000000"/>
              <w:right w:val="single" w:sz="4" w:space="0" w:color="000000"/>
            </w:tcBorders>
          </w:tcPr>
          <w:p>
            <w:pPr>
              <w:pStyle w:val="TAL"/>
              <w:tabs>
                <w:tab w:val="clear" w:pos="284"/>
                <w:tab w:val="left" w:pos="9639" w:leader="none"/>
              </w:tabs>
              <w:ind w:left="96" w:hanging="0"/>
              <w:rPr/>
            </w:pPr>
            <w:r>
              <w:rPr/>
              <w:t>BT.2100 HLG</w:t>
            </w:r>
          </w:p>
        </w:tc>
      </w:tr>
      <w:tr>
        <w:trPr/>
        <w:tc>
          <w:tcPr>
            <w:tcW w:w="1216" w:type="dxa"/>
            <w:tcBorders>
              <w:top w:val="single" w:sz="4" w:space="0" w:color="000000"/>
              <w:left w:val="single" w:sz="4" w:space="0" w:color="000000"/>
              <w:bottom w:val="single" w:sz="4" w:space="0" w:color="000000"/>
              <w:right w:val="single" w:sz="4" w:space="0" w:color="000000"/>
            </w:tcBorders>
          </w:tcPr>
          <w:p>
            <w:pPr>
              <w:pStyle w:val="TAL"/>
              <w:keepNext w:val="false"/>
              <w:keepLines w:val="false"/>
              <w:tabs>
                <w:tab w:val="clear" w:pos="284"/>
                <w:tab w:val="left" w:pos="9639" w:leader="none"/>
              </w:tabs>
              <w:rPr/>
            </w:pPr>
            <w:r>
              <w:rPr/>
              <w:t>H.265/HEVC UHD HDR HLG</w:t>
            </w:r>
          </w:p>
        </w:tc>
        <w:tc>
          <w:tcPr>
            <w:tcW w:w="1118" w:type="dxa"/>
            <w:tcBorders>
              <w:top w:val="single" w:sz="4" w:space="0" w:color="000000"/>
              <w:left w:val="single" w:sz="4" w:space="0" w:color="000000"/>
              <w:bottom w:val="single" w:sz="4" w:space="0" w:color="000000"/>
              <w:right w:val="single" w:sz="4" w:space="0" w:color="000000"/>
            </w:tcBorders>
          </w:tcPr>
          <w:p>
            <w:pPr>
              <w:pStyle w:val="TAL"/>
              <w:keepNext w:val="false"/>
              <w:keepLines w:val="false"/>
              <w:tabs>
                <w:tab w:val="clear" w:pos="284"/>
                <w:tab w:val="left" w:pos="9639" w:leader="none"/>
              </w:tabs>
              <w:rPr/>
            </w:pPr>
            <w:r>
              <w:rPr/>
              <w:t>3840 x 2160</w:t>
            </w:r>
          </w:p>
        </w:tc>
        <w:tc>
          <w:tcPr>
            <w:tcW w:w="807" w:type="dxa"/>
            <w:tcBorders>
              <w:top w:val="single" w:sz="4" w:space="0" w:color="000000"/>
              <w:left w:val="single" w:sz="4" w:space="0" w:color="000000"/>
              <w:bottom w:val="single" w:sz="4" w:space="0" w:color="000000"/>
              <w:right w:val="single" w:sz="4" w:space="0" w:color="000000"/>
            </w:tcBorders>
          </w:tcPr>
          <w:p>
            <w:pPr>
              <w:pStyle w:val="TAL"/>
              <w:keepNext w:val="false"/>
              <w:keepLines w:val="false"/>
              <w:tabs>
                <w:tab w:val="clear" w:pos="284"/>
                <w:tab w:val="left" w:pos="9639" w:leader="none"/>
              </w:tabs>
              <w:rPr/>
            </w:pPr>
            <w:r>
              <w:rPr/>
              <w:t>16:9</w:t>
            </w:r>
          </w:p>
        </w:tc>
        <w:tc>
          <w:tcPr>
            <w:tcW w:w="1139" w:type="dxa"/>
            <w:tcBorders>
              <w:top w:val="single" w:sz="4" w:space="0" w:color="000000"/>
              <w:left w:val="single" w:sz="4" w:space="0" w:color="000000"/>
              <w:bottom w:val="single" w:sz="4" w:space="0" w:color="000000"/>
              <w:right w:val="single" w:sz="4" w:space="0" w:color="000000"/>
            </w:tcBorders>
          </w:tcPr>
          <w:p>
            <w:pPr>
              <w:pStyle w:val="TAL"/>
              <w:keepNext w:val="false"/>
              <w:keepLines w:val="false"/>
              <w:tabs>
                <w:tab w:val="clear" w:pos="284"/>
                <w:tab w:val="left" w:pos="9639" w:leader="none"/>
              </w:tabs>
              <w:rPr/>
            </w:pPr>
            <w:r>
              <w:rPr/>
              <w:t>Progressive</w:t>
            </w:r>
          </w:p>
        </w:tc>
        <w:tc>
          <w:tcPr>
            <w:tcW w:w="684" w:type="dxa"/>
            <w:tcBorders>
              <w:top w:val="single" w:sz="4" w:space="0" w:color="000000"/>
              <w:left w:val="single" w:sz="4" w:space="0" w:color="000000"/>
              <w:bottom w:val="single" w:sz="4" w:space="0" w:color="000000"/>
              <w:right w:val="single" w:sz="4" w:space="0" w:color="000000"/>
            </w:tcBorders>
          </w:tcPr>
          <w:p>
            <w:pPr>
              <w:pStyle w:val="TAL"/>
              <w:keepNext w:val="false"/>
              <w:keepLines w:val="false"/>
              <w:tabs>
                <w:tab w:val="clear" w:pos="284"/>
                <w:tab w:val="left" w:pos="9639" w:leader="none"/>
              </w:tabs>
              <w:rPr/>
            </w:pPr>
            <w:r>
              <w:rPr/>
              <w:t>60</w:t>
            </w:r>
          </w:p>
        </w:tc>
        <w:tc>
          <w:tcPr>
            <w:tcW w:w="881" w:type="dxa"/>
            <w:gridSpan w:val="2"/>
            <w:tcBorders>
              <w:top w:val="single" w:sz="4" w:space="0" w:color="000000"/>
              <w:left w:val="single" w:sz="4" w:space="0" w:color="000000"/>
              <w:bottom w:val="single" w:sz="4" w:space="0" w:color="000000"/>
              <w:right w:val="single" w:sz="4" w:space="0" w:color="000000"/>
            </w:tcBorders>
          </w:tcPr>
          <w:p>
            <w:pPr>
              <w:pStyle w:val="TAL"/>
              <w:keepNext w:val="false"/>
              <w:keepLines w:val="false"/>
              <w:tabs>
                <w:tab w:val="clear" w:pos="284"/>
                <w:tab w:val="left" w:pos="9639" w:leader="none"/>
              </w:tabs>
              <w:rPr>
                <w:lang w:eastAsia="en-GB"/>
              </w:rPr>
            </w:pPr>
            <w:r>
              <w:rPr>
                <w:lang w:eastAsia="en-GB"/>
              </w:rPr>
              <w:t>Y'CbCr</w:t>
            </w:r>
          </w:p>
        </w:tc>
        <w:tc>
          <w:tcPr>
            <w:tcW w:w="983" w:type="dxa"/>
            <w:tcBorders>
              <w:top w:val="single" w:sz="4" w:space="0" w:color="000000"/>
              <w:left w:val="single" w:sz="4" w:space="0" w:color="000000"/>
              <w:bottom w:val="single" w:sz="4" w:space="0" w:color="000000"/>
              <w:right w:val="single" w:sz="4" w:space="0" w:color="000000"/>
            </w:tcBorders>
          </w:tcPr>
          <w:p>
            <w:pPr>
              <w:pStyle w:val="TAL"/>
              <w:keepNext w:val="false"/>
              <w:keepLines w:val="false"/>
              <w:tabs>
                <w:tab w:val="clear" w:pos="284"/>
                <w:tab w:val="left" w:pos="9639" w:leader="none"/>
              </w:tabs>
              <w:rPr/>
            </w:pPr>
            <w:r>
              <w:rPr>
                <w:lang w:eastAsia="en-GB"/>
              </w:rPr>
              <w:t>4:2:0</w:t>
            </w:r>
          </w:p>
        </w:tc>
        <w:tc>
          <w:tcPr>
            <w:tcW w:w="689" w:type="dxa"/>
            <w:tcBorders>
              <w:top w:val="single" w:sz="4" w:space="0" w:color="000000"/>
              <w:left w:val="single" w:sz="4" w:space="0" w:color="000000"/>
              <w:bottom w:val="single" w:sz="4" w:space="0" w:color="000000"/>
              <w:right w:val="single" w:sz="4" w:space="0" w:color="000000"/>
            </w:tcBorders>
          </w:tcPr>
          <w:p>
            <w:pPr>
              <w:pStyle w:val="TAL"/>
              <w:keepNext w:val="false"/>
              <w:keepLines w:val="false"/>
              <w:tabs>
                <w:tab w:val="clear" w:pos="284"/>
                <w:tab w:val="left" w:pos="9639" w:leader="none"/>
              </w:tabs>
              <w:jc w:val="center"/>
              <w:rPr/>
            </w:pPr>
            <w:r>
              <w:rPr/>
              <w:t>10</w:t>
            </w:r>
          </w:p>
        </w:tc>
        <w:tc>
          <w:tcPr>
            <w:tcW w:w="838" w:type="dxa"/>
            <w:tcBorders>
              <w:top w:val="single" w:sz="4" w:space="0" w:color="000000"/>
              <w:left w:val="single" w:sz="4" w:space="0" w:color="000000"/>
              <w:bottom w:val="single" w:sz="4" w:space="0" w:color="000000"/>
              <w:right w:val="single" w:sz="4" w:space="0" w:color="000000"/>
            </w:tcBorders>
          </w:tcPr>
          <w:p>
            <w:pPr>
              <w:pStyle w:val="TAL"/>
              <w:keepNext w:val="false"/>
              <w:keepLines w:val="false"/>
              <w:tabs>
                <w:tab w:val="clear" w:pos="284"/>
                <w:tab w:val="left" w:pos="9639" w:leader="none"/>
              </w:tabs>
              <w:ind w:right="-38" w:hanging="0"/>
              <w:rPr/>
            </w:pPr>
            <w:r>
              <w:rPr/>
              <w:t xml:space="preserve">BT.2020 </w:t>
            </w:r>
          </w:p>
        </w:tc>
        <w:tc>
          <w:tcPr>
            <w:tcW w:w="1574" w:type="dxa"/>
            <w:tcBorders>
              <w:top w:val="single" w:sz="4" w:space="0" w:color="000000"/>
              <w:left w:val="single" w:sz="4" w:space="0" w:color="000000"/>
              <w:bottom w:val="single" w:sz="4" w:space="0" w:color="000000"/>
              <w:right w:val="single" w:sz="4" w:space="0" w:color="000000"/>
            </w:tcBorders>
          </w:tcPr>
          <w:p>
            <w:pPr>
              <w:pStyle w:val="TAL"/>
              <w:tabs>
                <w:tab w:val="clear" w:pos="284"/>
                <w:tab w:val="left" w:pos="9639" w:leader="none"/>
              </w:tabs>
              <w:ind w:left="96" w:hanging="0"/>
              <w:rPr/>
            </w:pPr>
            <w:r>
              <w:rPr/>
              <w:t>BT.2100 HLG</w:t>
            </w:r>
          </w:p>
        </w:tc>
      </w:tr>
    </w:tbl>
    <w:p>
      <w:pPr>
        <w:pStyle w:val="Normal"/>
        <w:rPr/>
      </w:pPr>
      <w:r>
        <w:rPr/>
      </w:r>
    </w:p>
    <w:p>
      <w:pPr>
        <w:pStyle w:val="Normal"/>
        <w:rPr/>
      </w:pPr>
      <w:r>
        <w:rPr/>
        <w:t xml:space="preserve">Looking further into the future, there is currently only one 8K broadcast service being supported by the Japanese public service broadcaster NHK. This runs 12 hours a day and is to be utilised as part of the promotion for the upcoming Olympics in Japan. This service is supported by a government initiative. A summary of the service launched by NHK was published in [42] and a more detailed description can be found in the IBC paper </w:t>
      </w:r>
      <w:r>
        <w:rPr>
          <w:rStyle w:val="Emphasis"/>
          <w:i w:val="false"/>
          <w:iCs w:val="false"/>
        </w:rPr>
        <w:t>"</w:t>
      </w:r>
      <w:r>
        <w:rPr/>
        <w:t>Ready for 8K UHDTV broadcasting in Japan</w:t>
      </w:r>
      <w:r>
        <w:rPr>
          <w:rStyle w:val="Emphasis"/>
          <w:i w:val="false"/>
          <w:iCs w:val="false"/>
        </w:rPr>
        <w:t>"</w:t>
      </w:r>
      <w:r>
        <w:rPr/>
        <w:t xml:space="preserve"> [41]. </w:t>
      </w:r>
    </w:p>
    <w:p>
      <w:pPr>
        <w:pStyle w:val="Normal"/>
        <w:rPr/>
      </w:pPr>
      <w:r>
        <w:rPr/>
        <w:t>France Television performed a trial of 8K delivery of the Roland Garros Tennis Championship by 5G in June 2019, details can be found in [43].</w:t>
      </w:r>
    </w:p>
    <w:p>
      <w:pPr>
        <w:pStyle w:val="Normal"/>
        <w:rPr/>
      </w:pPr>
      <w:r>
        <w:rPr/>
      </w:r>
    </w:p>
    <w:p>
      <w:pPr>
        <w:pStyle w:val="Normal"/>
        <w:rPr>
          <w:i/>
          <w:i/>
          <w:color w:val="000000"/>
          <w:vertAlign w:val="superscript"/>
        </w:rPr>
      </w:pPr>
      <w:r>
        <w:rPr>
          <w:i/>
          <w:color w:val="000000"/>
          <w:vertAlign w:val="superscript"/>
        </w:rPr>
      </w:r>
    </w:p>
    <w:p>
      <w:pPr>
        <w:pStyle w:val="Normal"/>
        <w:rPr>
          <w:lang w:eastAsia="ja-JP"/>
        </w:rPr>
      </w:pPr>
      <w:r>
        <w:rPr>
          <w:lang w:eastAsia="ja-JP"/>
        </w:rPr>
        <w:t xml:space="preserve">For VR production and distribution, the ITU recommends [TBA] that for eye not to perceive pixels for 360VR, 30K by 15K images should be provided, though other criteria may be used in system design. </w:t>
      </w:r>
    </w:p>
    <w:p>
      <w:pPr>
        <w:pStyle w:val="Heading3"/>
        <w:rPr/>
      </w:pPr>
      <w:bookmarkStart w:id="44" w:name="__RefHeading___Toc32311335"/>
      <w:bookmarkEnd w:id="44"/>
      <w:r>
        <w:rPr/>
        <w:t>6.1.4</w:t>
        <w:tab/>
        <w:t>Protocol Improvements</w:t>
      </w:r>
    </w:p>
    <w:p>
      <w:pPr>
        <w:pStyle w:val="Normal"/>
        <w:rPr/>
      </w:pPr>
      <w:r>
        <w:rPr/>
        <w:t>Most of the video traffic used HTTP and TCP for the delivery of both wired and wireless Internet. The transmission control protocol, mostly known as TCP or TCP/IP [17], has been invented over 40 years ago. Over the years, it has been evolving steadily and it became the number transport protocol on the Internet and finally also on mobile networks. Today, around 75 % of the traffic is encrypted in mobile data networks. TCP, in combination with TLS, requires three round trips before the actual data can be sent. However, innovation in the context became very hard.</w:t>
      </w:r>
    </w:p>
    <w:p>
      <w:pPr>
        <w:pStyle w:val="Normal"/>
        <w:rPr/>
      </w:pPr>
      <w:r>
        <w:rPr/>
        <w:t>In response to these challenges with slow innovation of TCP, Internet companies started experimenting with proprietary protocols build on top of UDP. UDP is a very basic protocol. It only provides the bare minimum functionality and is suitable for new protocols to be built on top of it. It is well supported by all infrastructure on the Internet. Protocols on top of UDP can be implemented in applications so it allows for rapid deployment of new versions. The experiments with UDP protocols evolved into an effort to bring in the engineering community and openly collaborate on a single protocol framework on top of UDP. An Internet Engineering Task Force working group has been established to specify a protocol called QUIC (Quick UDP Internet Connections). Shortly it is likely to see the first QUIC Internet standard published [18].</w:t>
      </w:r>
    </w:p>
    <w:p>
      <w:pPr>
        <w:pStyle w:val="Normal"/>
        <w:rPr/>
      </w:pPr>
      <w:r>
        <w:rPr/>
        <w:t>The QUIC Protocol is the next generation of transport for the Internet and is on track to become ubiquitous on end-user platforms and within all server-side workflows. Unlike prior standard technologies, which are struggling to innovate due to compatibility issues with existing infrastructure, QUIC operates on top of UDP in the application layer and that brings flexibility to deploy new features in rapid iterations.</w:t>
      </w:r>
    </w:p>
    <w:p>
      <w:pPr>
        <w:pStyle w:val="Normal"/>
        <w:rPr/>
      </w:pPr>
      <w:r>
        <w:rPr/>
        <w:t>Google introduced QUIC back in 2013 as an experimental protocol to reduce TCP connection and transport latencies. QUIC, on the other hand, minimizes the number of set-up round trips by combining UDP transport and its own cryptographic handshake. For connections to the same origin server, QUIC facilitates a zero round trip time.</w:t>
      </w:r>
    </w:p>
    <w:p>
      <w:pPr>
        <w:pStyle w:val="Normal"/>
        <w:rPr/>
      </w:pPr>
      <w:r>
        <w:rPr/>
        <w:t>QUIC also re-implements TCP loss recovery, over UDP and, by using multiplexed connections, it eliminates TCP's head-of-line blocking. This ensures that lost packets do not block any other stream but only those with data in it. Last, but not least, QUIC moves congestion control to the application and the user space, enabling a rapid evolution for the protocol, as opposed to kernel space TCP.</w:t>
      </w:r>
    </w:p>
    <w:p>
      <w:pPr>
        <w:pStyle w:val="Normal"/>
        <w:rPr/>
      </w:pPr>
      <w:r>
        <w:rPr/>
        <w:t xml:space="preserve">QUIC has been nicely designed to allow being enabled seamlessly for existing video workflows without any changes needed in the video formats or players. Akamai reports as an example that for a measurement is from a soccer event in 2018 a 25 % throughput improvement for median viewer was achieved compared to TCP for desktop. QUIC performances gains for mobile compared to TCP/TLS, while still positive, have found not to be that significant as for desktop, in particular for video content. </w:t>
      </w:r>
    </w:p>
    <w:p>
      <w:pPr>
        <w:pStyle w:val="Normal"/>
        <w:rPr/>
      </w:pPr>
      <w:r>
        <w:rPr/>
        <w:t>There are several features of the protocol that contribute to improved video quality, among others:</w:t>
      </w:r>
    </w:p>
    <w:p>
      <w:pPr>
        <w:pStyle w:val="B1"/>
        <w:rPr/>
      </w:pPr>
      <w:r>
        <w:rPr/>
        <w:t>-</w:t>
        <w:tab/>
        <w:t>With usual TCP&amp;TLS session which forms HTTPS streaming, there has to be 3 or 4 exchanges of information back and forth between the client and the server, before the video request is made. With QUIC there's none needed, assuming the client communicated with the server previously. The first packet from the client already contains the video request, and the first packet from the server already contains the video content. Or in case the client has not communicated with the server before, it only takes one roundtrip between the client and server. This reduces latency greatly. TCP has similar features available with new version of TLS, TLS-1.3, and TCP Fast Open feature but its deployment is complicated. The 0-RTT (zero round trip time) connection establishment for returning connections applies to about 50 % of connections.</w:t>
      </w:r>
    </w:p>
    <w:p>
      <w:pPr>
        <w:pStyle w:val="B1"/>
        <w:rPr/>
      </w:pPr>
      <w:r>
        <w:rPr/>
        <w:t>-</w:t>
        <w:tab/>
        <w:t>QUIC also uses more efficient loss recovery - due to more information being provided about the lost packets and timing.</w:t>
      </w:r>
    </w:p>
    <w:p>
      <w:pPr>
        <w:pStyle w:val="B1"/>
        <w:rPr/>
      </w:pPr>
      <w:r>
        <w:rPr/>
        <w:t>-</w:t>
        <w:tab/>
        <w:t>QUIC allows Multiplexing without head-of-line blocking, i.e. if one packet gets lost then all requests affected.</w:t>
      </w:r>
    </w:p>
    <w:p>
      <w:pPr>
        <w:pStyle w:val="B1"/>
        <w:rPr/>
      </w:pPr>
      <w:r>
        <w:rPr/>
        <w:t>-</w:t>
        <w:tab/>
        <w:t>QUIC also allows connection migration across different access networks.</w:t>
      </w:r>
    </w:p>
    <w:p>
      <w:pPr>
        <w:pStyle w:val="B1"/>
        <w:rPr/>
      </w:pPr>
      <w:r>
        <w:rPr/>
        <w:t>-</w:t>
        <w:tab/>
        <w:t>It also allows to measure the performance of each feature and use and apply it selectively for specific deployments.</w:t>
      </w:r>
    </w:p>
    <w:p>
      <w:pPr>
        <w:pStyle w:val="Normal"/>
        <w:rPr/>
      </w:pPr>
      <w:r>
        <w:rPr/>
        <w:t>On mobile QUIC benefits seem to also be tangible. On mobile Android devices, Google claims</w:t>
      </w:r>
      <w:r>
        <w:rPr>
          <w:rStyle w:val="EndnoteCharacters"/>
          <w:rStyle w:val="EndnoteAnchor"/>
        </w:rPr>
        <w:endnoteReference w:id="2"/>
      </w:r>
      <w:r>
        <w:rPr/>
        <w:t xml:space="preserve"> that QUIC has helped to reduce latency of Google Search responses by 3.6 % and YouTube video buffering by 15.3 %. It was found that by November 2017, QUIC represented 20 % of the total mobile traffic and expected to grow to 35 % by end of 2018. According to MVI data, video accounts for approximately 58 % of the total mobile internet traffic and video represents 64 % of the total QUIC traffic. By November 2018, approximately 90 % of internet traffic will be encrypted and QUIC will be 32 % of global Internet traffic.</w:t>
      </w:r>
    </w:p>
    <w:p>
      <w:pPr>
        <w:pStyle w:val="Normal"/>
        <w:rPr/>
      </w:pPr>
      <w:r>
        <w:rPr/>
        <w:t>QUIC being an encryption-based protocol such as HTTP/TLS, traffic is typically encrypted over the mobile network delivery, meaning that the use of traditional traffic management tools is limited. On top of what is also observed for HTTP/TLS, QUIC allows multiplexing multiple streams over a single connection, but this comes with the added downside that it is impossible to differentiate between the different streams as the signalling header with the stream identifier is also encrypted.</w:t>
      </w:r>
    </w:p>
    <w:p>
      <w:pPr>
        <w:pStyle w:val="Normal"/>
        <w:rPr/>
      </w:pPr>
      <w:r>
        <w:rPr/>
        <w:t>Another technology and protocol in media distribution is developed under the umbrella of ABR Multicast. With the recent proliferation of live streaming, especially of premium sports, over the Internet, issues in scale and quality have been exposed. The challenge partially lies in scaling the services to millions of simultaneous users, but also in the associated peering and delivery costs as well as the end-to-end latency. Multicast ABR addresses a problem that had already been solved in the context of managed networks for IPTV with IGMP. However, it is quite difficult to replicate IGMP exactly over an unmanaged network. However, in practice it is possible to control delivery of streams quite precisely over a large part of their journey and multicast ABR effectively provides a tunnel through which multiple unicast streams are combined into single ones, just as with traditional multicast. Multiple unicast streams are converted at the entrance of the tunnel into a single stream and then back to multiple unicast as they exit in a process known as transcasting. These processes have since been documented either as a standard or guidelines towards a standard, by both the DVB [19] and by Cable Labs [20]. Products are being built around these guidelines, with many operators currently in proof of concept or field trials of the technology.]</w:t>
      </w:r>
    </w:p>
    <w:p>
      <w:pPr>
        <w:pStyle w:val="Heading3"/>
        <w:rPr/>
      </w:pPr>
      <w:bookmarkStart w:id="45" w:name="__RefHeading___Toc32311336"/>
      <w:bookmarkEnd w:id="45"/>
      <w:r>
        <w:rPr/>
        <w:t>6.1.5</w:t>
        <w:tab/>
        <w:t>Impact on Media Services</w:t>
      </w:r>
    </w:p>
    <w:p>
      <w:pPr>
        <w:pStyle w:val="Normal"/>
        <w:rPr/>
      </w:pPr>
      <w:r>
        <w:rPr/>
        <w:t>The impact of these new developments on Media Service is FFS.</w:t>
      </w:r>
    </w:p>
    <w:p>
      <w:pPr>
        <w:pStyle w:val="EW"/>
        <w:rPr/>
      </w:pPr>
      <w:r>
        <w:rPr/>
      </w:r>
    </w:p>
    <w:p>
      <w:pPr>
        <w:pStyle w:val="Heading1"/>
        <w:ind w:left="1134" w:hanging="1134"/>
        <w:rPr/>
      </w:pPr>
      <w:bookmarkStart w:id="46" w:name="__RefHeading___Toc32311337"/>
      <w:bookmarkEnd w:id="46"/>
      <w:r>
        <w:rPr/>
        <w:t>7</w:t>
        <w:tab/>
        <w:t>Characteristics and requirements for different media services on 3GPP networks</w:t>
      </w:r>
    </w:p>
    <w:p>
      <w:pPr>
        <w:pStyle w:val="Heading2"/>
        <w:rPr/>
      </w:pPr>
      <w:bookmarkStart w:id="47" w:name="__RefHeading___Toc32311338"/>
      <w:bookmarkEnd w:id="47"/>
      <w:r>
        <w:rPr/>
        <w:t>7.1</w:t>
        <w:tab/>
        <w:t>Introduction</w:t>
      </w:r>
    </w:p>
    <w:p>
      <w:pPr>
        <w:pStyle w:val="Normal"/>
        <w:rPr/>
      </w:pPr>
      <w:r>
        <w:rPr/>
        <w:t>This clause collects characteristics and requirements for different media services on 3GPP networks.</w:t>
      </w:r>
    </w:p>
    <w:p>
      <w:pPr>
        <w:pStyle w:val="Heading2"/>
        <w:rPr/>
      </w:pPr>
      <w:bookmarkStart w:id="48" w:name="__RefHeading___Toc32311339"/>
      <w:bookmarkEnd w:id="48"/>
      <w:r>
        <w:rPr/>
        <w:t>7.2</w:t>
        <w:tab/>
        <w:t>Collection process for requirements for different media services on 3GPP networks</w:t>
      </w:r>
    </w:p>
    <w:p>
      <w:pPr>
        <w:pStyle w:val="Normal"/>
        <w:rPr/>
      </w:pPr>
      <w:r>
        <w:rPr/>
        <w:t xml:space="preserve">Use cases are collected in the context of the present document. The use cases come with an analysis of certain characteristics. For this purpose a template is provided below. </w:t>
      </w:r>
    </w:p>
    <w:tbl>
      <w:tblPr>
        <w:tblW w:w="9831" w:type="dxa"/>
        <w:jc w:val="left"/>
        <w:tblInd w:w="-113" w:type="dxa"/>
        <w:tblLayout w:type="fixed"/>
        <w:tblCellMar>
          <w:top w:w="0" w:type="dxa"/>
          <w:left w:w="108" w:type="dxa"/>
          <w:bottom w:w="0" w:type="dxa"/>
          <w:right w:w="108" w:type="dxa"/>
        </w:tblCellMar>
      </w:tblPr>
      <w:tblGrid>
        <w:gridCol w:w="9831"/>
      </w:tblGrid>
      <w:tr>
        <w:trPr/>
        <w:tc>
          <w:tcPr>
            <w:tcW w:w="9831" w:type="dxa"/>
            <w:tcBorders>
              <w:top w:val="single" w:sz="4" w:space="0" w:color="000000"/>
              <w:left w:val="single" w:sz="4" w:space="0" w:color="000000"/>
              <w:bottom w:val="single" w:sz="4" w:space="0" w:color="000000"/>
              <w:right w:val="single" w:sz="4" w:space="0" w:color="000000"/>
            </w:tcBorders>
            <w:shd w:fill="A6A6A6" w:val="clear"/>
          </w:tcPr>
          <w:p>
            <w:pPr>
              <w:pStyle w:val="Normal"/>
              <w:widowControl/>
              <w:overflowPunct w:val="false"/>
              <w:autoSpaceDE w:val="false"/>
              <w:bidi w:val="0"/>
              <w:spacing w:before="0" w:after="180"/>
              <w:textAlignment w:val="baseline"/>
              <w:rPr>
                <w:b/>
                <w:b/>
                <w:color w:val="FFFFFF"/>
              </w:rPr>
            </w:pPr>
            <w:r>
              <w:rPr>
                <w:b/>
                <w:color w:val="FFFFFF"/>
              </w:rPr>
              <w:t>Media Service Description</w:t>
            </w:r>
          </w:p>
        </w:tc>
      </w:tr>
      <w:tr>
        <w:trPr/>
        <w:tc>
          <w:tcPr>
            <w:tcW w:w="9831" w:type="dxa"/>
            <w:tcBorders>
              <w:top w:val="single" w:sz="4" w:space="0" w:color="000000"/>
              <w:left w:val="single" w:sz="4" w:space="0" w:color="000000"/>
              <w:bottom w:val="single" w:sz="4" w:space="0" w:color="000000"/>
              <w:right w:val="single" w:sz="4" w:space="0" w:color="000000"/>
            </w:tcBorders>
          </w:tcPr>
          <w:p>
            <w:pPr>
              <w:pStyle w:val="Normal"/>
              <w:rPr/>
            </w:pPr>
            <w:r>
              <w:rPr>
                <w:b/>
              </w:rPr>
              <w:t>Name:</w:t>
            </w:r>
            <w:r>
              <w:rPr/>
              <w:t xml:space="preserve"> [e.g. StreamOn]</w:t>
            </w:r>
          </w:p>
          <w:p>
            <w:pPr>
              <w:pStyle w:val="Normal"/>
              <w:rPr/>
            </w:pPr>
            <w:r>
              <w:rPr>
                <w:b/>
              </w:rPr>
              <w:t>Date of submission:</w:t>
            </w:r>
            <w:r>
              <w:rPr/>
              <w:t xml:space="preserve"> [e.g. 18</w:t>
            </w:r>
            <w:r>
              <w:rPr>
                <w:vertAlign w:val="superscript"/>
              </w:rPr>
              <w:t>th</w:t>
            </w:r>
            <w:r>
              <w:rPr/>
              <w:t xml:space="preserve"> October 2018]</w:t>
            </w:r>
          </w:p>
          <w:p>
            <w:pPr>
              <w:pStyle w:val="Normal"/>
              <w:rPr/>
            </w:pPr>
            <w:r>
              <w:rPr>
                <w:b/>
              </w:rPr>
              <w:t>Source:</w:t>
            </w:r>
            <w:r>
              <w:rPr/>
              <w:t xml:space="preserve"> [e.g. DT]</w:t>
            </w:r>
          </w:p>
          <w:p>
            <w:pPr>
              <w:pStyle w:val="Normal"/>
              <w:widowControl/>
              <w:overflowPunct w:val="false"/>
              <w:autoSpaceDE w:val="false"/>
              <w:bidi w:val="0"/>
              <w:spacing w:before="0" w:after="180"/>
              <w:textAlignment w:val="baseline"/>
              <w:rPr/>
            </w:pPr>
            <w:r>
              <w:rPr>
                <w:b/>
              </w:rPr>
              <w:t>Description:</w:t>
            </w:r>
            <w:r>
              <w:rPr/>
              <w:t xml:space="preserve"> [Free text giving high level description of the service]</w:t>
            </w:r>
          </w:p>
        </w:tc>
      </w:tr>
      <w:tr>
        <w:trPr/>
        <w:tc>
          <w:tcPr>
            <w:tcW w:w="9831" w:type="dxa"/>
            <w:tcBorders>
              <w:top w:val="single" w:sz="4" w:space="0" w:color="000000"/>
              <w:left w:val="single" w:sz="4" w:space="0" w:color="000000"/>
              <w:bottom w:val="single" w:sz="4" w:space="0" w:color="000000"/>
              <w:right w:val="single" w:sz="4" w:space="0" w:color="000000"/>
            </w:tcBorders>
            <w:shd w:fill="A6A6A6" w:val="clear"/>
          </w:tcPr>
          <w:p>
            <w:pPr>
              <w:pStyle w:val="Normal"/>
              <w:widowControl/>
              <w:overflowPunct w:val="false"/>
              <w:autoSpaceDE w:val="false"/>
              <w:bidi w:val="0"/>
              <w:spacing w:before="0" w:after="180"/>
              <w:textAlignment w:val="baseline"/>
              <w:rPr/>
            </w:pPr>
            <w:r>
              <w:rPr>
                <w:b/>
                <w:color w:val="FFFFFF"/>
              </w:rPr>
              <w:t>Categorization</w:t>
            </w:r>
          </w:p>
        </w:tc>
      </w:tr>
      <w:tr>
        <w:trPr/>
        <w:tc>
          <w:tcPr>
            <w:tcW w:w="9831" w:type="dxa"/>
            <w:tcBorders>
              <w:top w:val="single" w:sz="4" w:space="0" w:color="000000"/>
              <w:left w:val="single" w:sz="4" w:space="0" w:color="000000"/>
              <w:bottom w:val="single" w:sz="4" w:space="0" w:color="000000"/>
              <w:right w:val="single" w:sz="4" w:space="0" w:color="000000"/>
            </w:tcBorders>
          </w:tcPr>
          <w:p>
            <w:pPr>
              <w:pStyle w:val="Normal"/>
              <w:rPr>
                <w:b/>
                <w:b/>
              </w:rPr>
            </w:pPr>
            <w:r>
              <w:rPr>
                <w:b/>
              </w:rPr>
              <w:t xml:space="preserve">Type: </w:t>
            </w:r>
            <w:r>
              <w:rPr/>
              <w:t>[e.g. Third Party, Operator, Combination of both, Other]</w:t>
            </w:r>
          </w:p>
          <w:p>
            <w:pPr>
              <w:pStyle w:val="Normal"/>
              <w:rPr>
                <w:b/>
                <w:b/>
              </w:rPr>
            </w:pPr>
            <w:r>
              <w:rPr>
                <w:b/>
              </w:rPr>
              <w:t xml:space="preserve">Status: </w:t>
            </w:r>
            <w:r>
              <w:rPr/>
              <w:t>[e.g. planned, PoC, trialed, commercially deployed]</w:t>
            </w:r>
          </w:p>
          <w:p>
            <w:pPr>
              <w:pStyle w:val="Normal"/>
              <w:widowControl/>
              <w:overflowPunct w:val="false"/>
              <w:autoSpaceDE w:val="false"/>
              <w:bidi w:val="0"/>
              <w:spacing w:before="0" w:after="180"/>
              <w:textAlignment w:val="baseline"/>
              <w:rPr/>
            </w:pPr>
            <w:r>
              <w:rPr>
                <w:b/>
              </w:rPr>
              <w:t xml:space="preserve">Category: </w:t>
            </w:r>
            <w:r>
              <w:rPr/>
              <w:t>[e.g. Download, Live streaming, On-demand streaming, Interactive, Conversational]</w:t>
            </w:r>
          </w:p>
        </w:tc>
      </w:tr>
      <w:tr>
        <w:trPr/>
        <w:tc>
          <w:tcPr>
            <w:tcW w:w="9831" w:type="dxa"/>
            <w:tcBorders>
              <w:top w:val="single" w:sz="4" w:space="0" w:color="000000"/>
              <w:left w:val="single" w:sz="4" w:space="0" w:color="000000"/>
              <w:bottom w:val="single" w:sz="4" w:space="0" w:color="000000"/>
              <w:right w:val="single" w:sz="4" w:space="0" w:color="000000"/>
            </w:tcBorders>
            <w:shd w:fill="A6A6A6" w:val="clear"/>
          </w:tcPr>
          <w:p>
            <w:pPr>
              <w:pStyle w:val="Normal"/>
              <w:widowControl/>
              <w:overflowPunct w:val="false"/>
              <w:autoSpaceDE w:val="false"/>
              <w:bidi w:val="0"/>
              <w:spacing w:before="0" w:after="180"/>
              <w:textAlignment w:val="baseline"/>
              <w:rPr>
                <w:b/>
                <w:b/>
                <w:color w:val="FFFFFF"/>
              </w:rPr>
            </w:pPr>
            <w:r>
              <w:rPr>
                <w:b/>
                <w:color w:val="FFFFFF"/>
              </w:rPr>
              <w:t>Used Technologies</w:t>
            </w:r>
          </w:p>
        </w:tc>
      </w:tr>
      <w:tr>
        <w:trPr/>
        <w:tc>
          <w:tcPr>
            <w:tcW w:w="9831" w:type="dxa"/>
            <w:tcBorders>
              <w:top w:val="single" w:sz="4" w:space="0" w:color="000000"/>
              <w:left w:val="single" w:sz="4" w:space="0" w:color="000000"/>
              <w:bottom w:val="single" w:sz="4" w:space="0" w:color="000000"/>
              <w:right w:val="single" w:sz="4" w:space="0" w:color="000000"/>
            </w:tcBorders>
          </w:tcPr>
          <w:p>
            <w:pPr>
              <w:pStyle w:val="Normal"/>
              <w:rPr/>
            </w:pPr>
            <w:r>
              <w:rPr>
                <w:b/>
              </w:rPr>
              <w:t xml:space="preserve">Codecs: </w:t>
            </w:r>
            <w:r>
              <w:rPr/>
              <w:t>[e.g. AAC, HE-AAC, HEVC/H.265, AVC/H.264 with Profiles and levels used]</w:t>
            </w:r>
          </w:p>
          <w:p>
            <w:pPr>
              <w:pStyle w:val="Normal"/>
              <w:rPr/>
            </w:pPr>
            <w:r>
              <w:rPr>
                <w:b/>
              </w:rPr>
              <w:t xml:space="preserve">Media types and formats: </w:t>
            </w:r>
            <w:r>
              <w:rPr/>
              <w:t>[e.g. 4K video, HDR video, stereo or 5.1 audio]</w:t>
            </w:r>
          </w:p>
          <w:p>
            <w:pPr>
              <w:pStyle w:val="Normal"/>
              <w:rPr/>
            </w:pPr>
            <w:r>
              <w:rPr>
                <w:b/>
              </w:rPr>
              <w:t xml:space="preserve">Media protocols and containers: </w:t>
            </w:r>
            <w:r>
              <w:rPr/>
              <w:t>[e.g. DASH, HLS, CMAF, ISOBMFF, MP4, MPEG2 TS, RTP]</w:t>
            </w:r>
          </w:p>
          <w:p>
            <w:pPr>
              <w:pStyle w:val="Normal"/>
              <w:rPr>
                <w:b/>
                <w:b/>
              </w:rPr>
            </w:pPr>
            <w:r>
              <w:rPr>
                <w:b/>
              </w:rPr>
              <w:t xml:space="preserve">Transport protocols: </w:t>
            </w:r>
            <w:r>
              <w:rPr/>
              <w:t>[e.g. FLUTE, UDP, TCP, QUIC, HTTP 1.1, HTTP 2.0]</w:t>
            </w:r>
          </w:p>
          <w:p>
            <w:pPr>
              <w:pStyle w:val="Normal"/>
              <w:rPr/>
            </w:pPr>
            <w:r>
              <w:rPr>
                <w:b/>
              </w:rPr>
              <w:t>Clients:</w:t>
            </w:r>
            <w:r>
              <w:rPr/>
              <w:t xml:space="preserve"> [e.g. iOS or android application, browser, set top boxes, TV set]</w:t>
            </w:r>
          </w:p>
          <w:p>
            <w:pPr>
              <w:pStyle w:val="Normal"/>
              <w:widowControl/>
              <w:overflowPunct w:val="false"/>
              <w:autoSpaceDE w:val="false"/>
              <w:bidi w:val="0"/>
              <w:spacing w:before="0" w:after="180"/>
              <w:textAlignment w:val="baseline"/>
              <w:rPr>
                <w:b/>
                <w:b/>
              </w:rPr>
            </w:pPr>
            <w:r>
              <w:rPr>
                <w:b/>
              </w:rPr>
              <w:t xml:space="preserve">Others: </w:t>
            </w:r>
            <w:r>
              <w:rPr/>
              <w:t>[e.g. DRM, interactivity framework, QoE and analytics, QoS handling]</w:t>
            </w:r>
          </w:p>
        </w:tc>
      </w:tr>
      <w:tr>
        <w:trPr/>
        <w:tc>
          <w:tcPr>
            <w:tcW w:w="9831" w:type="dxa"/>
            <w:tcBorders>
              <w:top w:val="single" w:sz="4" w:space="0" w:color="000000"/>
              <w:left w:val="single" w:sz="4" w:space="0" w:color="000000"/>
              <w:bottom w:val="single" w:sz="4" w:space="0" w:color="000000"/>
              <w:right w:val="single" w:sz="4" w:space="0" w:color="000000"/>
            </w:tcBorders>
            <w:shd w:fill="A6A6A6" w:val="clear"/>
          </w:tcPr>
          <w:p>
            <w:pPr>
              <w:pStyle w:val="Normal"/>
              <w:widowControl/>
              <w:overflowPunct w:val="false"/>
              <w:autoSpaceDE w:val="false"/>
              <w:bidi w:val="0"/>
              <w:spacing w:before="0" w:after="180"/>
              <w:textAlignment w:val="baseline"/>
              <w:rPr>
                <w:b/>
                <w:b/>
                <w:color w:val="FFFFFF"/>
              </w:rPr>
            </w:pPr>
            <w:r>
              <w:rPr>
                <w:b/>
                <w:color w:val="FFFFFF"/>
              </w:rPr>
              <w:t>Deployment Statistics</w:t>
            </w:r>
          </w:p>
        </w:tc>
      </w:tr>
      <w:tr>
        <w:trPr/>
        <w:tc>
          <w:tcPr>
            <w:tcW w:w="9831"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[e.g. number of clients, traffic volumes]</w:t>
            </w:r>
          </w:p>
        </w:tc>
      </w:tr>
      <w:tr>
        <w:trPr/>
        <w:tc>
          <w:tcPr>
            <w:tcW w:w="9831" w:type="dxa"/>
            <w:tcBorders>
              <w:top w:val="single" w:sz="4" w:space="0" w:color="000000"/>
              <w:left w:val="single" w:sz="4" w:space="0" w:color="000000"/>
              <w:bottom w:val="single" w:sz="4" w:space="0" w:color="000000"/>
              <w:right w:val="single" w:sz="4" w:space="0" w:color="000000"/>
            </w:tcBorders>
            <w:shd w:fill="A6A6A6" w:val="clear"/>
          </w:tcPr>
          <w:p>
            <w:pPr>
              <w:pStyle w:val="Normal"/>
              <w:widowControl/>
              <w:overflowPunct w:val="false"/>
              <w:autoSpaceDE w:val="false"/>
              <w:bidi w:val="0"/>
              <w:spacing w:before="0" w:after="180"/>
              <w:textAlignment w:val="baseline"/>
              <w:rPr>
                <w:b/>
                <w:b/>
                <w:color w:val="FFFFFF"/>
              </w:rPr>
            </w:pPr>
            <w:r>
              <w:rPr>
                <w:b/>
                <w:color w:val="FFFFFF"/>
              </w:rPr>
              <w:t>Traffic Characteristics</w:t>
            </w:r>
          </w:p>
        </w:tc>
      </w:tr>
      <w:tr>
        <w:trPr/>
        <w:tc>
          <w:tcPr>
            <w:tcW w:w="9831" w:type="dxa"/>
            <w:tcBorders>
              <w:top w:val="single" w:sz="4" w:space="0" w:color="000000"/>
              <w:left w:val="single" w:sz="4" w:space="0" w:color="000000"/>
              <w:bottom w:val="single" w:sz="4" w:space="0" w:color="000000"/>
              <w:right w:val="single" w:sz="4" w:space="0" w:color="000000"/>
            </w:tcBorders>
          </w:tcPr>
          <w:p>
            <w:pPr>
              <w:pStyle w:val="Normal"/>
              <w:rPr/>
            </w:pPr>
            <w:r>
              <w:rPr>
                <w:b/>
              </w:rPr>
              <w:t>Bitrate Characteristics:</w:t>
            </w:r>
            <w:r>
              <w:rPr/>
              <w:t xml:space="preserve"> [typical target bitrates, minimum required bitrate, maximum necessary bitrate,]</w:t>
            </w:r>
          </w:p>
          <w:p>
            <w:pPr>
              <w:pStyle w:val="Normal"/>
              <w:rPr/>
            </w:pPr>
            <w:r>
              <w:rPr>
                <w:b/>
              </w:rPr>
              <w:t>Other KPIs</w:t>
            </w:r>
            <w:r>
              <w:rPr/>
              <w:t xml:space="preserve"> [end-to-end latency, tune-in times, etc.]</w:t>
            </w:r>
          </w:p>
          <w:p>
            <w:pPr>
              <w:pStyle w:val="Normal"/>
              <w:rPr/>
            </w:pPr>
            <w:r>
              <w:rPr>
                <w:b/>
              </w:rPr>
              <w:t>Potential mapping to 5QIs (5G QoS Identifier - See TS 23.501 Clause 5.7.4 and Table 5.7.4-1 copied below):</w:t>
            </w:r>
            <w:r>
              <w:rPr/>
              <w:t xml:space="preserve"> </w:t>
            </w:r>
          </w:p>
          <w:p>
            <w:pPr>
              <w:pStyle w:val="Normal"/>
              <w:widowControl/>
              <w:overflowPunct w:val="false"/>
              <w:autoSpaceDE w:val="false"/>
              <w:bidi w:val="0"/>
              <w:spacing w:before="0" w:after="180"/>
              <w:textAlignment w:val="baseline"/>
              <w:rPr/>
            </w:pPr>
            <w:r>
              <w:rPr/>
              <w:t>[which 5QIs among 1, 2, 3, 4, 6, 7, 8, 9, 80, e.g. 6, "video buffered streaming and TCP based"]</w:t>
            </w:r>
          </w:p>
        </w:tc>
      </w:tr>
      <w:tr>
        <w:trPr/>
        <w:tc>
          <w:tcPr>
            <w:tcW w:w="9831" w:type="dxa"/>
            <w:tcBorders>
              <w:top w:val="single" w:sz="4" w:space="0" w:color="000000"/>
              <w:left w:val="single" w:sz="4" w:space="0" w:color="000000"/>
              <w:bottom w:val="single" w:sz="4" w:space="0" w:color="000000"/>
              <w:right w:val="single" w:sz="4" w:space="0" w:color="000000"/>
            </w:tcBorders>
            <w:shd w:fill="A6A6A6" w:val="clear"/>
          </w:tcPr>
          <w:p>
            <w:pPr>
              <w:pStyle w:val="Normal"/>
              <w:widowControl/>
              <w:overflowPunct w:val="false"/>
              <w:autoSpaceDE w:val="false"/>
              <w:bidi w:val="0"/>
              <w:spacing w:before="0" w:after="180"/>
              <w:textAlignment w:val="baseline"/>
              <w:rPr/>
            </w:pPr>
            <w:r>
              <w:rPr>
                <w:b/>
                <w:color w:val="FFFFFF"/>
              </w:rPr>
              <w:t>References</w:t>
            </w:r>
          </w:p>
        </w:tc>
      </w:tr>
      <w:tr>
        <w:trPr/>
        <w:tc>
          <w:tcPr>
            <w:tcW w:w="9831"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[list of public documentation in support of the present description e.g. a URL, a scientific publication, an industry or standards organization specification]</w:t>
            </w:r>
          </w:p>
        </w:tc>
      </w:tr>
      <w:tr>
        <w:trPr/>
        <w:tc>
          <w:tcPr>
            <w:tcW w:w="9831" w:type="dxa"/>
            <w:tcBorders>
              <w:top w:val="single" w:sz="4" w:space="0" w:color="000000"/>
              <w:left w:val="single" w:sz="4" w:space="0" w:color="000000"/>
              <w:bottom w:val="single" w:sz="4" w:space="0" w:color="000000"/>
              <w:right w:val="single" w:sz="4" w:space="0" w:color="000000"/>
            </w:tcBorders>
            <w:shd w:fill="A6A6A6" w:val="clear"/>
          </w:tcPr>
          <w:p>
            <w:pPr>
              <w:pStyle w:val="Normal"/>
              <w:widowControl/>
              <w:overflowPunct w:val="false"/>
              <w:autoSpaceDE w:val="false"/>
              <w:bidi w:val="0"/>
              <w:spacing w:before="0" w:after="180"/>
              <w:textAlignment w:val="baseline"/>
              <w:rPr>
                <w:b/>
                <w:b/>
                <w:color w:val="FFFFFF"/>
              </w:rPr>
            </w:pPr>
            <w:r>
              <w:rPr>
                <w:b/>
                <w:color w:val="FFFFFF"/>
              </w:rPr>
              <w:t>Any additional information</w:t>
            </w:r>
          </w:p>
        </w:tc>
      </w:tr>
      <w:tr>
        <w:trPr/>
        <w:tc>
          <w:tcPr>
            <w:tcW w:w="9831"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b/>
                <w:b/>
                <w:color w:val="FFFFFF"/>
              </w:rPr>
            </w:pPr>
            <w:r>
              <w:rPr>
                <w:b/>
                <w:color w:val="FFFFFF"/>
              </w:rPr>
            </w:r>
          </w:p>
        </w:tc>
      </w:tr>
    </w:tbl>
    <w:p>
      <w:pPr>
        <w:pStyle w:val="Normal"/>
        <w:rPr/>
      </w:pPr>
      <w:r>
        <w:rPr/>
      </w:r>
    </w:p>
    <w:p>
      <w:pPr>
        <w:pStyle w:val="TH"/>
        <w:rPr/>
      </w:pPr>
      <w:r>
        <w:rPr/>
        <w:t>Table 7.2-1: Standardized 5QI to QoS characteristics mapping (from TS 23.501)</w:t>
      </w:r>
    </w:p>
    <w:tbl>
      <w:tblPr>
        <w:tblW w:w="10033" w:type="dxa"/>
        <w:jc w:val="left"/>
        <w:tblInd w:w="-299" w:type="dxa"/>
        <w:tblLayout w:type="fixed"/>
        <w:tblCellMar>
          <w:top w:w="0" w:type="dxa"/>
          <w:left w:w="108" w:type="dxa"/>
          <w:bottom w:w="0" w:type="dxa"/>
          <w:right w:w="108" w:type="dxa"/>
        </w:tblCellMar>
      </w:tblPr>
      <w:tblGrid>
        <w:gridCol w:w="1024"/>
        <w:gridCol w:w="1061"/>
        <w:gridCol w:w="918"/>
        <w:gridCol w:w="1088"/>
        <w:gridCol w:w="797"/>
        <w:gridCol w:w="1324"/>
        <w:gridCol w:w="1671"/>
        <w:gridCol w:w="2150"/>
      </w:tblGrid>
      <w:tr>
        <w:trPr/>
        <w:tc>
          <w:tcPr>
            <w:tcW w:w="1024" w:type="dxa"/>
            <w:tcBorders>
              <w:top w:val="single" w:sz="12" w:space="0" w:color="000000"/>
              <w:left w:val="single" w:sz="12" w:space="0" w:color="000000"/>
              <w:bottom w:val="single" w:sz="12" w:space="0" w:color="000000"/>
              <w:right w:val="single" w:sz="12" w:space="0" w:color="000000"/>
            </w:tcBorders>
          </w:tcPr>
          <w:p>
            <w:pPr>
              <w:pStyle w:val="TAH"/>
              <w:rPr/>
            </w:pPr>
            <w:r>
              <w:rPr/>
              <w:t>5QI</w:t>
            </w:r>
          </w:p>
          <w:p>
            <w:pPr>
              <w:pStyle w:val="TAH"/>
              <w:rPr/>
            </w:pPr>
            <w:r>
              <w:rPr/>
              <w:t>Value</w:t>
            </w:r>
          </w:p>
        </w:tc>
        <w:tc>
          <w:tcPr>
            <w:tcW w:w="1061" w:type="dxa"/>
            <w:tcBorders>
              <w:top w:val="single" w:sz="12" w:space="0" w:color="000000"/>
              <w:left w:val="single" w:sz="12" w:space="0" w:color="000000"/>
              <w:bottom w:val="single" w:sz="12" w:space="0" w:color="000000"/>
              <w:right w:val="single" w:sz="12" w:space="0" w:color="000000"/>
            </w:tcBorders>
          </w:tcPr>
          <w:p>
            <w:pPr>
              <w:pStyle w:val="TAH"/>
              <w:rPr/>
            </w:pPr>
            <w:r>
              <w:rPr/>
              <w:t>Resource Type</w:t>
            </w:r>
          </w:p>
        </w:tc>
        <w:tc>
          <w:tcPr>
            <w:tcW w:w="918" w:type="dxa"/>
            <w:tcBorders>
              <w:top w:val="single" w:sz="12" w:space="0" w:color="000000"/>
              <w:left w:val="single" w:sz="12" w:space="0" w:color="000000"/>
              <w:bottom w:val="single" w:sz="12" w:space="0" w:color="000000"/>
              <w:right w:val="single" w:sz="12" w:space="0" w:color="000000"/>
            </w:tcBorders>
          </w:tcPr>
          <w:p>
            <w:pPr>
              <w:pStyle w:val="TAH"/>
              <w:rPr/>
            </w:pPr>
            <w:r>
              <w:rPr/>
              <w:t>Default Priority Level</w:t>
            </w:r>
          </w:p>
        </w:tc>
        <w:tc>
          <w:tcPr>
            <w:tcW w:w="1088" w:type="dxa"/>
            <w:tcBorders>
              <w:top w:val="single" w:sz="12" w:space="0" w:color="000000"/>
              <w:left w:val="single" w:sz="12" w:space="0" w:color="000000"/>
              <w:bottom w:val="single" w:sz="12" w:space="0" w:color="000000"/>
              <w:right w:val="single" w:sz="12" w:space="0" w:color="000000"/>
            </w:tcBorders>
          </w:tcPr>
          <w:p>
            <w:pPr>
              <w:pStyle w:val="TAH"/>
              <w:rPr/>
            </w:pPr>
            <w:r>
              <w:rPr/>
              <w:t>Packet Delay Budget</w:t>
            </w:r>
          </w:p>
        </w:tc>
        <w:tc>
          <w:tcPr>
            <w:tcW w:w="797" w:type="dxa"/>
            <w:tcBorders>
              <w:top w:val="single" w:sz="12" w:space="0" w:color="000000"/>
              <w:left w:val="single" w:sz="12" w:space="0" w:color="000000"/>
              <w:bottom w:val="single" w:sz="12" w:space="0" w:color="000000"/>
              <w:right w:val="single" w:sz="12" w:space="0" w:color="000000"/>
            </w:tcBorders>
          </w:tcPr>
          <w:p>
            <w:pPr>
              <w:pStyle w:val="TAH"/>
              <w:rPr/>
            </w:pPr>
            <w:r>
              <w:rPr/>
              <w:t>Packet Error</w:t>
            </w:r>
          </w:p>
          <w:p>
            <w:pPr>
              <w:pStyle w:val="TAH"/>
              <w:rPr/>
            </w:pPr>
            <w:r>
              <w:rPr/>
              <w:t xml:space="preserve">Rate </w:t>
            </w:r>
          </w:p>
        </w:tc>
        <w:tc>
          <w:tcPr>
            <w:tcW w:w="1324" w:type="dxa"/>
            <w:tcBorders>
              <w:top w:val="single" w:sz="12" w:space="0" w:color="000000"/>
              <w:left w:val="single" w:sz="12" w:space="0" w:color="000000"/>
              <w:bottom w:val="single" w:sz="12" w:space="0" w:color="000000"/>
              <w:right w:val="single" w:sz="12" w:space="0" w:color="000000"/>
            </w:tcBorders>
          </w:tcPr>
          <w:p>
            <w:pPr>
              <w:pStyle w:val="TAH"/>
              <w:rPr/>
            </w:pPr>
            <w:r>
              <w:rPr/>
              <w:t>Default Maximum Data Burst Volume</w:t>
            </w:r>
          </w:p>
          <w:p>
            <w:pPr>
              <w:pStyle w:val="TAH"/>
              <w:rPr/>
            </w:pPr>
            <w:r>
              <w:rPr/>
              <w:t>(NOTE 2)</w:t>
            </w:r>
          </w:p>
        </w:tc>
        <w:tc>
          <w:tcPr>
            <w:tcW w:w="1671" w:type="dxa"/>
            <w:tcBorders>
              <w:top w:val="single" w:sz="12" w:space="0" w:color="000000"/>
              <w:left w:val="single" w:sz="12" w:space="0" w:color="000000"/>
              <w:bottom w:val="single" w:sz="12" w:space="0" w:color="000000"/>
              <w:right w:val="single" w:sz="12" w:space="0" w:color="000000"/>
            </w:tcBorders>
          </w:tcPr>
          <w:p>
            <w:pPr>
              <w:pStyle w:val="TAH"/>
              <w:rPr/>
            </w:pPr>
            <w:r>
              <w:rPr/>
              <w:t>Default</w:t>
            </w:r>
          </w:p>
          <w:p>
            <w:pPr>
              <w:pStyle w:val="TAH"/>
              <w:rPr/>
            </w:pPr>
            <w:r>
              <w:rPr/>
              <w:t>Averaging Window</w:t>
            </w:r>
          </w:p>
        </w:tc>
        <w:tc>
          <w:tcPr>
            <w:tcW w:w="2150" w:type="dxa"/>
            <w:tcBorders>
              <w:top w:val="single" w:sz="12" w:space="0" w:color="000000"/>
              <w:left w:val="single" w:sz="12" w:space="0" w:color="000000"/>
              <w:bottom w:val="single" w:sz="12" w:space="0" w:color="000000"/>
              <w:right w:val="single" w:sz="12" w:space="0" w:color="000000"/>
            </w:tcBorders>
          </w:tcPr>
          <w:p>
            <w:pPr>
              <w:pStyle w:val="TAH"/>
              <w:rPr/>
            </w:pPr>
            <w:r>
              <w:rPr/>
              <w:t>Example Services</w:t>
            </w:r>
          </w:p>
        </w:tc>
      </w:tr>
      <w:tr>
        <w:trPr/>
        <w:tc>
          <w:tcPr>
            <w:tcW w:w="1024" w:type="dxa"/>
            <w:tcBorders>
              <w:top w:val="single" w:sz="12" w:space="0" w:color="000000"/>
              <w:left w:val="single" w:sz="12" w:space="0" w:color="000000"/>
              <w:bottom w:val="single" w:sz="12" w:space="0" w:color="000000"/>
              <w:right w:val="single" w:sz="12" w:space="0" w:color="000000"/>
            </w:tcBorders>
          </w:tcPr>
          <w:p>
            <w:pPr>
              <w:pStyle w:val="TAC"/>
              <w:rPr/>
            </w:pPr>
            <w:r>
              <w:rPr/>
              <w:t>1</w:t>
              <w:br/>
            </w:r>
          </w:p>
        </w:tc>
        <w:tc>
          <w:tcPr>
            <w:tcW w:w="1061" w:type="dxa"/>
            <w:tcBorders>
              <w:top w:val="single" w:sz="12" w:space="0" w:color="000000"/>
              <w:left w:val="single" w:sz="12" w:space="0" w:color="000000"/>
              <w:right w:val="single" w:sz="12" w:space="0" w:color="000000"/>
            </w:tcBorders>
          </w:tcPr>
          <w:p>
            <w:pPr>
              <w:pStyle w:val="TAC"/>
              <w:rPr/>
            </w:pPr>
            <w:r>
              <w:rPr/>
              <w:br/>
              <w:t>GBR</w:t>
            </w:r>
          </w:p>
        </w:tc>
        <w:tc>
          <w:tcPr>
            <w:tcW w:w="918" w:type="dxa"/>
            <w:tcBorders>
              <w:top w:val="single" w:sz="12" w:space="0" w:color="000000"/>
              <w:left w:val="single" w:sz="12" w:space="0" w:color="000000"/>
              <w:bottom w:val="single" w:sz="12" w:space="0" w:color="000000"/>
              <w:right w:val="single" w:sz="12" w:space="0" w:color="000000"/>
            </w:tcBorders>
          </w:tcPr>
          <w:p>
            <w:pPr>
              <w:pStyle w:val="TAC"/>
              <w:rPr/>
            </w:pPr>
            <w:r>
              <w:rPr/>
              <w:t>20</w:t>
            </w:r>
          </w:p>
        </w:tc>
        <w:tc>
          <w:tcPr>
            <w:tcW w:w="1088" w:type="dxa"/>
            <w:tcBorders>
              <w:top w:val="single" w:sz="12" w:space="0" w:color="000000"/>
              <w:left w:val="single" w:sz="12" w:space="0" w:color="000000"/>
              <w:bottom w:val="single" w:sz="12" w:space="0" w:color="000000"/>
              <w:right w:val="single" w:sz="12" w:space="0" w:color="000000"/>
            </w:tcBorders>
          </w:tcPr>
          <w:p>
            <w:pPr>
              <w:pStyle w:val="TAC"/>
              <w:rPr/>
            </w:pPr>
            <w:r>
              <w:rPr/>
              <w:t>100 ms</w:t>
            </w:r>
          </w:p>
        </w:tc>
        <w:tc>
          <w:tcPr>
            <w:tcW w:w="797" w:type="dxa"/>
            <w:tcBorders>
              <w:top w:val="single" w:sz="12" w:space="0" w:color="000000"/>
              <w:left w:val="single" w:sz="12" w:space="0" w:color="000000"/>
              <w:bottom w:val="single" w:sz="12" w:space="0" w:color="000000"/>
              <w:right w:val="single" w:sz="12" w:space="0" w:color="000000"/>
            </w:tcBorders>
          </w:tcPr>
          <w:p>
            <w:pPr>
              <w:pStyle w:val="TAC"/>
              <w:rPr/>
            </w:pPr>
            <w:r>
              <w:rPr/>
              <w:t>10</w:t>
            </w:r>
            <w:r>
              <w:rPr>
                <w:sz w:val="22"/>
                <w:vertAlign w:val="superscript"/>
              </w:rPr>
              <w:t>-2</w:t>
            </w:r>
          </w:p>
        </w:tc>
        <w:tc>
          <w:tcPr>
            <w:tcW w:w="1324" w:type="dxa"/>
            <w:tcBorders>
              <w:top w:val="single" w:sz="12" w:space="0" w:color="000000"/>
              <w:left w:val="single" w:sz="12" w:space="0" w:color="000000"/>
              <w:bottom w:val="single" w:sz="12" w:space="0" w:color="000000"/>
              <w:right w:val="single" w:sz="12" w:space="0" w:color="000000"/>
            </w:tcBorders>
          </w:tcPr>
          <w:p>
            <w:pPr>
              <w:pStyle w:val="TAL"/>
              <w:rPr/>
            </w:pPr>
            <w:r>
              <w:rPr/>
              <w:t>N/A</w:t>
            </w:r>
          </w:p>
        </w:tc>
        <w:tc>
          <w:tcPr>
            <w:tcW w:w="1671" w:type="dxa"/>
            <w:tcBorders>
              <w:top w:val="single" w:sz="12" w:space="0" w:color="000000"/>
              <w:left w:val="single" w:sz="12" w:space="0" w:color="000000"/>
              <w:bottom w:val="single" w:sz="12" w:space="0" w:color="000000"/>
              <w:right w:val="single" w:sz="12" w:space="0" w:color="000000"/>
            </w:tcBorders>
          </w:tcPr>
          <w:p>
            <w:pPr>
              <w:pStyle w:val="TAL"/>
              <w:rPr/>
            </w:pPr>
            <w:r>
              <w:rPr/>
              <w:t>2000 ms</w:t>
            </w:r>
          </w:p>
        </w:tc>
        <w:tc>
          <w:tcPr>
            <w:tcW w:w="2150" w:type="dxa"/>
            <w:tcBorders>
              <w:top w:val="single" w:sz="12" w:space="0" w:color="000000"/>
              <w:left w:val="single" w:sz="12" w:space="0" w:color="000000"/>
              <w:bottom w:val="single" w:sz="12" w:space="0" w:color="000000"/>
              <w:right w:val="single" w:sz="12" w:space="0" w:color="000000"/>
            </w:tcBorders>
          </w:tcPr>
          <w:p>
            <w:pPr>
              <w:pStyle w:val="TAL"/>
              <w:rPr/>
            </w:pPr>
            <w:r>
              <w:rPr/>
              <w:t>Conversational Voice</w:t>
            </w:r>
          </w:p>
        </w:tc>
      </w:tr>
      <w:tr>
        <w:trPr/>
        <w:tc>
          <w:tcPr>
            <w:tcW w:w="1024" w:type="dxa"/>
            <w:tcBorders>
              <w:top w:val="single" w:sz="12" w:space="0" w:color="000000"/>
              <w:left w:val="single" w:sz="12" w:space="0" w:color="000000"/>
              <w:bottom w:val="single" w:sz="12" w:space="0" w:color="000000"/>
              <w:right w:val="single" w:sz="12" w:space="0" w:color="000000"/>
            </w:tcBorders>
          </w:tcPr>
          <w:p>
            <w:pPr>
              <w:pStyle w:val="TAC"/>
              <w:rPr/>
            </w:pPr>
            <w:r>
              <w:rPr/>
              <w:t>2</w:t>
              <w:br/>
            </w:r>
          </w:p>
        </w:tc>
        <w:tc>
          <w:tcPr>
            <w:tcW w:w="1061" w:type="dxa"/>
            <w:tcBorders>
              <w:left w:val="single" w:sz="12" w:space="0" w:color="000000"/>
              <w:right w:val="single" w:sz="12" w:space="0" w:color="000000"/>
            </w:tcBorders>
          </w:tcPr>
          <w:p>
            <w:pPr>
              <w:pStyle w:val="TAC"/>
              <w:rPr/>
            </w:pPr>
            <w:r>
              <w:rPr/>
              <w:t>(NOTE 1)</w:t>
            </w:r>
          </w:p>
        </w:tc>
        <w:tc>
          <w:tcPr>
            <w:tcW w:w="918" w:type="dxa"/>
            <w:tcBorders>
              <w:top w:val="single" w:sz="12" w:space="0" w:color="000000"/>
              <w:left w:val="single" w:sz="12" w:space="0" w:color="000000"/>
              <w:bottom w:val="single" w:sz="12" w:space="0" w:color="000000"/>
              <w:right w:val="single" w:sz="12" w:space="0" w:color="000000"/>
            </w:tcBorders>
          </w:tcPr>
          <w:p>
            <w:pPr>
              <w:pStyle w:val="TAC"/>
              <w:rPr/>
            </w:pPr>
            <w:r>
              <w:rPr/>
              <w:t>40</w:t>
            </w:r>
          </w:p>
        </w:tc>
        <w:tc>
          <w:tcPr>
            <w:tcW w:w="1088" w:type="dxa"/>
            <w:tcBorders>
              <w:top w:val="single" w:sz="12" w:space="0" w:color="000000"/>
              <w:left w:val="single" w:sz="12" w:space="0" w:color="000000"/>
              <w:bottom w:val="single" w:sz="12" w:space="0" w:color="000000"/>
              <w:right w:val="single" w:sz="12" w:space="0" w:color="000000"/>
            </w:tcBorders>
          </w:tcPr>
          <w:p>
            <w:pPr>
              <w:pStyle w:val="TAC"/>
              <w:rPr/>
            </w:pPr>
            <w:r>
              <w:rPr/>
              <w:t>150 ms</w:t>
            </w:r>
          </w:p>
        </w:tc>
        <w:tc>
          <w:tcPr>
            <w:tcW w:w="797" w:type="dxa"/>
            <w:tcBorders>
              <w:top w:val="single" w:sz="12" w:space="0" w:color="000000"/>
              <w:left w:val="single" w:sz="12" w:space="0" w:color="000000"/>
              <w:bottom w:val="single" w:sz="12" w:space="0" w:color="000000"/>
              <w:right w:val="single" w:sz="12" w:space="0" w:color="000000"/>
            </w:tcBorders>
          </w:tcPr>
          <w:p>
            <w:pPr>
              <w:pStyle w:val="TAC"/>
              <w:rPr/>
            </w:pPr>
            <w:r>
              <w:rPr/>
              <w:t>10</w:t>
            </w:r>
            <w:r>
              <w:rPr>
                <w:sz w:val="22"/>
                <w:vertAlign w:val="superscript"/>
              </w:rPr>
              <w:t>-3</w:t>
            </w:r>
          </w:p>
        </w:tc>
        <w:tc>
          <w:tcPr>
            <w:tcW w:w="1324" w:type="dxa"/>
            <w:tcBorders>
              <w:top w:val="single" w:sz="12" w:space="0" w:color="000000"/>
              <w:left w:val="single" w:sz="12" w:space="0" w:color="000000"/>
              <w:bottom w:val="single" w:sz="12" w:space="0" w:color="000000"/>
              <w:right w:val="single" w:sz="12" w:space="0" w:color="000000"/>
            </w:tcBorders>
          </w:tcPr>
          <w:p>
            <w:pPr>
              <w:pStyle w:val="TAL"/>
              <w:rPr/>
            </w:pPr>
            <w:r>
              <w:rPr/>
              <w:t>N/A</w:t>
            </w:r>
          </w:p>
        </w:tc>
        <w:tc>
          <w:tcPr>
            <w:tcW w:w="1671" w:type="dxa"/>
            <w:tcBorders>
              <w:top w:val="single" w:sz="12" w:space="0" w:color="000000"/>
              <w:left w:val="single" w:sz="12" w:space="0" w:color="000000"/>
              <w:bottom w:val="single" w:sz="12" w:space="0" w:color="000000"/>
              <w:right w:val="single" w:sz="12" w:space="0" w:color="000000"/>
            </w:tcBorders>
          </w:tcPr>
          <w:p>
            <w:pPr>
              <w:pStyle w:val="TAL"/>
              <w:rPr/>
            </w:pPr>
            <w:r>
              <w:rPr/>
              <w:t>2000 ms</w:t>
            </w:r>
          </w:p>
        </w:tc>
        <w:tc>
          <w:tcPr>
            <w:tcW w:w="2150" w:type="dxa"/>
            <w:tcBorders>
              <w:top w:val="single" w:sz="12" w:space="0" w:color="000000"/>
              <w:left w:val="single" w:sz="12" w:space="0" w:color="000000"/>
              <w:bottom w:val="single" w:sz="12" w:space="0" w:color="000000"/>
              <w:right w:val="single" w:sz="12" w:space="0" w:color="000000"/>
            </w:tcBorders>
          </w:tcPr>
          <w:p>
            <w:pPr>
              <w:pStyle w:val="TAL"/>
              <w:rPr/>
            </w:pPr>
            <w:r>
              <w:rPr/>
              <w:t>Conversational Video (Live Streaming)</w:t>
            </w:r>
          </w:p>
        </w:tc>
      </w:tr>
      <w:tr>
        <w:trPr/>
        <w:tc>
          <w:tcPr>
            <w:tcW w:w="1024" w:type="dxa"/>
            <w:tcBorders>
              <w:top w:val="single" w:sz="12" w:space="0" w:color="000000"/>
              <w:left w:val="single" w:sz="12" w:space="0" w:color="000000"/>
              <w:bottom w:val="single" w:sz="12" w:space="0" w:color="000000"/>
              <w:right w:val="single" w:sz="12" w:space="0" w:color="000000"/>
            </w:tcBorders>
          </w:tcPr>
          <w:p>
            <w:pPr>
              <w:pStyle w:val="TAC"/>
              <w:rPr/>
            </w:pPr>
            <w:r>
              <w:rPr/>
              <w:t>3</w:t>
            </w:r>
          </w:p>
        </w:tc>
        <w:tc>
          <w:tcPr>
            <w:tcW w:w="1061" w:type="dxa"/>
            <w:tcBorders>
              <w:left w:val="single" w:sz="12" w:space="0" w:color="000000"/>
              <w:right w:val="single" w:sz="12" w:space="0" w:color="000000"/>
            </w:tcBorders>
          </w:tcPr>
          <w:p>
            <w:pPr>
              <w:pStyle w:val="TAC"/>
              <w:snapToGrid w:val="false"/>
              <w:rPr/>
            </w:pPr>
            <w:r>
              <w:rPr/>
            </w:r>
          </w:p>
        </w:tc>
        <w:tc>
          <w:tcPr>
            <w:tcW w:w="918" w:type="dxa"/>
            <w:tcBorders>
              <w:top w:val="single" w:sz="12" w:space="0" w:color="000000"/>
              <w:left w:val="single" w:sz="12" w:space="0" w:color="000000"/>
              <w:bottom w:val="single" w:sz="12" w:space="0" w:color="000000"/>
              <w:right w:val="single" w:sz="12" w:space="0" w:color="000000"/>
            </w:tcBorders>
          </w:tcPr>
          <w:p>
            <w:pPr>
              <w:pStyle w:val="TAC"/>
              <w:rPr/>
            </w:pPr>
            <w:r>
              <w:rPr/>
              <w:t>30</w:t>
            </w:r>
          </w:p>
        </w:tc>
        <w:tc>
          <w:tcPr>
            <w:tcW w:w="1088" w:type="dxa"/>
            <w:tcBorders>
              <w:top w:val="single" w:sz="12" w:space="0" w:color="000000"/>
              <w:left w:val="single" w:sz="12" w:space="0" w:color="000000"/>
              <w:bottom w:val="single" w:sz="12" w:space="0" w:color="000000"/>
              <w:right w:val="single" w:sz="12" w:space="0" w:color="000000"/>
            </w:tcBorders>
          </w:tcPr>
          <w:p>
            <w:pPr>
              <w:pStyle w:val="TAC"/>
              <w:rPr/>
            </w:pPr>
            <w:r>
              <w:rPr/>
              <w:t>50 ms</w:t>
            </w:r>
          </w:p>
        </w:tc>
        <w:tc>
          <w:tcPr>
            <w:tcW w:w="797" w:type="dxa"/>
            <w:tcBorders>
              <w:top w:val="single" w:sz="12" w:space="0" w:color="000000"/>
              <w:left w:val="single" w:sz="12" w:space="0" w:color="000000"/>
              <w:bottom w:val="single" w:sz="12" w:space="0" w:color="000000"/>
              <w:right w:val="single" w:sz="12" w:space="0" w:color="000000"/>
            </w:tcBorders>
          </w:tcPr>
          <w:p>
            <w:pPr>
              <w:pStyle w:val="TAC"/>
              <w:rPr/>
            </w:pPr>
            <w:r>
              <w:rPr/>
              <w:t>10</w:t>
            </w:r>
            <w:r>
              <w:rPr>
                <w:sz w:val="22"/>
                <w:vertAlign w:val="superscript"/>
              </w:rPr>
              <w:t>-3</w:t>
            </w:r>
          </w:p>
        </w:tc>
        <w:tc>
          <w:tcPr>
            <w:tcW w:w="1324" w:type="dxa"/>
            <w:tcBorders>
              <w:top w:val="single" w:sz="12" w:space="0" w:color="000000"/>
              <w:left w:val="single" w:sz="12" w:space="0" w:color="000000"/>
              <w:bottom w:val="single" w:sz="12" w:space="0" w:color="000000"/>
              <w:right w:val="single" w:sz="12" w:space="0" w:color="000000"/>
            </w:tcBorders>
          </w:tcPr>
          <w:p>
            <w:pPr>
              <w:pStyle w:val="TAL"/>
              <w:rPr/>
            </w:pPr>
            <w:r>
              <w:rPr/>
              <w:t>N/A</w:t>
            </w:r>
          </w:p>
        </w:tc>
        <w:tc>
          <w:tcPr>
            <w:tcW w:w="1671" w:type="dxa"/>
            <w:tcBorders>
              <w:top w:val="single" w:sz="12" w:space="0" w:color="000000"/>
              <w:left w:val="single" w:sz="12" w:space="0" w:color="000000"/>
              <w:bottom w:val="single" w:sz="12" w:space="0" w:color="000000"/>
              <w:right w:val="single" w:sz="12" w:space="0" w:color="000000"/>
            </w:tcBorders>
          </w:tcPr>
          <w:p>
            <w:pPr>
              <w:pStyle w:val="TAL"/>
              <w:rPr/>
            </w:pPr>
            <w:r>
              <w:rPr/>
              <w:t>2000 ms</w:t>
            </w:r>
          </w:p>
        </w:tc>
        <w:tc>
          <w:tcPr>
            <w:tcW w:w="2150" w:type="dxa"/>
            <w:tcBorders>
              <w:top w:val="single" w:sz="12" w:space="0" w:color="000000"/>
              <w:left w:val="single" w:sz="12" w:space="0" w:color="000000"/>
              <w:bottom w:val="single" w:sz="12" w:space="0" w:color="000000"/>
              <w:right w:val="single" w:sz="12" w:space="0" w:color="000000"/>
            </w:tcBorders>
          </w:tcPr>
          <w:p>
            <w:pPr>
              <w:pStyle w:val="TAL"/>
              <w:rPr/>
            </w:pPr>
            <w:r>
              <w:rPr/>
              <w:t>Real Time Gaming, V2X messages</w:t>
            </w:r>
          </w:p>
          <w:p>
            <w:pPr>
              <w:pStyle w:val="TAL"/>
              <w:rPr/>
            </w:pPr>
            <w:r>
              <w:rPr/>
              <w:t>Electricity distribution - medium voltage, Process automation - monitoring</w:t>
            </w:r>
          </w:p>
        </w:tc>
      </w:tr>
      <w:tr>
        <w:trPr/>
        <w:tc>
          <w:tcPr>
            <w:tcW w:w="1024" w:type="dxa"/>
            <w:tcBorders>
              <w:top w:val="single" w:sz="12" w:space="0" w:color="000000"/>
              <w:left w:val="single" w:sz="12" w:space="0" w:color="000000"/>
              <w:bottom w:val="single" w:sz="12" w:space="0" w:color="000000"/>
              <w:right w:val="single" w:sz="12" w:space="0" w:color="000000"/>
            </w:tcBorders>
          </w:tcPr>
          <w:p>
            <w:pPr>
              <w:pStyle w:val="TAC"/>
              <w:rPr/>
            </w:pPr>
            <w:r>
              <w:rPr/>
              <w:t>4</w:t>
              <w:br/>
            </w:r>
          </w:p>
        </w:tc>
        <w:tc>
          <w:tcPr>
            <w:tcW w:w="1061" w:type="dxa"/>
            <w:tcBorders>
              <w:left w:val="single" w:sz="12" w:space="0" w:color="000000"/>
              <w:right w:val="single" w:sz="12" w:space="0" w:color="000000"/>
            </w:tcBorders>
          </w:tcPr>
          <w:p>
            <w:pPr>
              <w:pStyle w:val="TAC"/>
              <w:snapToGrid w:val="false"/>
              <w:rPr/>
            </w:pPr>
            <w:r>
              <w:rPr/>
            </w:r>
          </w:p>
        </w:tc>
        <w:tc>
          <w:tcPr>
            <w:tcW w:w="918" w:type="dxa"/>
            <w:tcBorders>
              <w:top w:val="single" w:sz="12" w:space="0" w:color="000000"/>
              <w:left w:val="single" w:sz="12" w:space="0" w:color="000000"/>
              <w:bottom w:val="single" w:sz="12" w:space="0" w:color="000000"/>
              <w:right w:val="single" w:sz="12" w:space="0" w:color="000000"/>
            </w:tcBorders>
          </w:tcPr>
          <w:p>
            <w:pPr>
              <w:pStyle w:val="TAC"/>
              <w:rPr/>
            </w:pPr>
            <w:r>
              <w:rPr/>
              <w:t>50</w:t>
            </w:r>
          </w:p>
        </w:tc>
        <w:tc>
          <w:tcPr>
            <w:tcW w:w="1088" w:type="dxa"/>
            <w:tcBorders>
              <w:top w:val="single" w:sz="12" w:space="0" w:color="000000"/>
              <w:left w:val="single" w:sz="12" w:space="0" w:color="000000"/>
              <w:bottom w:val="single" w:sz="12" w:space="0" w:color="000000"/>
              <w:right w:val="single" w:sz="12" w:space="0" w:color="000000"/>
            </w:tcBorders>
          </w:tcPr>
          <w:p>
            <w:pPr>
              <w:pStyle w:val="TAC"/>
              <w:rPr/>
            </w:pPr>
            <w:r>
              <w:rPr/>
              <w:t>300 ms</w:t>
            </w:r>
          </w:p>
        </w:tc>
        <w:tc>
          <w:tcPr>
            <w:tcW w:w="797" w:type="dxa"/>
            <w:tcBorders>
              <w:top w:val="single" w:sz="12" w:space="0" w:color="000000"/>
              <w:left w:val="single" w:sz="12" w:space="0" w:color="000000"/>
              <w:bottom w:val="single" w:sz="12" w:space="0" w:color="000000"/>
              <w:right w:val="single" w:sz="12" w:space="0" w:color="000000"/>
            </w:tcBorders>
          </w:tcPr>
          <w:p>
            <w:pPr>
              <w:pStyle w:val="TAC"/>
              <w:rPr/>
            </w:pPr>
            <w:r>
              <w:rPr/>
              <w:t>10</w:t>
            </w:r>
            <w:r>
              <w:rPr>
                <w:sz w:val="22"/>
                <w:vertAlign w:val="superscript"/>
              </w:rPr>
              <w:t>-6</w:t>
            </w:r>
          </w:p>
        </w:tc>
        <w:tc>
          <w:tcPr>
            <w:tcW w:w="1324" w:type="dxa"/>
            <w:tcBorders>
              <w:top w:val="single" w:sz="12" w:space="0" w:color="000000"/>
              <w:left w:val="single" w:sz="12" w:space="0" w:color="000000"/>
              <w:bottom w:val="single" w:sz="12" w:space="0" w:color="000000"/>
              <w:right w:val="single" w:sz="12" w:space="0" w:color="000000"/>
            </w:tcBorders>
          </w:tcPr>
          <w:p>
            <w:pPr>
              <w:pStyle w:val="TAL"/>
              <w:rPr/>
            </w:pPr>
            <w:r>
              <w:rPr/>
              <w:t>N/A</w:t>
            </w:r>
          </w:p>
        </w:tc>
        <w:tc>
          <w:tcPr>
            <w:tcW w:w="1671" w:type="dxa"/>
            <w:tcBorders>
              <w:top w:val="single" w:sz="12" w:space="0" w:color="000000"/>
              <w:left w:val="single" w:sz="12" w:space="0" w:color="000000"/>
              <w:bottom w:val="single" w:sz="12" w:space="0" w:color="000000"/>
              <w:right w:val="single" w:sz="12" w:space="0" w:color="000000"/>
            </w:tcBorders>
          </w:tcPr>
          <w:p>
            <w:pPr>
              <w:pStyle w:val="TAL"/>
              <w:rPr/>
            </w:pPr>
            <w:r>
              <w:rPr/>
              <w:t>2000 ms</w:t>
            </w:r>
          </w:p>
        </w:tc>
        <w:tc>
          <w:tcPr>
            <w:tcW w:w="2150" w:type="dxa"/>
            <w:tcBorders>
              <w:top w:val="single" w:sz="12" w:space="0" w:color="000000"/>
              <w:left w:val="single" w:sz="12" w:space="0" w:color="000000"/>
              <w:bottom w:val="single" w:sz="12" w:space="0" w:color="000000"/>
              <w:right w:val="single" w:sz="12" w:space="0" w:color="000000"/>
            </w:tcBorders>
          </w:tcPr>
          <w:p>
            <w:pPr>
              <w:pStyle w:val="TAL"/>
              <w:rPr/>
            </w:pPr>
            <w:r>
              <w:rPr/>
              <w:t>Non-Conversational Video (Buffered Streaming)</w:t>
            </w:r>
          </w:p>
        </w:tc>
      </w:tr>
      <w:tr>
        <w:trPr/>
        <w:tc>
          <w:tcPr>
            <w:tcW w:w="1024" w:type="dxa"/>
            <w:tcBorders>
              <w:top w:val="single" w:sz="12" w:space="0" w:color="000000"/>
              <w:left w:val="single" w:sz="12" w:space="0" w:color="000000"/>
              <w:bottom w:val="single" w:sz="12" w:space="0" w:color="000000"/>
              <w:right w:val="single" w:sz="12" w:space="0" w:color="000000"/>
            </w:tcBorders>
          </w:tcPr>
          <w:p>
            <w:pPr>
              <w:pStyle w:val="TAC"/>
              <w:rPr/>
            </w:pPr>
            <w:r>
              <w:rPr/>
              <w:t>65</w:t>
            </w:r>
          </w:p>
        </w:tc>
        <w:tc>
          <w:tcPr>
            <w:tcW w:w="1061" w:type="dxa"/>
            <w:tcBorders>
              <w:left w:val="single" w:sz="12" w:space="0" w:color="000000"/>
              <w:right w:val="single" w:sz="12" w:space="0" w:color="000000"/>
            </w:tcBorders>
          </w:tcPr>
          <w:p>
            <w:pPr>
              <w:pStyle w:val="TAC"/>
              <w:snapToGrid w:val="false"/>
              <w:rPr/>
            </w:pPr>
            <w:r>
              <w:rPr/>
            </w:r>
          </w:p>
        </w:tc>
        <w:tc>
          <w:tcPr>
            <w:tcW w:w="918" w:type="dxa"/>
            <w:tcBorders>
              <w:top w:val="single" w:sz="12" w:space="0" w:color="000000"/>
              <w:left w:val="single" w:sz="12" w:space="0" w:color="000000"/>
              <w:bottom w:val="single" w:sz="12" w:space="0" w:color="000000"/>
              <w:right w:val="single" w:sz="12" w:space="0" w:color="000000"/>
            </w:tcBorders>
          </w:tcPr>
          <w:p>
            <w:pPr>
              <w:pStyle w:val="TAC"/>
              <w:rPr/>
            </w:pPr>
            <w:r>
              <w:rPr/>
              <w:t>7</w:t>
            </w:r>
          </w:p>
        </w:tc>
        <w:tc>
          <w:tcPr>
            <w:tcW w:w="1088" w:type="dxa"/>
            <w:tcBorders>
              <w:top w:val="single" w:sz="12" w:space="0" w:color="000000"/>
              <w:left w:val="single" w:sz="12" w:space="0" w:color="000000"/>
              <w:bottom w:val="single" w:sz="12" w:space="0" w:color="000000"/>
              <w:right w:val="single" w:sz="12" w:space="0" w:color="000000"/>
            </w:tcBorders>
          </w:tcPr>
          <w:p>
            <w:pPr>
              <w:pStyle w:val="TAC"/>
              <w:rPr/>
            </w:pPr>
            <w:r>
              <w:rPr/>
              <w:t>75 ms</w:t>
            </w:r>
          </w:p>
        </w:tc>
        <w:tc>
          <w:tcPr>
            <w:tcW w:w="797" w:type="dxa"/>
            <w:tcBorders>
              <w:top w:val="single" w:sz="12" w:space="0" w:color="000000"/>
              <w:left w:val="single" w:sz="12" w:space="0" w:color="000000"/>
              <w:bottom w:val="single" w:sz="12" w:space="0" w:color="000000"/>
              <w:right w:val="single" w:sz="12" w:space="0" w:color="000000"/>
            </w:tcBorders>
          </w:tcPr>
          <w:p>
            <w:pPr>
              <w:pStyle w:val="TAC"/>
              <w:rPr/>
            </w:pPr>
            <w:r>
              <w:rPr/>
              <w:br/>
              <w:t>10</w:t>
            </w:r>
            <w:r>
              <w:rPr>
                <w:sz w:val="22"/>
                <w:vertAlign w:val="superscript"/>
              </w:rPr>
              <w:t>-2</w:t>
            </w:r>
          </w:p>
        </w:tc>
        <w:tc>
          <w:tcPr>
            <w:tcW w:w="1324" w:type="dxa"/>
            <w:tcBorders>
              <w:top w:val="single" w:sz="12" w:space="0" w:color="000000"/>
              <w:left w:val="single" w:sz="12" w:space="0" w:color="000000"/>
              <w:bottom w:val="single" w:sz="12" w:space="0" w:color="000000"/>
              <w:right w:val="single" w:sz="12" w:space="0" w:color="000000"/>
            </w:tcBorders>
          </w:tcPr>
          <w:p>
            <w:pPr>
              <w:pStyle w:val="TAL"/>
              <w:rPr/>
            </w:pPr>
            <w:r>
              <w:rPr/>
              <w:t>N/A</w:t>
            </w:r>
          </w:p>
        </w:tc>
        <w:tc>
          <w:tcPr>
            <w:tcW w:w="1671" w:type="dxa"/>
            <w:tcBorders>
              <w:top w:val="single" w:sz="12" w:space="0" w:color="000000"/>
              <w:left w:val="single" w:sz="12" w:space="0" w:color="000000"/>
              <w:bottom w:val="single" w:sz="12" w:space="0" w:color="000000"/>
              <w:right w:val="single" w:sz="12" w:space="0" w:color="000000"/>
            </w:tcBorders>
          </w:tcPr>
          <w:p>
            <w:pPr>
              <w:pStyle w:val="TAL"/>
              <w:rPr/>
            </w:pPr>
            <w:r>
              <w:rPr/>
              <w:t>2000 ms</w:t>
            </w:r>
          </w:p>
        </w:tc>
        <w:tc>
          <w:tcPr>
            <w:tcW w:w="2150" w:type="dxa"/>
            <w:tcBorders>
              <w:top w:val="single" w:sz="12" w:space="0" w:color="000000"/>
              <w:left w:val="single" w:sz="12" w:space="0" w:color="000000"/>
              <w:bottom w:val="single" w:sz="12" w:space="0" w:color="000000"/>
              <w:right w:val="single" w:sz="12" w:space="0" w:color="000000"/>
            </w:tcBorders>
          </w:tcPr>
          <w:p>
            <w:pPr>
              <w:pStyle w:val="TAL"/>
              <w:rPr/>
            </w:pPr>
            <w:r>
              <w:rPr/>
              <w:t>Mission Critical user plane Push To Talk voice (e.g., MCPTT)</w:t>
            </w:r>
          </w:p>
        </w:tc>
      </w:tr>
      <w:tr>
        <w:trPr/>
        <w:tc>
          <w:tcPr>
            <w:tcW w:w="1024" w:type="dxa"/>
            <w:tcBorders>
              <w:top w:val="single" w:sz="12" w:space="0" w:color="000000"/>
              <w:left w:val="single" w:sz="12" w:space="0" w:color="000000"/>
              <w:bottom w:val="single" w:sz="12" w:space="0" w:color="000000"/>
              <w:right w:val="single" w:sz="12" w:space="0" w:color="000000"/>
            </w:tcBorders>
          </w:tcPr>
          <w:p>
            <w:pPr>
              <w:pStyle w:val="TAC"/>
              <w:rPr/>
            </w:pPr>
            <w:r>
              <w:rPr/>
              <w:t>66</w:t>
              <w:br/>
            </w:r>
          </w:p>
        </w:tc>
        <w:tc>
          <w:tcPr>
            <w:tcW w:w="1061" w:type="dxa"/>
            <w:tcBorders>
              <w:left w:val="single" w:sz="12" w:space="0" w:color="000000"/>
              <w:right w:val="single" w:sz="12" w:space="0" w:color="000000"/>
            </w:tcBorders>
          </w:tcPr>
          <w:p>
            <w:pPr>
              <w:pStyle w:val="TAC"/>
              <w:snapToGrid w:val="false"/>
              <w:rPr/>
            </w:pPr>
            <w:r>
              <w:rPr/>
            </w:r>
          </w:p>
        </w:tc>
        <w:tc>
          <w:tcPr>
            <w:tcW w:w="918" w:type="dxa"/>
            <w:tcBorders>
              <w:top w:val="single" w:sz="12" w:space="0" w:color="000000"/>
              <w:left w:val="single" w:sz="12" w:space="0" w:color="000000"/>
              <w:bottom w:val="single" w:sz="12" w:space="0" w:color="000000"/>
              <w:right w:val="single" w:sz="12" w:space="0" w:color="000000"/>
            </w:tcBorders>
          </w:tcPr>
          <w:p>
            <w:pPr>
              <w:pStyle w:val="TAC"/>
              <w:rPr/>
            </w:pPr>
            <w:r>
              <w:rPr/>
              <w:br/>
              <w:t>20</w:t>
            </w:r>
          </w:p>
        </w:tc>
        <w:tc>
          <w:tcPr>
            <w:tcW w:w="1088" w:type="dxa"/>
            <w:tcBorders>
              <w:top w:val="single" w:sz="12" w:space="0" w:color="000000"/>
              <w:left w:val="single" w:sz="12" w:space="0" w:color="000000"/>
              <w:bottom w:val="single" w:sz="12" w:space="0" w:color="000000"/>
              <w:right w:val="single" w:sz="12" w:space="0" w:color="000000"/>
            </w:tcBorders>
          </w:tcPr>
          <w:p>
            <w:pPr>
              <w:pStyle w:val="TAC"/>
              <w:rPr/>
            </w:pPr>
            <w:r>
              <w:rPr/>
              <w:t>100 ms</w:t>
            </w:r>
          </w:p>
        </w:tc>
        <w:tc>
          <w:tcPr>
            <w:tcW w:w="797" w:type="dxa"/>
            <w:tcBorders>
              <w:top w:val="single" w:sz="12" w:space="0" w:color="000000"/>
              <w:left w:val="single" w:sz="12" w:space="0" w:color="000000"/>
              <w:bottom w:val="single" w:sz="12" w:space="0" w:color="000000"/>
              <w:right w:val="single" w:sz="12" w:space="0" w:color="000000"/>
            </w:tcBorders>
          </w:tcPr>
          <w:p>
            <w:pPr>
              <w:pStyle w:val="TAC"/>
              <w:rPr/>
            </w:pPr>
            <w:r>
              <w:rPr/>
              <w:br/>
              <w:t>10</w:t>
            </w:r>
            <w:r>
              <w:rPr>
                <w:sz w:val="22"/>
                <w:vertAlign w:val="superscript"/>
              </w:rPr>
              <w:t>-2</w:t>
            </w:r>
          </w:p>
        </w:tc>
        <w:tc>
          <w:tcPr>
            <w:tcW w:w="1324" w:type="dxa"/>
            <w:tcBorders>
              <w:top w:val="single" w:sz="12" w:space="0" w:color="000000"/>
              <w:left w:val="single" w:sz="12" w:space="0" w:color="000000"/>
              <w:bottom w:val="single" w:sz="12" w:space="0" w:color="000000"/>
              <w:right w:val="single" w:sz="12" w:space="0" w:color="000000"/>
            </w:tcBorders>
          </w:tcPr>
          <w:p>
            <w:pPr>
              <w:pStyle w:val="TAL"/>
              <w:rPr/>
            </w:pPr>
            <w:r>
              <w:rPr/>
              <w:t>N/A</w:t>
            </w:r>
          </w:p>
        </w:tc>
        <w:tc>
          <w:tcPr>
            <w:tcW w:w="1671" w:type="dxa"/>
            <w:tcBorders>
              <w:top w:val="single" w:sz="12" w:space="0" w:color="000000"/>
              <w:left w:val="single" w:sz="12" w:space="0" w:color="000000"/>
              <w:bottom w:val="single" w:sz="12" w:space="0" w:color="000000"/>
              <w:right w:val="single" w:sz="12" w:space="0" w:color="000000"/>
            </w:tcBorders>
          </w:tcPr>
          <w:p>
            <w:pPr>
              <w:pStyle w:val="TAL"/>
              <w:rPr/>
            </w:pPr>
            <w:r>
              <w:rPr/>
              <w:t>2000 ms</w:t>
            </w:r>
          </w:p>
        </w:tc>
        <w:tc>
          <w:tcPr>
            <w:tcW w:w="2150" w:type="dxa"/>
            <w:tcBorders>
              <w:top w:val="single" w:sz="12" w:space="0" w:color="000000"/>
              <w:left w:val="single" w:sz="12" w:space="0" w:color="000000"/>
              <w:bottom w:val="single" w:sz="12" w:space="0" w:color="000000"/>
              <w:right w:val="single" w:sz="12" w:space="0" w:color="000000"/>
            </w:tcBorders>
          </w:tcPr>
          <w:p>
            <w:pPr>
              <w:pStyle w:val="TAL"/>
              <w:rPr/>
            </w:pPr>
            <w:r>
              <w:rPr/>
              <w:t>Non-Mission-Critical user plane Push To Talk voice</w:t>
            </w:r>
          </w:p>
        </w:tc>
      </w:tr>
      <w:tr>
        <w:trPr/>
        <w:tc>
          <w:tcPr>
            <w:tcW w:w="1024" w:type="dxa"/>
            <w:tcBorders>
              <w:top w:val="single" w:sz="12" w:space="0" w:color="000000"/>
              <w:left w:val="single" w:sz="12" w:space="0" w:color="000000"/>
              <w:bottom w:val="single" w:sz="12" w:space="0" w:color="000000"/>
              <w:right w:val="single" w:sz="12" w:space="0" w:color="000000"/>
            </w:tcBorders>
          </w:tcPr>
          <w:p>
            <w:pPr>
              <w:pStyle w:val="TAC"/>
              <w:rPr/>
            </w:pPr>
            <w:r>
              <w:rPr/>
              <w:t>67</w:t>
              <w:br/>
            </w:r>
          </w:p>
        </w:tc>
        <w:tc>
          <w:tcPr>
            <w:tcW w:w="1061" w:type="dxa"/>
            <w:tcBorders>
              <w:left w:val="single" w:sz="12" w:space="0" w:color="000000"/>
              <w:right w:val="single" w:sz="12" w:space="0" w:color="000000"/>
            </w:tcBorders>
          </w:tcPr>
          <w:p>
            <w:pPr>
              <w:pStyle w:val="TAC"/>
              <w:snapToGrid w:val="false"/>
              <w:rPr/>
            </w:pPr>
            <w:r>
              <w:rPr/>
            </w:r>
          </w:p>
        </w:tc>
        <w:tc>
          <w:tcPr>
            <w:tcW w:w="918" w:type="dxa"/>
            <w:tcBorders>
              <w:top w:val="single" w:sz="12" w:space="0" w:color="000000"/>
              <w:left w:val="single" w:sz="12" w:space="0" w:color="000000"/>
              <w:bottom w:val="single" w:sz="12" w:space="0" w:color="000000"/>
              <w:right w:val="single" w:sz="12" w:space="0" w:color="000000"/>
            </w:tcBorders>
          </w:tcPr>
          <w:p>
            <w:pPr>
              <w:pStyle w:val="TAC"/>
              <w:rPr/>
            </w:pPr>
            <w:r>
              <w:rPr/>
              <w:t>15</w:t>
            </w:r>
          </w:p>
        </w:tc>
        <w:tc>
          <w:tcPr>
            <w:tcW w:w="1088" w:type="dxa"/>
            <w:tcBorders>
              <w:top w:val="single" w:sz="12" w:space="0" w:color="000000"/>
              <w:left w:val="single" w:sz="12" w:space="0" w:color="000000"/>
              <w:bottom w:val="single" w:sz="12" w:space="0" w:color="000000"/>
              <w:right w:val="single" w:sz="12" w:space="0" w:color="000000"/>
            </w:tcBorders>
          </w:tcPr>
          <w:p>
            <w:pPr>
              <w:pStyle w:val="TAC"/>
              <w:rPr/>
            </w:pPr>
            <w:r>
              <w:rPr/>
              <w:t>100 ms</w:t>
            </w:r>
          </w:p>
        </w:tc>
        <w:tc>
          <w:tcPr>
            <w:tcW w:w="797" w:type="dxa"/>
            <w:tcBorders>
              <w:top w:val="single" w:sz="12" w:space="0" w:color="000000"/>
              <w:left w:val="single" w:sz="12" w:space="0" w:color="000000"/>
              <w:bottom w:val="single" w:sz="12" w:space="0" w:color="000000"/>
              <w:right w:val="single" w:sz="12" w:space="0" w:color="000000"/>
            </w:tcBorders>
          </w:tcPr>
          <w:p>
            <w:pPr>
              <w:pStyle w:val="TAC"/>
              <w:rPr/>
            </w:pPr>
            <w:r>
              <w:rPr/>
              <w:t>10</w:t>
            </w:r>
            <w:r>
              <w:rPr>
                <w:sz w:val="22"/>
                <w:vertAlign w:val="superscript"/>
              </w:rPr>
              <w:t>-3</w:t>
            </w:r>
          </w:p>
        </w:tc>
        <w:tc>
          <w:tcPr>
            <w:tcW w:w="1324" w:type="dxa"/>
            <w:tcBorders>
              <w:top w:val="single" w:sz="12" w:space="0" w:color="000000"/>
              <w:left w:val="single" w:sz="12" w:space="0" w:color="000000"/>
              <w:bottom w:val="single" w:sz="12" w:space="0" w:color="000000"/>
              <w:right w:val="single" w:sz="12" w:space="0" w:color="000000"/>
            </w:tcBorders>
          </w:tcPr>
          <w:p>
            <w:pPr>
              <w:pStyle w:val="TAL"/>
              <w:rPr/>
            </w:pPr>
            <w:r>
              <w:rPr/>
              <w:t>N/A</w:t>
            </w:r>
          </w:p>
        </w:tc>
        <w:tc>
          <w:tcPr>
            <w:tcW w:w="1671" w:type="dxa"/>
            <w:tcBorders>
              <w:top w:val="single" w:sz="12" w:space="0" w:color="000000"/>
              <w:left w:val="single" w:sz="12" w:space="0" w:color="000000"/>
              <w:bottom w:val="single" w:sz="12" w:space="0" w:color="000000"/>
              <w:right w:val="single" w:sz="12" w:space="0" w:color="000000"/>
            </w:tcBorders>
          </w:tcPr>
          <w:p>
            <w:pPr>
              <w:pStyle w:val="TAL"/>
              <w:rPr/>
            </w:pPr>
            <w:r>
              <w:rPr/>
              <w:t>2000 ms</w:t>
            </w:r>
          </w:p>
        </w:tc>
        <w:tc>
          <w:tcPr>
            <w:tcW w:w="2150" w:type="dxa"/>
            <w:tcBorders>
              <w:top w:val="single" w:sz="12" w:space="0" w:color="000000"/>
              <w:left w:val="single" w:sz="12" w:space="0" w:color="000000"/>
              <w:bottom w:val="single" w:sz="12" w:space="0" w:color="000000"/>
              <w:right w:val="single" w:sz="12" w:space="0" w:color="000000"/>
            </w:tcBorders>
          </w:tcPr>
          <w:p>
            <w:pPr>
              <w:pStyle w:val="TAL"/>
              <w:rPr/>
            </w:pPr>
            <w:r>
              <w:rPr/>
              <w:t>Mission Critical Video user plane</w:t>
            </w:r>
          </w:p>
        </w:tc>
      </w:tr>
      <w:tr>
        <w:trPr/>
        <w:tc>
          <w:tcPr>
            <w:tcW w:w="1024" w:type="dxa"/>
            <w:tcBorders>
              <w:top w:val="single" w:sz="12" w:space="0" w:color="000000"/>
              <w:left w:val="single" w:sz="12" w:space="0" w:color="000000"/>
              <w:bottom w:val="single" w:sz="12" w:space="0" w:color="000000"/>
              <w:right w:val="single" w:sz="12" w:space="0" w:color="000000"/>
            </w:tcBorders>
          </w:tcPr>
          <w:p>
            <w:pPr>
              <w:pStyle w:val="TAC"/>
              <w:rPr/>
            </w:pPr>
            <w:r>
              <w:rPr/>
              <w:t>75</w:t>
            </w:r>
          </w:p>
        </w:tc>
        <w:tc>
          <w:tcPr>
            <w:tcW w:w="1061" w:type="dxa"/>
            <w:tcBorders>
              <w:left w:val="single" w:sz="12" w:space="0" w:color="000000"/>
              <w:bottom w:val="single" w:sz="12" w:space="0" w:color="000000"/>
              <w:right w:val="single" w:sz="12" w:space="0" w:color="000000"/>
            </w:tcBorders>
          </w:tcPr>
          <w:p>
            <w:pPr>
              <w:pStyle w:val="TAC"/>
              <w:snapToGrid w:val="false"/>
              <w:rPr/>
            </w:pPr>
            <w:r>
              <w:rPr/>
            </w:r>
          </w:p>
        </w:tc>
        <w:tc>
          <w:tcPr>
            <w:tcW w:w="918" w:type="dxa"/>
            <w:tcBorders>
              <w:top w:val="single" w:sz="12" w:space="0" w:color="000000"/>
              <w:left w:val="single" w:sz="12" w:space="0" w:color="000000"/>
              <w:bottom w:val="single" w:sz="12" w:space="0" w:color="000000"/>
              <w:right w:val="single" w:sz="12" w:space="0" w:color="000000"/>
            </w:tcBorders>
          </w:tcPr>
          <w:p>
            <w:pPr>
              <w:pStyle w:val="TAC"/>
              <w:rPr/>
            </w:pPr>
            <w:r>
              <w:rPr/>
              <w:t>25</w:t>
            </w:r>
          </w:p>
        </w:tc>
        <w:tc>
          <w:tcPr>
            <w:tcW w:w="1088" w:type="dxa"/>
            <w:tcBorders>
              <w:top w:val="single" w:sz="12" w:space="0" w:color="000000"/>
              <w:left w:val="single" w:sz="12" w:space="0" w:color="000000"/>
              <w:bottom w:val="single" w:sz="12" w:space="0" w:color="000000"/>
              <w:right w:val="single" w:sz="12" w:space="0" w:color="000000"/>
            </w:tcBorders>
          </w:tcPr>
          <w:p>
            <w:pPr>
              <w:pStyle w:val="TAC"/>
              <w:rPr/>
            </w:pPr>
            <w:r>
              <w:rPr/>
              <w:t>50 ms</w:t>
            </w:r>
          </w:p>
        </w:tc>
        <w:tc>
          <w:tcPr>
            <w:tcW w:w="797" w:type="dxa"/>
            <w:tcBorders>
              <w:top w:val="single" w:sz="12" w:space="0" w:color="000000"/>
              <w:left w:val="single" w:sz="12" w:space="0" w:color="000000"/>
              <w:bottom w:val="single" w:sz="12" w:space="0" w:color="000000"/>
              <w:right w:val="single" w:sz="12" w:space="0" w:color="000000"/>
            </w:tcBorders>
          </w:tcPr>
          <w:p>
            <w:pPr>
              <w:pStyle w:val="TAC"/>
              <w:rPr/>
            </w:pPr>
            <w:r>
              <w:rPr/>
              <w:t>10</w:t>
            </w:r>
            <w:r>
              <w:rPr>
                <w:sz w:val="22"/>
                <w:vertAlign w:val="superscript"/>
              </w:rPr>
              <w:t>-2</w:t>
            </w:r>
          </w:p>
        </w:tc>
        <w:tc>
          <w:tcPr>
            <w:tcW w:w="1324" w:type="dxa"/>
            <w:tcBorders>
              <w:top w:val="single" w:sz="12" w:space="0" w:color="000000"/>
              <w:left w:val="single" w:sz="12" w:space="0" w:color="000000"/>
              <w:bottom w:val="single" w:sz="12" w:space="0" w:color="000000"/>
              <w:right w:val="single" w:sz="12" w:space="0" w:color="000000"/>
            </w:tcBorders>
          </w:tcPr>
          <w:p>
            <w:pPr>
              <w:pStyle w:val="TAL"/>
              <w:rPr/>
            </w:pPr>
            <w:r>
              <w:rPr/>
              <w:t>N/A</w:t>
            </w:r>
          </w:p>
        </w:tc>
        <w:tc>
          <w:tcPr>
            <w:tcW w:w="1671" w:type="dxa"/>
            <w:tcBorders>
              <w:top w:val="single" w:sz="12" w:space="0" w:color="000000"/>
              <w:left w:val="single" w:sz="12" w:space="0" w:color="000000"/>
              <w:bottom w:val="single" w:sz="12" w:space="0" w:color="000000"/>
              <w:right w:val="single" w:sz="12" w:space="0" w:color="000000"/>
            </w:tcBorders>
          </w:tcPr>
          <w:p>
            <w:pPr>
              <w:pStyle w:val="TAL"/>
              <w:rPr/>
            </w:pPr>
            <w:r>
              <w:rPr/>
              <w:t>2000 ms</w:t>
            </w:r>
          </w:p>
        </w:tc>
        <w:tc>
          <w:tcPr>
            <w:tcW w:w="2150" w:type="dxa"/>
            <w:tcBorders>
              <w:top w:val="single" w:sz="12" w:space="0" w:color="000000"/>
              <w:left w:val="single" w:sz="12" w:space="0" w:color="000000"/>
              <w:bottom w:val="single" w:sz="12" w:space="0" w:color="000000"/>
              <w:right w:val="single" w:sz="12" w:space="0" w:color="000000"/>
            </w:tcBorders>
          </w:tcPr>
          <w:p>
            <w:pPr>
              <w:pStyle w:val="TAL"/>
              <w:rPr/>
            </w:pPr>
            <w:r>
              <w:rPr/>
              <w:t>V2X messages</w:t>
            </w:r>
          </w:p>
        </w:tc>
      </w:tr>
      <w:tr>
        <w:trPr/>
        <w:tc>
          <w:tcPr>
            <w:tcW w:w="1024" w:type="dxa"/>
            <w:tcBorders>
              <w:top w:val="single" w:sz="12" w:space="0" w:color="000000"/>
              <w:left w:val="single" w:sz="12" w:space="0" w:color="000000"/>
              <w:bottom w:val="single" w:sz="12" w:space="0" w:color="000000"/>
              <w:right w:val="single" w:sz="12" w:space="0" w:color="000000"/>
            </w:tcBorders>
          </w:tcPr>
          <w:p>
            <w:pPr>
              <w:pStyle w:val="TAC"/>
              <w:rPr/>
            </w:pPr>
            <w:r>
              <w:rPr/>
              <w:t>5</w:t>
            </w:r>
          </w:p>
        </w:tc>
        <w:tc>
          <w:tcPr>
            <w:tcW w:w="1061" w:type="dxa"/>
            <w:tcBorders>
              <w:top w:val="single" w:sz="12" w:space="0" w:color="000000"/>
              <w:left w:val="single" w:sz="12" w:space="0" w:color="000000"/>
              <w:right w:val="single" w:sz="12" w:space="0" w:color="000000"/>
            </w:tcBorders>
          </w:tcPr>
          <w:p>
            <w:pPr>
              <w:pStyle w:val="TAC"/>
              <w:rPr/>
            </w:pPr>
            <w:r>
              <w:rPr/>
              <w:t>Non-GBR</w:t>
            </w:r>
          </w:p>
        </w:tc>
        <w:tc>
          <w:tcPr>
            <w:tcW w:w="918" w:type="dxa"/>
            <w:tcBorders>
              <w:top w:val="single" w:sz="12" w:space="0" w:color="000000"/>
              <w:left w:val="single" w:sz="12" w:space="0" w:color="000000"/>
              <w:bottom w:val="single" w:sz="12" w:space="0" w:color="000000"/>
              <w:right w:val="single" w:sz="12" w:space="0" w:color="000000"/>
            </w:tcBorders>
          </w:tcPr>
          <w:p>
            <w:pPr>
              <w:pStyle w:val="TAC"/>
              <w:rPr/>
            </w:pPr>
            <w:r>
              <w:rPr/>
              <w:t>10</w:t>
            </w:r>
          </w:p>
        </w:tc>
        <w:tc>
          <w:tcPr>
            <w:tcW w:w="1088" w:type="dxa"/>
            <w:tcBorders>
              <w:top w:val="single" w:sz="12" w:space="0" w:color="000000"/>
              <w:left w:val="single" w:sz="12" w:space="0" w:color="000000"/>
              <w:bottom w:val="single" w:sz="12" w:space="0" w:color="000000"/>
              <w:right w:val="single" w:sz="12" w:space="0" w:color="000000"/>
            </w:tcBorders>
          </w:tcPr>
          <w:p>
            <w:pPr>
              <w:pStyle w:val="TAC"/>
              <w:rPr/>
            </w:pPr>
            <w:r>
              <w:rPr/>
              <w:t>100 ms</w:t>
            </w:r>
          </w:p>
        </w:tc>
        <w:tc>
          <w:tcPr>
            <w:tcW w:w="797" w:type="dxa"/>
            <w:tcBorders>
              <w:top w:val="single" w:sz="12" w:space="0" w:color="000000"/>
              <w:left w:val="single" w:sz="12" w:space="0" w:color="000000"/>
              <w:bottom w:val="single" w:sz="12" w:space="0" w:color="000000"/>
              <w:right w:val="single" w:sz="12" w:space="0" w:color="000000"/>
            </w:tcBorders>
          </w:tcPr>
          <w:p>
            <w:pPr>
              <w:pStyle w:val="TAC"/>
              <w:rPr/>
            </w:pPr>
            <w:r>
              <w:rPr/>
              <w:t>10</w:t>
            </w:r>
            <w:r>
              <w:rPr>
                <w:sz w:val="22"/>
                <w:vertAlign w:val="superscript"/>
              </w:rPr>
              <w:t>-6</w:t>
            </w:r>
          </w:p>
        </w:tc>
        <w:tc>
          <w:tcPr>
            <w:tcW w:w="1324" w:type="dxa"/>
            <w:tcBorders>
              <w:top w:val="single" w:sz="12" w:space="0" w:color="000000"/>
              <w:left w:val="single" w:sz="12" w:space="0" w:color="000000"/>
              <w:bottom w:val="single" w:sz="12" w:space="0" w:color="000000"/>
              <w:right w:val="single" w:sz="12" w:space="0" w:color="000000"/>
            </w:tcBorders>
          </w:tcPr>
          <w:p>
            <w:pPr>
              <w:pStyle w:val="TAL"/>
              <w:rPr/>
            </w:pPr>
            <w:r>
              <w:rPr/>
              <w:t>N/A</w:t>
            </w:r>
          </w:p>
        </w:tc>
        <w:tc>
          <w:tcPr>
            <w:tcW w:w="1671" w:type="dxa"/>
            <w:tcBorders>
              <w:top w:val="single" w:sz="12" w:space="0" w:color="000000"/>
              <w:left w:val="single" w:sz="12" w:space="0" w:color="000000"/>
              <w:bottom w:val="single" w:sz="12" w:space="0" w:color="000000"/>
              <w:right w:val="single" w:sz="12" w:space="0" w:color="000000"/>
            </w:tcBorders>
          </w:tcPr>
          <w:p>
            <w:pPr>
              <w:pStyle w:val="TAL"/>
              <w:rPr/>
            </w:pPr>
            <w:r>
              <w:rPr/>
              <w:t>N/A</w:t>
            </w:r>
          </w:p>
        </w:tc>
        <w:tc>
          <w:tcPr>
            <w:tcW w:w="2150" w:type="dxa"/>
            <w:tcBorders>
              <w:top w:val="single" w:sz="12" w:space="0" w:color="000000"/>
              <w:left w:val="single" w:sz="12" w:space="0" w:color="000000"/>
              <w:bottom w:val="single" w:sz="12" w:space="0" w:color="000000"/>
              <w:right w:val="single" w:sz="12" w:space="0" w:color="000000"/>
            </w:tcBorders>
          </w:tcPr>
          <w:p>
            <w:pPr>
              <w:pStyle w:val="TAL"/>
              <w:rPr/>
            </w:pPr>
            <w:r>
              <w:rPr/>
              <w:t>IMS Signalling</w:t>
            </w:r>
          </w:p>
        </w:tc>
      </w:tr>
      <w:tr>
        <w:trPr/>
        <w:tc>
          <w:tcPr>
            <w:tcW w:w="1024" w:type="dxa"/>
            <w:tcBorders>
              <w:top w:val="single" w:sz="12" w:space="0" w:color="000000"/>
              <w:left w:val="single" w:sz="12" w:space="0" w:color="000000"/>
              <w:bottom w:val="single" w:sz="12" w:space="0" w:color="000000"/>
              <w:right w:val="single" w:sz="12" w:space="0" w:color="000000"/>
            </w:tcBorders>
          </w:tcPr>
          <w:p>
            <w:pPr>
              <w:pStyle w:val="TAC"/>
              <w:rPr/>
            </w:pPr>
            <w:r>
              <w:rPr/>
              <w:t>6</w:t>
            </w:r>
          </w:p>
        </w:tc>
        <w:tc>
          <w:tcPr>
            <w:tcW w:w="1061" w:type="dxa"/>
            <w:tcBorders>
              <w:left w:val="single" w:sz="12" w:space="0" w:color="000000"/>
              <w:right w:val="single" w:sz="12" w:space="0" w:color="000000"/>
            </w:tcBorders>
          </w:tcPr>
          <w:p>
            <w:pPr>
              <w:pStyle w:val="TAC"/>
              <w:rPr/>
            </w:pPr>
            <w:r>
              <w:rPr/>
              <w:t>(NOTE 1)</w:t>
            </w:r>
          </w:p>
        </w:tc>
        <w:tc>
          <w:tcPr>
            <w:tcW w:w="918" w:type="dxa"/>
            <w:tcBorders>
              <w:top w:val="single" w:sz="12" w:space="0" w:color="000000"/>
              <w:left w:val="single" w:sz="12" w:space="0" w:color="000000"/>
              <w:bottom w:val="single" w:sz="12" w:space="0" w:color="000000"/>
              <w:right w:val="single" w:sz="12" w:space="0" w:color="000000"/>
            </w:tcBorders>
          </w:tcPr>
          <w:p>
            <w:pPr>
              <w:pStyle w:val="TAC"/>
              <w:rPr/>
            </w:pPr>
            <w:r>
              <w:rPr/>
              <w:br/>
              <w:t>60</w:t>
            </w:r>
          </w:p>
        </w:tc>
        <w:tc>
          <w:tcPr>
            <w:tcW w:w="1088" w:type="dxa"/>
            <w:tcBorders>
              <w:top w:val="single" w:sz="12" w:space="0" w:color="000000"/>
              <w:left w:val="single" w:sz="12" w:space="0" w:color="000000"/>
              <w:bottom w:val="single" w:sz="12" w:space="0" w:color="000000"/>
              <w:right w:val="single" w:sz="12" w:space="0" w:color="000000"/>
            </w:tcBorders>
          </w:tcPr>
          <w:p>
            <w:pPr>
              <w:pStyle w:val="TAC"/>
              <w:rPr/>
            </w:pPr>
            <w:r>
              <w:rPr/>
              <w:br/>
              <w:t>300 ms</w:t>
            </w:r>
          </w:p>
        </w:tc>
        <w:tc>
          <w:tcPr>
            <w:tcW w:w="797" w:type="dxa"/>
            <w:tcBorders>
              <w:top w:val="single" w:sz="12" w:space="0" w:color="000000"/>
              <w:left w:val="single" w:sz="12" w:space="0" w:color="000000"/>
              <w:bottom w:val="single" w:sz="12" w:space="0" w:color="000000"/>
              <w:right w:val="single" w:sz="12" w:space="0" w:color="000000"/>
            </w:tcBorders>
          </w:tcPr>
          <w:p>
            <w:pPr>
              <w:pStyle w:val="TAC"/>
              <w:rPr/>
            </w:pPr>
            <w:r>
              <w:rPr/>
              <w:br/>
              <w:t>10</w:t>
            </w:r>
            <w:r>
              <w:rPr>
                <w:sz w:val="22"/>
                <w:vertAlign w:val="superscript"/>
              </w:rPr>
              <w:t>-6</w:t>
            </w:r>
          </w:p>
        </w:tc>
        <w:tc>
          <w:tcPr>
            <w:tcW w:w="1324" w:type="dxa"/>
            <w:tcBorders>
              <w:top w:val="single" w:sz="12" w:space="0" w:color="000000"/>
              <w:left w:val="single" w:sz="12" w:space="0" w:color="000000"/>
              <w:bottom w:val="single" w:sz="12" w:space="0" w:color="000000"/>
              <w:right w:val="single" w:sz="12" w:space="0" w:color="000000"/>
            </w:tcBorders>
          </w:tcPr>
          <w:p>
            <w:pPr>
              <w:pStyle w:val="TAL"/>
              <w:rPr/>
            </w:pPr>
            <w:r>
              <w:rPr/>
              <w:t>N/A</w:t>
            </w:r>
          </w:p>
        </w:tc>
        <w:tc>
          <w:tcPr>
            <w:tcW w:w="1671" w:type="dxa"/>
            <w:tcBorders>
              <w:top w:val="single" w:sz="12" w:space="0" w:color="000000"/>
              <w:left w:val="single" w:sz="12" w:space="0" w:color="000000"/>
              <w:bottom w:val="single" w:sz="12" w:space="0" w:color="000000"/>
              <w:right w:val="single" w:sz="12" w:space="0" w:color="000000"/>
            </w:tcBorders>
          </w:tcPr>
          <w:p>
            <w:pPr>
              <w:pStyle w:val="TAL"/>
              <w:rPr/>
            </w:pPr>
            <w:r>
              <w:rPr/>
              <w:t>N/A</w:t>
            </w:r>
          </w:p>
        </w:tc>
        <w:tc>
          <w:tcPr>
            <w:tcW w:w="2150" w:type="dxa"/>
            <w:tcBorders>
              <w:top w:val="single" w:sz="12" w:space="0" w:color="000000"/>
              <w:left w:val="single" w:sz="12" w:space="0" w:color="000000"/>
              <w:bottom w:val="single" w:sz="12" w:space="0" w:color="000000"/>
              <w:right w:val="single" w:sz="12" w:space="0" w:color="000000"/>
            </w:tcBorders>
          </w:tcPr>
          <w:p>
            <w:pPr>
              <w:pStyle w:val="TAL"/>
              <w:rPr/>
            </w:pPr>
            <w:r>
              <w:rPr/>
              <w:t>Video (Buffered Streaming)</w:t>
              <w:br/>
              <w:t>TCP-based (e.g., www, e-mail, chat, ftp, p2p file sharing, progressive video, etc.)</w:t>
            </w:r>
          </w:p>
        </w:tc>
      </w:tr>
      <w:tr>
        <w:trPr/>
        <w:tc>
          <w:tcPr>
            <w:tcW w:w="1024" w:type="dxa"/>
            <w:tcBorders>
              <w:top w:val="single" w:sz="12" w:space="0" w:color="000000"/>
              <w:left w:val="single" w:sz="12" w:space="0" w:color="000000"/>
              <w:bottom w:val="single" w:sz="12" w:space="0" w:color="000000"/>
              <w:right w:val="single" w:sz="12" w:space="0" w:color="000000"/>
            </w:tcBorders>
          </w:tcPr>
          <w:p>
            <w:pPr>
              <w:pStyle w:val="TAC"/>
              <w:rPr/>
            </w:pPr>
            <w:r>
              <w:rPr/>
              <w:t>7</w:t>
            </w:r>
          </w:p>
        </w:tc>
        <w:tc>
          <w:tcPr>
            <w:tcW w:w="1061" w:type="dxa"/>
            <w:tcBorders>
              <w:left w:val="single" w:sz="12" w:space="0" w:color="000000"/>
              <w:right w:val="single" w:sz="12" w:space="0" w:color="000000"/>
            </w:tcBorders>
          </w:tcPr>
          <w:p>
            <w:pPr>
              <w:pStyle w:val="TAC"/>
              <w:snapToGrid w:val="false"/>
              <w:rPr/>
            </w:pPr>
            <w:r>
              <w:rPr/>
            </w:r>
          </w:p>
        </w:tc>
        <w:tc>
          <w:tcPr>
            <w:tcW w:w="918" w:type="dxa"/>
            <w:tcBorders>
              <w:top w:val="single" w:sz="12" w:space="0" w:color="000000"/>
              <w:left w:val="single" w:sz="12" w:space="0" w:color="000000"/>
              <w:bottom w:val="single" w:sz="12" w:space="0" w:color="000000"/>
              <w:right w:val="single" w:sz="12" w:space="0" w:color="000000"/>
            </w:tcBorders>
          </w:tcPr>
          <w:p>
            <w:pPr>
              <w:pStyle w:val="TAC"/>
              <w:rPr/>
            </w:pPr>
            <w:r>
              <w:rPr/>
              <w:br/>
              <w:t>70</w:t>
            </w:r>
          </w:p>
        </w:tc>
        <w:tc>
          <w:tcPr>
            <w:tcW w:w="1088" w:type="dxa"/>
            <w:tcBorders>
              <w:top w:val="single" w:sz="12" w:space="0" w:color="000000"/>
              <w:left w:val="single" w:sz="12" w:space="0" w:color="000000"/>
              <w:bottom w:val="single" w:sz="12" w:space="0" w:color="000000"/>
              <w:right w:val="single" w:sz="12" w:space="0" w:color="000000"/>
            </w:tcBorders>
          </w:tcPr>
          <w:p>
            <w:pPr>
              <w:pStyle w:val="TAC"/>
              <w:rPr/>
            </w:pPr>
            <w:r>
              <w:rPr/>
              <w:br/>
              <w:t>100 ms</w:t>
            </w:r>
          </w:p>
        </w:tc>
        <w:tc>
          <w:tcPr>
            <w:tcW w:w="797" w:type="dxa"/>
            <w:tcBorders>
              <w:top w:val="single" w:sz="12" w:space="0" w:color="000000"/>
              <w:left w:val="single" w:sz="12" w:space="0" w:color="000000"/>
              <w:bottom w:val="single" w:sz="12" w:space="0" w:color="000000"/>
              <w:right w:val="single" w:sz="12" w:space="0" w:color="000000"/>
            </w:tcBorders>
          </w:tcPr>
          <w:p>
            <w:pPr>
              <w:pStyle w:val="TAC"/>
              <w:rPr/>
            </w:pPr>
            <w:r>
              <w:rPr/>
              <w:br/>
              <w:t>10</w:t>
            </w:r>
            <w:r>
              <w:rPr>
                <w:sz w:val="22"/>
                <w:vertAlign w:val="superscript"/>
              </w:rPr>
              <w:t>-3</w:t>
            </w:r>
          </w:p>
        </w:tc>
        <w:tc>
          <w:tcPr>
            <w:tcW w:w="1324" w:type="dxa"/>
            <w:tcBorders>
              <w:top w:val="single" w:sz="12" w:space="0" w:color="000000"/>
              <w:left w:val="single" w:sz="12" w:space="0" w:color="000000"/>
              <w:bottom w:val="single" w:sz="12" w:space="0" w:color="000000"/>
              <w:right w:val="single" w:sz="12" w:space="0" w:color="000000"/>
            </w:tcBorders>
          </w:tcPr>
          <w:p>
            <w:pPr>
              <w:pStyle w:val="TAL"/>
              <w:rPr/>
            </w:pPr>
            <w:r>
              <w:rPr/>
              <w:t>N/A</w:t>
            </w:r>
          </w:p>
        </w:tc>
        <w:tc>
          <w:tcPr>
            <w:tcW w:w="1671" w:type="dxa"/>
            <w:tcBorders>
              <w:top w:val="single" w:sz="12" w:space="0" w:color="000000"/>
              <w:left w:val="single" w:sz="12" w:space="0" w:color="000000"/>
              <w:bottom w:val="single" w:sz="12" w:space="0" w:color="000000"/>
              <w:right w:val="single" w:sz="12" w:space="0" w:color="000000"/>
            </w:tcBorders>
          </w:tcPr>
          <w:p>
            <w:pPr>
              <w:pStyle w:val="TAL"/>
              <w:rPr/>
            </w:pPr>
            <w:r>
              <w:rPr/>
              <w:t>N/A</w:t>
            </w:r>
          </w:p>
        </w:tc>
        <w:tc>
          <w:tcPr>
            <w:tcW w:w="2150" w:type="dxa"/>
            <w:tcBorders>
              <w:top w:val="single" w:sz="12" w:space="0" w:color="000000"/>
              <w:left w:val="single" w:sz="12" w:space="0" w:color="000000"/>
              <w:bottom w:val="single" w:sz="12" w:space="0" w:color="000000"/>
              <w:right w:val="single" w:sz="12" w:space="0" w:color="000000"/>
            </w:tcBorders>
          </w:tcPr>
          <w:p>
            <w:pPr>
              <w:pStyle w:val="TAL"/>
              <w:rPr/>
            </w:pPr>
            <w:r>
              <w:rPr/>
              <w:t>Voice,</w:t>
              <w:br/>
              <w:t>Video (Live Streaming)</w:t>
              <w:br/>
              <w:t>Interactive Gaming</w:t>
            </w:r>
          </w:p>
        </w:tc>
      </w:tr>
      <w:tr>
        <w:trPr/>
        <w:tc>
          <w:tcPr>
            <w:tcW w:w="1024" w:type="dxa"/>
            <w:tcBorders>
              <w:top w:val="single" w:sz="12" w:space="0" w:color="000000"/>
              <w:left w:val="single" w:sz="12" w:space="0" w:color="000000"/>
              <w:bottom w:val="single" w:sz="12" w:space="0" w:color="000000"/>
              <w:right w:val="single" w:sz="12" w:space="0" w:color="000000"/>
            </w:tcBorders>
          </w:tcPr>
          <w:p>
            <w:pPr>
              <w:pStyle w:val="TAC"/>
              <w:rPr/>
            </w:pPr>
            <w:r>
              <w:rPr/>
              <w:t>8</w:t>
            </w:r>
          </w:p>
        </w:tc>
        <w:tc>
          <w:tcPr>
            <w:tcW w:w="1061" w:type="dxa"/>
            <w:tcBorders>
              <w:left w:val="single" w:sz="12" w:space="0" w:color="000000"/>
              <w:right w:val="single" w:sz="12" w:space="0" w:color="000000"/>
            </w:tcBorders>
          </w:tcPr>
          <w:p>
            <w:pPr>
              <w:pStyle w:val="TAC"/>
              <w:snapToGrid w:val="false"/>
              <w:rPr/>
            </w:pPr>
            <w:r>
              <w:rPr/>
            </w:r>
          </w:p>
        </w:tc>
        <w:tc>
          <w:tcPr>
            <w:tcW w:w="918" w:type="dxa"/>
            <w:tcBorders>
              <w:top w:val="single" w:sz="12" w:space="0" w:color="000000"/>
              <w:left w:val="single" w:sz="12" w:space="0" w:color="000000"/>
              <w:bottom w:val="single" w:sz="12" w:space="0" w:color="000000"/>
              <w:right w:val="single" w:sz="12" w:space="0" w:color="000000"/>
            </w:tcBorders>
          </w:tcPr>
          <w:p>
            <w:pPr>
              <w:pStyle w:val="TAC"/>
              <w:rPr/>
            </w:pPr>
            <w:r>
              <w:rPr/>
              <w:br/>
              <w:t>80</w:t>
            </w:r>
          </w:p>
        </w:tc>
        <w:tc>
          <w:tcPr>
            <w:tcW w:w="1088" w:type="dxa"/>
            <w:tcBorders>
              <w:top w:val="single" w:sz="12" w:space="0" w:color="000000"/>
              <w:left w:val="single" w:sz="12" w:space="0" w:color="000000"/>
              <w:right w:val="single" w:sz="12" w:space="0" w:color="000000"/>
            </w:tcBorders>
          </w:tcPr>
          <w:p>
            <w:pPr>
              <w:pStyle w:val="TAC"/>
              <w:rPr/>
            </w:pPr>
            <w:r>
              <w:rPr/>
              <w:br/>
              <w:br/>
              <w:br/>
              <w:t>300 ms</w:t>
            </w:r>
          </w:p>
        </w:tc>
        <w:tc>
          <w:tcPr>
            <w:tcW w:w="797" w:type="dxa"/>
            <w:tcBorders>
              <w:top w:val="single" w:sz="12" w:space="0" w:color="000000"/>
              <w:left w:val="single" w:sz="12" w:space="0" w:color="000000"/>
              <w:right w:val="single" w:sz="12" w:space="0" w:color="000000"/>
            </w:tcBorders>
          </w:tcPr>
          <w:p>
            <w:pPr>
              <w:pStyle w:val="TAC"/>
              <w:rPr/>
            </w:pPr>
            <w:r>
              <w:rPr/>
              <w:br/>
              <w:br/>
              <w:br/>
              <w:t>10</w:t>
            </w:r>
            <w:r>
              <w:rPr>
                <w:sz w:val="22"/>
                <w:vertAlign w:val="superscript"/>
              </w:rPr>
              <w:t>-6</w:t>
            </w:r>
          </w:p>
        </w:tc>
        <w:tc>
          <w:tcPr>
            <w:tcW w:w="1324" w:type="dxa"/>
            <w:tcBorders>
              <w:top w:val="single" w:sz="12" w:space="0" w:color="000000"/>
              <w:left w:val="single" w:sz="12" w:space="0" w:color="000000"/>
              <w:right w:val="single" w:sz="12" w:space="0" w:color="000000"/>
            </w:tcBorders>
          </w:tcPr>
          <w:p>
            <w:pPr>
              <w:pStyle w:val="TAL"/>
              <w:rPr/>
            </w:pPr>
            <w:r>
              <w:rPr/>
              <w:br/>
              <w:br/>
              <w:br/>
              <w:t>N/A</w:t>
            </w:r>
          </w:p>
        </w:tc>
        <w:tc>
          <w:tcPr>
            <w:tcW w:w="1671" w:type="dxa"/>
            <w:tcBorders>
              <w:top w:val="single" w:sz="12" w:space="0" w:color="000000"/>
              <w:left w:val="single" w:sz="12" w:space="0" w:color="000000"/>
              <w:right w:val="single" w:sz="12" w:space="0" w:color="000000"/>
            </w:tcBorders>
          </w:tcPr>
          <w:p>
            <w:pPr>
              <w:pStyle w:val="TAL"/>
              <w:rPr/>
            </w:pPr>
            <w:r>
              <w:rPr/>
              <w:br/>
              <w:br/>
              <w:br/>
              <w:t>N/A</w:t>
            </w:r>
          </w:p>
        </w:tc>
        <w:tc>
          <w:tcPr>
            <w:tcW w:w="2150" w:type="dxa"/>
            <w:tcBorders>
              <w:top w:val="single" w:sz="12" w:space="0" w:color="000000"/>
              <w:left w:val="single" w:sz="12" w:space="0" w:color="000000"/>
              <w:right w:val="single" w:sz="12" w:space="0" w:color="000000"/>
            </w:tcBorders>
          </w:tcPr>
          <w:p>
            <w:pPr>
              <w:pStyle w:val="TAL"/>
              <w:rPr/>
            </w:pPr>
            <w:r>
              <w:rPr/>
              <w:br/>
              <w:t>Video (Buffered Streaming)</w:t>
              <w:br/>
              <w:t>TCP-based (e.g., www, e-mail, chat, ftp, p2p file sharing, progressive</w:t>
            </w:r>
          </w:p>
        </w:tc>
      </w:tr>
      <w:tr>
        <w:trPr/>
        <w:tc>
          <w:tcPr>
            <w:tcW w:w="1024" w:type="dxa"/>
            <w:tcBorders>
              <w:top w:val="single" w:sz="12" w:space="0" w:color="000000"/>
              <w:left w:val="single" w:sz="12" w:space="0" w:color="000000"/>
              <w:bottom w:val="single" w:sz="12" w:space="0" w:color="000000"/>
              <w:right w:val="single" w:sz="12" w:space="0" w:color="000000"/>
            </w:tcBorders>
          </w:tcPr>
          <w:p>
            <w:pPr>
              <w:pStyle w:val="TAC"/>
              <w:rPr/>
            </w:pPr>
            <w:r>
              <w:rPr/>
              <w:t>9</w:t>
            </w:r>
          </w:p>
        </w:tc>
        <w:tc>
          <w:tcPr>
            <w:tcW w:w="1061" w:type="dxa"/>
            <w:tcBorders>
              <w:left w:val="single" w:sz="12" w:space="0" w:color="000000"/>
              <w:right w:val="single" w:sz="12" w:space="0" w:color="000000"/>
            </w:tcBorders>
          </w:tcPr>
          <w:p>
            <w:pPr>
              <w:pStyle w:val="TAC"/>
              <w:snapToGrid w:val="false"/>
              <w:rPr/>
            </w:pPr>
            <w:r>
              <w:rPr/>
            </w:r>
          </w:p>
        </w:tc>
        <w:tc>
          <w:tcPr>
            <w:tcW w:w="918" w:type="dxa"/>
            <w:tcBorders>
              <w:top w:val="single" w:sz="12" w:space="0" w:color="000000"/>
              <w:left w:val="single" w:sz="12" w:space="0" w:color="000000"/>
              <w:bottom w:val="single" w:sz="12" w:space="0" w:color="000000"/>
              <w:right w:val="single" w:sz="12" w:space="0" w:color="000000"/>
            </w:tcBorders>
          </w:tcPr>
          <w:p>
            <w:pPr>
              <w:pStyle w:val="TAC"/>
              <w:rPr/>
            </w:pPr>
            <w:r>
              <w:rPr/>
              <w:t>90</w:t>
            </w:r>
          </w:p>
        </w:tc>
        <w:tc>
          <w:tcPr>
            <w:tcW w:w="1088" w:type="dxa"/>
            <w:tcBorders>
              <w:left w:val="single" w:sz="12" w:space="0" w:color="000000"/>
              <w:bottom w:val="single" w:sz="12" w:space="0" w:color="000000"/>
              <w:right w:val="single" w:sz="12" w:space="0" w:color="000000"/>
            </w:tcBorders>
          </w:tcPr>
          <w:p>
            <w:pPr>
              <w:pStyle w:val="TAC"/>
              <w:snapToGrid w:val="false"/>
              <w:rPr/>
            </w:pPr>
            <w:r>
              <w:rPr/>
            </w:r>
          </w:p>
        </w:tc>
        <w:tc>
          <w:tcPr>
            <w:tcW w:w="797" w:type="dxa"/>
            <w:tcBorders>
              <w:left w:val="single" w:sz="12" w:space="0" w:color="000000"/>
              <w:bottom w:val="single" w:sz="12" w:space="0" w:color="000000"/>
              <w:right w:val="single" w:sz="12" w:space="0" w:color="000000"/>
            </w:tcBorders>
          </w:tcPr>
          <w:p>
            <w:pPr>
              <w:pStyle w:val="TAC"/>
              <w:snapToGrid w:val="false"/>
              <w:rPr/>
            </w:pPr>
            <w:r>
              <w:rPr/>
            </w:r>
          </w:p>
        </w:tc>
        <w:tc>
          <w:tcPr>
            <w:tcW w:w="1324" w:type="dxa"/>
            <w:tcBorders>
              <w:left w:val="single" w:sz="12" w:space="0" w:color="000000"/>
              <w:bottom w:val="single" w:sz="12" w:space="0" w:color="000000"/>
              <w:right w:val="single" w:sz="12" w:space="0" w:color="000000"/>
            </w:tcBorders>
          </w:tcPr>
          <w:p>
            <w:pPr>
              <w:pStyle w:val="TAL"/>
              <w:snapToGrid w:val="false"/>
              <w:rPr/>
            </w:pPr>
            <w:r>
              <w:rPr/>
            </w:r>
          </w:p>
        </w:tc>
        <w:tc>
          <w:tcPr>
            <w:tcW w:w="1671" w:type="dxa"/>
            <w:tcBorders>
              <w:left w:val="single" w:sz="12" w:space="0" w:color="000000"/>
              <w:bottom w:val="single" w:sz="12" w:space="0" w:color="000000"/>
              <w:right w:val="single" w:sz="12" w:space="0" w:color="000000"/>
            </w:tcBorders>
          </w:tcPr>
          <w:p>
            <w:pPr>
              <w:pStyle w:val="TAL"/>
              <w:snapToGrid w:val="false"/>
              <w:rPr/>
            </w:pPr>
            <w:r>
              <w:rPr/>
            </w:r>
          </w:p>
        </w:tc>
        <w:tc>
          <w:tcPr>
            <w:tcW w:w="2150" w:type="dxa"/>
            <w:tcBorders>
              <w:left w:val="single" w:sz="12" w:space="0" w:color="000000"/>
              <w:bottom w:val="single" w:sz="12" w:space="0" w:color="000000"/>
              <w:right w:val="single" w:sz="12" w:space="0" w:color="000000"/>
            </w:tcBorders>
          </w:tcPr>
          <w:p>
            <w:pPr>
              <w:pStyle w:val="TAL"/>
              <w:rPr/>
            </w:pPr>
            <w:r>
              <w:rPr/>
              <w:t>video, etc.)</w:t>
            </w:r>
          </w:p>
        </w:tc>
      </w:tr>
      <w:tr>
        <w:trPr/>
        <w:tc>
          <w:tcPr>
            <w:tcW w:w="1024" w:type="dxa"/>
            <w:tcBorders>
              <w:top w:val="single" w:sz="12" w:space="0" w:color="000000"/>
              <w:left w:val="single" w:sz="12" w:space="0" w:color="000000"/>
              <w:bottom w:val="single" w:sz="12" w:space="0" w:color="000000"/>
              <w:right w:val="single" w:sz="12" w:space="0" w:color="000000"/>
            </w:tcBorders>
          </w:tcPr>
          <w:p>
            <w:pPr>
              <w:pStyle w:val="TAC"/>
              <w:rPr/>
            </w:pPr>
            <w:r>
              <w:rPr/>
              <w:t>69</w:t>
            </w:r>
          </w:p>
        </w:tc>
        <w:tc>
          <w:tcPr>
            <w:tcW w:w="1061" w:type="dxa"/>
            <w:tcBorders>
              <w:left w:val="single" w:sz="12" w:space="0" w:color="000000"/>
              <w:right w:val="single" w:sz="12" w:space="0" w:color="000000"/>
            </w:tcBorders>
          </w:tcPr>
          <w:p>
            <w:pPr>
              <w:pStyle w:val="TAC"/>
              <w:snapToGrid w:val="false"/>
              <w:rPr/>
            </w:pPr>
            <w:r>
              <w:rPr/>
            </w:r>
          </w:p>
        </w:tc>
        <w:tc>
          <w:tcPr>
            <w:tcW w:w="918" w:type="dxa"/>
            <w:tcBorders>
              <w:top w:val="single" w:sz="12" w:space="0" w:color="000000"/>
              <w:left w:val="single" w:sz="12" w:space="0" w:color="000000"/>
              <w:bottom w:val="single" w:sz="12" w:space="0" w:color="000000"/>
              <w:right w:val="single" w:sz="12" w:space="0" w:color="000000"/>
            </w:tcBorders>
          </w:tcPr>
          <w:p>
            <w:pPr>
              <w:pStyle w:val="TAC"/>
              <w:rPr/>
            </w:pPr>
            <w:r>
              <w:rPr/>
              <w:t>5</w:t>
            </w:r>
          </w:p>
        </w:tc>
        <w:tc>
          <w:tcPr>
            <w:tcW w:w="1088" w:type="dxa"/>
            <w:tcBorders>
              <w:left w:val="single" w:sz="12" w:space="0" w:color="000000"/>
              <w:bottom w:val="single" w:sz="12" w:space="0" w:color="000000"/>
              <w:right w:val="single" w:sz="12" w:space="0" w:color="000000"/>
            </w:tcBorders>
          </w:tcPr>
          <w:p>
            <w:pPr>
              <w:pStyle w:val="TAC"/>
              <w:rPr/>
            </w:pPr>
            <w:r>
              <w:rPr/>
              <w:t>60 ms</w:t>
            </w:r>
          </w:p>
        </w:tc>
        <w:tc>
          <w:tcPr>
            <w:tcW w:w="797" w:type="dxa"/>
            <w:tcBorders>
              <w:left w:val="single" w:sz="12" w:space="0" w:color="000000"/>
              <w:bottom w:val="single" w:sz="12" w:space="0" w:color="000000"/>
              <w:right w:val="single" w:sz="12" w:space="0" w:color="000000"/>
            </w:tcBorders>
          </w:tcPr>
          <w:p>
            <w:pPr>
              <w:pStyle w:val="TAC"/>
              <w:rPr/>
            </w:pPr>
            <w:r>
              <w:rPr/>
              <w:t>10</w:t>
            </w:r>
            <w:r>
              <w:rPr>
                <w:sz w:val="22"/>
                <w:vertAlign w:val="superscript"/>
              </w:rPr>
              <w:t>-6</w:t>
            </w:r>
          </w:p>
        </w:tc>
        <w:tc>
          <w:tcPr>
            <w:tcW w:w="1324" w:type="dxa"/>
            <w:tcBorders>
              <w:left w:val="single" w:sz="12" w:space="0" w:color="000000"/>
              <w:bottom w:val="single" w:sz="12" w:space="0" w:color="000000"/>
              <w:right w:val="single" w:sz="12" w:space="0" w:color="000000"/>
            </w:tcBorders>
          </w:tcPr>
          <w:p>
            <w:pPr>
              <w:pStyle w:val="TAL"/>
              <w:rPr/>
            </w:pPr>
            <w:r>
              <w:rPr/>
              <w:t>N/A</w:t>
            </w:r>
          </w:p>
        </w:tc>
        <w:tc>
          <w:tcPr>
            <w:tcW w:w="1671" w:type="dxa"/>
            <w:tcBorders>
              <w:left w:val="single" w:sz="12" w:space="0" w:color="000000"/>
              <w:bottom w:val="single" w:sz="12" w:space="0" w:color="000000"/>
              <w:right w:val="single" w:sz="12" w:space="0" w:color="000000"/>
            </w:tcBorders>
          </w:tcPr>
          <w:p>
            <w:pPr>
              <w:pStyle w:val="TAL"/>
              <w:rPr/>
            </w:pPr>
            <w:r>
              <w:rPr/>
              <w:t>N/A</w:t>
            </w:r>
          </w:p>
        </w:tc>
        <w:tc>
          <w:tcPr>
            <w:tcW w:w="2150" w:type="dxa"/>
            <w:tcBorders>
              <w:left w:val="single" w:sz="12" w:space="0" w:color="000000"/>
              <w:bottom w:val="single" w:sz="12" w:space="0" w:color="000000"/>
              <w:right w:val="single" w:sz="12" w:space="0" w:color="000000"/>
            </w:tcBorders>
          </w:tcPr>
          <w:p>
            <w:pPr>
              <w:pStyle w:val="TAL"/>
              <w:rPr/>
            </w:pPr>
            <w:r>
              <w:rPr/>
              <w:t>Mission Critical delay sensitive signalling (e.g., MC-PTT signalling)</w:t>
            </w:r>
          </w:p>
        </w:tc>
      </w:tr>
      <w:tr>
        <w:trPr/>
        <w:tc>
          <w:tcPr>
            <w:tcW w:w="1024" w:type="dxa"/>
            <w:tcBorders>
              <w:top w:val="single" w:sz="12" w:space="0" w:color="000000"/>
              <w:left w:val="single" w:sz="12" w:space="0" w:color="000000"/>
              <w:bottom w:val="single" w:sz="12" w:space="0" w:color="000000"/>
              <w:right w:val="single" w:sz="12" w:space="0" w:color="000000"/>
            </w:tcBorders>
          </w:tcPr>
          <w:p>
            <w:pPr>
              <w:pStyle w:val="TAC"/>
              <w:rPr/>
            </w:pPr>
            <w:r>
              <w:rPr/>
              <w:t>70</w:t>
            </w:r>
          </w:p>
        </w:tc>
        <w:tc>
          <w:tcPr>
            <w:tcW w:w="1061" w:type="dxa"/>
            <w:tcBorders>
              <w:left w:val="single" w:sz="12" w:space="0" w:color="000000"/>
              <w:right w:val="single" w:sz="12" w:space="0" w:color="000000"/>
            </w:tcBorders>
          </w:tcPr>
          <w:p>
            <w:pPr>
              <w:pStyle w:val="TAC"/>
              <w:snapToGrid w:val="false"/>
              <w:rPr/>
            </w:pPr>
            <w:r>
              <w:rPr/>
            </w:r>
          </w:p>
        </w:tc>
        <w:tc>
          <w:tcPr>
            <w:tcW w:w="918" w:type="dxa"/>
            <w:tcBorders>
              <w:top w:val="single" w:sz="12" w:space="0" w:color="000000"/>
              <w:left w:val="single" w:sz="12" w:space="0" w:color="000000"/>
              <w:bottom w:val="single" w:sz="12" w:space="0" w:color="000000"/>
              <w:right w:val="single" w:sz="12" w:space="0" w:color="000000"/>
            </w:tcBorders>
          </w:tcPr>
          <w:p>
            <w:pPr>
              <w:pStyle w:val="TAC"/>
              <w:rPr/>
            </w:pPr>
            <w:r>
              <w:rPr/>
              <w:t>55</w:t>
            </w:r>
          </w:p>
        </w:tc>
        <w:tc>
          <w:tcPr>
            <w:tcW w:w="1088" w:type="dxa"/>
            <w:tcBorders>
              <w:top w:val="single" w:sz="12" w:space="0" w:color="000000"/>
              <w:left w:val="single" w:sz="12" w:space="0" w:color="000000"/>
              <w:bottom w:val="single" w:sz="12" w:space="0" w:color="000000"/>
              <w:right w:val="single" w:sz="12" w:space="0" w:color="000000"/>
            </w:tcBorders>
          </w:tcPr>
          <w:p>
            <w:pPr>
              <w:pStyle w:val="TAC"/>
              <w:rPr/>
            </w:pPr>
            <w:r>
              <w:rPr/>
              <w:t>200 ms</w:t>
            </w:r>
          </w:p>
        </w:tc>
        <w:tc>
          <w:tcPr>
            <w:tcW w:w="797" w:type="dxa"/>
            <w:tcBorders>
              <w:top w:val="single" w:sz="12" w:space="0" w:color="000000"/>
              <w:left w:val="single" w:sz="12" w:space="0" w:color="000000"/>
              <w:bottom w:val="single" w:sz="12" w:space="0" w:color="000000"/>
              <w:right w:val="single" w:sz="12" w:space="0" w:color="000000"/>
            </w:tcBorders>
          </w:tcPr>
          <w:p>
            <w:pPr>
              <w:pStyle w:val="TAC"/>
              <w:rPr/>
            </w:pPr>
            <w:r>
              <w:rPr/>
              <w:t>10</w:t>
            </w:r>
            <w:r>
              <w:rPr>
                <w:sz w:val="22"/>
                <w:vertAlign w:val="superscript"/>
              </w:rPr>
              <w:t>-6</w:t>
            </w:r>
          </w:p>
        </w:tc>
        <w:tc>
          <w:tcPr>
            <w:tcW w:w="1324" w:type="dxa"/>
            <w:tcBorders>
              <w:top w:val="single" w:sz="12" w:space="0" w:color="000000"/>
              <w:left w:val="single" w:sz="12" w:space="0" w:color="000000"/>
              <w:bottom w:val="single" w:sz="12" w:space="0" w:color="000000"/>
              <w:right w:val="single" w:sz="12" w:space="0" w:color="000000"/>
            </w:tcBorders>
          </w:tcPr>
          <w:p>
            <w:pPr>
              <w:pStyle w:val="TAL"/>
              <w:rPr/>
            </w:pPr>
            <w:r>
              <w:rPr/>
              <w:t>N/A</w:t>
            </w:r>
          </w:p>
        </w:tc>
        <w:tc>
          <w:tcPr>
            <w:tcW w:w="1671" w:type="dxa"/>
            <w:tcBorders>
              <w:top w:val="single" w:sz="12" w:space="0" w:color="000000"/>
              <w:left w:val="single" w:sz="12" w:space="0" w:color="000000"/>
              <w:bottom w:val="single" w:sz="12" w:space="0" w:color="000000"/>
              <w:right w:val="single" w:sz="12" w:space="0" w:color="000000"/>
            </w:tcBorders>
          </w:tcPr>
          <w:p>
            <w:pPr>
              <w:pStyle w:val="TAL"/>
              <w:rPr/>
            </w:pPr>
            <w:r>
              <w:rPr/>
              <w:t>N/A</w:t>
            </w:r>
          </w:p>
        </w:tc>
        <w:tc>
          <w:tcPr>
            <w:tcW w:w="2150" w:type="dxa"/>
            <w:tcBorders>
              <w:top w:val="single" w:sz="12" w:space="0" w:color="000000"/>
              <w:left w:val="single" w:sz="12" w:space="0" w:color="000000"/>
              <w:bottom w:val="single" w:sz="12" w:space="0" w:color="000000"/>
              <w:right w:val="single" w:sz="12" w:space="0" w:color="000000"/>
            </w:tcBorders>
          </w:tcPr>
          <w:p>
            <w:pPr>
              <w:pStyle w:val="TAL"/>
              <w:rPr/>
            </w:pPr>
            <w:r>
              <w:rPr/>
              <w:t>Mission Critical Data (e.g. example services are the same as QCI 6/8/9)</w:t>
            </w:r>
          </w:p>
        </w:tc>
      </w:tr>
      <w:tr>
        <w:trPr/>
        <w:tc>
          <w:tcPr>
            <w:tcW w:w="1024" w:type="dxa"/>
            <w:tcBorders>
              <w:top w:val="single" w:sz="12" w:space="0" w:color="000000"/>
              <w:left w:val="single" w:sz="12" w:space="0" w:color="000000"/>
              <w:bottom w:val="single" w:sz="12" w:space="0" w:color="000000"/>
              <w:right w:val="single" w:sz="12" w:space="0" w:color="000000"/>
            </w:tcBorders>
          </w:tcPr>
          <w:p>
            <w:pPr>
              <w:pStyle w:val="TAC"/>
              <w:rPr/>
            </w:pPr>
            <w:r>
              <w:rPr/>
              <w:t>79</w:t>
            </w:r>
          </w:p>
        </w:tc>
        <w:tc>
          <w:tcPr>
            <w:tcW w:w="1061" w:type="dxa"/>
            <w:tcBorders>
              <w:left w:val="single" w:sz="12" w:space="0" w:color="000000"/>
              <w:right w:val="single" w:sz="12" w:space="0" w:color="000000"/>
            </w:tcBorders>
          </w:tcPr>
          <w:p>
            <w:pPr>
              <w:pStyle w:val="TAC"/>
              <w:snapToGrid w:val="false"/>
              <w:rPr/>
            </w:pPr>
            <w:r>
              <w:rPr/>
            </w:r>
          </w:p>
        </w:tc>
        <w:tc>
          <w:tcPr>
            <w:tcW w:w="918" w:type="dxa"/>
            <w:tcBorders>
              <w:top w:val="single" w:sz="12" w:space="0" w:color="000000"/>
              <w:left w:val="single" w:sz="12" w:space="0" w:color="000000"/>
              <w:bottom w:val="single" w:sz="12" w:space="0" w:color="000000"/>
              <w:right w:val="single" w:sz="12" w:space="0" w:color="000000"/>
            </w:tcBorders>
          </w:tcPr>
          <w:p>
            <w:pPr>
              <w:pStyle w:val="TAC"/>
              <w:rPr/>
            </w:pPr>
            <w:r>
              <w:rPr/>
              <w:t>65</w:t>
            </w:r>
          </w:p>
        </w:tc>
        <w:tc>
          <w:tcPr>
            <w:tcW w:w="1088" w:type="dxa"/>
            <w:tcBorders>
              <w:top w:val="single" w:sz="12" w:space="0" w:color="000000"/>
              <w:left w:val="single" w:sz="12" w:space="0" w:color="000000"/>
              <w:bottom w:val="single" w:sz="12" w:space="0" w:color="000000"/>
              <w:right w:val="single" w:sz="12" w:space="0" w:color="000000"/>
            </w:tcBorders>
          </w:tcPr>
          <w:p>
            <w:pPr>
              <w:pStyle w:val="TAC"/>
              <w:rPr/>
            </w:pPr>
            <w:r>
              <w:rPr/>
              <w:t>50 ms</w:t>
            </w:r>
          </w:p>
        </w:tc>
        <w:tc>
          <w:tcPr>
            <w:tcW w:w="797" w:type="dxa"/>
            <w:tcBorders>
              <w:top w:val="single" w:sz="12" w:space="0" w:color="000000"/>
              <w:left w:val="single" w:sz="12" w:space="0" w:color="000000"/>
              <w:bottom w:val="single" w:sz="12" w:space="0" w:color="000000"/>
              <w:right w:val="single" w:sz="12" w:space="0" w:color="000000"/>
            </w:tcBorders>
          </w:tcPr>
          <w:p>
            <w:pPr>
              <w:pStyle w:val="TAC"/>
              <w:rPr/>
            </w:pPr>
            <w:r>
              <w:rPr/>
              <w:t>10</w:t>
            </w:r>
            <w:r>
              <w:rPr>
                <w:sz w:val="22"/>
                <w:vertAlign w:val="superscript"/>
              </w:rPr>
              <w:t>-2</w:t>
            </w:r>
          </w:p>
        </w:tc>
        <w:tc>
          <w:tcPr>
            <w:tcW w:w="1324" w:type="dxa"/>
            <w:tcBorders>
              <w:top w:val="single" w:sz="12" w:space="0" w:color="000000"/>
              <w:left w:val="single" w:sz="12" w:space="0" w:color="000000"/>
              <w:bottom w:val="single" w:sz="12" w:space="0" w:color="000000"/>
              <w:right w:val="single" w:sz="12" w:space="0" w:color="000000"/>
            </w:tcBorders>
          </w:tcPr>
          <w:p>
            <w:pPr>
              <w:pStyle w:val="TAL"/>
              <w:rPr/>
            </w:pPr>
            <w:r>
              <w:rPr/>
              <w:t>N/A</w:t>
            </w:r>
          </w:p>
        </w:tc>
        <w:tc>
          <w:tcPr>
            <w:tcW w:w="1671" w:type="dxa"/>
            <w:tcBorders>
              <w:top w:val="single" w:sz="12" w:space="0" w:color="000000"/>
              <w:left w:val="single" w:sz="12" w:space="0" w:color="000000"/>
              <w:bottom w:val="single" w:sz="12" w:space="0" w:color="000000"/>
              <w:right w:val="single" w:sz="12" w:space="0" w:color="000000"/>
            </w:tcBorders>
          </w:tcPr>
          <w:p>
            <w:pPr>
              <w:pStyle w:val="TAL"/>
              <w:rPr/>
            </w:pPr>
            <w:r>
              <w:rPr/>
              <w:t>N/A</w:t>
            </w:r>
          </w:p>
        </w:tc>
        <w:tc>
          <w:tcPr>
            <w:tcW w:w="2150" w:type="dxa"/>
            <w:tcBorders>
              <w:top w:val="single" w:sz="12" w:space="0" w:color="000000"/>
              <w:left w:val="single" w:sz="12" w:space="0" w:color="000000"/>
              <w:bottom w:val="single" w:sz="12" w:space="0" w:color="000000"/>
              <w:right w:val="single" w:sz="12" w:space="0" w:color="000000"/>
            </w:tcBorders>
          </w:tcPr>
          <w:p>
            <w:pPr>
              <w:pStyle w:val="TAL"/>
              <w:rPr/>
            </w:pPr>
            <w:r>
              <w:rPr/>
              <w:t>V2X messages</w:t>
            </w:r>
          </w:p>
        </w:tc>
      </w:tr>
      <w:tr>
        <w:trPr/>
        <w:tc>
          <w:tcPr>
            <w:tcW w:w="1024" w:type="dxa"/>
            <w:tcBorders>
              <w:top w:val="single" w:sz="12" w:space="0" w:color="000000"/>
              <w:left w:val="single" w:sz="12" w:space="0" w:color="000000"/>
              <w:bottom w:val="single" w:sz="12" w:space="0" w:color="000000"/>
              <w:right w:val="single" w:sz="12" w:space="0" w:color="000000"/>
            </w:tcBorders>
          </w:tcPr>
          <w:p>
            <w:pPr>
              <w:pStyle w:val="TAC"/>
              <w:rPr/>
            </w:pPr>
            <w:r>
              <w:rPr/>
              <w:t>80</w:t>
            </w:r>
          </w:p>
        </w:tc>
        <w:tc>
          <w:tcPr>
            <w:tcW w:w="1061" w:type="dxa"/>
            <w:tcBorders>
              <w:left w:val="single" w:sz="12" w:space="0" w:color="000000"/>
              <w:bottom w:val="single" w:sz="12" w:space="0" w:color="000000"/>
              <w:right w:val="single" w:sz="12" w:space="0" w:color="000000"/>
            </w:tcBorders>
          </w:tcPr>
          <w:p>
            <w:pPr>
              <w:pStyle w:val="TAC"/>
              <w:snapToGrid w:val="false"/>
              <w:rPr/>
            </w:pPr>
            <w:r>
              <w:rPr/>
            </w:r>
          </w:p>
        </w:tc>
        <w:tc>
          <w:tcPr>
            <w:tcW w:w="918" w:type="dxa"/>
            <w:tcBorders>
              <w:top w:val="single" w:sz="12" w:space="0" w:color="000000"/>
              <w:left w:val="single" w:sz="12" w:space="0" w:color="000000"/>
              <w:bottom w:val="single" w:sz="12" w:space="0" w:color="000000"/>
              <w:right w:val="single" w:sz="12" w:space="0" w:color="000000"/>
            </w:tcBorders>
          </w:tcPr>
          <w:p>
            <w:pPr>
              <w:pStyle w:val="TAC"/>
              <w:rPr/>
            </w:pPr>
            <w:r>
              <w:rPr/>
              <w:t>68</w:t>
            </w:r>
          </w:p>
        </w:tc>
        <w:tc>
          <w:tcPr>
            <w:tcW w:w="1088" w:type="dxa"/>
            <w:tcBorders>
              <w:top w:val="single" w:sz="12" w:space="0" w:color="000000"/>
              <w:left w:val="single" w:sz="12" w:space="0" w:color="000000"/>
              <w:right w:val="single" w:sz="12" w:space="0" w:color="000000"/>
            </w:tcBorders>
          </w:tcPr>
          <w:p>
            <w:pPr>
              <w:pStyle w:val="TAC"/>
              <w:rPr/>
            </w:pPr>
            <w:r>
              <w:rPr/>
              <w:t>10 ms</w:t>
            </w:r>
          </w:p>
          <w:p>
            <w:pPr>
              <w:pStyle w:val="TAC"/>
              <w:rPr/>
            </w:pPr>
            <w:r>
              <w:rPr/>
            </w:r>
          </w:p>
        </w:tc>
        <w:tc>
          <w:tcPr>
            <w:tcW w:w="797" w:type="dxa"/>
            <w:tcBorders>
              <w:top w:val="single" w:sz="12" w:space="0" w:color="000000"/>
              <w:left w:val="single" w:sz="12" w:space="0" w:color="000000"/>
              <w:right w:val="single" w:sz="12" w:space="0" w:color="000000"/>
            </w:tcBorders>
          </w:tcPr>
          <w:p>
            <w:pPr>
              <w:pStyle w:val="TAC"/>
              <w:rPr/>
            </w:pPr>
            <w:r>
              <w:rPr/>
              <w:t>10</w:t>
            </w:r>
            <w:r>
              <w:rPr>
                <w:sz w:val="22"/>
                <w:vertAlign w:val="superscript"/>
              </w:rPr>
              <w:t>-6</w:t>
            </w:r>
          </w:p>
        </w:tc>
        <w:tc>
          <w:tcPr>
            <w:tcW w:w="1324" w:type="dxa"/>
            <w:tcBorders>
              <w:top w:val="single" w:sz="12" w:space="0" w:color="000000"/>
              <w:left w:val="single" w:sz="12" w:space="0" w:color="000000"/>
              <w:right w:val="single" w:sz="12" w:space="0" w:color="000000"/>
            </w:tcBorders>
          </w:tcPr>
          <w:p>
            <w:pPr>
              <w:pStyle w:val="TAL"/>
              <w:rPr/>
            </w:pPr>
            <w:r>
              <w:rPr/>
              <w:t>N/A</w:t>
            </w:r>
          </w:p>
        </w:tc>
        <w:tc>
          <w:tcPr>
            <w:tcW w:w="1671" w:type="dxa"/>
            <w:tcBorders>
              <w:top w:val="single" w:sz="12" w:space="0" w:color="000000"/>
              <w:left w:val="single" w:sz="12" w:space="0" w:color="000000"/>
              <w:right w:val="single" w:sz="12" w:space="0" w:color="000000"/>
            </w:tcBorders>
          </w:tcPr>
          <w:p>
            <w:pPr>
              <w:pStyle w:val="TAL"/>
              <w:rPr/>
            </w:pPr>
            <w:r>
              <w:rPr/>
              <w:t>N/A</w:t>
            </w:r>
          </w:p>
        </w:tc>
        <w:tc>
          <w:tcPr>
            <w:tcW w:w="2150" w:type="dxa"/>
            <w:tcBorders>
              <w:top w:val="single" w:sz="12" w:space="0" w:color="000000"/>
              <w:left w:val="single" w:sz="12" w:space="0" w:color="000000"/>
              <w:right w:val="single" w:sz="12" w:space="0" w:color="000000"/>
            </w:tcBorders>
          </w:tcPr>
          <w:p>
            <w:pPr>
              <w:pStyle w:val="TAL"/>
              <w:rPr/>
            </w:pPr>
            <w:r>
              <w:rPr/>
              <w:t>Low Latency eMBB applications Augmented Reality</w:t>
            </w:r>
          </w:p>
        </w:tc>
      </w:tr>
      <w:tr>
        <w:trPr/>
        <w:tc>
          <w:tcPr>
            <w:tcW w:w="1024" w:type="dxa"/>
            <w:tcBorders>
              <w:top w:val="single" w:sz="12" w:space="0" w:color="000000"/>
              <w:left w:val="single" w:sz="12" w:space="0" w:color="000000"/>
              <w:bottom w:val="single" w:sz="12" w:space="0" w:color="000000"/>
              <w:right w:val="single" w:sz="12" w:space="0" w:color="000000"/>
            </w:tcBorders>
          </w:tcPr>
          <w:p>
            <w:pPr>
              <w:pStyle w:val="TAC"/>
              <w:rPr/>
            </w:pPr>
            <w:r>
              <w:rPr/>
              <w:t>82</w:t>
            </w:r>
          </w:p>
        </w:tc>
        <w:tc>
          <w:tcPr>
            <w:tcW w:w="1061" w:type="dxa"/>
            <w:tcBorders>
              <w:top w:val="single" w:sz="12" w:space="0" w:color="000000"/>
              <w:left w:val="single" w:sz="12" w:space="0" w:color="000000"/>
              <w:right w:val="single" w:sz="12" w:space="0" w:color="000000"/>
            </w:tcBorders>
          </w:tcPr>
          <w:p>
            <w:pPr>
              <w:pStyle w:val="TAC"/>
              <w:rPr/>
            </w:pPr>
            <w:r>
              <w:rPr/>
              <w:t>Delay Critical GBR</w:t>
            </w:r>
          </w:p>
        </w:tc>
        <w:tc>
          <w:tcPr>
            <w:tcW w:w="918" w:type="dxa"/>
            <w:tcBorders>
              <w:top w:val="single" w:sz="12" w:space="0" w:color="000000"/>
              <w:left w:val="single" w:sz="12" w:space="0" w:color="000000"/>
              <w:bottom w:val="single" w:sz="12" w:space="0" w:color="000000"/>
              <w:right w:val="single" w:sz="12" w:space="0" w:color="000000"/>
            </w:tcBorders>
          </w:tcPr>
          <w:p>
            <w:pPr>
              <w:pStyle w:val="TAC"/>
              <w:rPr/>
            </w:pPr>
            <w:r>
              <w:rPr/>
              <w:t>19</w:t>
            </w:r>
          </w:p>
        </w:tc>
        <w:tc>
          <w:tcPr>
            <w:tcW w:w="1088" w:type="dxa"/>
            <w:tcBorders>
              <w:top w:val="single" w:sz="12" w:space="0" w:color="000000"/>
              <w:left w:val="single" w:sz="12" w:space="0" w:color="000000"/>
              <w:bottom w:val="single" w:sz="12" w:space="0" w:color="000000"/>
              <w:right w:val="single" w:sz="12" w:space="0" w:color="000000"/>
            </w:tcBorders>
          </w:tcPr>
          <w:p>
            <w:pPr>
              <w:pStyle w:val="TAC"/>
              <w:rPr/>
            </w:pPr>
            <w:r>
              <w:rPr/>
              <w:t>10 ms</w:t>
              <w:br/>
              <w:t>(NOTE 4)</w:t>
            </w:r>
          </w:p>
        </w:tc>
        <w:tc>
          <w:tcPr>
            <w:tcW w:w="797" w:type="dxa"/>
            <w:tcBorders>
              <w:top w:val="single" w:sz="12" w:space="0" w:color="000000"/>
              <w:left w:val="single" w:sz="12" w:space="0" w:color="000000"/>
              <w:bottom w:val="single" w:sz="12" w:space="0" w:color="000000"/>
              <w:right w:val="single" w:sz="12" w:space="0" w:color="000000"/>
            </w:tcBorders>
          </w:tcPr>
          <w:p>
            <w:pPr>
              <w:pStyle w:val="TAC"/>
              <w:rPr/>
            </w:pPr>
            <w:r>
              <w:rPr/>
              <w:t>10</w:t>
            </w:r>
            <w:r>
              <w:rPr>
                <w:sz w:val="22"/>
                <w:vertAlign w:val="superscript"/>
              </w:rPr>
              <w:t>-4</w:t>
            </w:r>
          </w:p>
        </w:tc>
        <w:tc>
          <w:tcPr>
            <w:tcW w:w="1324" w:type="dxa"/>
            <w:tcBorders>
              <w:top w:val="single" w:sz="12" w:space="0" w:color="000000"/>
              <w:left w:val="single" w:sz="12" w:space="0" w:color="000000"/>
              <w:bottom w:val="single" w:sz="12" w:space="0" w:color="000000"/>
              <w:right w:val="single" w:sz="12" w:space="0" w:color="000000"/>
            </w:tcBorders>
          </w:tcPr>
          <w:p>
            <w:pPr>
              <w:pStyle w:val="TAL"/>
              <w:rPr/>
            </w:pPr>
            <w:r>
              <w:rPr/>
              <w:t>255 bytes</w:t>
            </w:r>
          </w:p>
        </w:tc>
        <w:tc>
          <w:tcPr>
            <w:tcW w:w="1671" w:type="dxa"/>
            <w:tcBorders>
              <w:top w:val="single" w:sz="12" w:space="0" w:color="000000"/>
              <w:left w:val="single" w:sz="12" w:space="0" w:color="000000"/>
              <w:bottom w:val="single" w:sz="12" w:space="0" w:color="000000"/>
              <w:right w:val="single" w:sz="12" w:space="0" w:color="000000"/>
            </w:tcBorders>
          </w:tcPr>
          <w:p>
            <w:pPr>
              <w:pStyle w:val="TAL"/>
              <w:rPr/>
            </w:pPr>
            <w:r>
              <w:rPr/>
              <w:t>2000 ms</w:t>
            </w:r>
          </w:p>
        </w:tc>
        <w:tc>
          <w:tcPr>
            <w:tcW w:w="2150" w:type="dxa"/>
            <w:tcBorders>
              <w:top w:val="single" w:sz="12" w:space="0" w:color="000000"/>
              <w:left w:val="single" w:sz="12" w:space="0" w:color="000000"/>
              <w:bottom w:val="single" w:sz="12" w:space="0" w:color="000000"/>
              <w:right w:val="single" w:sz="12" w:space="0" w:color="000000"/>
            </w:tcBorders>
          </w:tcPr>
          <w:p>
            <w:pPr>
              <w:pStyle w:val="TAL"/>
              <w:rPr/>
            </w:pPr>
            <w:r>
              <w:rPr/>
              <w:t>Discrete Automation (see TS 22.261 [2])</w:t>
            </w:r>
          </w:p>
        </w:tc>
      </w:tr>
      <w:tr>
        <w:trPr/>
        <w:tc>
          <w:tcPr>
            <w:tcW w:w="1024" w:type="dxa"/>
            <w:tcBorders>
              <w:top w:val="single" w:sz="12" w:space="0" w:color="000000"/>
              <w:left w:val="single" w:sz="12" w:space="0" w:color="000000"/>
              <w:bottom w:val="single" w:sz="12" w:space="0" w:color="000000"/>
              <w:right w:val="single" w:sz="12" w:space="0" w:color="000000"/>
            </w:tcBorders>
          </w:tcPr>
          <w:p>
            <w:pPr>
              <w:pStyle w:val="TAC"/>
              <w:rPr/>
            </w:pPr>
            <w:r>
              <w:rPr/>
              <w:t>83</w:t>
            </w:r>
          </w:p>
        </w:tc>
        <w:tc>
          <w:tcPr>
            <w:tcW w:w="1061" w:type="dxa"/>
            <w:tcBorders>
              <w:left w:val="single" w:sz="12" w:space="0" w:color="000000"/>
              <w:right w:val="single" w:sz="12" w:space="0" w:color="000000"/>
            </w:tcBorders>
          </w:tcPr>
          <w:p>
            <w:pPr>
              <w:pStyle w:val="TAC"/>
              <w:snapToGrid w:val="false"/>
              <w:rPr/>
            </w:pPr>
            <w:r>
              <w:rPr/>
            </w:r>
          </w:p>
        </w:tc>
        <w:tc>
          <w:tcPr>
            <w:tcW w:w="918" w:type="dxa"/>
            <w:tcBorders>
              <w:top w:val="single" w:sz="12" w:space="0" w:color="000000"/>
              <w:left w:val="single" w:sz="12" w:space="0" w:color="000000"/>
              <w:bottom w:val="single" w:sz="12" w:space="0" w:color="000000"/>
              <w:right w:val="single" w:sz="12" w:space="0" w:color="000000"/>
            </w:tcBorders>
          </w:tcPr>
          <w:p>
            <w:pPr>
              <w:pStyle w:val="TAC"/>
              <w:rPr/>
            </w:pPr>
            <w:r>
              <w:rPr/>
              <w:t>22</w:t>
            </w:r>
          </w:p>
        </w:tc>
        <w:tc>
          <w:tcPr>
            <w:tcW w:w="1088" w:type="dxa"/>
            <w:tcBorders>
              <w:top w:val="single" w:sz="12" w:space="0" w:color="000000"/>
              <w:left w:val="single" w:sz="12" w:space="0" w:color="000000"/>
              <w:bottom w:val="single" w:sz="12" w:space="0" w:color="000000"/>
              <w:right w:val="single" w:sz="12" w:space="0" w:color="000000"/>
            </w:tcBorders>
          </w:tcPr>
          <w:p>
            <w:pPr>
              <w:pStyle w:val="TAC"/>
              <w:rPr/>
            </w:pPr>
            <w:r>
              <w:rPr/>
              <w:t>10 ms</w:t>
              <w:br/>
              <w:t>(NOTE 4)</w:t>
            </w:r>
          </w:p>
        </w:tc>
        <w:tc>
          <w:tcPr>
            <w:tcW w:w="797" w:type="dxa"/>
            <w:tcBorders>
              <w:top w:val="single" w:sz="12" w:space="0" w:color="000000"/>
              <w:left w:val="single" w:sz="12" w:space="0" w:color="000000"/>
              <w:bottom w:val="single" w:sz="12" w:space="0" w:color="000000"/>
              <w:right w:val="single" w:sz="12" w:space="0" w:color="000000"/>
            </w:tcBorders>
          </w:tcPr>
          <w:p>
            <w:pPr>
              <w:pStyle w:val="TAC"/>
              <w:rPr/>
            </w:pPr>
            <w:r>
              <w:rPr/>
              <w:t>10</w:t>
            </w:r>
            <w:r>
              <w:rPr>
                <w:sz w:val="22"/>
                <w:vertAlign w:val="superscript"/>
              </w:rPr>
              <w:t>-4</w:t>
            </w:r>
          </w:p>
        </w:tc>
        <w:tc>
          <w:tcPr>
            <w:tcW w:w="1324" w:type="dxa"/>
            <w:tcBorders>
              <w:top w:val="single" w:sz="12" w:space="0" w:color="000000"/>
              <w:left w:val="single" w:sz="12" w:space="0" w:color="000000"/>
              <w:bottom w:val="single" w:sz="12" w:space="0" w:color="000000"/>
              <w:right w:val="single" w:sz="12" w:space="0" w:color="000000"/>
            </w:tcBorders>
          </w:tcPr>
          <w:p>
            <w:pPr>
              <w:pStyle w:val="TAL"/>
              <w:rPr/>
            </w:pPr>
            <w:r>
              <w:rPr/>
              <w:t>1358 bytes</w:t>
            </w:r>
          </w:p>
          <w:p>
            <w:pPr>
              <w:pStyle w:val="TAL"/>
              <w:rPr/>
            </w:pPr>
            <w:r>
              <w:rPr/>
              <w:t>(NOTE 3)</w:t>
            </w:r>
          </w:p>
        </w:tc>
        <w:tc>
          <w:tcPr>
            <w:tcW w:w="1671" w:type="dxa"/>
            <w:tcBorders>
              <w:top w:val="single" w:sz="12" w:space="0" w:color="000000"/>
              <w:left w:val="single" w:sz="12" w:space="0" w:color="000000"/>
              <w:bottom w:val="single" w:sz="12" w:space="0" w:color="000000"/>
              <w:right w:val="single" w:sz="12" w:space="0" w:color="000000"/>
            </w:tcBorders>
          </w:tcPr>
          <w:p>
            <w:pPr>
              <w:pStyle w:val="TAL"/>
              <w:rPr/>
            </w:pPr>
            <w:r>
              <w:rPr/>
              <w:t>2000 ms</w:t>
            </w:r>
          </w:p>
        </w:tc>
        <w:tc>
          <w:tcPr>
            <w:tcW w:w="2150" w:type="dxa"/>
            <w:tcBorders>
              <w:top w:val="single" w:sz="12" w:space="0" w:color="000000"/>
              <w:left w:val="single" w:sz="12" w:space="0" w:color="000000"/>
              <w:bottom w:val="single" w:sz="12" w:space="0" w:color="000000"/>
              <w:right w:val="single" w:sz="12" w:space="0" w:color="000000"/>
            </w:tcBorders>
          </w:tcPr>
          <w:p>
            <w:pPr>
              <w:pStyle w:val="TAL"/>
              <w:rPr/>
            </w:pPr>
            <w:r>
              <w:rPr/>
              <w:t>Discrete Automation (see TS 22.261 [2])</w:t>
            </w:r>
          </w:p>
        </w:tc>
      </w:tr>
      <w:tr>
        <w:trPr/>
        <w:tc>
          <w:tcPr>
            <w:tcW w:w="1024" w:type="dxa"/>
            <w:tcBorders>
              <w:top w:val="single" w:sz="12" w:space="0" w:color="000000"/>
              <w:left w:val="single" w:sz="12" w:space="0" w:color="000000"/>
              <w:bottom w:val="single" w:sz="12" w:space="0" w:color="000000"/>
              <w:right w:val="single" w:sz="12" w:space="0" w:color="000000"/>
            </w:tcBorders>
          </w:tcPr>
          <w:p>
            <w:pPr>
              <w:pStyle w:val="TAC"/>
              <w:rPr/>
            </w:pPr>
            <w:r>
              <w:rPr/>
              <w:t>84</w:t>
            </w:r>
          </w:p>
        </w:tc>
        <w:tc>
          <w:tcPr>
            <w:tcW w:w="1061" w:type="dxa"/>
            <w:tcBorders>
              <w:left w:val="single" w:sz="12" w:space="0" w:color="000000"/>
              <w:right w:val="single" w:sz="12" w:space="0" w:color="000000"/>
            </w:tcBorders>
          </w:tcPr>
          <w:p>
            <w:pPr>
              <w:pStyle w:val="TAC"/>
              <w:snapToGrid w:val="false"/>
              <w:rPr/>
            </w:pPr>
            <w:r>
              <w:rPr/>
            </w:r>
          </w:p>
        </w:tc>
        <w:tc>
          <w:tcPr>
            <w:tcW w:w="918" w:type="dxa"/>
            <w:tcBorders>
              <w:top w:val="single" w:sz="12" w:space="0" w:color="000000"/>
              <w:left w:val="single" w:sz="12" w:space="0" w:color="000000"/>
              <w:bottom w:val="single" w:sz="12" w:space="0" w:color="000000"/>
              <w:right w:val="single" w:sz="12" w:space="0" w:color="000000"/>
            </w:tcBorders>
          </w:tcPr>
          <w:p>
            <w:pPr>
              <w:pStyle w:val="TAC"/>
              <w:rPr/>
            </w:pPr>
            <w:r>
              <w:rPr/>
              <w:t>24</w:t>
            </w:r>
          </w:p>
        </w:tc>
        <w:tc>
          <w:tcPr>
            <w:tcW w:w="1088" w:type="dxa"/>
            <w:tcBorders>
              <w:top w:val="single" w:sz="12" w:space="0" w:color="000000"/>
              <w:left w:val="single" w:sz="12" w:space="0" w:color="000000"/>
              <w:bottom w:val="single" w:sz="12" w:space="0" w:color="000000"/>
              <w:right w:val="single" w:sz="12" w:space="0" w:color="000000"/>
            </w:tcBorders>
          </w:tcPr>
          <w:p>
            <w:pPr>
              <w:pStyle w:val="TAC"/>
              <w:rPr/>
            </w:pPr>
            <w:r>
              <w:rPr/>
              <w:t>30 ms</w:t>
            </w:r>
          </w:p>
          <w:p>
            <w:pPr>
              <w:pStyle w:val="TAC"/>
              <w:rPr/>
            </w:pPr>
            <w:r>
              <w:rPr/>
              <w:t>(NOTE 6)</w:t>
            </w:r>
          </w:p>
        </w:tc>
        <w:tc>
          <w:tcPr>
            <w:tcW w:w="797" w:type="dxa"/>
            <w:tcBorders>
              <w:top w:val="single" w:sz="12" w:space="0" w:color="000000"/>
              <w:left w:val="single" w:sz="12" w:space="0" w:color="000000"/>
              <w:bottom w:val="single" w:sz="12" w:space="0" w:color="000000"/>
              <w:right w:val="single" w:sz="12" w:space="0" w:color="000000"/>
            </w:tcBorders>
          </w:tcPr>
          <w:p>
            <w:pPr>
              <w:pStyle w:val="TAC"/>
              <w:rPr/>
            </w:pPr>
            <w:r>
              <w:rPr/>
              <w:t>10</w:t>
            </w:r>
            <w:r>
              <w:rPr>
                <w:sz w:val="22"/>
                <w:vertAlign w:val="superscript"/>
              </w:rPr>
              <w:t>-5</w:t>
            </w:r>
          </w:p>
        </w:tc>
        <w:tc>
          <w:tcPr>
            <w:tcW w:w="1324" w:type="dxa"/>
            <w:tcBorders>
              <w:top w:val="single" w:sz="12" w:space="0" w:color="000000"/>
              <w:left w:val="single" w:sz="12" w:space="0" w:color="000000"/>
              <w:bottom w:val="single" w:sz="12" w:space="0" w:color="000000"/>
              <w:right w:val="single" w:sz="12" w:space="0" w:color="000000"/>
            </w:tcBorders>
          </w:tcPr>
          <w:p>
            <w:pPr>
              <w:pStyle w:val="TAL"/>
              <w:rPr/>
            </w:pPr>
            <w:r>
              <w:rPr/>
              <w:t>1354 bytes</w:t>
            </w:r>
          </w:p>
        </w:tc>
        <w:tc>
          <w:tcPr>
            <w:tcW w:w="1671" w:type="dxa"/>
            <w:tcBorders>
              <w:top w:val="single" w:sz="12" w:space="0" w:color="000000"/>
              <w:left w:val="single" w:sz="12" w:space="0" w:color="000000"/>
              <w:bottom w:val="single" w:sz="12" w:space="0" w:color="000000"/>
              <w:right w:val="single" w:sz="12" w:space="0" w:color="000000"/>
            </w:tcBorders>
          </w:tcPr>
          <w:p>
            <w:pPr>
              <w:pStyle w:val="TAL"/>
              <w:rPr/>
            </w:pPr>
            <w:r>
              <w:rPr/>
              <w:t>2000 ms</w:t>
            </w:r>
          </w:p>
        </w:tc>
        <w:tc>
          <w:tcPr>
            <w:tcW w:w="2150" w:type="dxa"/>
            <w:tcBorders>
              <w:top w:val="single" w:sz="12" w:space="0" w:color="000000"/>
              <w:left w:val="single" w:sz="12" w:space="0" w:color="000000"/>
              <w:bottom w:val="single" w:sz="12" w:space="0" w:color="000000"/>
              <w:right w:val="single" w:sz="12" w:space="0" w:color="000000"/>
            </w:tcBorders>
          </w:tcPr>
          <w:p>
            <w:pPr>
              <w:pStyle w:val="TAL"/>
              <w:rPr/>
            </w:pPr>
            <w:r>
              <w:rPr/>
              <w:t>Intelligent transport systems (see TS 22.261 [2])</w:t>
            </w:r>
          </w:p>
        </w:tc>
      </w:tr>
      <w:tr>
        <w:trPr/>
        <w:tc>
          <w:tcPr>
            <w:tcW w:w="1024" w:type="dxa"/>
            <w:tcBorders>
              <w:top w:val="single" w:sz="12" w:space="0" w:color="000000"/>
              <w:left w:val="single" w:sz="12" w:space="0" w:color="000000"/>
              <w:bottom w:val="single" w:sz="12" w:space="0" w:color="000000"/>
              <w:right w:val="single" w:sz="12" w:space="0" w:color="000000"/>
            </w:tcBorders>
          </w:tcPr>
          <w:p>
            <w:pPr>
              <w:pStyle w:val="TAC"/>
              <w:rPr/>
            </w:pPr>
            <w:r>
              <w:rPr/>
              <w:t>85</w:t>
            </w:r>
          </w:p>
        </w:tc>
        <w:tc>
          <w:tcPr>
            <w:tcW w:w="1061" w:type="dxa"/>
            <w:tcBorders>
              <w:left w:val="single" w:sz="12" w:space="0" w:color="000000"/>
              <w:bottom w:val="single" w:sz="4" w:space="0" w:color="000000"/>
              <w:right w:val="single" w:sz="12" w:space="0" w:color="000000"/>
            </w:tcBorders>
          </w:tcPr>
          <w:p>
            <w:pPr>
              <w:pStyle w:val="TAC"/>
              <w:snapToGrid w:val="false"/>
              <w:rPr/>
            </w:pPr>
            <w:r>
              <w:rPr/>
            </w:r>
          </w:p>
        </w:tc>
        <w:tc>
          <w:tcPr>
            <w:tcW w:w="918" w:type="dxa"/>
            <w:tcBorders>
              <w:top w:val="single" w:sz="12" w:space="0" w:color="000000"/>
              <w:left w:val="single" w:sz="12" w:space="0" w:color="000000"/>
              <w:bottom w:val="single" w:sz="12" w:space="0" w:color="000000"/>
              <w:right w:val="single" w:sz="12" w:space="0" w:color="000000"/>
            </w:tcBorders>
          </w:tcPr>
          <w:p>
            <w:pPr>
              <w:pStyle w:val="TAC"/>
              <w:rPr/>
            </w:pPr>
            <w:r>
              <w:rPr/>
              <w:t>21</w:t>
            </w:r>
          </w:p>
        </w:tc>
        <w:tc>
          <w:tcPr>
            <w:tcW w:w="1088" w:type="dxa"/>
            <w:tcBorders>
              <w:top w:val="single" w:sz="12" w:space="0" w:color="000000"/>
              <w:left w:val="single" w:sz="12" w:space="0" w:color="000000"/>
              <w:bottom w:val="single" w:sz="12" w:space="0" w:color="000000"/>
              <w:right w:val="single" w:sz="12" w:space="0" w:color="000000"/>
            </w:tcBorders>
          </w:tcPr>
          <w:p>
            <w:pPr>
              <w:pStyle w:val="TAC"/>
              <w:rPr/>
            </w:pPr>
            <w:r>
              <w:rPr/>
              <w:t>5 ms</w:t>
            </w:r>
          </w:p>
          <w:p>
            <w:pPr>
              <w:pStyle w:val="TAC"/>
              <w:rPr/>
            </w:pPr>
            <w:r>
              <w:rPr/>
              <w:t>(NOTE 5)</w:t>
            </w:r>
          </w:p>
        </w:tc>
        <w:tc>
          <w:tcPr>
            <w:tcW w:w="797" w:type="dxa"/>
            <w:tcBorders>
              <w:top w:val="single" w:sz="12" w:space="0" w:color="000000"/>
              <w:left w:val="single" w:sz="12" w:space="0" w:color="000000"/>
              <w:bottom w:val="single" w:sz="12" w:space="0" w:color="000000"/>
              <w:right w:val="single" w:sz="12" w:space="0" w:color="000000"/>
            </w:tcBorders>
          </w:tcPr>
          <w:p>
            <w:pPr>
              <w:pStyle w:val="TAC"/>
              <w:rPr/>
            </w:pPr>
            <w:r>
              <w:rPr/>
              <w:t>10</w:t>
            </w:r>
            <w:r>
              <w:rPr>
                <w:sz w:val="22"/>
                <w:vertAlign w:val="superscript"/>
              </w:rPr>
              <w:t>-5</w:t>
            </w:r>
          </w:p>
        </w:tc>
        <w:tc>
          <w:tcPr>
            <w:tcW w:w="1324" w:type="dxa"/>
            <w:tcBorders>
              <w:top w:val="single" w:sz="12" w:space="0" w:color="000000"/>
              <w:left w:val="single" w:sz="12" w:space="0" w:color="000000"/>
              <w:bottom w:val="single" w:sz="12" w:space="0" w:color="000000"/>
              <w:right w:val="single" w:sz="12" w:space="0" w:color="000000"/>
            </w:tcBorders>
          </w:tcPr>
          <w:p>
            <w:pPr>
              <w:pStyle w:val="TAL"/>
              <w:rPr/>
            </w:pPr>
            <w:r>
              <w:rPr/>
              <w:t>255 bytes</w:t>
            </w:r>
          </w:p>
        </w:tc>
        <w:tc>
          <w:tcPr>
            <w:tcW w:w="1671" w:type="dxa"/>
            <w:tcBorders>
              <w:top w:val="single" w:sz="12" w:space="0" w:color="000000"/>
              <w:left w:val="single" w:sz="12" w:space="0" w:color="000000"/>
              <w:bottom w:val="single" w:sz="12" w:space="0" w:color="000000"/>
              <w:right w:val="single" w:sz="12" w:space="0" w:color="000000"/>
            </w:tcBorders>
          </w:tcPr>
          <w:p>
            <w:pPr>
              <w:pStyle w:val="TAL"/>
              <w:rPr/>
            </w:pPr>
            <w:r>
              <w:rPr/>
              <w:t>2000 ms</w:t>
            </w:r>
          </w:p>
        </w:tc>
        <w:tc>
          <w:tcPr>
            <w:tcW w:w="2150" w:type="dxa"/>
            <w:tcBorders>
              <w:top w:val="single" w:sz="12" w:space="0" w:color="000000"/>
              <w:left w:val="single" w:sz="12" w:space="0" w:color="000000"/>
              <w:bottom w:val="single" w:sz="12" w:space="0" w:color="000000"/>
              <w:right w:val="single" w:sz="12" w:space="0" w:color="000000"/>
            </w:tcBorders>
          </w:tcPr>
          <w:p>
            <w:pPr>
              <w:pStyle w:val="TAL"/>
              <w:rPr/>
            </w:pPr>
            <w:r>
              <w:rPr/>
              <w:t>Electricity Distribution- high voltage (see TS 22.261 [2])</w:t>
            </w:r>
          </w:p>
        </w:tc>
      </w:tr>
      <w:tr>
        <w:trPr/>
        <w:tc>
          <w:tcPr>
            <w:tcW w:w="10033" w:type="dxa"/>
            <w:gridSpan w:val="8"/>
            <w:tcBorders>
              <w:top w:val="single" w:sz="12" w:space="0" w:color="000000"/>
              <w:left w:val="single" w:sz="12" w:space="0" w:color="000000"/>
              <w:bottom w:val="single" w:sz="12" w:space="0" w:color="000000"/>
              <w:right w:val="single" w:sz="12" w:space="0" w:color="000000"/>
            </w:tcBorders>
          </w:tcPr>
          <w:p>
            <w:pPr>
              <w:pStyle w:val="TAN"/>
              <w:rPr/>
            </w:pPr>
            <w:r>
              <w:rPr/>
              <w:t>NOTE 1:</w:t>
              <w:tab/>
              <w:t>A packet which is delayed more than PDB is not counted as lost, thus not included in the PER.</w:t>
            </w:r>
          </w:p>
          <w:p>
            <w:pPr>
              <w:pStyle w:val="TAN"/>
              <w:rPr/>
            </w:pPr>
            <w:r>
              <w:rPr/>
              <w:t>NOTE 2:</w:t>
              <w:tab/>
              <w:t>It is required that default MDBV is supported by a PLMN supporting the related 5QIs.</w:t>
            </w:r>
          </w:p>
          <w:p>
            <w:pPr>
              <w:pStyle w:val="TAN"/>
              <w:rPr/>
            </w:pPr>
            <w:r>
              <w:rPr/>
              <w:t>NOTE 3:</w:t>
              <w:tab/>
              <w:t>This MDBV value is set to 1354 bytes to avoid IP fragmentation for the IPv6 based, IPSec protected GTP tunnel to the 5G-AN node (the value is calculated as in Annex C of TS 23.060 [56] and further reduced by 4 bytes to allow for the usage of a GTP-U extension header).</w:t>
            </w:r>
          </w:p>
          <w:p>
            <w:pPr>
              <w:pStyle w:val="TAN"/>
              <w:rPr/>
            </w:pPr>
            <w:r>
              <w:rPr/>
              <w:t>NOTE 4:</w:t>
              <w:tab/>
              <w:t>A delay of 1 ms for the delay between a UPF terminating N6 and a 5G-AN should be subtracted from a given PDB to derive the packet delay budget that applies to the radio interface.</w:t>
            </w:r>
          </w:p>
          <w:p>
            <w:pPr>
              <w:pStyle w:val="TAN"/>
              <w:rPr/>
            </w:pPr>
            <w:r>
              <w:rPr/>
              <w:t>NOTE 5:</w:t>
              <w:tab/>
              <w:t>A delay of 2 ms for the delay between a UPF terminating N6 and a 5G-AN should be subtracted from a given PDB to derive the packet delay budget that applies to the radio interface.</w:t>
            </w:r>
          </w:p>
          <w:p>
            <w:pPr>
              <w:pStyle w:val="TAN"/>
              <w:rPr/>
            </w:pPr>
            <w:r>
              <w:rPr/>
              <w:t>NOTE 6:</w:t>
              <w:tab/>
              <w:t>A delay of 5 ms for the delay between a UPF terminating N6 and a 5G-AN should be subtracted from a given PDB to derive the packet delay budget that applies to the radio interface.</w:t>
            </w:r>
          </w:p>
        </w:tc>
      </w:tr>
    </w:tbl>
    <w:p>
      <w:pPr>
        <w:pStyle w:val="FP"/>
        <w:rPr/>
      </w:pPr>
      <w:r>
        <w:rPr/>
      </w:r>
    </w:p>
    <w:p>
      <w:pPr>
        <w:pStyle w:val="NO"/>
        <w:rPr/>
      </w:pPr>
      <w:r>
        <w:rPr/>
        <w:t>NOTE 1:</w:t>
        <w:tab/>
        <w:t>For Standardized 5QI to QoS characteristics mapping, the table will be extended/updated to support service requirements for 5G, e.g. ultralow latency service.</w:t>
      </w:r>
    </w:p>
    <w:p>
      <w:pPr>
        <w:pStyle w:val="NO"/>
        <w:rPr/>
      </w:pPr>
      <w:r>
        <w:rPr/>
        <w:t>NOTE 2:</w:t>
        <w:tab/>
        <w:t xml:space="preserve">It is preferred that a value less than 64 is allocated for any new standardised 5QI of non-GBR Resource Type. This is to allow for option 1 to be used as described in </w:t>
      </w:r>
      <w:bookmarkStart w:id="49" w:name="_Hlk32834451"/>
      <w:r>
        <w:rPr/>
        <w:t xml:space="preserve">clause 5.7.1.3 of TS 23.501 </w:t>
      </w:r>
      <w:bookmarkEnd w:id="49"/>
      <w:r>
        <w:rPr/>
        <w:t>(as the QFI is limited to less than 64).</w:t>
      </w:r>
    </w:p>
    <w:p>
      <w:pPr>
        <w:pStyle w:val="Heading2"/>
        <w:rPr/>
      </w:pPr>
      <w:bookmarkStart w:id="50" w:name="__RefHeading___Toc32311340"/>
      <w:bookmarkEnd w:id="50"/>
      <w:r>
        <w:rPr/>
        <w:t>7.3</w:t>
        <w:tab/>
        <w:t>Summary of Responses for Streaming Services</w:t>
      </w:r>
    </w:p>
    <w:p>
      <w:pPr>
        <w:pStyle w:val="Heading3"/>
        <w:rPr/>
      </w:pPr>
      <w:bookmarkStart w:id="51" w:name="__RefHeading___Toc32311341"/>
      <w:bookmarkEnd w:id="51"/>
      <w:r>
        <w:rPr/>
        <w:t>7.3.1</w:t>
        <w:tab/>
        <w:t>Introduction</w:t>
      </w:r>
    </w:p>
    <w:p>
      <w:pPr>
        <w:pStyle w:val="Normal"/>
        <w:rPr/>
      </w:pPr>
      <w:r>
        <w:rPr/>
        <w:t>This clause provides a summary of the information that was collected for streaming services. The current information is based on responses from:</w:t>
      </w:r>
    </w:p>
    <w:p>
      <w:pPr>
        <w:pStyle w:val="B1"/>
        <w:rPr/>
      </w:pPr>
      <w:r>
        <w:rPr/>
        <w:t>-</w:t>
        <w:tab/>
        <w:t>Comcast VIPER</w:t>
      </w:r>
    </w:p>
    <w:p>
      <w:pPr>
        <w:pStyle w:val="B1"/>
        <w:rPr/>
      </w:pPr>
      <w:r>
        <w:rPr/>
        <w:t>-</w:t>
        <w:tab/>
        <w:t>AWS Media Services</w:t>
      </w:r>
    </w:p>
    <w:p>
      <w:pPr>
        <w:pStyle w:val="B1"/>
        <w:rPr/>
      </w:pPr>
      <w:r>
        <w:rPr/>
        <w:t>-</w:t>
        <w:tab/>
        <w:t>Hulu</w:t>
      </w:r>
    </w:p>
    <w:p>
      <w:pPr>
        <w:pStyle w:val="B1"/>
        <w:rPr/>
      </w:pPr>
      <w:r>
        <w:rPr/>
        <w:t>-</w:t>
        <w:tab/>
        <w:t>Bitmovin</w:t>
      </w:r>
    </w:p>
    <w:p>
      <w:pPr>
        <w:pStyle w:val="B1"/>
        <w:rPr/>
      </w:pPr>
      <w:r>
        <w:rPr/>
        <w:t>-</w:t>
        <w:tab/>
        <w:t>ARD Mediathek</w:t>
      </w:r>
    </w:p>
    <w:p>
      <w:pPr>
        <w:pStyle w:val="Normal"/>
        <w:rPr/>
      </w:pPr>
      <w:r>
        <w:rPr/>
        <w:t>The services address live and On-demand streaming services.</w:t>
      </w:r>
    </w:p>
    <w:p>
      <w:pPr>
        <w:pStyle w:val="Heading3"/>
        <w:rPr/>
      </w:pPr>
      <w:bookmarkStart w:id="52" w:name="__RefHeading___Toc32311342"/>
      <w:bookmarkEnd w:id="52"/>
      <w:r>
        <w:rPr/>
        <w:t>7.3.2</w:t>
        <w:tab/>
        <w:t>Used Technologies</w:t>
      </w:r>
    </w:p>
    <w:p>
      <w:pPr>
        <w:pStyle w:val="Heading4"/>
        <w:ind w:left="1418" w:hanging="1418"/>
        <w:rPr/>
      </w:pPr>
      <w:bookmarkStart w:id="53" w:name="__RefHeading___Toc32311343"/>
      <w:bookmarkEnd w:id="53"/>
      <w:r>
        <w:rPr/>
        <w:t>7.3.2.1</w:t>
        <w:tab/>
        <w:t>Codecs</w:t>
      </w:r>
    </w:p>
    <w:p>
      <w:pPr>
        <w:pStyle w:val="Normal"/>
        <w:rPr/>
      </w:pPr>
      <w:r>
        <w:rPr/>
        <w:t xml:space="preserve">The pre-dominant video codec for the services is still H.264/AVC </w:t>
      </w:r>
      <w:r>
        <w:rPr>
          <w:rFonts w:eastAsia="SimSun;宋体"/>
          <w:lang w:eastAsia="zh-CN"/>
        </w:rPr>
        <w:t>[14]</w:t>
      </w:r>
      <w:r>
        <w:rPr/>
        <w:t xml:space="preserve">. H.265/HEVC </w:t>
      </w:r>
      <w:r>
        <w:rPr>
          <w:rFonts w:eastAsia="SimSun;宋体"/>
          <w:lang w:eastAsia="zh-CN"/>
        </w:rPr>
        <w:t xml:space="preserve">[15] </w:t>
      </w:r>
      <w:r>
        <w:rPr/>
        <w:t>is also in deployments. Non-MPEG video codecs such as VP9 or AV1 are in use or expected to be in use, but much less prominent than MPEG codecs according to the responses.</w:t>
      </w:r>
    </w:p>
    <w:p>
      <w:pPr>
        <w:pStyle w:val="Normal"/>
        <w:rPr/>
      </w:pPr>
      <w:r>
        <w:rPr/>
        <w:t>The pre-dominant audio codec is AAC, with some variants. Also, AC-3 is used quite often to support beyond stereo experiences. No other audio codec was mentioned.</w:t>
      </w:r>
    </w:p>
    <w:p>
      <w:pPr>
        <w:pStyle w:val="Heading4"/>
        <w:ind w:left="1418" w:hanging="1418"/>
        <w:rPr/>
      </w:pPr>
      <w:bookmarkStart w:id="54" w:name="__RefHeading___Toc32311344"/>
      <w:bookmarkEnd w:id="54"/>
      <w:r>
        <w:rPr/>
        <w:t>7.3.2.2</w:t>
        <w:tab/>
        <w:t>Media types and formats</w:t>
      </w:r>
    </w:p>
    <w:p>
      <w:pPr>
        <w:pStyle w:val="Normal"/>
        <w:rPr/>
      </w:pPr>
      <w:r>
        <w:rPr/>
        <w:t>Most of the services run HD video. Experiments with UHD and HDR are ongoing. Different HDR formats (i.e. HDR10, Dolby Vision, HLG, and SL-HDR) are in use.</w:t>
      </w:r>
    </w:p>
    <w:p>
      <w:pPr>
        <w:pStyle w:val="Normal"/>
        <w:rPr>
          <w:rFonts w:eastAsia="MS Mincho;ＭＳ 明朝"/>
        </w:rPr>
      </w:pPr>
      <w:r>
        <w:rPr/>
        <w:t>For audio, stereo is deployed and 5.1 is also broadly used. Some initial experiments are done with multichannel audio, NGA (Next Generation Audio).</w:t>
      </w:r>
    </w:p>
    <w:p>
      <w:pPr>
        <w:pStyle w:val="Heading4"/>
        <w:ind w:left="1418" w:hanging="1418"/>
        <w:rPr/>
      </w:pPr>
      <w:bookmarkStart w:id="55" w:name="__RefHeading___Toc32311345"/>
      <w:bookmarkEnd w:id="55"/>
      <w:r>
        <w:rPr/>
        <w:t>7.3.2.3</w:t>
        <w:tab/>
        <w:t>Media protocols and containers</w:t>
      </w:r>
    </w:p>
    <w:p>
      <w:pPr>
        <w:pStyle w:val="Normal"/>
        <w:rPr/>
      </w:pPr>
      <w:r>
        <w:rPr/>
        <w:t>All services deploy DASH and HLS. On HLS, the MPEG-2 TS still is maintained. For DASH, exclusively ISO BMFF based distribution is used but a convergence towards a common segment format based on CMAF for DASH and HLS is expected.</w:t>
      </w:r>
    </w:p>
    <w:p>
      <w:pPr>
        <w:pStyle w:val="Normal"/>
        <w:rPr>
          <w:rFonts w:eastAsia="MS Mincho;ＭＳ 明朝"/>
        </w:rPr>
      </w:pPr>
      <w:r>
        <w:rPr/>
        <w:t>Other formats such as RTMP or RTP are maintained to some extent for legacy reasons.</w:t>
      </w:r>
    </w:p>
    <w:p>
      <w:pPr>
        <w:pStyle w:val="Heading4"/>
        <w:ind w:left="1418" w:hanging="1418"/>
        <w:rPr/>
      </w:pPr>
      <w:bookmarkStart w:id="56" w:name="__RefHeading___Toc32311346"/>
      <w:bookmarkEnd w:id="56"/>
      <w:r>
        <w:rPr/>
        <w:t>7.3.2.4</w:t>
        <w:tab/>
        <w:t>Transport protocols</w:t>
      </w:r>
    </w:p>
    <w:p>
      <w:pPr>
        <w:pStyle w:val="Normal"/>
        <w:rPr>
          <w:rFonts w:eastAsia="MS Mincho;ＭＳ 明朝"/>
        </w:rPr>
      </w:pPr>
      <w:r>
        <w:rPr/>
        <w:t>HTTP/1.1 with TCP/IP is used almost exclusively. Some initial tests are ongoing on HTTP/2.0 and HTTP/3 (also known as HTTP over QUIC). No received response indicates the use of multicast protocols.</w:t>
      </w:r>
    </w:p>
    <w:p>
      <w:pPr>
        <w:pStyle w:val="Heading4"/>
        <w:ind w:left="1418" w:hanging="1418"/>
        <w:rPr/>
      </w:pPr>
      <w:bookmarkStart w:id="57" w:name="__RefHeading___Toc32311347"/>
      <w:bookmarkEnd w:id="57"/>
      <w:r>
        <w:rPr/>
        <w:t>7.3.2.5</w:t>
        <w:tab/>
        <w:t>Clients</w:t>
      </w:r>
    </w:p>
    <w:p>
      <w:pPr>
        <w:pStyle w:val="Normal"/>
        <w:rPr/>
      </w:pPr>
      <w:r>
        <w:rPr/>
        <w:t>All services provide client application running on iOS and Android for Browser-based playback as well as applications or native integration into set-top boxes, HDMI sticks (i.e. Apple TV</w:t>
      </w:r>
      <w:r>
        <w:rPr>
          <w:sz w:val="18"/>
        </w:rPr>
        <w:t>™</w:t>
      </w:r>
      <w:r>
        <w:rPr/>
        <w:t>, Fire TV</w:t>
      </w:r>
      <w:r>
        <w:rPr>
          <w:sz w:val="18"/>
        </w:rPr>
        <w:t>™</w:t>
      </w:r>
      <w:r>
        <w:rPr/>
        <w:t>, Chromecast</w:t>
      </w:r>
      <w:r>
        <w:rPr>
          <w:sz w:val="18"/>
        </w:rPr>
        <w:t>™</w:t>
      </w:r>
      <w:r>
        <w:rPr/>
        <w:t>, Tizen</w:t>
      </w:r>
      <w:r>
        <w:rPr>
          <w:sz w:val="18"/>
        </w:rPr>
        <w:t>™</w:t>
      </w:r>
      <w:r>
        <w:rPr/>
        <w:t>) and TV Sets. Game consoles are also targeted.</w:t>
      </w:r>
    </w:p>
    <w:p>
      <w:pPr>
        <w:pStyle w:val="Heading4"/>
        <w:ind w:left="1418" w:hanging="1418"/>
        <w:rPr/>
      </w:pPr>
      <w:bookmarkStart w:id="58" w:name="__RefHeading___Toc32311348"/>
      <w:bookmarkEnd w:id="58"/>
      <w:r>
        <w:rPr/>
        <w:t>7.3.2.6</w:t>
        <w:tab/>
        <w:t>Other Technologies</w:t>
      </w:r>
    </w:p>
    <w:p>
      <w:pPr>
        <w:pStyle w:val="Normal"/>
        <w:rPr/>
      </w:pPr>
      <w:r>
        <w:rPr/>
        <w:t xml:space="preserve">Other mentioned deployed technologies are: </w:t>
      </w:r>
    </w:p>
    <w:p>
      <w:pPr>
        <w:pStyle w:val="Normal"/>
        <w:numPr>
          <w:ilvl w:val="0"/>
          <w:numId w:val="3"/>
        </w:numPr>
        <w:rPr>
          <w:rFonts w:eastAsia="MS Mincho;ＭＳ 明朝"/>
        </w:rPr>
      </w:pPr>
      <w:r>
        <w:rPr/>
        <w:t>DRM (Widevine, PlayReady, Fairplay) based on common encryption</w:t>
      </w:r>
    </w:p>
    <w:p>
      <w:pPr>
        <w:pStyle w:val="Normal"/>
        <w:numPr>
          <w:ilvl w:val="0"/>
          <w:numId w:val="3"/>
        </w:numPr>
        <w:rPr/>
      </w:pPr>
      <w:r>
        <w:rPr/>
        <w:t>Analytics collection and QoE Measurement</w:t>
      </w:r>
    </w:p>
    <w:p>
      <w:pPr>
        <w:pStyle w:val="Normal"/>
        <w:numPr>
          <w:ilvl w:val="0"/>
          <w:numId w:val="3"/>
        </w:numPr>
        <w:rPr/>
      </w:pPr>
      <w:r>
        <w:rPr/>
        <w:t>Dynamic Ad Insertion</w:t>
      </w:r>
    </w:p>
    <w:p>
      <w:pPr>
        <w:pStyle w:val="Normal"/>
        <w:numPr>
          <w:ilvl w:val="0"/>
          <w:numId w:val="3"/>
        </w:numPr>
        <w:rPr/>
      </w:pPr>
      <w:r>
        <w:rPr/>
        <w:t>Watermarking</w:t>
      </w:r>
    </w:p>
    <w:p>
      <w:pPr>
        <w:pStyle w:val="Heading3"/>
        <w:rPr/>
      </w:pPr>
      <w:bookmarkStart w:id="59" w:name="__RefHeading___Toc32311349"/>
      <w:bookmarkEnd w:id="59"/>
      <w:r>
        <w:rPr/>
        <w:t>7.3.3</w:t>
        <w:tab/>
        <w:t>Traffic Characteristics</w:t>
      </w:r>
    </w:p>
    <w:p>
      <w:pPr>
        <w:pStyle w:val="Heading4"/>
        <w:ind w:left="1418" w:hanging="1418"/>
        <w:rPr/>
      </w:pPr>
      <w:bookmarkStart w:id="60" w:name="__RefHeading___Toc32311350"/>
      <w:bookmarkEnd w:id="60"/>
      <w:r>
        <w:rPr/>
        <w:t>7.3.3.1</w:t>
        <w:tab/>
        <w:t>Bitrate Characteristics</w:t>
      </w:r>
    </w:p>
    <w:p>
      <w:pPr>
        <w:pStyle w:val="Normal"/>
        <w:rPr/>
      </w:pPr>
      <w:r>
        <w:rPr/>
        <w:t xml:space="preserve">Average streaming bitrate </w:t>
      </w:r>
    </w:p>
    <w:p>
      <w:pPr>
        <w:pStyle w:val="B1"/>
        <w:rPr/>
      </w:pPr>
      <w:r>
        <w:rPr/>
        <w:t>-</w:t>
        <w:tab/>
        <w:t>STBs: 4-6Mbps</w:t>
      </w:r>
    </w:p>
    <w:p>
      <w:pPr>
        <w:pStyle w:val="B1"/>
        <w:rPr/>
      </w:pPr>
      <w:r>
        <w:rPr/>
        <w:t>-</w:t>
        <w:tab/>
        <w:t>Mobile applications and browsers: less than 4-6Mbps</w:t>
      </w:r>
    </w:p>
    <w:p>
      <w:pPr>
        <w:pStyle w:val="B1"/>
        <w:rPr/>
      </w:pPr>
      <w:r>
        <w:rPr>
          <w:lang w:val="fr-FR"/>
        </w:rPr>
        <w:t>-</w:t>
        <w:tab/>
        <w:t>4K content: 10-15Mbps</w:t>
      </w:r>
    </w:p>
    <w:p>
      <w:pPr>
        <w:pStyle w:val="Normal"/>
        <w:rPr>
          <w:lang w:val="fr-FR"/>
        </w:rPr>
      </w:pPr>
      <w:r>
        <w:rPr>
          <w:lang w:val="fr-FR"/>
        </w:rPr>
        <w:t>Average segment durations</w:t>
      </w:r>
    </w:p>
    <w:p>
      <w:pPr>
        <w:pStyle w:val="B1"/>
        <w:rPr>
          <w:rFonts w:eastAsia="MS Mincho;ＭＳ 明朝"/>
        </w:rPr>
      </w:pPr>
      <w:r>
        <w:rPr/>
        <w:t>-</w:t>
        <w:tab/>
        <w:t>6 seconds</w:t>
      </w:r>
    </w:p>
    <w:p>
      <w:pPr>
        <w:pStyle w:val="Heading4"/>
        <w:ind w:left="1418" w:hanging="1418"/>
        <w:rPr/>
      </w:pPr>
      <w:bookmarkStart w:id="61" w:name="__RefHeading___Toc32311351"/>
      <w:bookmarkEnd w:id="61"/>
      <w:r>
        <w:rPr/>
        <w:t>7.3.3.2</w:t>
        <w:tab/>
        <w:t xml:space="preserve">Other KPIs </w:t>
      </w:r>
    </w:p>
    <w:p>
      <w:pPr>
        <w:pStyle w:val="Normal"/>
        <w:rPr/>
      </w:pPr>
      <w:r>
        <w:rPr/>
        <w:t>Other KPIs such as video start time, video playback failure, rebuffering ratio, connection induced rebuffering, minimum/average bitrates, ABR adaptation frequency were not reported.</w:t>
      </w:r>
    </w:p>
    <w:p>
      <w:pPr>
        <w:pStyle w:val="Heading4"/>
        <w:ind w:left="1418" w:hanging="1418"/>
        <w:rPr/>
      </w:pPr>
      <w:bookmarkStart w:id="62" w:name="__RefHeading___Toc32311352"/>
      <w:bookmarkEnd w:id="62"/>
      <w:r>
        <w:rPr/>
        <w:t>7.3.3.3</w:t>
        <w:tab/>
        <w:t>Potential mapping to 5QIs</w:t>
      </w:r>
    </w:p>
    <w:p>
      <w:pPr>
        <w:pStyle w:val="Normal"/>
        <w:rPr>
          <w:rFonts w:eastAsia="MS Mincho;ＭＳ 明朝"/>
        </w:rPr>
      </w:pPr>
      <w:r>
        <w:rPr/>
        <w:t>Commonly targeted 5QI values are 6 and 8. Others are considered interesting for specific services.</w:t>
      </w:r>
    </w:p>
    <w:p>
      <w:pPr>
        <w:pStyle w:val="Heading1"/>
        <w:ind w:left="1134" w:hanging="1134"/>
        <w:rPr/>
      </w:pPr>
      <w:bookmarkStart w:id="63" w:name="__RefHeading___Toc32311353"/>
      <w:bookmarkEnd w:id="63"/>
      <w:r>
        <w:rPr/>
        <w:t>8</w:t>
        <w:tab/>
        <w:t>Applicability of existing 5Qis</w:t>
      </w:r>
    </w:p>
    <w:p>
      <w:pPr>
        <w:pStyle w:val="Heading2"/>
        <w:rPr/>
      </w:pPr>
      <w:bookmarkStart w:id="64" w:name="__RefHeading___Toc32311354"/>
      <w:bookmarkEnd w:id="64"/>
      <w:r>
        <w:rPr/>
        <w:t>8.1</w:t>
        <w:tab/>
        <w:t xml:space="preserve">QoS Model </w:t>
      </w:r>
    </w:p>
    <w:p>
      <w:pPr>
        <w:pStyle w:val="Heading3"/>
        <w:rPr/>
      </w:pPr>
      <w:bookmarkStart w:id="65" w:name="__RefHeading___Toc32311355"/>
      <w:bookmarkEnd w:id="65"/>
      <w:r>
        <w:rPr/>
        <w:t>8.1.1</w:t>
        <w:tab/>
        <w:t>Overview</w:t>
      </w:r>
    </w:p>
    <w:p>
      <w:pPr>
        <w:pStyle w:val="Normal"/>
        <w:rPr/>
      </w:pPr>
      <w:r>
        <w:rPr/>
        <w:t>Clause 5.7 of TS 23.501 [10] explains the QoS Model for 5G. The 5G QoS model is based on QoS Flows. The 5G QoS model supports both QoS Flows that require guaranteed flow bit rate (GBR QoS Flows) and QoS Flows that do not require guaranteed flow bit rate (Non-GBR QoS Flows). The 5G QoS model also supports Reflective QoS (see clause 5.7.5 of TS 23.501 [10]).</w:t>
      </w:r>
    </w:p>
    <w:p>
      <w:pPr>
        <w:pStyle w:val="Normal"/>
        <w:rPr/>
      </w:pPr>
      <w:r>
        <w:rPr/>
        <w:t xml:space="preserve">A QoS Flow ID (QFI) is used to identify a QoS Flow in the 5G System. User Plane traffic assigned to the same QoS Flow within a PDU Session receives the same traffic forwarding treatment </w:t>
      </w:r>
      <w:r>
        <w:rPr>
          <w:bCs/>
          <w:iCs/>
        </w:rPr>
        <w:t>(e.g.</w:t>
      </w:r>
      <w:r>
        <w:rPr/>
        <w:t xml:space="preserve"> scheduling, admission threshold). </w:t>
      </w:r>
    </w:p>
    <w:p>
      <w:pPr>
        <w:pStyle w:val="Normal"/>
        <w:rPr/>
      </w:pPr>
      <w:r>
        <w:rPr/>
        <w:t>The QFI may be dynamically assigned or may be equal to the 5QI, for more details on existing 5QI see clause 8.1.2.</w:t>
      </w:r>
    </w:p>
    <w:p>
      <w:pPr>
        <w:pStyle w:val="Normal"/>
        <w:rPr/>
      </w:pPr>
      <w:r>
        <w:rPr/>
        <w:t>A QoS Flow may either be 'GBR', 'Non-GBR' or "Delay Tolerant GBR" depending on its QoS profile and it contains QoS parameters as follows:</w:t>
      </w:r>
    </w:p>
    <w:p>
      <w:pPr>
        <w:pStyle w:val="B1"/>
        <w:rPr/>
      </w:pPr>
      <w:r>
        <w:rPr/>
        <w:t>-</w:t>
        <w:tab/>
        <w:t>For each QoS Flow, the QoS profile includes the QoS parameters:</w:t>
      </w:r>
    </w:p>
    <w:p>
      <w:pPr>
        <w:pStyle w:val="B2"/>
        <w:rPr/>
      </w:pPr>
      <w:r>
        <w:rPr/>
        <w:t>-</w:t>
        <w:tab/>
        <w:t>5G QoS Identifier (5QI); and</w:t>
      </w:r>
    </w:p>
    <w:p>
      <w:pPr>
        <w:pStyle w:val="B2"/>
        <w:rPr/>
      </w:pPr>
      <w:r>
        <w:rPr/>
        <w:t>-</w:t>
        <w:tab/>
        <w:t>Allocation and Retention Priority (ARP).</w:t>
      </w:r>
    </w:p>
    <w:p>
      <w:pPr>
        <w:pStyle w:val="B1"/>
        <w:rPr/>
      </w:pPr>
      <w:r>
        <w:rPr/>
        <w:t>-</w:t>
        <w:tab/>
        <w:t>For each Non-GBR QoS Flow only, the QoS profile can also include the QoS parameter:</w:t>
      </w:r>
    </w:p>
    <w:p>
      <w:pPr>
        <w:pStyle w:val="B2"/>
        <w:rPr/>
      </w:pPr>
      <w:r>
        <w:rPr/>
        <w:t>-</w:t>
        <w:tab/>
        <w:t>Reflective QoS Attribute (RQA).</w:t>
      </w:r>
    </w:p>
    <w:p>
      <w:pPr>
        <w:pStyle w:val="B1"/>
        <w:rPr/>
      </w:pPr>
      <w:r>
        <w:rPr/>
        <w:t>-</w:t>
        <w:tab/>
        <w:t>For each GBR QoS Flow only, the QoS profile also include the QoS parameters:</w:t>
      </w:r>
    </w:p>
    <w:p>
      <w:pPr>
        <w:pStyle w:val="B2"/>
        <w:rPr/>
      </w:pPr>
      <w:r>
        <w:rPr/>
        <w:t>-</w:t>
        <w:tab/>
        <w:t>Guaranteed Flow Bit Rate (GFBR) - UL and DL; and</w:t>
      </w:r>
    </w:p>
    <w:p>
      <w:pPr>
        <w:pStyle w:val="B2"/>
        <w:rPr/>
      </w:pPr>
      <w:r>
        <w:rPr/>
        <w:t>-</w:t>
        <w:tab/>
        <w:t>Maximum Flow Bit Rate (MFBR) - UL and DL; and</w:t>
      </w:r>
    </w:p>
    <w:p>
      <w:pPr>
        <w:pStyle w:val="B1"/>
        <w:rPr/>
      </w:pPr>
      <w:r>
        <w:rPr/>
        <w:t>-</w:t>
        <w:tab/>
        <w:t>In the case of a GBR QoS Flow only, the QoS profile can also include one or more of the QoS parameters:</w:t>
      </w:r>
    </w:p>
    <w:p>
      <w:pPr>
        <w:pStyle w:val="B2"/>
        <w:rPr/>
      </w:pPr>
      <w:r>
        <w:rPr/>
        <w:t>-</w:t>
        <w:tab/>
        <w:t>Notification control;</w:t>
      </w:r>
    </w:p>
    <w:p>
      <w:pPr>
        <w:pStyle w:val="B2"/>
        <w:rPr>
          <w:lang w:eastAsia="zh-CN"/>
        </w:rPr>
      </w:pPr>
      <w:r>
        <w:rPr>
          <w:lang w:eastAsia="zh-CN"/>
        </w:rPr>
        <w:t>-</w:t>
        <w:tab/>
        <w:t xml:space="preserve">Maximum Packet Loss Rate - </w:t>
      </w:r>
      <w:r>
        <w:rPr/>
        <w:t>UL and DL</w:t>
      </w:r>
    </w:p>
    <w:p>
      <w:pPr>
        <w:pStyle w:val="B2"/>
        <w:ind w:left="0" w:hanging="0"/>
        <w:rPr/>
      </w:pPr>
      <w:r>
        <w:rPr/>
        <w:t>The usage of a dynamically assigned 5QI for a QoS Flow requires in addition the signalling of the complete 5G QoS characteristics (described in clause 5.7.3 of TS 23.501 [10]) as part of the QoS profile.</w:t>
      </w:r>
    </w:p>
    <w:p>
      <w:pPr>
        <w:pStyle w:val="Normal"/>
        <w:rPr/>
      </w:pPr>
      <w:r>
        <w:rPr/>
        <w:t>The principle for classification and marking of User Plane traffic and mapping of QoS Flows to Access Network (AN) resources is illustrated in Figure 8-1-1.</w:t>
      </w:r>
    </w:p>
    <w:p>
      <w:pPr>
        <w:pStyle w:val="TH"/>
        <w:rPr/>
      </w:pPr>
      <w:r>
        <w:rPr/>
        <w:object w:dxaOrig="9111" w:dyaOrig="4344">
          <v:shapetype id="_x0000_tole_rId10" coordsize="21600,21600" o:spt="ole_rId1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 type="_x0000_tole_rId10" style="width:455.55pt;height:217.2pt" filled="f" o:ole="">
            <v:imagedata r:id="rId11" o:title=""/>
          </v:shape>
          <o:OLEObject Type="Embed" ProgID="" ShapeID="ole_rId10" DrawAspect="Content" ObjectID="_1163773882" r:id="rId10"/>
        </w:object>
      </w:r>
    </w:p>
    <w:p>
      <w:pPr>
        <w:pStyle w:val="TF"/>
        <w:rPr/>
      </w:pPr>
      <w:r>
        <w:rPr/>
        <w:t>Figure 8.1-1: The principle for classification and User Plane marking for QoS Flows and mapping to AN Resources</w:t>
      </w:r>
    </w:p>
    <w:p>
      <w:pPr>
        <w:pStyle w:val="Heading3"/>
        <w:rPr/>
      </w:pPr>
      <w:bookmarkStart w:id="66" w:name="__RefHeading___Toc32311356"/>
      <w:bookmarkEnd w:id="66"/>
      <w:r>
        <w:rPr/>
        <w:t>8.1.2</w:t>
        <w:tab/>
        <w:t xml:space="preserve">5G QoS Parameters </w:t>
      </w:r>
    </w:p>
    <w:p>
      <w:pPr>
        <w:pStyle w:val="Normal"/>
        <w:rPr/>
      </w:pPr>
      <w:r>
        <w:rPr/>
        <w:t>A 5QI is a scalar that is used as a reference to 5G QoS characteristics defined in clause 5.7.4 of TS 23.501 [10], i.e. access node-specific parameters that control QoS forwarding treatment for the QoS Flow (e.g. scheduling weights, admission thresholds, queue management thresholds, link layer protocol configuration, etc.).</w:t>
      </w:r>
    </w:p>
    <w:p>
      <w:pPr>
        <w:pStyle w:val="Normal"/>
        <w:rPr/>
      </w:pPr>
      <w:r>
        <w:rPr/>
        <w:t xml:space="preserve">Standardized 5QI values have one-to-one mapping to a standardized combination of 5G QoS characteristics as specified in Table 5.7.4-1 of TS 23.501 [10] and shown below in Table 8.1.4-1. </w:t>
      </w:r>
    </w:p>
    <w:p>
      <w:pPr>
        <w:pStyle w:val="Normal"/>
        <w:rPr/>
      </w:pPr>
      <w:r>
        <w:rPr/>
        <w:t>A summary of the most relevant QoS Parameters is provided as follows. For details, please refer to TS 23.501 [10], clause 5.7.2:</w:t>
      </w:r>
    </w:p>
    <w:p>
      <w:pPr>
        <w:pStyle w:val="B1"/>
        <w:rPr/>
      </w:pPr>
      <w:r>
        <w:rPr/>
        <w:t>-</w:t>
        <w:tab/>
        <w:t>Guaranteed Flow Bit Rate (GFBR) - UL and DL, for GBR QoS Flows only: denotes the bit rate that is guaranteed to be provided by the network to the QoS Flow over the Averaging Time Window.</w:t>
      </w:r>
    </w:p>
    <w:p>
      <w:pPr>
        <w:pStyle w:val="B1"/>
        <w:rPr/>
      </w:pPr>
      <w:r>
        <w:rPr/>
        <w:t>-</w:t>
        <w:tab/>
        <w:t>Maximum Flow Bit Rate (MFBR) -- UL and DL, for GBR QoS Flows only limits the bit rate to the highest bit rate that is expected by the QoS Flow (e.g. excess traffic may get discarded or delayed by a rate shaping or policing function).</w:t>
      </w:r>
    </w:p>
    <w:p>
      <w:pPr>
        <w:pStyle w:val="B1"/>
        <w:rPr/>
      </w:pPr>
      <w:r>
        <w:rPr/>
        <w:t>-</w:t>
        <w:tab/>
        <w:t>The Maximum Packet Loss Rate (UL, DL) indicates the maximum rate for lost packets of the QoS flow that can be tolerated in the uplink and downlink direction, if the flow is compliant to the GFBR and is only used for voice media traffic in rel.16.</w:t>
      </w:r>
    </w:p>
    <w:p>
      <w:pPr>
        <w:pStyle w:val="Heading3"/>
        <w:rPr/>
      </w:pPr>
      <w:bookmarkStart w:id="67" w:name="__RefHeading___Toc32311357"/>
      <w:bookmarkEnd w:id="67"/>
      <w:r>
        <w:rPr/>
        <w:t>8.1.3</w:t>
        <w:tab/>
        <w:t>5G QoS Characteristics</w:t>
      </w:r>
    </w:p>
    <w:p>
      <w:pPr>
        <w:pStyle w:val="Normal"/>
        <w:rPr/>
      </w:pPr>
      <w:r>
        <w:rPr/>
        <w:t>In addition to 5G QoS parameters, also 5G QoS characteristics are defined in TS 23.501 [10]. The characteristics describe the packet forwarding treatment that a QoS Flow receives edge-to-edge between the UE and the UPF in terms of the following performance characteristics:</w:t>
      </w:r>
    </w:p>
    <w:p>
      <w:pPr>
        <w:pStyle w:val="B1"/>
        <w:rPr/>
      </w:pPr>
      <w:r>
        <w:rPr/>
        <w:t>1)</w:t>
        <w:tab/>
        <w:t>Resource Type (GBR, Delay critical GBR or Non-GBR): determines if dedicated network resources related to a QoS Flow-level Guaranteed Flow Bit Rate (GFBR) value are permanently allocated (e.g. by an admission control function in a radio base station).</w:t>
      </w:r>
    </w:p>
    <w:p>
      <w:pPr>
        <w:pStyle w:val="B1"/>
        <w:rPr/>
      </w:pPr>
      <w:r>
        <w:rPr/>
        <w:t>2)</w:t>
        <w:tab/>
        <w:t>Priority level; indicates a priority in scheduling resources among QoS Flows.</w:t>
      </w:r>
    </w:p>
    <w:p>
      <w:pPr>
        <w:pStyle w:val="B1"/>
        <w:rPr/>
      </w:pPr>
      <w:r>
        <w:rPr/>
        <w:t>3)</w:t>
        <w:tab/>
        <w:t xml:space="preserve">Packet Delay Budget; defines an upper bound for the time that a packet may be delayed between the UE and the </w:t>
      </w:r>
      <w:r>
        <w:rPr>
          <w:lang w:eastAsia="zh-CN"/>
        </w:rPr>
        <w:t xml:space="preserve">UPF that terminates the N6 interface. </w:t>
      </w:r>
      <w:r>
        <w:rPr/>
        <w:t xml:space="preserve">In uncongested scenarios, 98 percent of the packets are expected to be within the packet delay budget. </w:t>
      </w:r>
    </w:p>
    <w:p>
      <w:pPr>
        <w:pStyle w:val="B1"/>
        <w:rPr/>
      </w:pPr>
      <w:r>
        <w:rPr/>
        <w:t>4)</w:t>
        <w:tab/>
        <w:t>Packet Error Rate: The Packet Error Rate (PER) defines an upper bound for the rate of PDUs (e.g. IP packets) that have been processed by the sender of a link layer protocol (e.g. RLC in RAN of a 3GPP access) but that are not successfully delivered by the corresponding receiver to the upper layer (e.g. PDCP in RAN of a 3GPP access).</w:t>
      </w:r>
    </w:p>
    <w:p>
      <w:pPr>
        <w:pStyle w:val="B1"/>
        <w:rPr/>
      </w:pPr>
      <w:r>
        <w:rPr/>
        <w:t>5)</w:t>
        <w:tab/>
        <w:t>A</w:t>
      </w:r>
      <w:r>
        <w:rPr>
          <w:lang w:eastAsia="zh-CN"/>
        </w:rPr>
        <w:t xml:space="preserve">veraging window (for GBR and Delay-critical GBR resource type only); </w:t>
      </w:r>
      <w:r>
        <w:rPr/>
        <w:t>The Averaging window represents the duration over which the GFBR and MFBR are calculated.</w:t>
      </w:r>
    </w:p>
    <w:p>
      <w:pPr>
        <w:pStyle w:val="B1"/>
        <w:rPr/>
      </w:pPr>
      <w:r>
        <w:rPr/>
        <w:t>6)</w:t>
        <w:tab/>
        <w:t>Maximum Data Burst Volume (for Delay-critical GBR resource type only): denotes the largest amount of data that the 5G-AN is required to serve within a period of 5G-AN PDB.</w:t>
      </w:r>
    </w:p>
    <w:p>
      <w:pPr>
        <w:pStyle w:val="Normal"/>
        <w:rPr/>
      </w:pPr>
      <w:r>
        <w:rPr/>
        <w:t>Standardized or pre-configured 5G QoS characteristics, are indicated through the 5QI value. Signalled 5G QoS characteristics are provided as part of the QoS profile and include all of the characteristics listed above.</w:t>
      </w:r>
    </w:p>
    <w:p>
      <w:pPr>
        <w:pStyle w:val="Heading3"/>
        <w:rPr/>
      </w:pPr>
      <w:bookmarkStart w:id="68" w:name="__RefHeading___Toc32311358"/>
      <w:bookmarkEnd w:id="68"/>
      <w:r>
        <w:rPr/>
        <w:t>8.1.4</w:t>
        <w:tab/>
        <w:t>Standardized 5QI to QoS characteristics mapping</w:t>
      </w:r>
    </w:p>
    <w:p>
      <w:pPr>
        <w:pStyle w:val="Normal"/>
        <w:rPr/>
      </w:pPr>
      <w:r>
        <w:rPr/>
        <w:t>The one-to-one mapping of standardized 5QI values to 5G QoS characteristics is specified in table 5.7.4-1 if TS 23.501 [10] and shown below in Table 8.1.4-1.</w:t>
      </w:r>
    </w:p>
    <w:p>
      <w:pPr>
        <w:pStyle w:val="TH"/>
        <w:rPr/>
      </w:pPr>
      <w:r>
        <w:rPr/>
        <w:t xml:space="preserve">Table 8.1.4-1: Standardized 5QI to QoS characteristics mapping </w:t>
        <w:br/>
        <w:t>(identical to Table 5.7.4.1-1 in TS 23.501 [10])</w:t>
      </w:r>
    </w:p>
    <w:tbl>
      <w:tblPr>
        <w:tblW w:w="10033" w:type="dxa"/>
        <w:jc w:val="left"/>
        <w:tblInd w:w="-299" w:type="dxa"/>
        <w:tblLayout w:type="fixed"/>
        <w:tblCellMar>
          <w:top w:w="0" w:type="dxa"/>
          <w:left w:w="108" w:type="dxa"/>
          <w:bottom w:w="0" w:type="dxa"/>
          <w:right w:w="108" w:type="dxa"/>
        </w:tblCellMar>
      </w:tblPr>
      <w:tblGrid>
        <w:gridCol w:w="1024"/>
        <w:gridCol w:w="1061"/>
        <w:gridCol w:w="918"/>
        <w:gridCol w:w="1088"/>
        <w:gridCol w:w="797"/>
        <w:gridCol w:w="1324"/>
        <w:gridCol w:w="1671"/>
        <w:gridCol w:w="2150"/>
      </w:tblGrid>
      <w:tr>
        <w:trPr/>
        <w:tc>
          <w:tcPr>
            <w:tcW w:w="1024" w:type="dxa"/>
            <w:tcBorders>
              <w:top w:val="single" w:sz="12" w:space="0" w:color="000000"/>
              <w:left w:val="single" w:sz="12" w:space="0" w:color="000000"/>
              <w:bottom w:val="single" w:sz="12" w:space="0" w:color="000000"/>
              <w:right w:val="single" w:sz="12" w:space="0" w:color="000000"/>
            </w:tcBorders>
          </w:tcPr>
          <w:p>
            <w:pPr>
              <w:pStyle w:val="TAH"/>
              <w:rPr/>
            </w:pPr>
            <w:r>
              <w:rPr/>
              <w:t>5QI</w:t>
            </w:r>
          </w:p>
          <w:p>
            <w:pPr>
              <w:pStyle w:val="TAH"/>
              <w:rPr/>
            </w:pPr>
            <w:r>
              <w:rPr/>
              <w:t>Value</w:t>
            </w:r>
          </w:p>
        </w:tc>
        <w:tc>
          <w:tcPr>
            <w:tcW w:w="1061" w:type="dxa"/>
            <w:tcBorders>
              <w:top w:val="single" w:sz="12" w:space="0" w:color="000000"/>
              <w:left w:val="single" w:sz="12" w:space="0" w:color="000000"/>
              <w:bottom w:val="single" w:sz="12" w:space="0" w:color="000000"/>
              <w:right w:val="single" w:sz="12" w:space="0" w:color="000000"/>
            </w:tcBorders>
          </w:tcPr>
          <w:p>
            <w:pPr>
              <w:pStyle w:val="TAH"/>
              <w:rPr/>
            </w:pPr>
            <w:r>
              <w:rPr/>
              <w:t>Resource Type</w:t>
            </w:r>
          </w:p>
        </w:tc>
        <w:tc>
          <w:tcPr>
            <w:tcW w:w="918" w:type="dxa"/>
            <w:tcBorders>
              <w:top w:val="single" w:sz="12" w:space="0" w:color="000000"/>
              <w:left w:val="single" w:sz="12" w:space="0" w:color="000000"/>
              <w:bottom w:val="single" w:sz="12" w:space="0" w:color="000000"/>
              <w:right w:val="single" w:sz="12" w:space="0" w:color="000000"/>
            </w:tcBorders>
          </w:tcPr>
          <w:p>
            <w:pPr>
              <w:pStyle w:val="TAH"/>
              <w:rPr/>
            </w:pPr>
            <w:r>
              <w:rPr/>
              <w:t>Default Priority Level</w:t>
            </w:r>
          </w:p>
        </w:tc>
        <w:tc>
          <w:tcPr>
            <w:tcW w:w="1088" w:type="dxa"/>
            <w:tcBorders>
              <w:top w:val="single" w:sz="12" w:space="0" w:color="000000"/>
              <w:left w:val="single" w:sz="12" w:space="0" w:color="000000"/>
              <w:bottom w:val="single" w:sz="12" w:space="0" w:color="000000"/>
              <w:right w:val="single" w:sz="12" w:space="0" w:color="000000"/>
            </w:tcBorders>
          </w:tcPr>
          <w:p>
            <w:pPr>
              <w:pStyle w:val="TAH"/>
              <w:rPr/>
            </w:pPr>
            <w:r>
              <w:rPr/>
              <w:t>Packet Delay Budget</w:t>
            </w:r>
          </w:p>
        </w:tc>
        <w:tc>
          <w:tcPr>
            <w:tcW w:w="797" w:type="dxa"/>
            <w:tcBorders>
              <w:top w:val="single" w:sz="12" w:space="0" w:color="000000"/>
              <w:left w:val="single" w:sz="12" w:space="0" w:color="000000"/>
              <w:bottom w:val="single" w:sz="12" w:space="0" w:color="000000"/>
              <w:right w:val="single" w:sz="12" w:space="0" w:color="000000"/>
            </w:tcBorders>
          </w:tcPr>
          <w:p>
            <w:pPr>
              <w:pStyle w:val="TAH"/>
              <w:rPr/>
            </w:pPr>
            <w:r>
              <w:rPr/>
              <w:t>Packet Error</w:t>
            </w:r>
          </w:p>
          <w:p>
            <w:pPr>
              <w:pStyle w:val="TAH"/>
              <w:rPr/>
            </w:pPr>
            <w:r>
              <w:rPr/>
              <w:t xml:space="preserve">Rate </w:t>
            </w:r>
          </w:p>
        </w:tc>
        <w:tc>
          <w:tcPr>
            <w:tcW w:w="1324" w:type="dxa"/>
            <w:tcBorders>
              <w:top w:val="single" w:sz="12" w:space="0" w:color="000000"/>
              <w:left w:val="single" w:sz="12" w:space="0" w:color="000000"/>
              <w:bottom w:val="single" w:sz="12" w:space="0" w:color="000000"/>
              <w:right w:val="single" w:sz="12" w:space="0" w:color="000000"/>
            </w:tcBorders>
          </w:tcPr>
          <w:p>
            <w:pPr>
              <w:pStyle w:val="TAH"/>
              <w:rPr/>
            </w:pPr>
            <w:r>
              <w:rPr/>
              <w:t>Default Maximum Data Burst Volume</w:t>
            </w:r>
          </w:p>
          <w:p>
            <w:pPr>
              <w:pStyle w:val="TAH"/>
              <w:rPr/>
            </w:pPr>
            <w:r>
              <w:rPr/>
              <w:t>(NOTE 2)</w:t>
            </w:r>
          </w:p>
        </w:tc>
        <w:tc>
          <w:tcPr>
            <w:tcW w:w="1671" w:type="dxa"/>
            <w:tcBorders>
              <w:top w:val="single" w:sz="12" w:space="0" w:color="000000"/>
              <w:left w:val="single" w:sz="12" w:space="0" w:color="000000"/>
              <w:bottom w:val="single" w:sz="12" w:space="0" w:color="000000"/>
              <w:right w:val="single" w:sz="12" w:space="0" w:color="000000"/>
            </w:tcBorders>
          </w:tcPr>
          <w:p>
            <w:pPr>
              <w:pStyle w:val="TAH"/>
              <w:rPr/>
            </w:pPr>
            <w:r>
              <w:rPr/>
              <w:t>Default</w:t>
            </w:r>
          </w:p>
          <w:p>
            <w:pPr>
              <w:pStyle w:val="TAH"/>
              <w:rPr/>
            </w:pPr>
            <w:r>
              <w:rPr/>
              <w:t>Averaging Window</w:t>
            </w:r>
          </w:p>
        </w:tc>
        <w:tc>
          <w:tcPr>
            <w:tcW w:w="2150" w:type="dxa"/>
            <w:tcBorders>
              <w:top w:val="single" w:sz="12" w:space="0" w:color="000000"/>
              <w:left w:val="single" w:sz="12" w:space="0" w:color="000000"/>
              <w:bottom w:val="single" w:sz="12" w:space="0" w:color="000000"/>
              <w:right w:val="single" w:sz="12" w:space="0" w:color="000000"/>
            </w:tcBorders>
          </w:tcPr>
          <w:p>
            <w:pPr>
              <w:pStyle w:val="TAH"/>
              <w:rPr/>
            </w:pPr>
            <w:r>
              <w:rPr/>
              <w:t>Example Services</w:t>
            </w:r>
          </w:p>
        </w:tc>
      </w:tr>
      <w:tr>
        <w:trPr/>
        <w:tc>
          <w:tcPr>
            <w:tcW w:w="1024" w:type="dxa"/>
            <w:tcBorders>
              <w:top w:val="single" w:sz="12" w:space="0" w:color="000000"/>
              <w:left w:val="single" w:sz="12" w:space="0" w:color="000000"/>
              <w:bottom w:val="single" w:sz="12" w:space="0" w:color="000000"/>
              <w:right w:val="single" w:sz="12" w:space="0" w:color="000000"/>
            </w:tcBorders>
          </w:tcPr>
          <w:p>
            <w:pPr>
              <w:pStyle w:val="TAC"/>
              <w:rPr/>
            </w:pPr>
            <w:r>
              <w:rPr/>
              <w:t>1</w:t>
              <w:br/>
            </w:r>
          </w:p>
        </w:tc>
        <w:tc>
          <w:tcPr>
            <w:tcW w:w="1061" w:type="dxa"/>
            <w:tcBorders>
              <w:top w:val="single" w:sz="12" w:space="0" w:color="000000"/>
              <w:left w:val="single" w:sz="12" w:space="0" w:color="000000"/>
              <w:right w:val="single" w:sz="12" w:space="0" w:color="000000"/>
            </w:tcBorders>
          </w:tcPr>
          <w:p>
            <w:pPr>
              <w:pStyle w:val="TAC"/>
              <w:rPr/>
            </w:pPr>
            <w:r>
              <w:rPr/>
              <w:br/>
              <w:t>GBR</w:t>
            </w:r>
          </w:p>
        </w:tc>
        <w:tc>
          <w:tcPr>
            <w:tcW w:w="918" w:type="dxa"/>
            <w:tcBorders>
              <w:top w:val="single" w:sz="12" w:space="0" w:color="000000"/>
              <w:left w:val="single" w:sz="12" w:space="0" w:color="000000"/>
              <w:bottom w:val="single" w:sz="12" w:space="0" w:color="000000"/>
              <w:right w:val="single" w:sz="12" w:space="0" w:color="000000"/>
            </w:tcBorders>
          </w:tcPr>
          <w:p>
            <w:pPr>
              <w:pStyle w:val="TAC"/>
              <w:rPr/>
            </w:pPr>
            <w:r>
              <w:rPr/>
              <w:t>20</w:t>
            </w:r>
          </w:p>
        </w:tc>
        <w:tc>
          <w:tcPr>
            <w:tcW w:w="1088" w:type="dxa"/>
            <w:tcBorders>
              <w:top w:val="single" w:sz="12" w:space="0" w:color="000000"/>
              <w:left w:val="single" w:sz="12" w:space="0" w:color="000000"/>
              <w:bottom w:val="single" w:sz="12" w:space="0" w:color="000000"/>
              <w:right w:val="single" w:sz="12" w:space="0" w:color="000000"/>
            </w:tcBorders>
          </w:tcPr>
          <w:p>
            <w:pPr>
              <w:pStyle w:val="TAC"/>
              <w:rPr/>
            </w:pPr>
            <w:r>
              <w:rPr/>
              <w:t>100 ms</w:t>
            </w:r>
          </w:p>
        </w:tc>
        <w:tc>
          <w:tcPr>
            <w:tcW w:w="797" w:type="dxa"/>
            <w:tcBorders>
              <w:top w:val="single" w:sz="12" w:space="0" w:color="000000"/>
              <w:left w:val="single" w:sz="12" w:space="0" w:color="000000"/>
              <w:bottom w:val="single" w:sz="12" w:space="0" w:color="000000"/>
              <w:right w:val="single" w:sz="12" w:space="0" w:color="000000"/>
            </w:tcBorders>
          </w:tcPr>
          <w:p>
            <w:pPr>
              <w:pStyle w:val="TAC"/>
              <w:rPr/>
            </w:pPr>
            <w:r>
              <w:rPr/>
              <w:t>10</w:t>
            </w:r>
            <w:r>
              <w:rPr>
                <w:sz w:val="22"/>
                <w:vertAlign w:val="superscript"/>
              </w:rPr>
              <w:t>-2</w:t>
            </w:r>
          </w:p>
        </w:tc>
        <w:tc>
          <w:tcPr>
            <w:tcW w:w="1324" w:type="dxa"/>
            <w:tcBorders>
              <w:top w:val="single" w:sz="12" w:space="0" w:color="000000"/>
              <w:left w:val="single" w:sz="12" w:space="0" w:color="000000"/>
              <w:bottom w:val="single" w:sz="12" w:space="0" w:color="000000"/>
              <w:right w:val="single" w:sz="12" w:space="0" w:color="000000"/>
            </w:tcBorders>
          </w:tcPr>
          <w:p>
            <w:pPr>
              <w:pStyle w:val="TAL"/>
              <w:rPr/>
            </w:pPr>
            <w:r>
              <w:rPr/>
              <w:t>N/A</w:t>
            </w:r>
          </w:p>
        </w:tc>
        <w:tc>
          <w:tcPr>
            <w:tcW w:w="1671" w:type="dxa"/>
            <w:tcBorders>
              <w:top w:val="single" w:sz="12" w:space="0" w:color="000000"/>
              <w:left w:val="single" w:sz="12" w:space="0" w:color="000000"/>
              <w:bottom w:val="single" w:sz="12" w:space="0" w:color="000000"/>
              <w:right w:val="single" w:sz="12" w:space="0" w:color="000000"/>
            </w:tcBorders>
          </w:tcPr>
          <w:p>
            <w:pPr>
              <w:pStyle w:val="TAL"/>
              <w:rPr/>
            </w:pPr>
            <w:r>
              <w:rPr/>
              <w:t>2000 ms</w:t>
            </w:r>
          </w:p>
        </w:tc>
        <w:tc>
          <w:tcPr>
            <w:tcW w:w="2150" w:type="dxa"/>
            <w:tcBorders>
              <w:top w:val="single" w:sz="12" w:space="0" w:color="000000"/>
              <w:left w:val="single" w:sz="12" w:space="0" w:color="000000"/>
              <w:bottom w:val="single" w:sz="12" w:space="0" w:color="000000"/>
              <w:right w:val="single" w:sz="12" w:space="0" w:color="000000"/>
            </w:tcBorders>
          </w:tcPr>
          <w:p>
            <w:pPr>
              <w:pStyle w:val="TAL"/>
              <w:rPr/>
            </w:pPr>
            <w:r>
              <w:rPr/>
              <w:t>Conversational Voice</w:t>
            </w:r>
          </w:p>
        </w:tc>
      </w:tr>
      <w:tr>
        <w:trPr/>
        <w:tc>
          <w:tcPr>
            <w:tcW w:w="1024" w:type="dxa"/>
            <w:tcBorders>
              <w:top w:val="single" w:sz="12" w:space="0" w:color="000000"/>
              <w:left w:val="single" w:sz="12" w:space="0" w:color="000000"/>
              <w:bottom w:val="single" w:sz="12" w:space="0" w:color="000000"/>
              <w:right w:val="single" w:sz="12" w:space="0" w:color="000000"/>
            </w:tcBorders>
          </w:tcPr>
          <w:p>
            <w:pPr>
              <w:pStyle w:val="TAC"/>
              <w:rPr/>
            </w:pPr>
            <w:r>
              <w:rPr/>
              <w:t>2</w:t>
              <w:br/>
            </w:r>
          </w:p>
        </w:tc>
        <w:tc>
          <w:tcPr>
            <w:tcW w:w="1061" w:type="dxa"/>
            <w:tcBorders>
              <w:left w:val="single" w:sz="12" w:space="0" w:color="000000"/>
              <w:right w:val="single" w:sz="12" w:space="0" w:color="000000"/>
            </w:tcBorders>
          </w:tcPr>
          <w:p>
            <w:pPr>
              <w:pStyle w:val="TAC"/>
              <w:rPr/>
            </w:pPr>
            <w:r>
              <w:rPr/>
              <w:t>(NOTE 1)</w:t>
            </w:r>
          </w:p>
        </w:tc>
        <w:tc>
          <w:tcPr>
            <w:tcW w:w="918" w:type="dxa"/>
            <w:tcBorders>
              <w:top w:val="single" w:sz="12" w:space="0" w:color="000000"/>
              <w:left w:val="single" w:sz="12" w:space="0" w:color="000000"/>
              <w:bottom w:val="single" w:sz="12" w:space="0" w:color="000000"/>
              <w:right w:val="single" w:sz="12" w:space="0" w:color="000000"/>
            </w:tcBorders>
          </w:tcPr>
          <w:p>
            <w:pPr>
              <w:pStyle w:val="TAC"/>
              <w:rPr/>
            </w:pPr>
            <w:r>
              <w:rPr/>
              <w:t>40</w:t>
            </w:r>
          </w:p>
        </w:tc>
        <w:tc>
          <w:tcPr>
            <w:tcW w:w="1088" w:type="dxa"/>
            <w:tcBorders>
              <w:top w:val="single" w:sz="12" w:space="0" w:color="000000"/>
              <w:left w:val="single" w:sz="12" w:space="0" w:color="000000"/>
              <w:bottom w:val="single" w:sz="12" w:space="0" w:color="000000"/>
              <w:right w:val="single" w:sz="12" w:space="0" w:color="000000"/>
            </w:tcBorders>
          </w:tcPr>
          <w:p>
            <w:pPr>
              <w:pStyle w:val="TAC"/>
              <w:rPr/>
            </w:pPr>
            <w:r>
              <w:rPr/>
              <w:t>150 ms</w:t>
            </w:r>
          </w:p>
        </w:tc>
        <w:tc>
          <w:tcPr>
            <w:tcW w:w="797" w:type="dxa"/>
            <w:tcBorders>
              <w:top w:val="single" w:sz="12" w:space="0" w:color="000000"/>
              <w:left w:val="single" w:sz="12" w:space="0" w:color="000000"/>
              <w:bottom w:val="single" w:sz="12" w:space="0" w:color="000000"/>
              <w:right w:val="single" w:sz="12" w:space="0" w:color="000000"/>
            </w:tcBorders>
          </w:tcPr>
          <w:p>
            <w:pPr>
              <w:pStyle w:val="TAC"/>
              <w:rPr/>
            </w:pPr>
            <w:r>
              <w:rPr/>
              <w:t>10</w:t>
            </w:r>
            <w:r>
              <w:rPr>
                <w:sz w:val="22"/>
                <w:vertAlign w:val="superscript"/>
              </w:rPr>
              <w:t>-3</w:t>
            </w:r>
          </w:p>
        </w:tc>
        <w:tc>
          <w:tcPr>
            <w:tcW w:w="1324" w:type="dxa"/>
            <w:tcBorders>
              <w:top w:val="single" w:sz="12" w:space="0" w:color="000000"/>
              <w:left w:val="single" w:sz="12" w:space="0" w:color="000000"/>
              <w:bottom w:val="single" w:sz="12" w:space="0" w:color="000000"/>
              <w:right w:val="single" w:sz="12" w:space="0" w:color="000000"/>
            </w:tcBorders>
          </w:tcPr>
          <w:p>
            <w:pPr>
              <w:pStyle w:val="TAL"/>
              <w:rPr/>
            </w:pPr>
            <w:r>
              <w:rPr/>
              <w:t>N/A</w:t>
            </w:r>
          </w:p>
        </w:tc>
        <w:tc>
          <w:tcPr>
            <w:tcW w:w="1671" w:type="dxa"/>
            <w:tcBorders>
              <w:top w:val="single" w:sz="12" w:space="0" w:color="000000"/>
              <w:left w:val="single" w:sz="12" w:space="0" w:color="000000"/>
              <w:bottom w:val="single" w:sz="12" w:space="0" w:color="000000"/>
              <w:right w:val="single" w:sz="12" w:space="0" w:color="000000"/>
            </w:tcBorders>
          </w:tcPr>
          <w:p>
            <w:pPr>
              <w:pStyle w:val="TAL"/>
              <w:rPr/>
            </w:pPr>
            <w:r>
              <w:rPr/>
              <w:t>2000 ms</w:t>
            </w:r>
          </w:p>
        </w:tc>
        <w:tc>
          <w:tcPr>
            <w:tcW w:w="2150" w:type="dxa"/>
            <w:tcBorders>
              <w:top w:val="single" w:sz="12" w:space="0" w:color="000000"/>
              <w:left w:val="single" w:sz="12" w:space="0" w:color="000000"/>
              <w:bottom w:val="single" w:sz="12" w:space="0" w:color="000000"/>
              <w:right w:val="single" w:sz="12" w:space="0" w:color="000000"/>
            </w:tcBorders>
          </w:tcPr>
          <w:p>
            <w:pPr>
              <w:pStyle w:val="TAL"/>
              <w:rPr/>
            </w:pPr>
            <w:r>
              <w:rPr/>
              <w:t>Conversational Video (Live Streaming)</w:t>
            </w:r>
          </w:p>
        </w:tc>
      </w:tr>
      <w:tr>
        <w:trPr/>
        <w:tc>
          <w:tcPr>
            <w:tcW w:w="1024" w:type="dxa"/>
            <w:tcBorders>
              <w:top w:val="single" w:sz="12" w:space="0" w:color="000000"/>
              <w:left w:val="single" w:sz="12" w:space="0" w:color="000000"/>
              <w:bottom w:val="single" w:sz="12" w:space="0" w:color="000000"/>
              <w:right w:val="single" w:sz="12" w:space="0" w:color="000000"/>
            </w:tcBorders>
          </w:tcPr>
          <w:p>
            <w:pPr>
              <w:pStyle w:val="TAC"/>
              <w:rPr/>
            </w:pPr>
            <w:r>
              <w:rPr/>
              <w:t>3</w:t>
            </w:r>
          </w:p>
        </w:tc>
        <w:tc>
          <w:tcPr>
            <w:tcW w:w="1061" w:type="dxa"/>
            <w:tcBorders>
              <w:left w:val="single" w:sz="12" w:space="0" w:color="000000"/>
              <w:right w:val="single" w:sz="12" w:space="0" w:color="000000"/>
            </w:tcBorders>
          </w:tcPr>
          <w:p>
            <w:pPr>
              <w:pStyle w:val="TAC"/>
              <w:snapToGrid w:val="false"/>
              <w:rPr/>
            </w:pPr>
            <w:r>
              <w:rPr/>
            </w:r>
          </w:p>
        </w:tc>
        <w:tc>
          <w:tcPr>
            <w:tcW w:w="918" w:type="dxa"/>
            <w:tcBorders>
              <w:top w:val="single" w:sz="12" w:space="0" w:color="000000"/>
              <w:left w:val="single" w:sz="12" w:space="0" w:color="000000"/>
              <w:bottom w:val="single" w:sz="12" w:space="0" w:color="000000"/>
              <w:right w:val="single" w:sz="12" w:space="0" w:color="000000"/>
            </w:tcBorders>
          </w:tcPr>
          <w:p>
            <w:pPr>
              <w:pStyle w:val="TAC"/>
              <w:rPr/>
            </w:pPr>
            <w:r>
              <w:rPr/>
              <w:t>30</w:t>
            </w:r>
          </w:p>
        </w:tc>
        <w:tc>
          <w:tcPr>
            <w:tcW w:w="1088" w:type="dxa"/>
            <w:tcBorders>
              <w:top w:val="single" w:sz="12" w:space="0" w:color="000000"/>
              <w:left w:val="single" w:sz="12" w:space="0" w:color="000000"/>
              <w:bottom w:val="single" w:sz="12" w:space="0" w:color="000000"/>
              <w:right w:val="single" w:sz="12" w:space="0" w:color="000000"/>
            </w:tcBorders>
          </w:tcPr>
          <w:p>
            <w:pPr>
              <w:pStyle w:val="TAC"/>
              <w:rPr/>
            </w:pPr>
            <w:r>
              <w:rPr/>
              <w:t>50 ms</w:t>
            </w:r>
          </w:p>
        </w:tc>
        <w:tc>
          <w:tcPr>
            <w:tcW w:w="797" w:type="dxa"/>
            <w:tcBorders>
              <w:top w:val="single" w:sz="12" w:space="0" w:color="000000"/>
              <w:left w:val="single" w:sz="12" w:space="0" w:color="000000"/>
              <w:bottom w:val="single" w:sz="12" w:space="0" w:color="000000"/>
              <w:right w:val="single" w:sz="12" w:space="0" w:color="000000"/>
            </w:tcBorders>
          </w:tcPr>
          <w:p>
            <w:pPr>
              <w:pStyle w:val="TAC"/>
              <w:rPr/>
            </w:pPr>
            <w:r>
              <w:rPr/>
              <w:t>10</w:t>
            </w:r>
            <w:r>
              <w:rPr>
                <w:sz w:val="22"/>
                <w:vertAlign w:val="superscript"/>
              </w:rPr>
              <w:t>-3</w:t>
            </w:r>
          </w:p>
        </w:tc>
        <w:tc>
          <w:tcPr>
            <w:tcW w:w="1324" w:type="dxa"/>
            <w:tcBorders>
              <w:top w:val="single" w:sz="12" w:space="0" w:color="000000"/>
              <w:left w:val="single" w:sz="12" w:space="0" w:color="000000"/>
              <w:bottom w:val="single" w:sz="12" w:space="0" w:color="000000"/>
              <w:right w:val="single" w:sz="12" w:space="0" w:color="000000"/>
            </w:tcBorders>
          </w:tcPr>
          <w:p>
            <w:pPr>
              <w:pStyle w:val="TAL"/>
              <w:rPr/>
            </w:pPr>
            <w:r>
              <w:rPr/>
              <w:t>N/A</w:t>
            </w:r>
          </w:p>
        </w:tc>
        <w:tc>
          <w:tcPr>
            <w:tcW w:w="1671" w:type="dxa"/>
            <w:tcBorders>
              <w:top w:val="single" w:sz="12" w:space="0" w:color="000000"/>
              <w:left w:val="single" w:sz="12" w:space="0" w:color="000000"/>
              <w:bottom w:val="single" w:sz="12" w:space="0" w:color="000000"/>
              <w:right w:val="single" w:sz="12" w:space="0" w:color="000000"/>
            </w:tcBorders>
          </w:tcPr>
          <w:p>
            <w:pPr>
              <w:pStyle w:val="TAL"/>
              <w:rPr/>
            </w:pPr>
            <w:r>
              <w:rPr/>
              <w:t>2000 ms</w:t>
            </w:r>
          </w:p>
        </w:tc>
        <w:tc>
          <w:tcPr>
            <w:tcW w:w="2150" w:type="dxa"/>
            <w:tcBorders>
              <w:top w:val="single" w:sz="12" w:space="0" w:color="000000"/>
              <w:left w:val="single" w:sz="12" w:space="0" w:color="000000"/>
              <w:bottom w:val="single" w:sz="12" w:space="0" w:color="000000"/>
              <w:right w:val="single" w:sz="12" w:space="0" w:color="000000"/>
            </w:tcBorders>
          </w:tcPr>
          <w:p>
            <w:pPr>
              <w:pStyle w:val="TAL"/>
              <w:rPr/>
            </w:pPr>
            <w:r>
              <w:rPr/>
              <w:t>Real Time Gaming, V2X messages</w:t>
            </w:r>
          </w:p>
          <w:p>
            <w:pPr>
              <w:pStyle w:val="TAL"/>
              <w:rPr/>
            </w:pPr>
            <w:r>
              <w:rPr/>
              <w:t>Electricity distribution - medium voltage, Process automation - monitoring</w:t>
            </w:r>
          </w:p>
        </w:tc>
      </w:tr>
      <w:tr>
        <w:trPr/>
        <w:tc>
          <w:tcPr>
            <w:tcW w:w="1024" w:type="dxa"/>
            <w:tcBorders>
              <w:top w:val="single" w:sz="12" w:space="0" w:color="000000"/>
              <w:left w:val="single" w:sz="12" w:space="0" w:color="000000"/>
              <w:bottom w:val="single" w:sz="12" w:space="0" w:color="000000"/>
              <w:right w:val="single" w:sz="12" w:space="0" w:color="000000"/>
            </w:tcBorders>
          </w:tcPr>
          <w:p>
            <w:pPr>
              <w:pStyle w:val="TAC"/>
              <w:rPr/>
            </w:pPr>
            <w:r>
              <w:rPr/>
              <w:t>4</w:t>
              <w:br/>
            </w:r>
          </w:p>
        </w:tc>
        <w:tc>
          <w:tcPr>
            <w:tcW w:w="1061" w:type="dxa"/>
            <w:tcBorders>
              <w:left w:val="single" w:sz="12" w:space="0" w:color="000000"/>
              <w:right w:val="single" w:sz="12" w:space="0" w:color="000000"/>
            </w:tcBorders>
          </w:tcPr>
          <w:p>
            <w:pPr>
              <w:pStyle w:val="TAC"/>
              <w:snapToGrid w:val="false"/>
              <w:rPr/>
            </w:pPr>
            <w:r>
              <w:rPr/>
            </w:r>
          </w:p>
        </w:tc>
        <w:tc>
          <w:tcPr>
            <w:tcW w:w="918" w:type="dxa"/>
            <w:tcBorders>
              <w:top w:val="single" w:sz="12" w:space="0" w:color="000000"/>
              <w:left w:val="single" w:sz="12" w:space="0" w:color="000000"/>
              <w:bottom w:val="single" w:sz="12" w:space="0" w:color="000000"/>
              <w:right w:val="single" w:sz="12" w:space="0" w:color="000000"/>
            </w:tcBorders>
          </w:tcPr>
          <w:p>
            <w:pPr>
              <w:pStyle w:val="TAC"/>
              <w:rPr/>
            </w:pPr>
            <w:r>
              <w:rPr/>
              <w:t>50</w:t>
            </w:r>
          </w:p>
        </w:tc>
        <w:tc>
          <w:tcPr>
            <w:tcW w:w="1088" w:type="dxa"/>
            <w:tcBorders>
              <w:top w:val="single" w:sz="12" w:space="0" w:color="000000"/>
              <w:left w:val="single" w:sz="12" w:space="0" w:color="000000"/>
              <w:bottom w:val="single" w:sz="12" w:space="0" w:color="000000"/>
              <w:right w:val="single" w:sz="12" w:space="0" w:color="000000"/>
            </w:tcBorders>
          </w:tcPr>
          <w:p>
            <w:pPr>
              <w:pStyle w:val="TAC"/>
              <w:rPr/>
            </w:pPr>
            <w:r>
              <w:rPr/>
              <w:t>300 ms</w:t>
            </w:r>
          </w:p>
        </w:tc>
        <w:tc>
          <w:tcPr>
            <w:tcW w:w="797" w:type="dxa"/>
            <w:tcBorders>
              <w:top w:val="single" w:sz="12" w:space="0" w:color="000000"/>
              <w:left w:val="single" w:sz="12" w:space="0" w:color="000000"/>
              <w:bottom w:val="single" w:sz="12" w:space="0" w:color="000000"/>
              <w:right w:val="single" w:sz="12" w:space="0" w:color="000000"/>
            </w:tcBorders>
          </w:tcPr>
          <w:p>
            <w:pPr>
              <w:pStyle w:val="TAC"/>
              <w:rPr/>
            </w:pPr>
            <w:r>
              <w:rPr/>
              <w:t>10</w:t>
            </w:r>
            <w:r>
              <w:rPr>
                <w:sz w:val="22"/>
                <w:vertAlign w:val="superscript"/>
              </w:rPr>
              <w:t>-6</w:t>
            </w:r>
          </w:p>
        </w:tc>
        <w:tc>
          <w:tcPr>
            <w:tcW w:w="1324" w:type="dxa"/>
            <w:tcBorders>
              <w:top w:val="single" w:sz="12" w:space="0" w:color="000000"/>
              <w:left w:val="single" w:sz="12" w:space="0" w:color="000000"/>
              <w:bottom w:val="single" w:sz="12" w:space="0" w:color="000000"/>
              <w:right w:val="single" w:sz="12" w:space="0" w:color="000000"/>
            </w:tcBorders>
          </w:tcPr>
          <w:p>
            <w:pPr>
              <w:pStyle w:val="TAL"/>
              <w:rPr/>
            </w:pPr>
            <w:r>
              <w:rPr/>
              <w:t>N/A</w:t>
            </w:r>
          </w:p>
        </w:tc>
        <w:tc>
          <w:tcPr>
            <w:tcW w:w="1671" w:type="dxa"/>
            <w:tcBorders>
              <w:top w:val="single" w:sz="12" w:space="0" w:color="000000"/>
              <w:left w:val="single" w:sz="12" w:space="0" w:color="000000"/>
              <w:bottom w:val="single" w:sz="12" w:space="0" w:color="000000"/>
              <w:right w:val="single" w:sz="12" w:space="0" w:color="000000"/>
            </w:tcBorders>
          </w:tcPr>
          <w:p>
            <w:pPr>
              <w:pStyle w:val="TAL"/>
              <w:rPr/>
            </w:pPr>
            <w:r>
              <w:rPr/>
              <w:t>2000 ms</w:t>
            </w:r>
          </w:p>
        </w:tc>
        <w:tc>
          <w:tcPr>
            <w:tcW w:w="2150" w:type="dxa"/>
            <w:tcBorders>
              <w:top w:val="single" w:sz="12" w:space="0" w:color="000000"/>
              <w:left w:val="single" w:sz="12" w:space="0" w:color="000000"/>
              <w:bottom w:val="single" w:sz="12" w:space="0" w:color="000000"/>
              <w:right w:val="single" w:sz="12" w:space="0" w:color="000000"/>
            </w:tcBorders>
          </w:tcPr>
          <w:p>
            <w:pPr>
              <w:pStyle w:val="TAL"/>
              <w:rPr/>
            </w:pPr>
            <w:r>
              <w:rPr/>
              <w:t>Non-Conversational Video (Buffered Streaming)</w:t>
            </w:r>
          </w:p>
        </w:tc>
      </w:tr>
      <w:tr>
        <w:trPr/>
        <w:tc>
          <w:tcPr>
            <w:tcW w:w="1024" w:type="dxa"/>
            <w:tcBorders>
              <w:top w:val="single" w:sz="12" w:space="0" w:color="000000"/>
              <w:left w:val="single" w:sz="12" w:space="0" w:color="000000"/>
              <w:bottom w:val="single" w:sz="12" w:space="0" w:color="000000"/>
              <w:right w:val="single" w:sz="12" w:space="0" w:color="000000"/>
            </w:tcBorders>
          </w:tcPr>
          <w:p>
            <w:pPr>
              <w:pStyle w:val="TAC"/>
              <w:rPr/>
            </w:pPr>
            <w:r>
              <w:rPr/>
              <w:t>65</w:t>
            </w:r>
          </w:p>
        </w:tc>
        <w:tc>
          <w:tcPr>
            <w:tcW w:w="1061" w:type="dxa"/>
            <w:tcBorders>
              <w:left w:val="single" w:sz="12" w:space="0" w:color="000000"/>
              <w:right w:val="single" w:sz="12" w:space="0" w:color="000000"/>
            </w:tcBorders>
          </w:tcPr>
          <w:p>
            <w:pPr>
              <w:pStyle w:val="TAC"/>
              <w:snapToGrid w:val="false"/>
              <w:rPr/>
            </w:pPr>
            <w:r>
              <w:rPr/>
            </w:r>
          </w:p>
        </w:tc>
        <w:tc>
          <w:tcPr>
            <w:tcW w:w="918" w:type="dxa"/>
            <w:tcBorders>
              <w:top w:val="single" w:sz="12" w:space="0" w:color="000000"/>
              <w:left w:val="single" w:sz="12" w:space="0" w:color="000000"/>
              <w:bottom w:val="single" w:sz="12" w:space="0" w:color="000000"/>
              <w:right w:val="single" w:sz="12" w:space="0" w:color="000000"/>
            </w:tcBorders>
          </w:tcPr>
          <w:p>
            <w:pPr>
              <w:pStyle w:val="TAC"/>
              <w:rPr/>
            </w:pPr>
            <w:r>
              <w:rPr/>
              <w:t>7</w:t>
            </w:r>
          </w:p>
        </w:tc>
        <w:tc>
          <w:tcPr>
            <w:tcW w:w="1088" w:type="dxa"/>
            <w:tcBorders>
              <w:top w:val="single" w:sz="12" w:space="0" w:color="000000"/>
              <w:left w:val="single" w:sz="12" w:space="0" w:color="000000"/>
              <w:bottom w:val="single" w:sz="12" w:space="0" w:color="000000"/>
              <w:right w:val="single" w:sz="12" w:space="0" w:color="000000"/>
            </w:tcBorders>
          </w:tcPr>
          <w:p>
            <w:pPr>
              <w:pStyle w:val="TAC"/>
              <w:rPr/>
            </w:pPr>
            <w:r>
              <w:rPr/>
              <w:t>75 ms</w:t>
            </w:r>
          </w:p>
        </w:tc>
        <w:tc>
          <w:tcPr>
            <w:tcW w:w="797" w:type="dxa"/>
            <w:tcBorders>
              <w:top w:val="single" w:sz="12" w:space="0" w:color="000000"/>
              <w:left w:val="single" w:sz="12" w:space="0" w:color="000000"/>
              <w:bottom w:val="single" w:sz="12" w:space="0" w:color="000000"/>
              <w:right w:val="single" w:sz="12" w:space="0" w:color="000000"/>
            </w:tcBorders>
          </w:tcPr>
          <w:p>
            <w:pPr>
              <w:pStyle w:val="TAC"/>
              <w:rPr/>
            </w:pPr>
            <w:r>
              <w:rPr/>
              <w:br/>
              <w:t>10</w:t>
            </w:r>
            <w:r>
              <w:rPr>
                <w:sz w:val="22"/>
                <w:vertAlign w:val="superscript"/>
              </w:rPr>
              <w:t>-2</w:t>
            </w:r>
          </w:p>
        </w:tc>
        <w:tc>
          <w:tcPr>
            <w:tcW w:w="1324" w:type="dxa"/>
            <w:tcBorders>
              <w:top w:val="single" w:sz="12" w:space="0" w:color="000000"/>
              <w:left w:val="single" w:sz="12" w:space="0" w:color="000000"/>
              <w:bottom w:val="single" w:sz="12" w:space="0" w:color="000000"/>
              <w:right w:val="single" w:sz="12" w:space="0" w:color="000000"/>
            </w:tcBorders>
          </w:tcPr>
          <w:p>
            <w:pPr>
              <w:pStyle w:val="TAL"/>
              <w:rPr/>
            </w:pPr>
            <w:r>
              <w:rPr/>
              <w:t>N/A</w:t>
            </w:r>
          </w:p>
        </w:tc>
        <w:tc>
          <w:tcPr>
            <w:tcW w:w="1671" w:type="dxa"/>
            <w:tcBorders>
              <w:top w:val="single" w:sz="12" w:space="0" w:color="000000"/>
              <w:left w:val="single" w:sz="12" w:space="0" w:color="000000"/>
              <w:bottom w:val="single" w:sz="12" w:space="0" w:color="000000"/>
              <w:right w:val="single" w:sz="12" w:space="0" w:color="000000"/>
            </w:tcBorders>
          </w:tcPr>
          <w:p>
            <w:pPr>
              <w:pStyle w:val="TAL"/>
              <w:rPr/>
            </w:pPr>
            <w:r>
              <w:rPr/>
              <w:t>2000 ms</w:t>
            </w:r>
          </w:p>
        </w:tc>
        <w:tc>
          <w:tcPr>
            <w:tcW w:w="2150" w:type="dxa"/>
            <w:tcBorders>
              <w:top w:val="single" w:sz="12" w:space="0" w:color="000000"/>
              <w:left w:val="single" w:sz="12" w:space="0" w:color="000000"/>
              <w:bottom w:val="single" w:sz="12" w:space="0" w:color="000000"/>
              <w:right w:val="single" w:sz="12" w:space="0" w:color="000000"/>
            </w:tcBorders>
          </w:tcPr>
          <w:p>
            <w:pPr>
              <w:pStyle w:val="TAL"/>
              <w:rPr/>
            </w:pPr>
            <w:r>
              <w:rPr/>
              <w:t>Mission Critical user plane Push To Talk voice (e.g., MCPTT)</w:t>
            </w:r>
          </w:p>
        </w:tc>
      </w:tr>
      <w:tr>
        <w:trPr/>
        <w:tc>
          <w:tcPr>
            <w:tcW w:w="1024" w:type="dxa"/>
            <w:tcBorders>
              <w:top w:val="single" w:sz="12" w:space="0" w:color="000000"/>
              <w:left w:val="single" w:sz="12" w:space="0" w:color="000000"/>
              <w:bottom w:val="single" w:sz="12" w:space="0" w:color="000000"/>
              <w:right w:val="single" w:sz="12" w:space="0" w:color="000000"/>
            </w:tcBorders>
          </w:tcPr>
          <w:p>
            <w:pPr>
              <w:pStyle w:val="TAC"/>
              <w:rPr/>
            </w:pPr>
            <w:r>
              <w:rPr/>
              <w:t>66</w:t>
              <w:br/>
            </w:r>
          </w:p>
        </w:tc>
        <w:tc>
          <w:tcPr>
            <w:tcW w:w="1061" w:type="dxa"/>
            <w:tcBorders>
              <w:left w:val="single" w:sz="12" w:space="0" w:color="000000"/>
              <w:right w:val="single" w:sz="12" w:space="0" w:color="000000"/>
            </w:tcBorders>
          </w:tcPr>
          <w:p>
            <w:pPr>
              <w:pStyle w:val="TAC"/>
              <w:snapToGrid w:val="false"/>
              <w:rPr/>
            </w:pPr>
            <w:r>
              <w:rPr/>
            </w:r>
          </w:p>
        </w:tc>
        <w:tc>
          <w:tcPr>
            <w:tcW w:w="918" w:type="dxa"/>
            <w:tcBorders>
              <w:top w:val="single" w:sz="12" w:space="0" w:color="000000"/>
              <w:left w:val="single" w:sz="12" w:space="0" w:color="000000"/>
              <w:bottom w:val="single" w:sz="12" w:space="0" w:color="000000"/>
              <w:right w:val="single" w:sz="12" w:space="0" w:color="000000"/>
            </w:tcBorders>
          </w:tcPr>
          <w:p>
            <w:pPr>
              <w:pStyle w:val="TAC"/>
              <w:rPr/>
            </w:pPr>
            <w:r>
              <w:rPr/>
              <w:br/>
              <w:t>20</w:t>
            </w:r>
          </w:p>
        </w:tc>
        <w:tc>
          <w:tcPr>
            <w:tcW w:w="1088" w:type="dxa"/>
            <w:tcBorders>
              <w:top w:val="single" w:sz="12" w:space="0" w:color="000000"/>
              <w:left w:val="single" w:sz="12" w:space="0" w:color="000000"/>
              <w:bottom w:val="single" w:sz="12" w:space="0" w:color="000000"/>
              <w:right w:val="single" w:sz="12" w:space="0" w:color="000000"/>
            </w:tcBorders>
          </w:tcPr>
          <w:p>
            <w:pPr>
              <w:pStyle w:val="TAC"/>
              <w:rPr/>
            </w:pPr>
            <w:r>
              <w:rPr/>
              <w:t>100 ms</w:t>
            </w:r>
          </w:p>
        </w:tc>
        <w:tc>
          <w:tcPr>
            <w:tcW w:w="797" w:type="dxa"/>
            <w:tcBorders>
              <w:top w:val="single" w:sz="12" w:space="0" w:color="000000"/>
              <w:left w:val="single" w:sz="12" w:space="0" w:color="000000"/>
              <w:bottom w:val="single" w:sz="12" w:space="0" w:color="000000"/>
              <w:right w:val="single" w:sz="12" w:space="0" w:color="000000"/>
            </w:tcBorders>
          </w:tcPr>
          <w:p>
            <w:pPr>
              <w:pStyle w:val="TAC"/>
              <w:rPr/>
            </w:pPr>
            <w:r>
              <w:rPr/>
              <w:br/>
              <w:t>10</w:t>
            </w:r>
            <w:r>
              <w:rPr>
                <w:sz w:val="22"/>
                <w:vertAlign w:val="superscript"/>
              </w:rPr>
              <w:t>-2</w:t>
            </w:r>
          </w:p>
        </w:tc>
        <w:tc>
          <w:tcPr>
            <w:tcW w:w="1324" w:type="dxa"/>
            <w:tcBorders>
              <w:top w:val="single" w:sz="12" w:space="0" w:color="000000"/>
              <w:left w:val="single" w:sz="12" w:space="0" w:color="000000"/>
              <w:bottom w:val="single" w:sz="12" w:space="0" w:color="000000"/>
              <w:right w:val="single" w:sz="12" w:space="0" w:color="000000"/>
            </w:tcBorders>
          </w:tcPr>
          <w:p>
            <w:pPr>
              <w:pStyle w:val="TAL"/>
              <w:rPr/>
            </w:pPr>
            <w:r>
              <w:rPr/>
              <w:t>N/A</w:t>
            </w:r>
          </w:p>
        </w:tc>
        <w:tc>
          <w:tcPr>
            <w:tcW w:w="1671" w:type="dxa"/>
            <w:tcBorders>
              <w:top w:val="single" w:sz="12" w:space="0" w:color="000000"/>
              <w:left w:val="single" w:sz="12" w:space="0" w:color="000000"/>
              <w:bottom w:val="single" w:sz="12" w:space="0" w:color="000000"/>
              <w:right w:val="single" w:sz="12" w:space="0" w:color="000000"/>
            </w:tcBorders>
          </w:tcPr>
          <w:p>
            <w:pPr>
              <w:pStyle w:val="TAL"/>
              <w:rPr/>
            </w:pPr>
            <w:r>
              <w:rPr/>
              <w:t>2000 ms</w:t>
            </w:r>
          </w:p>
        </w:tc>
        <w:tc>
          <w:tcPr>
            <w:tcW w:w="2150" w:type="dxa"/>
            <w:tcBorders>
              <w:top w:val="single" w:sz="12" w:space="0" w:color="000000"/>
              <w:left w:val="single" w:sz="12" w:space="0" w:color="000000"/>
              <w:bottom w:val="single" w:sz="12" w:space="0" w:color="000000"/>
              <w:right w:val="single" w:sz="12" w:space="0" w:color="000000"/>
            </w:tcBorders>
          </w:tcPr>
          <w:p>
            <w:pPr>
              <w:pStyle w:val="TAL"/>
              <w:rPr/>
            </w:pPr>
            <w:r>
              <w:rPr/>
              <w:t>Non-Mission-Critical user plane Push To Talk voice</w:t>
            </w:r>
          </w:p>
        </w:tc>
      </w:tr>
      <w:tr>
        <w:trPr/>
        <w:tc>
          <w:tcPr>
            <w:tcW w:w="1024" w:type="dxa"/>
            <w:tcBorders>
              <w:top w:val="single" w:sz="12" w:space="0" w:color="000000"/>
              <w:left w:val="single" w:sz="12" w:space="0" w:color="000000"/>
              <w:bottom w:val="single" w:sz="12" w:space="0" w:color="000000"/>
              <w:right w:val="single" w:sz="12" w:space="0" w:color="000000"/>
            </w:tcBorders>
          </w:tcPr>
          <w:p>
            <w:pPr>
              <w:pStyle w:val="TAC"/>
              <w:rPr/>
            </w:pPr>
            <w:r>
              <w:rPr/>
              <w:t>67</w:t>
              <w:br/>
            </w:r>
          </w:p>
        </w:tc>
        <w:tc>
          <w:tcPr>
            <w:tcW w:w="1061" w:type="dxa"/>
            <w:tcBorders>
              <w:left w:val="single" w:sz="12" w:space="0" w:color="000000"/>
              <w:right w:val="single" w:sz="12" w:space="0" w:color="000000"/>
            </w:tcBorders>
          </w:tcPr>
          <w:p>
            <w:pPr>
              <w:pStyle w:val="TAC"/>
              <w:snapToGrid w:val="false"/>
              <w:rPr/>
            </w:pPr>
            <w:r>
              <w:rPr/>
            </w:r>
          </w:p>
        </w:tc>
        <w:tc>
          <w:tcPr>
            <w:tcW w:w="918" w:type="dxa"/>
            <w:tcBorders>
              <w:top w:val="single" w:sz="12" w:space="0" w:color="000000"/>
              <w:left w:val="single" w:sz="12" w:space="0" w:color="000000"/>
              <w:bottom w:val="single" w:sz="12" w:space="0" w:color="000000"/>
              <w:right w:val="single" w:sz="12" w:space="0" w:color="000000"/>
            </w:tcBorders>
          </w:tcPr>
          <w:p>
            <w:pPr>
              <w:pStyle w:val="TAC"/>
              <w:rPr/>
            </w:pPr>
            <w:r>
              <w:rPr/>
              <w:t>15</w:t>
            </w:r>
          </w:p>
        </w:tc>
        <w:tc>
          <w:tcPr>
            <w:tcW w:w="1088" w:type="dxa"/>
            <w:tcBorders>
              <w:top w:val="single" w:sz="12" w:space="0" w:color="000000"/>
              <w:left w:val="single" w:sz="12" w:space="0" w:color="000000"/>
              <w:bottom w:val="single" w:sz="12" w:space="0" w:color="000000"/>
              <w:right w:val="single" w:sz="12" w:space="0" w:color="000000"/>
            </w:tcBorders>
          </w:tcPr>
          <w:p>
            <w:pPr>
              <w:pStyle w:val="TAC"/>
              <w:rPr/>
            </w:pPr>
            <w:r>
              <w:rPr/>
              <w:t>100 ms</w:t>
            </w:r>
          </w:p>
        </w:tc>
        <w:tc>
          <w:tcPr>
            <w:tcW w:w="797" w:type="dxa"/>
            <w:tcBorders>
              <w:top w:val="single" w:sz="12" w:space="0" w:color="000000"/>
              <w:left w:val="single" w:sz="12" w:space="0" w:color="000000"/>
              <w:bottom w:val="single" w:sz="12" w:space="0" w:color="000000"/>
              <w:right w:val="single" w:sz="12" w:space="0" w:color="000000"/>
            </w:tcBorders>
          </w:tcPr>
          <w:p>
            <w:pPr>
              <w:pStyle w:val="TAC"/>
              <w:rPr/>
            </w:pPr>
            <w:r>
              <w:rPr/>
              <w:t>10</w:t>
            </w:r>
            <w:r>
              <w:rPr>
                <w:sz w:val="22"/>
                <w:vertAlign w:val="superscript"/>
              </w:rPr>
              <w:t>-3</w:t>
            </w:r>
          </w:p>
        </w:tc>
        <w:tc>
          <w:tcPr>
            <w:tcW w:w="1324" w:type="dxa"/>
            <w:tcBorders>
              <w:top w:val="single" w:sz="12" w:space="0" w:color="000000"/>
              <w:left w:val="single" w:sz="12" w:space="0" w:color="000000"/>
              <w:bottom w:val="single" w:sz="12" w:space="0" w:color="000000"/>
              <w:right w:val="single" w:sz="12" w:space="0" w:color="000000"/>
            </w:tcBorders>
          </w:tcPr>
          <w:p>
            <w:pPr>
              <w:pStyle w:val="TAL"/>
              <w:rPr/>
            </w:pPr>
            <w:r>
              <w:rPr/>
              <w:t>N/A</w:t>
            </w:r>
          </w:p>
        </w:tc>
        <w:tc>
          <w:tcPr>
            <w:tcW w:w="1671" w:type="dxa"/>
            <w:tcBorders>
              <w:top w:val="single" w:sz="12" w:space="0" w:color="000000"/>
              <w:left w:val="single" w:sz="12" w:space="0" w:color="000000"/>
              <w:bottom w:val="single" w:sz="12" w:space="0" w:color="000000"/>
              <w:right w:val="single" w:sz="12" w:space="0" w:color="000000"/>
            </w:tcBorders>
          </w:tcPr>
          <w:p>
            <w:pPr>
              <w:pStyle w:val="TAL"/>
              <w:rPr/>
            </w:pPr>
            <w:r>
              <w:rPr/>
              <w:t>2000 ms</w:t>
            </w:r>
          </w:p>
        </w:tc>
        <w:tc>
          <w:tcPr>
            <w:tcW w:w="2150" w:type="dxa"/>
            <w:tcBorders>
              <w:top w:val="single" w:sz="12" w:space="0" w:color="000000"/>
              <w:left w:val="single" w:sz="12" w:space="0" w:color="000000"/>
              <w:bottom w:val="single" w:sz="12" w:space="0" w:color="000000"/>
              <w:right w:val="single" w:sz="12" w:space="0" w:color="000000"/>
            </w:tcBorders>
          </w:tcPr>
          <w:p>
            <w:pPr>
              <w:pStyle w:val="TAL"/>
              <w:rPr/>
            </w:pPr>
            <w:r>
              <w:rPr/>
              <w:t>Mission Critical Video user plane</w:t>
            </w:r>
          </w:p>
        </w:tc>
      </w:tr>
      <w:tr>
        <w:trPr/>
        <w:tc>
          <w:tcPr>
            <w:tcW w:w="1024" w:type="dxa"/>
            <w:tcBorders>
              <w:top w:val="single" w:sz="12" w:space="0" w:color="000000"/>
              <w:left w:val="single" w:sz="12" w:space="0" w:color="000000"/>
              <w:bottom w:val="single" w:sz="12" w:space="0" w:color="000000"/>
              <w:right w:val="single" w:sz="12" w:space="0" w:color="000000"/>
            </w:tcBorders>
          </w:tcPr>
          <w:p>
            <w:pPr>
              <w:pStyle w:val="TAC"/>
              <w:rPr/>
            </w:pPr>
            <w:r>
              <w:rPr/>
              <w:t>75</w:t>
            </w:r>
          </w:p>
        </w:tc>
        <w:tc>
          <w:tcPr>
            <w:tcW w:w="1061" w:type="dxa"/>
            <w:tcBorders>
              <w:left w:val="single" w:sz="12" w:space="0" w:color="000000"/>
              <w:bottom w:val="single" w:sz="12" w:space="0" w:color="000000"/>
              <w:right w:val="single" w:sz="12" w:space="0" w:color="000000"/>
            </w:tcBorders>
          </w:tcPr>
          <w:p>
            <w:pPr>
              <w:pStyle w:val="TAC"/>
              <w:snapToGrid w:val="false"/>
              <w:rPr/>
            </w:pPr>
            <w:r>
              <w:rPr/>
            </w:r>
          </w:p>
        </w:tc>
        <w:tc>
          <w:tcPr>
            <w:tcW w:w="918" w:type="dxa"/>
            <w:tcBorders>
              <w:top w:val="single" w:sz="12" w:space="0" w:color="000000"/>
              <w:left w:val="single" w:sz="12" w:space="0" w:color="000000"/>
              <w:bottom w:val="single" w:sz="12" w:space="0" w:color="000000"/>
              <w:right w:val="single" w:sz="12" w:space="0" w:color="000000"/>
            </w:tcBorders>
          </w:tcPr>
          <w:p>
            <w:pPr>
              <w:pStyle w:val="TAC"/>
              <w:rPr/>
            </w:pPr>
            <w:r>
              <w:rPr/>
              <w:t>25</w:t>
            </w:r>
          </w:p>
        </w:tc>
        <w:tc>
          <w:tcPr>
            <w:tcW w:w="1088" w:type="dxa"/>
            <w:tcBorders>
              <w:top w:val="single" w:sz="12" w:space="0" w:color="000000"/>
              <w:left w:val="single" w:sz="12" w:space="0" w:color="000000"/>
              <w:bottom w:val="single" w:sz="12" w:space="0" w:color="000000"/>
              <w:right w:val="single" w:sz="12" w:space="0" w:color="000000"/>
            </w:tcBorders>
          </w:tcPr>
          <w:p>
            <w:pPr>
              <w:pStyle w:val="TAC"/>
              <w:rPr/>
            </w:pPr>
            <w:r>
              <w:rPr/>
              <w:t>50 ms</w:t>
            </w:r>
          </w:p>
        </w:tc>
        <w:tc>
          <w:tcPr>
            <w:tcW w:w="797" w:type="dxa"/>
            <w:tcBorders>
              <w:top w:val="single" w:sz="12" w:space="0" w:color="000000"/>
              <w:left w:val="single" w:sz="12" w:space="0" w:color="000000"/>
              <w:bottom w:val="single" w:sz="12" w:space="0" w:color="000000"/>
              <w:right w:val="single" w:sz="12" w:space="0" w:color="000000"/>
            </w:tcBorders>
          </w:tcPr>
          <w:p>
            <w:pPr>
              <w:pStyle w:val="TAC"/>
              <w:rPr/>
            </w:pPr>
            <w:r>
              <w:rPr/>
              <w:t>10</w:t>
            </w:r>
            <w:r>
              <w:rPr>
                <w:sz w:val="22"/>
                <w:vertAlign w:val="superscript"/>
              </w:rPr>
              <w:t>-2</w:t>
            </w:r>
          </w:p>
        </w:tc>
        <w:tc>
          <w:tcPr>
            <w:tcW w:w="1324" w:type="dxa"/>
            <w:tcBorders>
              <w:top w:val="single" w:sz="12" w:space="0" w:color="000000"/>
              <w:left w:val="single" w:sz="12" w:space="0" w:color="000000"/>
              <w:bottom w:val="single" w:sz="12" w:space="0" w:color="000000"/>
              <w:right w:val="single" w:sz="12" w:space="0" w:color="000000"/>
            </w:tcBorders>
          </w:tcPr>
          <w:p>
            <w:pPr>
              <w:pStyle w:val="TAL"/>
              <w:rPr/>
            </w:pPr>
            <w:r>
              <w:rPr/>
              <w:t>N/A</w:t>
            </w:r>
          </w:p>
        </w:tc>
        <w:tc>
          <w:tcPr>
            <w:tcW w:w="1671" w:type="dxa"/>
            <w:tcBorders>
              <w:top w:val="single" w:sz="12" w:space="0" w:color="000000"/>
              <w:left w:val="single" w:sz="12" w:space="0" w:color="000000"/>
              <w:bottom w:val="single" w:sz="12" w:space="0" w:color="000000"/>
              <w:right w:val="single" w:sz="12" w:space="0" w:color="000000"/>
            </w:tcBorders>
          </w:tcPr>
          <w:p>
            <w:pPr>
              <w:pStyle w:val="TAL"/>
              <w:rPr/>
            </w:pPr>
            <w:r>
              <w:rPr/>
              <w:t>2000 ms</w:t>
            </w:r>
          </w:p>
        </w:tc>
        <w:tc>
          <w:tcPr>
            <w:tcW w:w="2150" w:type="dxa"/>
            <w:tcBorders>
              <w:top w:val="single" w:sz="12" w:space="0" w:color="000000"/>
              <w:left w:val="single" w:sz="12" w:space="0" w:color="000000"/>
              <w:bottom w:val="single" w:sz="12" w:space="0" w:color="000000"/>
              <w:right w:val="single" w:sz="12" w:space="0" w:color="000000"/>
            </w:tcBorders>
          </w:tcPr>
          <w:p>
            <w:pPr>
              <w:pStyle w:val="TAL"/>
              <w:rPr/>
            </w:pPr>
            <w:r>
              <w:rPr/>
              <w:t>V2X messages</w:t>
            </w:r>
          </w:p>
        </w:tc>
      </w:tr>
      <w:tr>
        <w:trPr/>
        <w:tc>
          <w:tcPr>
            <w:tcW w:w="1024" w:type="dxa"/>
            <w:tcBorders>
              <w:top w:val="single" w:sz="12" w:space="0" w:color="000000"/>
              <w:left w:val="single" w:sz="12" w:space="0" w:color="000000"/>
              <w:bottom w:val="single" w:sz="12" w:space="0" w:color="000000"/>
              <w:right w:val="single" w:sz="12" w:space="0" w:color="000000"/>
            </w:tcBorders>
          </w:tcPr>
          <w:p>
            <w:pPr>
              <w:pStyle w:val="TAC"/>
              <w:rPr/>
            </w:pPr>
            <w:r>
              <w:rPr/>
              <w:t>5</w:t>
            </w:r>
          </w:p>
        </w:tc>
        <w:tc>
          <w:tcPr>
            <w:tcW w:w="1061" w:type="dxa"/>
            <w:tcBorders>
              <w:top w:val="single" w:sz="12" w:space="0" w:color="000000"/>
              <w:left w:val="single" w:sz="12" w:space="0" w:color="000000"/>
              <w:right w:val="single" w:sz="12" w:space="0" w:color="000000"/>
            </w:tcBorders>
          </w:tcPr>
          <w:p>
            <w:pPr>
              <w:pStyle w:val="TAC"/>
              <w:rPr/>
            </w:pPr>
            <w:r>
              <w:rPr/>
              <w:t>Non-GBR</w:t>
            </w:r>
          </w:p>
        </w:tc>
        <w:tc>
          <w:tcPr>
            <w:tcW w:w="918" w:type="dxa"/>
            <w:tcBorders>
              <w:top w:val="single" w:sz="12" w:space="0" w:color="000000"/>
              <w:left w:val="single" w:sz="12" w:space="0" w:color="000000"/>
              <w:bottom w:val="single" w:sz="12" w:space="0" w:color="000000"/>
              <w:right w:val="single" w:sz="12" w:space="0" w:color="000000"/>
            </w:tcBorders>
          </w:tcPr>
          <w:p>
            <w:pPr>
              <w:pStyle w:val="TAC"/>
              <w:rPr/>
            </w:pPr>
            <w:r>
              <w:rPr/>
              <w:t>10</w:t>
            </w:r>
          </w:p>
        </w:tc>
        <w:tc>
          <w:tcPr>
            <w:tcW w:w="1088" w:type="dxa"/>
            <w:tcBorders>
              <w:top w:val="single" w:sz="12" w:space="0" w:color="000000"/>
              <w:left w:val="single" w:sz="12" w:space="0" w:color="000000"/>
              <w:bottom w:val="single" w:sz="12" w:space="0" w:color="000000"/>
              <w:right w:val="single" w:sz="12" w:space="0" w:color="000000"/>
            </w:tcBorders>
          </w:tcPr>
          <w:p>
            <w:pPr>
              <w:pStyle w:val="TAC"/>
              <w:rPr/>
            </w:pPr>
            <w:r>
              <w:rPr/>
              <w:t>100 ms</w:t>
            </w:r>
          </w:p>
        </w:tc>
        <w:tc>
          <w:tcPr>
            <w:tcW w:w="797" w:type="dxa"/>
            <w:tcBorders>
              <w:top w:val="single" w:sz="12" w:space="0" w:color="000000"/>
              <w:left w:val="single" w:sz="12" w:space="0" w:color="000000"/>
              <w:bottom w:val="single" w:sz="12" w:space="0" w:color="000000"/>
              <w:right w:val="single" w:sz="12" w:space="0" w:color="000000"/>
            </w:tcBorders>
          </w:tcPr>
          <w:p>
            <w:pPr>
              <w:pStyle w:val="TAC"/>
              <w:rPr/>
            </w:pPr>
            <w:r>
              <w:rPr/>
              <w:t>10</w:t>
            </w:r>
            <w:r>
              <w:rPr>
                <w:sz w:val="22"/>
                <w:vertAlign w:val="superscript"/>
              </w:rPr>
              <w:t>-6</w:t>
            </w:r>
          </w:p>
        </w:tc>
        <w:tc>
          <w:tcPr>
            <w:tcW w:w="1324" w:type="dxa"/>
            <w:tcBorders>
              <w:top w:val="single" w:sz="12" w:space="0" w:color="000000"/>
              <w:left w:val="single" w:sz="12" w:space="0" w:color="000000"/>
              <w:bottom w:val="single" w:sz="12" w:space="0" w:color="000000"/>
              <w:right w:val="single" w:sz="12" w:space="0" w:color="000000"/>
            </w:tcBorders>
          </w:tcPr>
          <w:p>
            <w:pPr>
              <w:pStyle w:val="TAL"/>
              <w:rPr/>
            </w:pPr>
            <w:r>
              <w:rPr/>
              <w:t>N/A</w:t>
            </w:r>
          </w:p>
        </w:tc>
        <w:tc>
          <w:tcPr>
            <w:tcW w:w="1671" w:type="dxa"/>
            <w:tcBorders>
              <w:top w:val="single" w:sz="12" w:space="0" w:color="000000"/>
              <w:left w:val="single" w:sz="12" w:space="0" w:color="000000"/>
              <w:bottom w:val="single" w:sz="12" w:space="0" w:color="000000"/>
              <w:right w:val="single" w:sz="12" w:space="0" w:color="000000"/>
            </w:tcBorders>
          </w:tcPr>
          <w:p>
            <w:pPr>
              <w:pStyle w:val="TAL"/>
              <w:rPr/>
            </w:pPr>
            <w:r>
              <w:rPr/>
              <w:t>N/A</w:t>
            </w:r>
          </w:p>
        </w:tc>
        <w:tc>
          <w:tcPr>
            <w:tcW w:w="2150" w:type="dxa"/>
            <w:tcBorders>
              <w:top w:val="single" w:sz="12" w:space="0" w:color="000000"/>
              <w:left w:val="single" w:sz="12" w:space="0" w:color="000000"/>
              <w:bottom w:val="single" w:sz="12" w:space="0" w:color="000000"/>
              <w:right w:val="single" w:sz="12" w:space="0" w:color="000000"/>
            </w:tcBorders>
          </w:tcPr>
          <w:p>
            <w:pPr>
              <w:pStyle w:val="TAL"/>
              <w:rPr/>
            </w:pPr>
            <w:r>
              <w:rPr/>
              <w:t>IMS Signalling</w:t>
            </w:r>
          </w:p>
        </w:tc>
      </w:tr>
      <w:tr>
        <w:trPr/>
        <w:tc>
          <w:tcPr>
            <w:tcW w:w="1024" w:type="dxa"/>
            <w:tcBorders>
              <w:top w:val="single" w:sz="12" w:space="0" w:color="000000"/>
              <w:left w:val="single" w:sz="12" w:space="0" w:color="000000"/>
              <w:bottom w:val="single" w:sz="12" w:space="0" w:color="000000"/>
              <w:right w:val="single" w:sz="12" w:space="0" w:color="000000"/>
            </w:tcBorders>
          </w:tcPr>
          <w:p>
            <w:pPr>
              <w:pStyle w:val="TAC"/>
              <w:rPr/>
            </w:pPr>
            <w:r>
              <w:rPr/>
              <w:t>6</w:t>
            </w:r>
          </w:p>
        </w:tc>
        <w:tc>
          <w:tcPr>
            <w:tcW w:w="1061" w:type="dxa"/>
            <w:tcBorders>
              <w:left w:val="single" w:sz="12" w:space="0" w:color="000000"/>
              <w:right w:val="single" w:sz="12" w:space="0" w:color="000000"/>
            </w:tcBorders>
          </w:tcPr>
          <w:p>
            <w:pPr>
              <w:pStyle w:val="TAC"/>
              <w:rPr/>
            </w:pPr>
            <w:r>
              <w:rPr/>
              <w:t>(NOTE 1)</w:t>
            </w:r>
          </w:p>
        </w:tc>
        <w:tc>
          <w:tcPr>
            <w:tcW w:w="918" w:type="dxa"/>
            <w:tcBorders>
              <w:top w:val="single" w:sz="12" w:space="0" w:color="000000"/>
              <w:left w:val="single" w:sz="12" w:space="0" w:color="000000"/>
              <w:bottom w:val="single" w:sz="12" w:space="0" w:color="000000"/>
              <w:right w:val="single" w:sz="12" w:space="0" w:color="000000"/>
            </w:tcBorders>
          </w:tcPr>
          <w:p>
            <w:pPr>
              <w:pStyle w:val="TAC"/>
              <w:rPr/>
            </w:pPr>
            <w:r>
              <w:rPr/>
              <w:br/>
              <w:t>60</w:t>
            </w:r>
          </w:p>
        </w:tc>
        <w:tc>
          <w:tcPr>
            <w:tcW w:w="1088" w:type="dxa"/>
            <w:tcBorders>
              <w:top w:val="single" w:sz="12" w:space="0" w:color="000000"/>
              <w:left w:val="single" w:sz="12" w:space="0" w:color="000000"/>
              <w:bottom w:val="single" w:sz="12" w:space="0" w:color="000000"/>
              <w:right w:val="single" w:sz="12" w:space="0" w:color="000000"/>
            </w:tcBorders>
          </w:tcPr>
          <w:p>
            <w:pPr>
              <w:pStyle w:val="TAC"/>
              <w:rPr/>
            </w:pPr>
            <w:r>
              <w:rPr/>
              <w:br/>
              <w:t>300 ms</w:t>
            </w:r>
          </w:p>
        </w:tc>
        <w:tc>
          <w:tcPr>
            <w:tcW w:w="797" w:type="dxa"/>
            <w:tcBorders>
              <w:top w:val="single" w:sz="12" w:space="0" w:color="000000"/>
              <w:left w:val="single" w:sz="12" w:space="0" w:color="000000"/>
              <w:bottom w:val="single" w:sz="12" w:space="0" w:color="000000"/>
              <w:right w:val="single" w:sz="12" w:space="0" w:color="000000"/>
            </w:tcBorders>
          </w:tcPr>
          <w:p>
            <w:pPr>
              <w:pStyle w:val="TAC"/>
              <w:rPr/>
            </w:pPr>
            <w:r>
              <w:rPr/>
              <w:br/>
              <w:t>10</w:t>
            </w:r>
            <w:r>
              <w:rPr>
                <w:sz w:val="22"/>
                <w:vertAlign w:val="superscript"/>
              </w:rPr>
              <w:t>-6</w:t>
            </w:r>
          </w:p>
        </w:tc>
        <w:tc>
          <w:tcPr>
            <w:tcW w:w="1324" w:type="dxa"/>
            <w:tcBorders>
              <w:top w:val="single" w:sz="12" w:space="0" w:color="000000"/>
              <w:left w:val="single" w:sz="12" w:space="0" w:color="000000"/>
              <w:bottom w:val="single" w:sz="12" w:space="0" w:color="000000"/>
              <w:right w:val="single" w:sz="12" w:space="0" w:color="000000"/>
            </w:tcBorders>
          </w:tcPr>
          <w:p>
            <w:pPr>
              <w:pStyle w:val="TAL"/>
              <w:rPr/>
            </w:pPr>
            <w:r>
              <w:rPr/>
              <w:t>N/A</w:t>
            </w:r>
          </w:p>
        </w:tc>
        <w:tc>
          <w:tcPr>
            <w:tcW w:w="1671" w:type="dxa"/>
            <w:tcBorders>
              <w:top w:val="single" w:sz="12" w:space="0" w:color="000000"/>
              <w:left w:val="single" w:sz="12" w:space="0" w:color="000000"/>
              <w:bottom w:val="single" w:sz="12" w:space="0" w:color="000000"/>
              <w:right w:val="single" w:sz="12" w:space="0" w:color="000000"/>
            </w:tcBorders>
          </w:tcPr>
          <w:p>
            <w:pPr>
              <w:pStyle w:val="TAL"/>
              <w:rPr/>
            </w:pPr>
            <w:r>
              <w:rPr/>
              <w:t>N/A</w:t>
            </w:r>
          </w:p>
        </w:tc>
        <w:tc>
          <w:tcPr>
            <w:tcW w:w="2150" w:type="dxa"/>
            <w:tcBorders>
              <w:top w:val="single" w:sz="12" w:space="0" w:color="000000"/>
              <w:left w:val="single" w:sz="12" w:space="0" w:color="000000"/>
              <w:bottom w:val="single" w:sz="12" w:space="0" w:color="000000"/>
              <w:right w:val="single" w:sz="12" w:space="0" w:color="000000"/>
            </w:tcBorders>
          </w:tcPr>
          <w:p>
            <w:pPr>
              <w:pStyle w:val="TAL"/>
              <w:rPr/>
            </w:pPr>
            <w:r>
              <w:rPr/>
              <w:t>Video (Buffered Streaming)</w:t>
              <w:br/>
              <w:t>TCP-based (e.g., www, e-mail, chat, ftp, p2p file sharing, progressive video, etc.)</w:t>
            </w:r>
          </w:p>
        </w:tc>
      </w:tr>
      <w:tr>
        <w:trPr/>
        <w:tc>
          <w:tcPr>
            <w:tcW w:w="1024" w:type="dxa"/>
            <w:tcBorders>
              <w:top w:val="single" w:sz="12" w:space="0" w:color="000000"/>
              <w:left w:val="single" w:sz="12" w:space="0" w:color="000000"/>
              <w:bottom w:val="single" w:sz="12" w:space="0" w:color="000000"/>
              <w:right w:val="single" w:sz="12" w:space="0" w:color="000000"/>
            </w:tcBorders>
          </w:tcPr>
          <w:p>
            <w:pPr>
              <w:pStyle w:val="TAC"/>
              <w:rPr/>
            </w:pPr>
            <w:r>
              <w:rPr/>
              <w:t>7</w:t>
            </w:r>
          </w:p>
        </w:tc>
        <w:tc>
          <w:tcPr>
            <w:tcW w:w="1061" w:type="dxa"/>
            <w:tcBorders>
              <w:left w:val="single" w:sz="12" w:space="0" w:color="000000"/>
              <w:right w:val="single" w:sz="12" w:space="0" w:color="000000"/>
            </w:tcBorders>
          </w:tcPr>
          <w:p>
            <w:pPr>
              <w:pStyle w:val="TAC"/>
              <w:snapToGrid w:val="false"/>
              <w:rPr/>
            </w:pPr>
            <w:r>
              <w:rPr/>
            </w:r>
          </w:p>
        </w:tc>
        <w:tc>
          <w:tcPr>
            <w:tcW w:w="918" w:type="dxa"/>
            <w:tcBorders>
              <w:top w:val="single" w:sz="12" w:space="0" w:color="000000"/>
              <w:left w:val="single" w:sz="12" w:space="0" w:color="000000"/>
              <w:bottom w:val="single" w:sz="12" w:space="0" w:color="000000"/>
              <w:right w:val="single" w:sz="12" w:space="0" w:color="000000"/>
            </w:tcBorders>
          </w:tcPr>
          <w:p>
            <w:pPr>
              <w:pStyle w:val="TAC"/>
              <w:rPr/>
            </w:pPr>
            <w:r>
              <w:rPr/>
              <w:br/>
              <w:t>70</w:t>
            </w:r>
          </w:p>
        </w:tc>
        <w:tc>
          <w:tcPr>
            <w:tcW w:w="1088" w:type="dxa"/>
            <w:tcBorders>
              <w:top w:val="single" w:sz="12" w:space="0" w:color="000000"/>
              <w:left w:val="single" w:sz="12" w:space="0" w:color="000000"/>
              <w:bottom w:val="single" w:sz="12" w:space="0" w:color="000000"/>
              <w:right w:val="single" w:sz="12" w:space="0" w:color="000000"/>
            </w:tcBorders>
          </w:tcPr>
          <w:p>
            <w:pPr>
              <w:pStyle w:val="TAC"/>
              <w:rPr/>
            </w:pPr>
            <w:r>
              <w:rPr/>
              <w:br/>
              <w:t>100 ms</w:t>
            </w:r>
          </w:p>
        </w:tc>
        <w:tc>
          <w:tcPr>
            <w:tcW w:w="797" w:type="dxa"/>
            <w:tcBorders>
              <w:top w:val="single" w:sz="12" w:space="0" w:color="000000"/>
              <w:left w:val="single" w:sz="12" w:space="0" w:color="000000"/>
              <w:bottom w:val="single" w:sz="12" w:space="0" w:color="000000"/>
              <w:right w:val="single" w:sz="12" w:space="0" w:color="000000"/>
            </w:tcBorders>
          </w:tcPr>
          <w:p>
            <w:pPr>
              <w:pStyle w:val="TAC"/>
              <w:rPr/>
            </w:pPr>
            <w:r>
              <w:rPr/>
              <w:br/>
              <w:t>10</w:t>
            </w:r>
            <w:r>
              <w:rPr>
                <w:sz w:val="22"/>
                <w:vertAlign w:val="superscript"/>
              </w:rPr>
              <w:t>-3</w:t>
            </w:r>
          </w:p>
        </w:tc>
        <w:tc>
          <w:tcPr>
            <w:tcW w:w="1324" w:type="dxa"/>
            <w:tcBorders>
              <w:top w:val="single" w:sz="12" w:space="0" w:color="000000"/>
              <w:left w:val="single" w:sz="12" w:space="0" w:color="000000"/>
              <w:bottom w:val="single" w:sz="12" w:space="0" w:color="000000"/>
              <w:right w:val="single" w:sz="12" w:space="0" w:color="000000"/>
            </w:tcBorders>
          </w:tcPr>
          <w:p>
            <w:pPr>
              <w:pStyle w:val="TAL"/>
              <w:rPr/>
            </w:pPr>
            <w:r>
              <w:rPr/>
              <w:t>N/A</w:t>
            </w:r>
          </w:p>
        </w:tc>
        <w:tc>
          <w:tcPr>
            <w:tcW w:w="1671" w:type="dxa"/>
            <w:tcBorders>
              <w:top w:val="single" w:sz="12" w:space="0" w:color="000000"/>
              <w:left w:val="single" w:sz="12" w:space="0" w:color="000000"/>
              <w:bottom w:val="single" w:sz="12" w:space="0" w:color="000000"/>
              <w:right w:val="single" w:sz="12" w:space="0" w:color="000000"/>
            </w:tcBorders>
          </w:tcPr>
          <w:p>
            <w:pPr>
              <w:pStyle w:val="TAL"/>
              <w:rPr/>
            </w:pPr>
            <w:r>
              <w:rPr/>
              <w:t>N/A</w:t>
            </w:r>
          </w:p>
        </w:tc>
        <w:tc>
          <w:tcPr>
            <w:tcW w:w="2150" w:type="dxa"/>
            <w:tcBorders>
              <w:top w:val="single" w:sz="12" w:space="0" w:color="000000"/>
              <w:left w:val="single" w:sz="12" w:space="0" w:color="000000"/>
              <w:bottom w:val="single" w:sz="12" w:space="0" w:color="000000"/>
              <w:right w:val="single" w:sz="12" w:space="0" w:color="000000"/>
            </w:tcBorders>
          </w:tcPr>
          <w:p>
            <w:pPr>
              <w:pStyle w:val="TAL"/>
              <w:rPr/>
            </w:pPr>
            <w:r>
              <w:rPr/>
              <w:t>Voice,</w:t>
              <w:br/>
              <w:t>Video (Live Streaming)</w:t>
              <w:br/>
              <w:t>Interactive Gaming</w:t>
            </w:r>
          </w:p>
        </w:tc>
      </w:tr>
      <w:tr>
        <w:trPr/>
        <w:tc>
          <w:tcPr>
            <w:tcW w:w="1024" w:type="dxa"/>
            <w:tcBorders>
              <w:top w:val="single" w:sz="12" w:space="0" w:color="000000"/>
              <w:left w:val="single" w:sz="12" w:space="0" w:color="000000"/>
              <w:bottom w:val="single" w:sz="12" w:space="0" w:color="000000"/>
              <w:right w:val="single" w:sz="12" w:space="0" w:color="000000"/>
            </w:tcBorders>
          </w:tcPr>
          <w:p>
            <w:pPr>
              <w:pStyle w:val="TAC"/>
              <w:rPr/>
            </w:pPr>
            <w:r>
              <w:rPr/>
              <w:t>8</w:t>
            </w:r>
          </w:p>
        </w:tc>
        <w:tc>
          <w:tcPr>
            <w:tcW w:w="1061" w:type="dxa"/>
            <w:tcBorders>
              <w:left w:val="single" w:sz="12" w:space="0" w:color="000000"/>
              <w:right w:val="single" w:sz="12" w:space="0" w:color="000000"/>
            </w:tcBorders>
          </w:tcPr>
          <w:p>
            <w:pPr>
              <w:pStyle w:val="TAC"/>
              <w:snapToGrid w:val="false"/>
              <w:rPr/>
            </w:pPr>
            <w:r>
              <w:rPr/>
            </w:r>
          </w:p>
        </w:tc>
        <w:tc>
          <w:tcPr>
            <w:tcW w:w="918" w:type="dxa"/>
            <w:tcBorders>
              <w:top w:val="single" w:sz="12" w:space="0" w:color="000000"/>
              <w:left w:val="single" w:sz="12" w:space="0" w:color="000000"/>
              <w:bottom w:val="single" w:sz="12" w:space="0" w:color="000000"/>
              <w:right w:val="single" w:sz="12" w:space="0" w:color="000000"/>
            </w:tcBorders>
          </w:tcPr>
          <w:p>
            <w:pPr>
              <w:pStyle w:val="TAC"/>
              <w:rPr/>
            </w:pPr>
            <w:r>
              <w:rPr/>
              <w:br/>
              <w:t>80</w:t>
            </w:r>
          </w:p>
        </w:tc>
        <w:tc>
          <w:tcPr>
            <w:tcW w:w="1088" w:type="dxa"/>
            <w:tcBorders>
              <w:top w:val="single" w:sz="12" w:space="0" w:color="000000"/>
              <w:left w:val="single" w:sz="12" w:space="0" w:color="000000"/>
              <w:right w:val="single" w:sz="12" w:space="0" w:color="000000"/>
            </w:tcBorders>
          </w:tcPr>
          <w:p>
            <w:pPr>
              <w:pStyle w:val="TAC"/>
              <w:rPr/>
            </w:pPr>
            <w:r>
              <w:rPr/>
              <w:br/>
              <w:br/>
              <w:br/>
              <w:t>300 ms</w:t>
            </w:r>
          </w:p>
        </w:tc>
        <w:tc>
          <w:tcPr>
            <w:tcW w:w="797" w:type="dxa"/>
            <w:tcBorders>
              <w:top w:val="single" w:sz="12" w:space="0" w:color="000000"/>
              <w:left w:val="single" w:sz="12" w:space="0" w:color="000000"/>
              <w:right w:val="single" w:sz="12" w:space="0" w:color="000000"/>
            </w:tcBorders>
          </w:tcPr>
          <w:p>
            <w:pPr>
              <w:pStyle w:val="TAC"/>
              <w:rPr/>
            </w:pPr>
            <w:r>
              <w:rPr/>
              <w:br/>
              <w:br/>
              <w:br/>
              <w:t>10</w:t>
            </w:r>
            <w:r>
              <w:rPr>
                <w:sz w:val="22"/>
                <w:vertAlign w:val="superscript"/>
              </w:rPr>
              <w:t>-6</w:t>
            </w:r>
          </w:p>
        </w:tc>
        <w:tc>
          <w:tcPr>
            <w:tcW w:w="1324" w:type="dxa"/>
            <w:tcBorders>
              <w:top w:val="single" w:sz="12" w:space="0" w:color="000000"/>
              <w:left w:val="single" w:sz="12" w:space="0" w:color="000000"/>
              <w:right w:val="single" w:sz="12" w:space="0" w:color="000000"/>
            </w:tcBorders>
          </w:tcPr>
          <w:p>
            <w:pPr>
              <w:pStyle w:val="TAL"/>
              <w:rPr/>
            </w:pPr>
            <w:r>
              <w:rPr/>
              <w:br/>
              <w:br/>
              <w:br/>
              <w:t>N/A</w:t>
            </w:r>
          </w:p>
        </w:tc>
        <w:tc>
          <w:tcPr>
            <w:tcW w:w="1671" w:type="dxa"/>
            <w:tcBorders>
              <w:top w:val="single" w:sz="12" w:space="0" w:color="000000"/>
              <w:left w:val="single" w:sz="12" w:space="0" w:color="000000"/>
              <w:right w:val="single" w:sz="12" w:space="0" w:color="000000"/>
            </w:tcBorders>
          </w:tcPr>
          <w:p>
            <w:pPr>
              <w:pStyle w:val="TAL"/>
              <w:rPr/>
            </w:pPr>
            <w:r>
              <w:rPr/>
              <w:br/>
              <w:br/>
              <w:br/>
              <w:t>N/A</w:t>
            </w:r>
          </w:p>
        </w:tc>
        <w:tc>
          <w:tcPr>
            <w:tcW w:w="2150" w:type="dxa"/>
            <w:tcBorders>
              <w:top w:val="single" w:sz="12" w:space="0" w:color="000000"/>
              <w:left w:val="single" w:sz="12" w:space="0" w:color="000000"/>
              <w:right w:val="single" w:sz="12" w:space="0" w:color="000000"/>
            </w:tcBorders>
          </w:tcPr>
          <w:p>
            <w:pPr>
              <w:pStyle w:val="TAL"/>
              <w:rPr/>
            </w:pPr>
            <w:r>
              <w:rPr/>
              <w:t>Video (Buffered Streaming)</w:t>
              <w:br/>
              <w:t>TCP-based (e.g., www, e-mail, chat, ftp, p2p file sharing, progressive</w:t>
            </w:r>
          </w:p>
        </w:tc>
      </w:tr>
      <w:tr>
        <w:trPr/>
        <w:tc>
          <w:tcPr>
            <w:tcW w:w="1024" w:type="dxa"/>
            <w:tcBorders>
              <w:top w:val="single" w:sz="12" w:space="0" w:color="000000"/>
              <w:left w:val="single" w:sz="12" w:space="0" w:color="000000"/>
              <w:bottom w:val="single" w:sz="12" w:space="0" w:color="000000"/>
              <w:right w:val="single" w:sz="12" w:space="0" w:color="000000"/>
            </w:tcBorders>
          </w:tcPr>
          <w:p>
            <w:pPr>
              <w:pStyle w:val="TAC"/>
              <w:rPr/>
            </w:pPr>
            <w:r>
              <w:rPr/>
              <w:t>9</w:t>
            </w:r>
          </w:p>
        </w:tc>
        <w:tc>
          <w:tcPr>
            <w:tcW w:w="1061" w:type="dxa"/>
            <w:tcBorders>
              <w:left w:val="single" w:sz="12" w:space="0" w:color="000000"/>
              <w:right w:val="single" w:sz="12" w:space="0" w:color="000000"/>
            </w:tcBorders>
          </w:tcPr>
          <w:p>
            <w:pPr>
              <w:pStyle w:val="TAC"/>
              <w:snapToGrid w:val="false"/>
              <w:rPr/>
            </w:pPr>
            <w:r>
              <w:rPr/>
            </w:r>
          </w:p>
        </w:tc>
        <w:tc>
          <w:tcPr>
            <w:tcW w:w="918" w:type="dxa"/>
            <w:tcBorders>
              <w:top w:val="single" w:sz="12" w:space="0" w:color="000000"/>
              <w:left w:val="single" w:sz="12" w:space="0" w:color="000000"/>
              <w:bottom w:val="single" w:sz="12" w:space="0" w:color="000000"/>
              <w:right w:val="single" w:sz="12" w:space="0" w:color="000000"/>
            </w:tcBorders>
          </w:tcPr>
          <w:p>
            <w:pPr>
              <w:pStyle w:val="TAC"/>
              <w:rPr/>
            </w:pPr>
            <w:r>
              <w:rPr/>
              <w:t>90</w:t>
            </w:r>
          </w:p>
        </w:tc>
        <w:tc>
          <w:tcPr>
            <w:tcW w:w="1088" w:type="dxa"/>
            <w:tcBorders>
              <w:left w:val="single" w:sz="12" w:space="0" w:color="000000"/>
              <w:bottom w:val="single" w:sz="12" w:space="0" w:color="000000"/>
              <w:right w:val="single" w:sz="12" w:space="0" w:color="000000"/>
            </w:tcBorders>
          </w:tcPr>
          <w:p>
            <w:pPr>
              <w:pStyle w:val="TAC"/>
              <w:snapToGrid w:val="false"/>
              <w:rPr/>
            </w:pPr>
            <w:r>
              <w:rPr/>
            </w:r>
          </w:p>
        </w:tc>
        <w:tc>
          <w:tcPr>
            <w:tcW w:w="797" w:type="dxa"/>
            <w:tcBorders>
              <w:left w:val="single" w:sz="12" w:space="0" w:color="000000"/>
              <w:bottom w:val="single" w:sz="12" w:space="0" w:color="000000"/>
              <w:right w:val="single" w:sz="12" w:space="0" w:color="000000"/>
            </w:tcBorders>
          </w:tcPr>
          <w:p>
            <w:pPr>
              <w:pStyle w:val="TAC"/>
              <w:snapToGrid w:val="false"/>
              <w:rPr/>
            </w:pPr>
            <w:r>
              <w:rPr/>
            </w:r>
          </w:p>
        </w:tc>
        <w:tc>
          <w:tcPr>
            <w:tcW w:w="1324" w:type="dxa"/>
            <w:tcBorders>
              <w:left w:val="single" w:sz="12" w:space="0" w:color="000000"/>
              <w:bottom w:val="single" w:sz="12" w:space="0" w:color="000000"/>
              <w:right w:val="single" w:sz="12" w:space="0" w:color="000000"/>
            </w:tcBorders>
          </w:tcPr>
          <w:p>
            <w:pPr>
              <w:pStyle w:val="TAL"/>
              <w:snapToGrid w:val="false"/>
              <w:rPr/>
            </w:pPr>
            <w:r>
              <w:rPr/>
            </w:r>
          </w:p>
        </w:tc>
        <w:tc>
          <w:tcPr>
            <w:tcW w:w="1671" w:type="dxa"/>
            <w:tcBorders>
              <w:left w:val="single" w:sz="12" w:space="0" w:color="000000"/>
              <w:bottom w:val="single" w:sz="12" w:space="0" w:color="000000"/>
              <w:right w:val="single" w:sz="12" w:space="0" w:color="000000"/>
            </w:tcBorders>
          </w:tcPr>
          <w:p>
            <w:pPr>
              <w:pStyle w:val="TAL"/>
              <w:snapToGrid w:val="false"/>
              <w:rPr/>
            </w:pPr>
            <w:r>
              <w:rPr/>
            </w:r>
          </w:p>
        </w:tc>
        <w:tc>
          <w:tcPr>
            <w:tcW w:w="2150" w:type="dxa"/>
            <w:tcBorders>
              <w:left w:val="single" w:sz="12" w:space="0" w:color="000000"/>
              <w:bottom w:val="single" w:sz="12" w:space="0" w:color="000000"/>
              <w:right w:val="single" w:sz="12" w:space="0" w:color="000000"/>
            </w:tcBorders>
          </w:tcPr>
          <w:p>
            <w:pPr>
              <w:pStyle w:val="TAL"/>
              <w:rPr/>
            </w:pPr>
            <w:r>
              <w:rPr/>
              <w:t>video, etc.)</w:t>
            </w:r>
          </w:p>
        </w:tc>
      </w:tr>
      <w:tr>
        <w:trPr/>
        <w:tc>
          <w:tcPr>
            <w:tcW w:w="1024" w:type="dxa"/>
            <w:tcBorders>
              <w:top w:val="single" w:sz="12" w:space="0" w:color="000000"/>
              <w:left w:val="single" w:sz="12" w:space="0" w:color="000000"/>
              <w:bottom w:val="single" w:sz="12" w:space="0" w:color="000000"/>
              <w:right w:val="single" w:sz="12" w:space="0" w:color="000000"/>
            </w:tcBorders>
          </w:tcPr>
          <w:p>
            <w:pPr>
              <w:pStyle w:val="TAC"/>
              <w:rPr/>
            </w:pPr>
            <w:r>
              <w:rPr/>
              <w:t>69</w:t>
            </w:r>
          </w:p>
        </w:tc>
        <w:tc>
          <w:tcPr>
            <w:tcW w:w="1061" w:type="dxa"/>
            <w:tcBorders>
              <w:left w:val="single" w:sz="12" w:space="0" w:color="000000"/>
              <w:right w:val="single" w:sz="12" w:space="0" w:color="000000"/>
            </w:tcBorders>
          </w:tcPr>
          <w:p>
            <w:pPr>
              <w:pStyle w:val="TAC"/>
              <w:snapToGrid w:val="false"/>
              <w:rPr/>
            </w:pPr>
            <w:r>
              <w:rPr/>
            </w:r>
          </w:p>
        </w:tc>
        <w:tc>
          <w:tcPr>
            <w:tcW w:w="918" w:type="dxa"/>
            <w:tcBorders>
              <w:top w:val="single" w:sz="12" w:space="0" w:color="000000"/>
              <w:left w:val="single" w:sz="12" w:space="0" w:color="000000"/>
              <w:bottom w:val="single" w:sz="12" w:space="0" w:color="000000"/>
              <w:right w:val="single" w:sz="12" w:space="0" w:color="000000"/>
            </w:tcBorders>
          </w:tcPr>
          <w:p>
            <w:pPr>
              <w:pStyle w:val="TAC"/>
              <w:rPr/>
            </w:pPr>
            <w:r>
              <w:rPr/>
              <w:t>5</w:t>
            </w:r>
          </w:p>
        </w:tc>
        <w:tc>
          <w:tcPr>
            <w:tcW w:w="1088" w:type="dxa"/>
            <w:tcBorders>
              <w:left w:val="single" w:sz="12" w:space="0" w:color="000000"/>
              <w:bottom w:val="single" w:sz="12" w:space="0" w:color="000000"/>
              <w:right w:val="single" w:sz="12" w:space="0" w:color="000000"/>
            </w:tcBorders>
          </w:tcPr>
          <w:p>
            <w:pPr>
              <w:pStyle w:val="TAC"/>
              <w:rPr/>
            </w:pPr>
            <w:r>
              <w:rPr/>
              <w:t>60 ms</w:t>
            </w:r>
          </w:p>
        </w:tc>
        <w:tc>
          <w:tcPr>
            <w:tcW w:w="797" w:type="dxa"/>
            <w:tcBorders>
              <w:left w:val="single" w:sz="12" w:space="0" w:color="000000"/>
              <w:bottom w:val="single" w:sz="12" w:space="0" w:color="000000"/>
              <w:right w:val="single" w:sz="12" w:space="0" w:color="000000"/>
            </w:tcBorders>
          </w:tcPr>
          <w:p>
            <w:pPr>
              <w:pStyle w:val="TAC"/>
              <w:rPr/>
            </w:pPr>
            <w:r>
              <w:rPr/>
              <w:t>10</w:t>
            </w:r>
            <w:r>
              <w:rPr>
                <w:sz w:val="22"/>
                <w:vertAlign w:val="superscript"/>
              </w:rPr>
              <w:t>-6</w:t>
            </w:r>
          </w:p>
        </w:tc>
        <w:tc>
          <w:tcPr>
            <w:tcW w:w="1324" w:type="dxa"/>
            <w:tcBorders>
              <w:left w:val="single" w:sz="12" w:space="0" w:color="000000"/>
              <w:bottom w:val="single" w:sz="12" w:space="0" w:color="000000"/>
              <w:right w:val="single" w:sz="12" w:space="0" w:color="000000"/>
            </w:tcBorders>
          </w:tcPr>
          <w:p>
            <w:pPr>
              <w:pStyle w:val="TAL"/>
              <w:rPr/>
            </w:pPr>
            <w:r>
              <w:rPr/>
              <w:t>N/A</w:t>
            </w:r>
          </w:p>
        </w:tc>
        <w:tc>
          <w:tcPr>
            <w:tcW w:w="1671" w:type="dxa"/>
            <w:tcBorders>
              <w:left w:val="single" w:sz="12" w:space="0" w:color="000000"/>
              <w:bottom w:val="single" w:sz="12" w:space="0" w:color="000000"/>
              <w:right w:val="single" w:sz="12" w:space="0" w:color="000000"/>
            </w:tcBorders>
          </w:tcPr>
          <w:p>
            <w:pPr>
              <w:pStyle w:val="TAL"/>
              <w:rPr/>
            </w:pPr>
            <w:r>
              <w:rPr/>
              <w:t>N/A</w:t>
            </w:r>
          </w:p>
        </w:tc>
        <w:tc>
          <w:tcPr>
            <w:tcW w:w="2150" w:type="dxa"/>
            <w:tcBorders>
              <w:left w:val="single" w:sz="12" w:space="0" w:color="000000"/>
              <w:bottom w:val="single" w:sz="12" w:space="0" w:color="000000"/>
              <w:right w:val="single" w:sz="12" w:space="0" w:color="000000"/>
            </w:tcBorders>
          </w:tcPr>
          <w:p>
            <w:pPr>
              <w:pStyle w:val="TAL"/>
              <w:rPr/>
            </w:pPr>
            <w:r>
              <w:rPr/>
              <w:t>Mission Critical delay sensitive signalling (e.g., MC-PTT signalling)</w:t>
            </w:r>
          </w:p>
        </w:tc>
      </w:tr>
      <w:tr>
        <w:trPr/>
        <w:tc>
          <w:tcPr>
            <w:tcW w:w="1024" w:type="dxa"/>
            <w:tcBorders>
              <w:top w:val="single" w:sz="12" w:space="0" w:color="000000"/>
              <w:left w:val="single" w:sz="12" w:space="0" w:color="000000"/>
              <w:bottom w:val="single" w:sz="12" w:space="0" w:color="000000"/>
              <w:right w:val="single" w:sz="12" w:space="0" w:color="000000"/>
            </w:tcBorders>
          </w:tcPr>
          <w:p>
            <w:pPr>
              <w:pStyle w:val="TAC"/>
              <w:rPr/>
            </w:pPr>
            <w:r>
              <w:rPr/>
              <w:t>70</w:t>
            </w:r>
          </w:p>
        </w:tc>
        <w:tc>
          <w:tcPr>
            <w:tcW w:w="1061" w:type="dxa"/>
            <w:tcBorders>
              <w:left w:val="single" w:sz="12" w:space="0" w:color="000000"/>
              <w:right w:val="single" w:sz="12" w:space="0" w:color="000000"/>
            </w:tcBorders>
          </w:tcPr>
          <w:p>
            <w:pPr>
              <w:pStyle w:val="TAC"/>
              <w:snapToGrid w:val="false"/>
              <w:rPr/>
            </w:pPr>
            <w:r>
              <w:rPr/>
            </w:r>
          </w:p>
        </w:tc>
        <w:tc>
          <w:tcPr>
            <w:tcW w:w="918" w:type="dxa"/>
            <w:tcBorders>
              <w:top w:val="single" w:sz="12" w:space="0" w:color="000000"/>
              <w:left w:val="single" w:sz="12" w:space="0" w:color="000000"/>
              <w:bottom w:val="single" w:sz="12" w:space="0" w:color="000000"/>
              <w:right w:val="single" w:sz="12" w:space="0" w:color="000000"/>
            </w:tcBorders>
          </w:tcPr>
          <w:p>
            <w:pPr>
              <w:pStyle w:val="TAC"/>
              <w:rPr/>
            </w:pPr>
            <w:r>
              <w:rPr/>
              <w:t>55</w:t>
            </w:r>
          </w:p>
        </w:tc>
        <w:tc>
          <w:tcPr>
            <w:tcW w:w="1088" w:type="dxa"/>
            <w:tcBorders>
              <w:top w:val="single" w:sz="12" w:space="0" w:color="000000"/>
              <w:left w:val="single" w:sz="12" w:space="0" w:color="000000"/>
              <w:bottom w:val="single" w:sz="12" w:space="0" w:color="000000"/>
              <w:right w:val="single" w:sz="12" w:space="0" w:color="000000"/>
            </w:tcBorders>
          </w:tcPr>
          <w:p>
            <w:pPr>
              <w:pStyle w:val="TAC"/>
              <w:rPr/>
            </w:pPr>
            <w:r>
              <w:rPr/>
              <w:t>200 ms</w:t>
            </w:r>
          </w:p>
        </w:tc>
        <w:tc>
          <w:tcPr>
            <w:tcW w:w="797" w:type="dxa"/>
            <w:tcBorders>
              <w:top w:val="single" w:sz="12" w:space="0" w:color="000000"/>
              <w:left w:val="single" w:sz="12" w:space="0" w:color="000000"/>
              <w:bottom w:val="single" w:sz="12" w:space="0" w:color="000000"/>
              <w:right w:val="single" w:sz="12" w:space="0" w:color="000000"/>
            </w:tcBorders>
          </w:tcPr>
          <w:p>
            <w:pPr>
              <w:pStyle w:val="TAC"/>
              <w:rPr/>
            </w:pPr>
            <w:r>
              <w:rPr/>
              <w:t>10</w:t>
            </w:r>
            <w:r>
              <w:rPr>
                <w:sz w:val="22"/>
                <w:vertAlign w:val="superscript"/>
              </w:rPr>
              <w:t>-6</w:t>
            </w:r>
          </w:p>
        </w:tc>
        <w:tc>
          <w:tcPr>
            <w:tcW w:w="1324" w:type="dxa"/>
            <w:tcBorders>
              <w:top w:val="single" w:sz="12" w:space="0" w:color="000000"/>
              <w:left w:val="single" w:sz="12" w:space="0" w:color="000000"/>
              <w:bottom w:val="single" w:sz="12" w:space="0" w:color="000000"/>
              <w:right w:val="single" w:sz="12" w:space="0" w:color="000000"/>
            </w:tcBorders>
          </w:tcPr>
          <w:p>
            <w:pPr>
              <w:pStyle w:val="TAL"/>
              <w:rPr/>
            </w:pPr>
            <w:r>
              <w:rPr/>
              <w:t>N/A</w:t>
            </w:r>
          </w:p>
        </w:tc>
        <w:tc>
          <w:tcPr>
            <w:tcW w:w="1671" w:type="dxa"/>
            <w:tcBorders>
              <w:top w:val="single" w:sz="12" w:space="0" w:color="000000"/>
              <w:left w:val="single" w:sz="12" w:space="0" w:color="000000"/>
              <w:bottom w:val="single" w:sz="12" w:space="0" w:color="000000"/>
              <w:right w:val="single" w:sz="12" w:space="0" w:color="000000"/>
            </w:tcBorders>
          </w:tcPr>
          <w:p>
            <w:pPr>
              <w:pStyle w:val="TAL"/>
              <w:rPr/>
            </w:pPr>
            <w:r>
              <w:rPr/>
              <w:t>N/A</w:t>
            </w:r>
          </w:p>
        </w:tc>
        <w:tc>
          <w:tcPr>
            <w:tcW w:w="2150" w:type="dxa"/>
            <w:tcBorders>
              <w:top w:val="single" w:sz="12" w:space="0" w:color="000000"/>
              <w:left w:val="single" w:sz="12" w:space="0" w:color="000000"/>
              <w:bottom w:val="single" w:sz="12" w:space="0" w:color="000000"/>
              <w:right w:val="single" w:sz="12" w:space="0" w:color="000000"/>
            </w:tcBorders>
          </w:tcPr>
          <w:p>
            <w:pPr>
              <w:pStyle w:val="TAL"/>
              <w:rPr/>
            </w:pPr>
            <w:r>
              <w:rPr/>
              <w:t>Mission Critical Data (e.g. example services are the same as QCI 6/8/9)</w:t>
            </w:r>
          </w:p>
        </w:tc>
      </w:tr>
      <w:tr>
        <w:trPr/>
        <w:tc>
          <w:tcPr>
            <w:tcW w:w="1024" w:type="dxa"/>
            <w:tcBorders>
              <w:top w:val="single" w:sz="12" w:space="0" w:color="000000"/>
              <w:left w:val="single" w:sz="12" w:space="0" w:color="000000"/>
              <w:bottom w:val="single" w:sz="12" w:space="0" w:color="000000"/>
              <w:right w:val="single" w:sz="12" w:space="0" w:color="000000"/>
            </w:tcBorders>
          </w:tcPr>
          <w:p>
            <w:pPr>
              <w:pStyle w:val="TAC"/>
              <w:rPr/>
            </w:pPr>
            <w:r>
              <w:rPr/>
              <w:t>79</w:t>
            </w:r>
          </w:p>
        </w:tc>
        <w:tc>
          <w:tcPr>
            <w:tcW w:w="1061" w:type="dxa"/>
            <w:tcBorders>
              <w:left w:val="single" w:sz="12" w:space="0" w:color="000000"/>
              <w:right w:val="single" w:sz="12" w:space="0" w:color="000000"/>
            </w:tcBorders>
          </w:tcPr>
          <w:p>
            <w:pPr>
              <w:pStyle w:val="TAC"/>
              <w:snapToGrid w:val="false"/>
              <w:rPr/>
            </w:pPr>
            <w:r>
              <w:rPr/>
            </w:r>
          </w:p>
        </w:tc>
        <w:tc>
          <w:tcPr>
            <w:tcW w:w="918" w:type="dxa"/>
            <w:tcBorders>
              <w:top w:val="single" w:sz="12" w:space="0" w:color="000000"/>
              <w:left w:val="single" w:sz="12" w:space="0" w:color="000000"/>
              <w:bottom w:val="single" w:sz="12" w:space="0" w:color="000000"/>
              <w:right w:val="single" w:sz="12" w:space="0" w:color="000000"/>
            </w:tcBorders>
          </w:tcPr>
          <w:p>
            <w:pPr>
              <w:pStyle w:val="TAC"/>
              <w:rPr/>
            </w:pPr>
            <w:r>
              <w:rPr/>
              <w:t>65</w:t>
            </w:r>
          </w:p>
        </w:tc>
        <w:tc>
          <w:tcPr>
            <w:tcW w:w="1088" w:type="dxa"/>
            <w:tcBorders>
              <w:top w:val="single" w:sz="12" w:space="0" w:color="000000"/>
              <w:left w:val="single" w:sz="12" w:space="0" w:color="000000"/>
              <w:bottom w:val="single" w:sz="12" w:space="0" w:color="000000"/>
              <w:right w:val="single" w:sz="12" w:space="0" w:color="000000"/>
            </w:tcBorders>
          </w:tcPr>
          <w:p>
            <w:pPr>
              <w:pStyle w:val="TAC"/>
              <w:rPr/>
            </w:pPr>
            <w:r>
              <w:rPr/>
              <w:t>50 ms</w:t>
            </w:r>
          </w:p>
        </w:tc>
        <w:tc>
          <w:tcPr>
            <w:tcW w:w="797" w:type="dxa"/>
            <w:tcBorders>
              <w:top w:val="single" w:sz="12" w:space="0" w:color="000000"/>
              <w:left w:val="single" w:sz="12" w:space="0" w:color="000000"/>
              <w:bottom w:val="single" w:sz="12" w:space="0" w:color="000000"/>
              <w:right w:val="single" w:sz="12" w:space="0" w:color="000000"/>
            </w:tcBorders>
          </w:tcPr>
          <w:p>
            <w:pPr>
              <w:pStyle w:val="TAC"/>
              <w:rPr/>
            </w:pPr>
            <w:r>
              <w:rPr/>
              <w:t>10</w:t>
            </w:r>
            <w:r>
              <w:rPr>
                <w:sz w:val="22"/>
                <w:vertAlign w:val="superscript"/>
              </w:rPr>
              <w:t>-2</w:t>
            </w:r>
          </w:p>
        </w:tc>
        <w:tc>
          <w:tcPr>
            <w:tcW w:w="1324" w:type="dxa"/>
            <w:tcBorders>
              <w:top w:val="single" w:sz="12" w:space="0" w:color="000000"/>
              <w:left w:val="single" w:sz="12" w:space="0" w:color="000000"/>
              <w:bottom w:val="single" w:sz="12" w:space="0" w:color="000000"/>
              <w:right w:val="single" w:sz="12" w:space="0" w:color="000000"/>
            </w:tcBorders>
          </w:tcPr>
          <w:p>
            <w:pPr>
              <w:pStyle w:val="TAL"/>
              <w:rPr/>
            </w:pPr>
            <w:r>
              <w:rPr/>
              <w:t>N/A</w:t>
            </w:r>
          </w:p>
        </w:tc>
        <w:tc>
          <w:tcPr>
            <w:tcW w:w="1671" w:type="dxa"/>
            <w:tcBorders>
              <w:top w:val="single" w:sz="12" w:space="0" w:color="000000"/>
              <w:left w:val="single" w:sz="12" w:space="0" w:color="000000"/>
              <w:bottom w:val="single" w:sz="12" w:space="0" w:color="000000"/>
              <w:right w:val="single" w:sz="12" w:space="0" w:color="000000"/>
            </w:tcBorders>
          </w:tcPr>
          <w:p>
            <w:pPr>
              <w:pStyle w:val="TAL"/>
              <w:rPr/>
            </w:pPr>
            <w:r>
              <w:rPr/>
              <w:t>N/A</w:t>
            </w:r>
          </w:p>
        </w:tc>
        <w:tc>
          <w:tcPr>
            <w:tcW w:w="2150" w:type="dxa"/>
            <w:tcBorders>
              <w:top w:val="single" w:sz="12" w:space="0" w:color="000000"/>
              <w:left w:val="single" w:sz="12" w:space="0" w:color="000000"/>
              <w:bottom w:val="single" w:sz="12" w:space="0" w:color="000000"/>
              <w:right w:val="single" w:sz="12" w:space="0" w:color="000000"/>
            </w:tcBorders>
          </w:tcPr>
          <w:p>
            <w:pPr>
              <w:pStyle w:val="TAL"/>
              <w:rPr/>
            </w:pPr>
            <w:r>
              <w:rPr/>
              <w:t>V2X messages</w:t>
            </w:r>
          </w:p>
        </w:tc>
      </w:tr>
      <w:tr>
        <w:trPr/>
        <w:tc>
          <w:tcPr>
            <w:tcW w:w="1024" w:type="dxa"/>
            <w:tcBorders>
              <w:top w:val="single" w:sz="12" w:space="0" w:color="000000"/>
              <w:left w:val="single" w:sz="12" w:space="0" w:color="000000"/>
              <w:bottom w:val="single" w:sz="12" w:space="0" w:color="000000"/>
              <w:right w:val="single" w:sz="12" w:space="0" w:color="000000"/>
            </w:tcBorders>
          </w:tcPr>
          <w:p>
            <w:pPr>
              <w:pStyle w:val="TAC"/>
              <w:rPr/>
            </w:pPr>
            <w:r>
              <w:rPr/>
              <w:t>80</w:t>
            </w:r>
          </w:p>
        </w:tc>
        <w:tc>
          <w:tcPr>
            <w:tcW w:w="1061" w:type="dxa"/>
            <w:tcBorders>
              <w:left w:val="single" w:sz="12" w:space="0" w:color="000000"/>
              <w:bottom w:val="single" w:sz="12" w:space="0" w:color="000000"/>
              <w:right w:val="single" w:sz="12" w:space="0" w:color="000000"/>
            </w:tcBorders>
          </w:tcPr>
          <w:p>
            <w:pPr>
              <w:pStyle w:val="TAC"/>
              <w:snapToGrid w:val="false"/>
              <w:rPr/>
            </w:pPr>
            <w:r>
              <w:rPr/>
            </w:r>
          </w:p>
        </w:tc>
        <w:tc>
          <w:tcPr>
            <w:tcW w:w="918" w:type="dxa"/>
            <w:tcBorders>
              <w:top w:val="single" w:sz="12" w:space="0" w:color="000000"/>
              <w:left w:val="single" w:sz="12" w:space="0" w:color="000000"/>
              <w:bottom w:val="single" w:sz="12" w:space="0" w:color="000000"/>
              <w:right w:val="single" w:sz="12" w:space="0" w:color="000000"/>
            </w:tcBorders>
          </w:tcPr>
          <w:p>
            <w:pPr>
              <w:pStyle w:val="TAC"/>
              <w:rPr/>
            </w:pPr>
            <w:r>
              <w:rPr/>
              <w:t>68</w:t>
            </w:r>
          </w:p>
        </w:tc>
        <w:tc>
          <w:tcPr>
            <w:tcW w:w="1088" w:type="dxa"/>
            <w:tcBorders>
              <w:top w:val="single" w:sz="12" w:space="0" w:color="000000"/>
              <w:left w:val="single" w:sz="12" w:space="0" w:color="000000"/>
              <w:right w:val="single" w:sz="12" w:space="0" w:color="000000"/>
            </w:tcBorders>
          </w:tcPr>
          <w:p>
            <w:pPr>
              <w:pStyle w:val="TAC"/>
              <w:rPr/>
            </w:pPr>
            <w:r>
              <w:rPr/>
              <w:t>10 ms</w:t>
            </w:r>
          </w:p>
          <w:p>
            <w:pPr>
              <w:pStyle w:val="TAC"/>
              <w:rPr/>
            </w:pPr>
            <w:r>
              <w:rPr/>
            </w:r>
          </w:p>
        </w:tc>
        <w:tc>
          <w:tcPr>
            <w:tcW w:w="797" w:type="dxa"/>
            <w:tcBorders>
              <w:top w:val="single" w:sz="12" w:space="0" w:color="000000"/>
              <w:left w:val="single" w:sz="12" w:space="0" w:color="000000"/>
              <w:right w:val="single" w:sz="12" w:space="0" w:color="000000"/>
            </w:tcBorders>
          </w:tcPr>
          <w:p>
            <w:pPr>
              <w:pStyle w:val="TAC"/>
              <w:rPr/>
            </w:pPr>
            <w:r>
              <w:rPr/>
              <w:t>10</w:t>
            </w:r>
            <w:r>
              <w:rPr>
                <w:sz w:val="22"/>
                <w:vertAlign w:val="superscript"/>
              </w:rPr>
              <w:t>-6</w:t>
            </w:r>
          </w:p>
        </w:tc>
        <w:tc>
          <w:tcPr>
            <w:tcW w:w="1324" w:type="dxa"/>
            <w:tcBorders>
              <w:top w:val="single" w:sz="12" w:space="0" w:color="000000"/>
              <w:left w:val="single" w:sz="12" w:space="0" w:color="000000"/>
              <w:right w:val="single" w:sz="12" w:space="0" w:color="000000"/>
            </w:tcBorders>
          </w:tcPr>
          <w:p>
            <w:pPr>
              <w:pStyle w:val="TAL"/>
              <w:rPr/>
            </w:pPr>
            <w:r>
              <w:rPr/>
              <w:t>N/A</w:t>
            </w:r>
          </w:p>
        </w:tc>
        <w:tc>
          <w:tcPr>
            <w:tcW w:w="1671" w:type="dxa"/>
            <w:tcBorders>
              <w:top w:val="single" w:sz="12" w:space="0" w:color="000000"/>
              <w:left w:val="single" w:sz="12" w:space="0" w:color="000000"/>
              <w:right w:val="single" w:sz="12" w:space="0" w:color="000000"/>
            </w:tcBorders>
          </w:tcPr>
          <w:p>
            <w:pPr>
              <w:pStyle w:val="TAL"/>
              <w:rPr/>
            </w:pPr>
            <w:r>
              <w:rPr/>
              <w:t>N/A</w:t>
            </w:r>
          </w:p>
        </w:tc>
        <w:tc>
          <w:tcPr>
            <w:tcW w:w="2150" w:type="dxa"/>
            <w:tcBorders>
              <w:top w:val="single" w:sz="12" w:space="0" w:color="000000"/>
              <w:left w:val="single" w:sz="12" w:space="0" w:color="000000"/>
              <w:right w:val="single" w:sz="12" w:space="0" w:color="000000"/>
            </w:tcBorders>
          </w:tcPr>
          <w:p>
            <w:pPr>
              <w:pStyle w:val="TAL"/>
              <w:rPr/>
            </w:pPr>
            <w:r>
              <w:rPr/>
              <w:t>Low Latency eMBB applications Augmented Reality</w:t>
            </w:r>
          </w:p>
        </w:tc>
      </w:tr>
      <w:tr>
        <w:trPr/>
        <w:tc>
          <w:tcPr>
            <w:tcW w:w="1024" w:type="dxa"/>
            <w:tcBorders>
              <w:top w:val="single" w:sz="12" w:space="0" w:color="000000"/>
              <w:left w:val="single" w:sz="12" w:space="0" w:color="000000"/>
              <w:bottom w:val="single" w:sz="12" w:space="0" w:color="000000"/>
              <w:right w:val="single" w:sz="12" w:space="0" w:color="000000"/>
            </w:tcBorders>
          </w:tcPr>
          <w:p>
            <w:pPr>
              <w:pStyle w:val="TAC"/>
              <w:rPr/>
            </w:pPr>
            <w:r>
              <w:rPr/>
              <w:t>82</w:t>
            </w:r>
          </w:p>
        </w:tc>
        <w:tc>
          <w:tcPr>
            <w:tcW w:w="1061" w:type="dxa"/>
            <w:tcBorders>
              <w:top w:val="single" w:sz="12" w:space="0" w:color="000000"/>
              <w:left w:val="single" w:sz="12" w:space="0" w:color="000000"/>
              <w:right w:val="single" w:sz="12" w:space="0" w:color="000000"/>
            </w:tcBorders>
          </w:tcPr>
          <w:p>
            <w:pPr>
              <w:pStyle w:val="TAC"/>
              <w:rPr/>
            </w:pPr>
            <w:r>
              <w:rPr/>
              <w:t>Delay Critical GBR</w:t>
            </w:r>
          </w:p>
        </w:tc>
        <w:tc>
          <w:tcPr>
            <w:tcW w:w="918" w:type="dxa"/>
            <w:tcBorders>
              <w:top w:val="single" w:sz="12" w:space="0" w:color="000000"/>
              <w:left w:val="single" w:sz="12" w:space="0" w:color="000000"/>
              <w:bottom w:val="single" w:sz="12" w:space="0" w:color="000000"/>
              <w:right w:val="single" w:sz="12" w:space="0" w:color="000000"/>
            </w:tcBorders>
          </w:tcPr>
          <w:p>
            <w:pPr>
              <w:pStyle w:val="TAC"/>
              <w:rPr/>
            </w:pPr>
            <w:r>
              <w:rPr/>
              <w:t>19</w:t>
            </w:r>
          </w:p>
        </w:tc>
        <w:tc>
          <w:tcPr>
            <w:tcW w:w="1088" w:type="dxa"/>
            <w:tcBorders>
              <w:top w:val="single" w:sz="12" w:space="0" w:color="000000"/>
              <w:left w:val="single" w:sz="12" w:space="0" w:color="000000"/>
              <w:bottom w:val="single" w:sz="12" w:space="0" w:color="000000"/>
              <w:right w:val="single" w:sz="12" w:space="0" w:color="000000"/>
            </w:tcBorders>
          </w:tcPr>
          <w:p>
            <w:pPr>
              <w:pStyle w:val="TAC"/>
              <w:rPr/>
            </w:pPr>
            <w:r>
              <w:rPr/>
              <w:t>10 ms</w:t>
              <w:br/>
              <w:t>(NOTE 4)</w:t>
            </w:r>
          </w:p>
        </w:tc>
        <w:tc>
          <w:tcPr>
            <w:tcW w:w="797" w:type="dxa"/>
            <w:tcBorders>
              <w:top w:val="single" w:sz="12" w:space="0" w:color="000000"/>
              <w:left w:val="single" w:sz="12" w:space="0" w:color="000000"/>
              <w:bottom w:val="single" w:sz="12" w:space="0" w:color="000000"/>
              <w:right w:val="single" w:sz="12" w:space="0" w:color="000000"/>
            </w:tcBorders>
          </w:tcPr>
          <w:p>
            <w:pPr>
              <w:pStyle w:val="TAC"/>
              <w:rPr/>
            </w:pPr>
            <w:r>
              <w:rPr/>
              <w:t>10</w:t>
            </w:r>
            <w:r>
              <w:rPr>
                <w:sz w:val="22"/>
                <w:vertAlign w:val="superscript"/>
              </w:rPr>
              <w:t>-4</w:t>
            </w:r>
          </w:p>
        </w:tc>
        <w:tc>
          <w:tcPr>
            <w:tcW w:w="1324" w:type="dxa"/>
            <w:tcBorders>
              <w:top w:val="single" w:sz="12" w:space="0" w:color="000000"/>
              <w:left w:val="single" w:sz="12" w:space="0" w:color="000000"/>
              <w:bottom w:val="single" w:sz="12" w:space="0" w:color="000000"/>
              <w:right w:val="single" w:sz="12" w:space="0" w:color="000000"/>
            </w:tcBorders>
          </w:tcPr>
          <w:p>
            <w:pPr>
              <w:pStyle w:val="TAL"/>
              <w:rPr/>
            </w:pPr>
            <w:r>
              <w:rPr/>
              <w:t>255 bytes</w:t>
            </w:r>
          </w:p>
        </w:tc>
        <w:tc>
          <w:tcPr>
            <w:tcW w:w="1671" w:type="dxa"/>
            <w:tcBorders>
              <w:top w:val="single" w:sz="12" w:space="0" w:color="000000"/>
              <w:left w:val="single" w:sz="12" w:space="0" w:color="000000"/>
              <w:bottom w:val="single" w:sz="12" w:space="0" w:color="000000"/>
              <w:right w:val="single" w:sz="12" w:space="0" w:color="000000"/>
            </w:tcBorders>
          </w:tcPr>
          <w:p>
            <w:pPr>
              <w:pStyle w:val="TAL"/>
              <w:rPr/>
            </w:pPr>
            <w:r>
              <w:rPr/>
              <w:t>2000 ms</w:t>
            </w:r>
          </w:p>
        </w:tc>
        <w:tc>
          <w:tcPr>
            <w:tcW w:w="2150" w:type="dxa"/>
            <w:tcBorders>
              <w:top w:val="single" w:sz="12" w:space="0" w:color="000000"/>
              <w:left w:val="single" w:sz="12" w:space="0" w:color="000000"/>
              <w:bottom w:val="single" w:sz="12" w:space="0" w:color="000000"/>
              <w:right w:val="single" w:sz="12" w:space="0" w:color="000000"/>
            </w:tcBorders>
          </w:tcPr>
          <w:p>
            <w:pPr>
              <w:pStyle w:val="TAL"/>
              <w:rPr/>
            </w:pPr>
            <w:r>
              <w:rPr/>
              <w:t>Discrete Automation (see TS 22.261 [2])</w:t>
            </w:r>
          </w:p>
        </w:tc>
      </w:tr>
      <w:tr>
        <w:trPr/>
        <w:tc>
          <w:tcPr>
            <w:tcW w:w="1024" w:type="dxa"/>
            <w:tcBorders>
              <w:top w:val="single" w:sz="12" w:space="0" w:color="000000"/>
              <w:left w:val="single" w:sz="12" w:space="0" w:color="000000"/>
              <w:bottom w:val="single" w:sz="12" w:space="0" w:color="000000"/>
              <w:right w:val="single" w:sz="12" w:space="0" w:color="000000"/>
            </w:tcBorders>
          </w:tcPr>
          <w:p>
            <w:pPr>
              <w:pStyle w:val="TAC"/>
              <w:rPr/>
            </w:pPr>
            <w:r>
              <w:rPr/>
              <w:t>83</w:t>
            </w:r>
          </w:p>
        </w:tc>
        <w:tc>
          <w:tcPr>
            <w:tcW w:w="1061" w:type="dxa"/>
            <w:tcBorders>
              <w:left w:val="single" w:sz="12" w:space="0" w:color="000000"/>
              <w:right w:val="single" w:sz="12" w:space="0" w:color="000000"/>
            </w:tcBorders>
          </w:tcPr>
          <w:p>
            <w:pPr>
              <w:pStyle w:val="TAC"/>
              <w:snapToGrid w:val="false"/>
              <w:rPr/>
            </w:pPr>
            <w:r>
              <w:rPr/>
            </w:r>
          </w:p>
        </w:tc>
        <w:tc>
          <w:tcPr>
            <w:tcW w:w="918" w:type="dxa"/>
            <w:tcBorders>
              <w:top w:val="single" w:sz="12" w:space="0" w:color="000000"/>
              <w:left w:val="single" w:sz="12" w:space="0" w:color="000000"/>
              <w:bottom w:val="single" w:sz="12" w:space="0" w:color="000000"/>
              <w:right w:val="single" w:sz="12" w:space="0" w:color="000000"/>
            </w:tcBorders>
          </w:tcPr>
          <w:p>
            <w:pPr>
              <w:pStyle w:val="TAC"/>
              <w:rPr/>
            </w:pPr>
            <w:r>
              <w:rPr/>
              <w:t>22</w:t>
            </w:r>
          </w:p>
        </w:tc>
        <w:tc>
          <w:tcPr>
            <w:tcW w:w="1088" w:type="dxa"/>
            <w:tcBorders>
              <w:top w:val="single" w:sz="12" w:space="0" w:color="000000"/>
              <w:left w:val="single" w:sz="12" w:space="0" w:color="000000"/>
              <w:bottom w:val="single" w:sz="12" w:space="0" w:color="000000"/>
              <w:right w:val="single" w:sz="12" w:space="0" w:color="000000"/>
            </w:tcBorders>
          </w:tcPr>
          <w:p>
            <w:pPr>
              <w:pStyle w:val="TAC"/>
              <w:rPr/>
            </w:pPr>
            <w:r>
              <w:rPr/>
              <w:t>10 ms</w:t>
              <w:br/>
              <w:t>(NOTE 4)</w:t>
            </w:r>
          </w:p>
        </w:tc>
        <w:tc>
          <w:tcPr>
            <w:tcW w:w="797" w:type="dxa"/>
            <w:tcBorders>
              <w:top w:val="single" w:sz="12" w:space="0" w:color="000000"/>
              <w:left w:val="single" w:sz="12" w:space="0" w:color="000000"/>
              <w:bottom w:val="single" w:sz="12" w:space="0" w:color="000000"/>
              <w:right w:val="single" w:sz="12" w:space="0" w:color="000000"/>
            </w:tcBorders>
          </w:tcPr>
          <w:p>
            <w:pPr>
              <w:pStyle w:val="TAC"/>
              <w:rPr/>
            </w:pPr>
            <w:r>
              <w:rPr/>
              <w:t>10</w:t>
            </w:r>
            <w:r>
              <w:rPr>
                <w:sz w:val="22"/>
                <w:vertAlign w:val="superscript"/>
              </w:rPr>
              <w:t>-4</w:t>
            </w:r>
          </w:p>
        </w:tc>
        <w:tc>
          <w:tcPr>
            <w:tcW w:w="1324" w:type="dxa"/>
            <w:tcBorders>
              <w:top w:val="single" w:sz="12" w:space="0" w:color="000000"/>
              <w:left w:val="single" w:sz="12" w:space="0" w:color="000000"/>
              <w:bottom w:val="single" w:sz="12" w:space="0" w:color="000000"/>
              <w:right w:val="single" w:sz="12" w:space="0" w:color="000000"/>
            </w:tcBorders>
          </w:tcPr>
          <w:p>
            <w:pPr>
              <w:pStyle w:val="TAL"/>
              <w:rPr/>
            </w:pPr>
            <w:r>
              <w:rPr/>
              <w:t>1358 bytes</w:t>
            </w:r>
          </w:p>
          <w:p>
            <w:pPr>
              <w:pStyle w:val="TAL"/>
              <w:rPr/>
            </w:pPr>
            <w:r>
              <w:rPr/>
              <w:t>(NOTE 3)</w:t>
            </w:r>
          </w:p>
        </w:tc>
        <w:tc>
          <w:tcPr>
            <w:tcW w:w="1671" w:type="dxa"/>
            <w:tcBorders>
              <w:top w:val="single" w:sz="12" w:space="0" w:color="000000"/>
              <w:left w:val="single" w:sz="12" w:space="0" w:color="000000"/>
              <w:bottom w:val="single" w:sz="12" w:space="0" w:color="000000"/>
              <w:right w:val="single" w:sz="12" w:space="0" w:color="000000"/>
            </w:tcBorders>
          </w:tcPr>
          <w:p>
            <w:pPr>
              <w:pStyle w:val="TAL"/>
              <w:rPr/>
            </w:pPr>
            <w:r>
              <w:rPr/>
              <w:t>2000 ms</w:t>
            </w:r>
          </w:p>
        </w:tc>
        <w:tc>
          <w:tcPr>
            <w:tcW w:w="2150" w:type="dxa"/>
            <w:tcBorders>
              <w:top w:val="single" w:sz="12" w:space="0" w:color="000000"/>
              <w:left w:val="single" w:sz="12" w:space="0" w:color="000000"/>
              <w:bottom w:val="single" w:sz="12" w:space="0" w:color="000000"/>
              <w:right w:val="single" w:sz="12" w:space="0" w:color="000000"/>
            </w:tcBorders>
          </w:tcPr>
          <w:p>
            <w:pPr>
              <w:pStyle w:val="TAL"/>
              <w:rPr/>
            </w:pPr>
            <w:r>
              <w:rPr/>
              <w:t>Discrete Automation (see TS 22.261 [2])</w:t>
            </w:r>
          </w:p>
        </w:tc>
      </w:tr>
      <w:tr>
        <w:trPr/>
        <w:tc>
          <w:tcPr>
            <w:tcW w:w="1024" w:type="dxa"/>
            <w:tcBorders>
              <w:top w:val="single" w:sz="12" w:space="0" w:color="000000"/>
              <w:left w:val="single" w:sz="12" w:space="0" w:color="000000"/>
              <w:bottom w:val="single" w:sz="12" w:space="0" w:color="000000"/>
              <w:right w:val="single" w:sz="12" w:space="0" w:color="000000"/>
            </w:tcBorders>
          </w:tcPr>
          <w:p>
            <w:pPr>
              <w:pStyle w:val="TAC"/>
              <w:rPr/>
            </w:pPr>
            <w:r>
              <w:rPr/>
              <w:t>84</w:t>
            </w:r>
          </w:p>
        </w:tc>
        <w:tc>
          <w:tcPr>
            <w:tcW w:w="1061" w:type="dxa"/>
            <w:tcBorders>
              <w:left w:val="single" w:sz="12" w:space="0" w:color="000000"/>
              <w:right w:val="single" w:sz="12" w:space="0" w:color="000000"/>
            </w:tcBorders>
          </w:tcPr>
          <w:p>
            <w:pPr>
              <w:pStyle w:val="TAC"/>
              <w:snapToGrid w:val="false"/>
              <w:rPr/>
            </w:pPr>
            <w:r>
              <w:rPr/>
            </w:r>
          </w:p>
        </w:tc>
        <w:tc>
          <w:tcPr>
            <w:tcW w:w="918" w:type="dxa"/>
            <w:tcBorders>
              <w:top w:val="single" w:sz="12" w:space="0" w:color="000000"/>
              <w:left w:val="single" w:sz="12" w:space="0" w:color="000000"/>
              <w:bottom w:val="single" w:sz="12" w:space="0" w:color="000000"/>
              <w:right w:val="single" w:sz="12" w:space="0" w:color="000000"/>
            </w:tcBorders>
          </w:tcPr>
          <w:p>
            <w:pPr>
              <w:pStyle w:val="TAC"/>
              <w:rPr/>
            </w:pPr>
            <w:r>
              <w:rPr/>
              <w:t>24</w:t>
            </w:r>
          </w:p>
        </w:tc>
        <w:tc>
          <w:tcPr>
            <w:tcW w:w="1088" w:type="dxa"/>
            <w:tcBorders>
              <w:top w:val="single" w:sz="12" w:space="0" w:color="000000"/>
              <w:left w:val="single" w:sz="12" w:space="0" w:color="000000"/>
              <w:bottom w:val="single" w:sz="12" w:space="0" w:color="000000"/>
              <w:right w:val="single" w:sz="12" w:space="0" w:color="000000"/>
            </w:tcBorders>
          </w:tcPr>
          <w:p>
            <w:pPr>
              <w:pStyle w:val="TAC"/>
              <w:rPr/>
            </w:pPr>
            <w:r>
              <w:rPr/>
              <w:t>30 ms</w:t>
            </w:r>
          </w:p>
          <w:p>
            <w:pPr>
              <w:pStyle w:val="TAC"/>
              <w:rPr/>
            </w:pPr>
            <w:r>
              <w:rPr/>
              <w:t>(NOTE 6)</w:t>
            </w:r>
          </w:p>
        </w:tc>
        <w:tc>
          <w:tcPr>
            <w:tcW w:w="797" w:type="dxa"/>
            <w:tcBorders>
              <w:top w:val="single" w:sz="12" w:space="0" w:color="000000"/>
              <w:left w:val="single" w:sz="12" w:space="0" w:color="000000"/>
              <w:bottom w:val="single" w:sz="12" w:space="0" w:color="000000"/>
              <w:right w:val="single" w:sz="12" w:space="0" w:color="000000"/>
            </w:tcBorders>
          </w:tcPr>
          <w:p>
            <w:pPr>
              <w:pStyle w:val="TAC"/>
              <w:rPr/>
            </w:pPr>
            <w:r>
              <w:rPr/>
              <w:t>10</w:t>
            </w:r>
            <w:r>
              <w:rPr>
                <w:sz w:val="22"/>
                <w:vertAlign w:val="superscript"/>
              </w:rPr>
              <w:t>-5</w:t>
            </w:r>
          </w:p>
        </w:tc>
        <w:tc>
          <w:tcPr>
            <w:tcW w:w="1324" w:type="dxa"/>
            <w:tcBorders>
              <w:top w:val="single" w:sz="12" w:space="0" w:color="000000"/>
              <w:left w:val="single" w:sz="12" w:space="0" w:color="000000"/>
              <w:bottom w:val="single" w:sz="12" w:space="0" w:color="000000"/>
              <w:right w:val="single" w:sz="12" w:space="0" w:color="000000"/>
            </w:tcBorders>
          </w:tcPr>
          <w:p>
            <w:pPr>
              <w:pStyle w:val="TAL"/>
              <w:rPr/>
            </w:pPr>
            <w:r>
              <w:rPr/>
              <w:t>1354 bytes</w:t>
            </w:r>
          </w:p>
        </w:tc>
        <w:tc>
          <w:tcPr>
            <w:tcW w:w="1671" w:type="dxa"/>
            <w:tcBorders>
              <w:top w:val="single" w:sz="12" w:space="0" w:color="000000"/>
              <w:left w:val="single" w:sz="12" w:space="0" w:color="000000"/>
              <w:bottom w:val="single" w:sz="12" w:space="0" w:color="000000"/>
              <w:right w:val="single" w:sz="12" w:space="0" w:color="000000"/>
            </w:tcBorders>
          </w:tcPr>
          <w:p>
            <w:pPr>
              <w:pStyle w:val="TAL"/>
              <w:rPr/>
            </w:pPr>
            <w:r>
              <w:rPr/>
              <w:t>2000 ms</w:t>
            </w:r>
          </w:p>
        </w:tc>
        <w:tc>
          <w:tcPr>
            <w:tcW w:w="2150" w:type="dxa"/>
            <w:tcBorders>
              <w:top w:val="single" w:sz="12" w:space="0" w:color="000000"/>
              <w:left w:val="single" w:sz="12" w:space="0" w:color="000000"/>
              <w:bottom w:val="single" w:sz="12" w:space="0" w:color="000000"/>
              <w:right w:val="single" w:sz="12" w:space="0" w:color="000000"/>
            </w:tcBorders>
          </w:tcPr>
          <w:p>
            <w:pPr>
              <w:pStyle w:val="TAL"/>
              <w:rPr/>
            </w:pPr>
            <w:r>
              <w:rPr/>
              <w:t>Intelligent transport systems (see TS 22.261 [2])</w:t>
            </w:r>
          </w:p>
        </w:tc>
      </w:tr>
      <w:tr>
        <w:trPr/>
        <w:tc>
          <w:tcPr>
            <w:tcW w:w="1024" w:type="dxa"/>
            <w:tcBorders>
              <w:top w:val="single" w:sz="12" w:space="0" w:color="000000"/>
              <w:left w:val="single" w:sz="12" w:space="0" w:color="000000"/>
              <w:bottom w:val="single" w:sz="12" w:space="0" w:color="000000"/>
              <w:right w:val="single" w:sz="12" w:space="0" w:color="000000"/>
            </w:tcBorders>
          </w:tcPr>
          <w:p>
            <w:pPr>
              <w:pStyle w:val="TAC"/>
              <w:rPr/>
            </w:pPr>
            <w:r>
              <w:rPr/>
              <w:t>85</w:t>
            </w:r>
          </w:p>
        </w:tc>
        <w:tc>
          <w:tcPr>
            <w:tcW w:w="1061" w:type="dxa"/>
            <w:tcBorders>
              <w:left w:val="single" w:sz="12" w:space="0" w:color="000000"/>
              <w:bottom w:val="single" w:sz="4" w:space="0" w:color="000000"/>
              <w:right w:val="single" w:sz="12" w:space="0" w:color="000000"/>
            </w:tcBorders>
          </w:tcPr>
          <w:p>
            <w:pPr>
              <w:pStyle w:val="TAC"/>
              <w:snapToGrid w:val="false"/>
              <w:rPr/>
            </w:pPr>
            <w:r>
              <w:rPr/>
            </w:r>
          </w:p>
        </w:tc>
        <w:tc>
          <w:tcPr>
            <w:tcW w:w="918" w:type="dxa"/>
            <w:tcBorders>
              <w:top w:val="single" w:sz="12" w:space="0" w:color="000000"/>
              <w:left w:val="single" w:sz="12" w:space="0" w:color="000000"/>
              <w:bottom w:val="single" w:sz="12" w:space="0" w:color="000000"/>
              <w:right w:val="single" w:sz="12" w:space="0" w:color="000000"/>
            </w:tcBorders>
          </w:tcPr>
          <w:p>
            <w:pPr>
              <w:pStyle w:val="TAC"/>
              <w:rPr/>
            </w:pPr>
            <w:r>
              <w:rPr/>
              <w:t>21</w:t>
            </w:r>
          </w:p>
        </w:tc>
        <w:tc>
          <w:tcPr>
            <w:tcW w:w="1088" w:type="dxa"/>
            <w:tcBorders>
              <w:top w:val="single" w:sz="12" w:space="0" w:color="000000"/>
              <w:left w:val="single" w:sz="12" w:space="0" w:color="000000"/>
              <w:bottom w:val="single" w:sz="12" w:space="0" w:color="000000"/>
              <w:right w:val="single" w:sz="12" w:space="0" w:color="000000"/>
            </w:tcBorders>
          </w:tcPr>
          <w:p>
            <w:pPr>
              <w:pStyle w:val="TAC"/>
              <w:rPr/>
            </w:pPr>
            <w:r>
              <w:rPr/>
              <w:t>5 ms</w:t>
            </w:r>
          </w:p>
          <w:p>
            <w:pPr>
              <w:pStyle w:val="TAC"/>
              <w:rPr/>
            </w:pPr>
            <w:r>
              <w:rPr/>
              <w:t>(NOTE 5)</w:t>
            </w:r>
          </w:p>
        </w:tc>
        <w:tc>
          <w:tcPr>
            <w:tcW w:w="797" w:type="dxa"/>
            <w:tcBorders>
              <w:top w:val="single" w:sz="12" w:space="0" w:color="000000"/>
              <w:left w:val="single" w:sz="12" w:space="0" w:color="000000"/>
              <w:bottom w:val="single" w:sz="12" w:space="0" w:color="000000"/>
              <w:right w:val="single" w:sz="12" w:space="0" w:color="000000"/>
            </w:tcBorders>
          </w:tcPr>
          <w:p>
            <w:pPr>
              <w:pStyle w:val="TAC"/>
              <w:rPr/>
            </w:pPr>
            <w:r>
              <w:rPr/>
              <w:t>10</w:t>
            </w:r>
            <w:r>
              <w:rPr>
                <w:sz w:val="22"/>
                <w:vertAlign w:val="superscript"/>
              </w:rPr>
              <w:t>-5</w:t>
            </w:r>
          </w:p>
        </w:tc>
        <w:tc>
          <w:tcPr>
            <w:tcW w:w="1324" w:type="dxa"/>
            <w:tcBorders>
              <w:top w:val="single" w:sz="12" w:space="0" w:color="000000"/>
              <w:left w:val="single" w:sz="12" w:space="0" w:color="000000"/>
              <w:bottom w:val="single" w:sz="12" w:space="0" w:color="000000"/>
              <w:right w:val="single" w:sz="12" w:space="0" w:color="000000"/>
            </w:tcBorders>
          </w:tcPr>
          <w:p>
            <w:pPr>
              <w:pStyle w:val="TAL"/>
              <w:rPr/>
            </w:pPr>
            <w:r>
              <w:rPr/>
              <w:t>255 bytes</w:t>
            </w:r>
          </w:p>
        </w:tc>
        <w:tc>
          <w:tcPr>
            <w:tcW w:w="1671" w:type="dxa"/>
            <w:tcBorders>
              <w:top w:val="single" w:sz="12" w:space="0" w:color="000000"/>
              <w:left w:val="single" w:sz="12" w:space="0" w:color="000000"/>
              <w:bottom w:val="single" w:sz="12" w:space="0" w:color="000000"/>
              <w:right w:val="single" w:sz="12" w:space="0" w:color="000000"/>
            </w:tcBorders>
          </w:tcPr>
          <w:p>
            <w:pPr>
              <w:pStyle w:val="TAL"/>
              <w:rPr/>
            </w:pPr>
            <w:r>
              <w:rPr/>
              <w:t>2000 ms</w:t>
            </w:r>
          </w:p>
        </w:tc>
        <w:tc>
          <w:tcPr>
            <w:tcW w:w="2150" w:type="dxa"/>
            <w:tcBorders>
              <w:top w:val="single" w:sz="12" w:space="0" w:color="000000"/>
              <w:left w:val="single" w:sz="12" w:space="0" w:color="000000"/>
              <w:bottom w:val="single" w:sz="12" w:space="0" w:color="000000"/>
              <w:right w:val="single" w:sz="12" w:space="0" w:color="000000"/>
            </w:tcBorders>
          </w:tcPr>
          <w:p>
            <w:pPr>
              <w:pStyle w:val="TAL"/>
              <w:rPr/>
            </w:pPr>
            <w:r>
              <w:rPr/>
              <w:t>Electricity Distribution- high voltage (see TS 22.261 [2])</w:t>
            </w:r>
          </w:p>
        </w:tc>
      </w:tr>
      <w:tr>
        <w:trPr/>
        <w:tc>
          <w:tcPr>
            <w:tcW w:w="10033" w:type="dxa"/>
            <w:gridSpan w:val="8"/>
            <w:tcBorders>
              <w:top w:val="single" w:sz="12" w:space="0" w:color="000000"/>
              <w:left w:val="single" w:sz="12" w:space="0" w:color="000000"/>
              <w:bottom w:val="single" w:sz="12" w:space="0" w:color="000000"/>
              <w:right w:val="single" w:sz="12" w:space="0" w:color="000000"/>
            </w:tcBorders>
          </w:tcPr>
          <w:p>
            <w:pPr>
              <w:pStyle w:val="TAN"/>
              <w:rPr/>
            </w:pPr>
            <w:r>
              <w:rPr/>
              <w:t>NOTE 1:</w:t>
              <w:tab/>
              <w:t>A packet which is delayed more than PDB is not counted as lost, thus not included in the PER.</w:t>
            </w:r>
          </w:p>
          <w:p>
            <w:pPr>
              <w:pStyle w:val="TAN"/>
              <w:rPr/>
            </w:pPr>
            <w:r>
              <w:rPr/>
              <w:t>NOTE 2:</w:t>
              <w:tab/>
              <w:t>It is required that default MDBV is supported by a PLMN supporting the related 5QIs.</w:t>
            </w:r>
          </w:p>
          <w:p>
            <w:pPr>
              <w:pStyle w:val="TAN"/>
              <w:rPr/>
            </w:pPr>
            <w:r>
              <w:rPr/>
              <w:t>NOTE 3:</w:t>
              <w:tab/>
              <w:t>This MDBV value is set to 1354 bytes to avoid IP fragmentation for the IPv6 based, IPSec protected GTP tunnel to the 5G-AN node (the value is calculated as in Annex C of TS 23.060 [56] and further reduced by 4 bytes to allow for the usage of a GTP-U extension header).</w:t>
            </w:r>
          </w:p>
          <w:p>
            <w:pPr>
              <w:pStyle w:val="TAN"/>
              <w:rPr/>
            </w:pPr>
            <w:r>
              <w:rPr/>
              <w:t>NOTE 4:</w:t>
              <w:tab/>
              <w:t>A delay of 1 ms for the delay between a UPF terminating N6 and a 5G-AN should be subtracted from a given PDB to derive the packet delay budget that applies to the radio interface.</w:t>
            </w:r>
          </w:p>
          <w:p>
            <w:pPr>
              <w:pStyle w:val="TAN"/>
              <w:rPr/>
            </w:pPr>
            <w:r>
              <w:rPr/>
              <w:t>NOTE 5:</w:t>
              <w:tab/>
              <w:t>A delay of 2 ms for the delay between a UPF terminating N6 and a 5G-AN should be subtracted from a given PDB to derive the packet delay budget that applies to the radio interface.</w:t>
            </w:r>
          </w:p>
          <w:p>
            <w:pPr>
              <w:pStyle w:val="TAN"/>
              <w:rPr/>
            </w:pPr>
            <w:r>
              <w:rPr/>
              <w:t>NOTE 6:</w:t>
              <w:tab/>
              <w:t>A delay of 5 ms for the delay between a UPF terminating N6 and a 5G-AN should be subtracted from a given PDB to derive the packet delay budget that applies to the radio interface.</w:t>
            </w:r>
          </w:p>
        </w:tc>
      </w:tr>
    </w:tbl>
    <w:p>
      <w:pPr>
        <w:pStyle w:val="Normal"/>
        <w:rPr/>
      </w:pPr>
      <w:r>
        <w:rPr/>
      </w:r>
    </w:p>
    <w:p>
      <w:pPr>
        <w:pStyle w:val="Heading3"/>
        <w:rPr/>
      </w:pPr>
      <w:bookmarkStart w:id="69" w:name="__RefHeading___Toc32311359"/>
      <w:bookmarkEnd w:id="69"/>
      <w:r>
        <w:rPr/>
        <w:t>8.1.5</w:t>
        <w:tab/>
        <w:t>Considerations for Media Services</w:t>
      </w:r>
    </w:p>
    <w:p>
      <w:pPr>
        <w:pStyle w:val="Heading4"/>
        <w:ind w:left="1418" w:hanging="1418"/>
        <w:rPr/>
      </w:pPr>
      <w:bookmarkStart w:id="70" w:name="__RefHeading___Toc32311360"/>
      <w:bookmarkEnd w:id="70"/>
      <w:r>
        <w:rPr/>
        <w:t>8.1.5.1</w:t>
        <w:tab/>
        <w:t>General</w:t>
      </w:r>
    </w:p>
    <w:p>
      <w:pPr>
        <w:pStyle w:val="Normal"/>
        <w:rPr/>
      </w:pPr>
      <w:r>
        <w:rPr/>
        <w:t>For media traffic considered in the present document, it is appropriate to understand, how they map to QoS parameters and characteristics, including the mapping to the 5QIs as indicated above.</w:t>
      </w:r>
    </w:p>
    <w:p>
      <w:pPr>
        <w:pStyle w:val="Heading4"/>
        <w:ind w:left="1418" w:hanging="1418"/>
        <w:rPr/>
      </w:pPr>
      <w:bookmarkStart w:id="71" w:name="__RefHeading___Toc32311361"/>
      <w:bookmarkEnd w:id="71"/>
      <w:r>
        <w:rPr/>
        <w:t>8.1.5.2</w:t>
        <w:tab/>
        <w:t xml:space="preserve">Expected TCP/IP Performance for non-GBR </w:t>
      </w:r>
    </w:p>
    <w:p>
      <w:pPr>
        <w:pStyle w:val="Normal"/>
        <w:rPr/>
      </w:pPr>
      <w:r>
        <w:rPr/>
        <w:t>Maximum achievable throughput for a single TCP connection is determined by different factors. One trivial limitation is the maximum bandwidth of the slowest link in the path. But there are also other, less obvious limits for TCP throughput. Packet loss can create a limitation for the connection as well as can the roundtrip time of acknowledgements.</w:t>
      </w:r>
    </w:p>
    <w:p>
      <w:pPr>
        <w:pStyle w:val="Normal"/>
        <w:rPr/>
      </w:pPr>
      <w:r>
        <w:rPr/>
        <w:t>The TCP Receive Window is the amount of data that a receiver can accept without acknowledging the sender. If the sender has not received acknowledgement for the first packet it sent, it will stop and wait and if this wait exceeds a certain limit, it may even retransmit. This is how TCP achieves reliable data transmission. Even if there is no packet loss in the network, this windowing limits throughput. Because TCP transmits data up to the window size before waiting for the acknowledgements, the full bandwidth of the network may not always get used. At any given time, the window advertised by the receive side of TCP corresponds to the amount of free receive memory it has allocated for this connection.</w:t>
      </w:r>
    </w:p>
    <w:p>
      <w:pPr>
        <w:pStyle w:val="Normal"/>
        <w:rPr/>
      </w:pPr>
      <w:r>
        <w:rPr/>
        <w:t>When packet loss occurs in the network, an additional limit is imposed on the connection. In the case of light to moderate packet loss when the TCP rate is limited by the congestion avoidance algorithm.</w:t>
      </w:r>
    </w:p>
    <w:p>
      <w:pPr>
        <w:pStyle w:val="Normal"/>
        <w:rPr/>
      </w:pPr>
      <w:r>
        <w:rPr/>
        <w:t xml:space="preserve">The </w:t>
      </w:r>
      <w:r>
        <w:rPr>
          <w:i/>
        </w:rPr>
        <w:t>Mathis equation</w:t>
      </w:r>
      <w:r>
        <w:rPr/>
        <w:t xml:space="preserve"> is a formula that approximates the actual impact of loss on the maximum throughput rate:</w:t>
      </w:r>
    </w:p>
    <w:p>
      <w:pPr>
        <w:pStyle w:val="Normal"/>
        <w:ind w:left="568" w:hanging="0"/>
        <w:rPr/>
      </w:pPr>
      <w:r>
        <w:rPr>
          <w:rFonts w:cs="Courier New" w:ascii="Courier New" w:hAnsi="Courier New"/>
        </w:rPr>
        <w:t>Max Rate in bps &lt; (MSS/RTT)*(1 / sqrt(p))</w:t>
      </w:r>
    </w:p>
    <w:p>
      <w:pPr>
        <w:pStyle w:val="Normal"/>
        <w:ind w:left="568" w:hanging="0"/>
        <w:rPr/>
      </w:pPr>
      <w:r>
        <w:rPr/>
        <w:t>where</w:t>
      </w:r>
    </w:p>
    <w:p>
      <w:pPr>
        <w:pStyle w:val="Normal"/>
        <w:ind w:left="568" w:hanging="0"/>
        <w:rPr/>
      </w:pPr>
      <w:r>
        <w:rPr>
          <w:rFonts w:cs="Courier New" w:ascii="Courier New" w:hAnsi="Courier New"/>
        </w:rPr>
        <w:t>MSS</w:t>
      </w:r>
      <w:r>
        <w:rPr/>
        <w:t xml:space="preserve"> = maximum segment size in bytes</w:t>
      </w:r>
    </w:p>
    <w:p>
      <w:pPr>
        <w:pStyle w:val="Normal"/>
        <w:ind w:left="568" w:hanging="0"/>
        <w:rPr/>
      </w:pPr>
      <w:r>
        <w:rPr>
          <w:rFonts w:cs="Courier New" w:ascii="Courier New" w:hAnsi="Courier New"/>
        </w:rPr>
        <w:t>RTT</w:t>
      </w:r>
      <w:r>
        <w:rPr/>
        <w:t xml:space="preserve"> = round trip time in seconds</w:t>
      </w:r>
    </w:p>
    <w:p>
      <w:pPr>
        <w:pStyle w:val="Normal"/>
        <w:ind w:left="568" w:hanging="0"/>
        <w:rPr/>
      </w:pPr>
      <w:r>
        <w:rPr>
          <w:rFonts w:cs="Courier New" w:ascii="Courier New" w:hAnsi="Courier New"/>
        </w:rPr>
        <w:t>p</w:t>
      </w:r>
      <w:r>
        <w:rPr/>
        <w:t xml:space="preserve"> = the probability of packet loss</w:t>
      </w:r>
    </w:p>
    <w:p>
      <w:pPr>
        <w:pStyle w:val="NO"/>
        <w:rPr/>
      </w:pPr>
      <w:r>
        <w:rPr/>
        <w:t xml:space="preserve">NOTE: </w:t>
        <w:tab/>
      </w:r>
      <w:r>
        <w:rPr>
          <w:i/>
          <w:iCs/>
        </w:rPr>
        <w:t>The formula is known as the Mathis equation, from a 1997 paper titled</w:t>
      </w:r>
      <w:r>
        <w:rPr/>
        <w:t> </w:t>
      </w:r>
      <w:hyperlink r:id="rId12">
        <w:r>
          <w:rPr>
            <w:rStyle w:val="InternetLink"/>
            <w:color w:val="0000FF"/>
            <w:u w:val="single"/>
          </w:rPr>
          <w:t>The Macroscopic Behavior of the TCP Congestion Avoidance Algorithm</w:t>
        </w:r>
      </w:hyperlink>
      <w:r>
        <w:rPr/>
        <w:t xml:space="preserve"> [40].</w:t>
      </w:r>
    </w:p>
    <w:p>
      <w:pPr>
        <w:pStyle w:val="Normal"/>
        <w:rPr/>
      </w:pPr>
      <w:r>
        <w:rPr/>
        <w:t>While this equation obviously has limits in the details, it provides an excellent estimate on the estimated TCP throughput. Figure 8.1.5-1 shows the estimated TCP Throughput over One Way Latency for different packet loss rates and MSS 1500 bytes based on this equation, assuming that the RTT is twice the one way latency.</w:t>
      </w:r>
    </w:p>
    <w:p>
      <w:pPr>
        <w:pStyle w:val="TH"/>
        <w:rPr/>
      </w:pPr>
      <w:r>
        <w:rPr/>
        <w:drawing>
          <wp:inline distT="0" distB="0" distL="0" distR="0">
            <wp:extent cx="6163310" cy="2834640"/>
            <wp:effectExtent l="0" t="0" r="0" b="0"/>
            <wp:docPr id="14" name="Chart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hart 1" descr=""/>
                    <pic:cNvPicPr>
                      <a:picLocks noChangeAspect="1" noChangeArrowheads="1"/>
                    </pic:cNvPicPr>
                  </pic:nvPicPr>
                  <pic:blipFill>
                    <a:blip r:embed="rId13"/>
                    <a:srcRect l="-6" t="-13" r="-6" b="-13"/>
                    <a:stretch>
                      <a:fillRect/>
                    </a:stretch>
                  </pic:blipFill>
                  <pic:spPr bwMode="auto">
                    <a:xfrm>
                      <a:off x="0" y="0"/>
                      <a:ext cx="6163310" cy="2834640"/>
                    </a:xfrm>
                    <a:prstGeom prst="rect">
                      <a:avLst/>
                    </a:prstGeom>
                  </pic:spPr>
                </pic:pic>
              </a:graphicData>
            </a:graphic>
          </wp:inline>
        </w:drawing>
      </w:r>
    </w:p>
    <w:p>
      <w:pPr>
        <w:pStyle w:val="TF"/>
        <w:rPr/>
      </w:pPr>
      <w:r>
        <w:rPr/>
        <w:t>Figure 8.1.5-1: Estimated TCP Throughput over One Way Latency for different packet loss rates and MSS 1500 bytes</w:t>
      </w:r>
    </w:p>
    <w:p>
      <w:pPr>
        <w:pStyle w:val="Normal"/>
        <w:rPr/>
      </w:pPr>
      <w:r>
        <w:rPr/>
        <w:t>Based on this equation, the estimated TCP throughput for some relevant streaming related Non-GBR 5QIs as documented in Table 8.1.4-1 are as follows:</w:t>
      </w:r>
    </w:p>
    <w:p>
      <w:pPr>
        <w:pStyle w:val="B1"/>
        <w:rPr/>
      </w:pPr>
      <w:r>
        <w:rPr/>
        <w:t>-</w:t>
        <w:tab/>
        <w:t>5QI = 7 with Latency=100ms and Packet loss rate 10e-3 results in estimated TCP Throughput of 237 kbit/s</w:t>
      </w:r>
    </w:p>
    <w:p>
      <w:pPr>
        <w:pStyle w:val="B1"/>
        <w:rPr/>
      </w:pPr>
      <w:r>
        <w:rPr/>
        <w:t>-</w:t>
        <w:tab/>
        <w:t>5QI = 8 and 9 with Latency=300ms and Packet loss rate 10e-6 results in estimated TCP Throughput of 2.5 Mbit/s</w:t>
      </w:r>
    </w:p>
    <w:p>
      <w:pPr>
        <w:pStyle w:val="B1"/>
        <w:rPr/>
      </w:pPr>
      <w:r>
        <w:rPr/>
        <w:t>-</w:t>
        <w:tab/>
        <w:t>5QI = 7 with Latency=10ms and Packet loss rate 10e-6 results in estimated TCP Throughput of 75 Mbit/s</w:t>
      </w:r>
    </w:p>
    <w:p>
      <w:pPr>
        <w:pStyle w:val="Normal"/>
        <w:rPr/>
      </w:pPr>
      <w:r>
        <w:rPr/>
        <w:t xml:space="preserve">The equation shows that typically TCP based streaming traffic is more susceptible to loss rates than to delay. It is also important that packet loss rates and latencies are not guaranteed and may therefore result in lower or higher throughput, for example in case of congestion or cell handoff. Hence, media services using these 5QI assignments preferably apply protocols that enable to adapt to these bitrates and changes. </w:t>
      </w:r>
    </w:p>
    <w:p>
      <w:pPr>
        <w:pStyle w:val="Heading4"/>
        <w:ind w:left="1418" w:hanging="1418"/>
        <w:rPr/>
      </w:pPr>
      <w:bookmarkStart w:id="72" w:name="__RefHeading___Toc32311362"/>
      <w:bookmarkEnd w:id="72"/>
      <w:r>
        <w:rPr/>
        <w:t>8.1.5.3</w:t>
        <w:tab/>
        <w:t>Bitrate considerations for GBR services</w:t>
      </w:r>
    </w:p>
    <w:p>
      <w:pPr>
        <w:pStyle w:val="Normal"/>
        <w:rPr/>
      </w:pPr>
      <w:r>
        <w:rPr/>
        <w:t xml:space="preserve">If the service would be able to benefit from GBR QoS, then the GFBR and MFBR are relevant. A suitable characterization for a media service is the required minimum bitrate that it needs in order to maintain a good service quality. At the same time, a service is well characterized up to which bitrate it would still provide noticeable quality improvements. Such information may be static or may even change over time, depending on the complexity of the service. </w:t>
      </w:r>
    </w:p>
    <w:p>
      <w:pPr>
        <w:pStyle w:val="Heading4"/>
        <w:ind w:left="1418" w:hanging="1418"/>
        <w:rPr/>
      </w:pPr>
      <w:bookmarkStart w:id="73" w:name="__RefHeading___Toc32311363"/>
      <w:bookmarkEnd w:id="73"/>
      <w:r>
        <w:rPr/>
        <w:t>8.1.5.4</w:t>
        <w:tab/>
        <w:t>Relevant Parameters for Media Services</w:t>
      </w:r>
    </w:p>
    <w:p>
      <w:pPr>
        <w:pStyle w:val="Normal"/>
        <w:rPr/>
      </w:pPr>
      <w:r>
        <w:rPr/>
        <w:t>Based on this discussion, it is proposed that for Media services that use TCP-based distribution systems and permit rate adaptation (such as adaptive streaming services), the following information is worthwhile to be provided:</w:t>
      </w:r>
    </w:p>
    <w:p>
      <w:pPr>
        <w:pStyle w:val="B1"/>
        <w:rPr/>
      </w:pPr>
      <w:r>
        <w:rPr/>
        <w:t>-</w:t>
        <w:tab/>
        <w:t>The typical bitrate at which the service preferable operates, possibly providing a range of the bitrate. It should also be mentioned if such information is static over the service or would change, and if such information may be configurable.</w:t>
      </w:r>
    </w:p>
    <w:p>
      <w:pPr>
        <w:pStyle w:val="B1"/>
        <w:rPr/>
      </w:pPr>
      <w:r>
        <w:rPr/>
        <w:t>-</w:t>
        <w:tab/>
        <w:t>If there exists a minimum bitrate that the service should not fall below to maintain a sufficient quality. If this exists, a range would be preferable. It should also be mentioned if such information is static over the service or would change, and if such information may be configurable.</w:t>
      </w:r>
    </w:p>
    <w:p>
      <w:pPr>
        <w:pStyle w:val="B1"/>
        <w:rPr/>
      </w:pPr>
      <w:r>
        <w:rPr/>
        <w:t>-</w:t>
        <w:tab/>
        <w:t>If there exists a maximum bitrate that the service beyond which the services does not created additional quality. If this exists, a range would be preferable. It should also be mentioned if such information is static over the service or would change, and if such information may be configurable.</w:t>
      </w:r>
      <w:r>
        <w:br w:type="page"/>
      </w:r>
    </w:p>
    <w:p>
      <w:pPr>
        <w:pStyle w:val="FP"/>
        <w:rPr/>
      </w:pPr>
      <w:r>
        <w:rPr/>
      </w:r>
    </w:p>
    <w:p>
      <w:pPr>
        <w:pStyle w:val="Heading9"/>
        <w:rPr/>
      </w:pPr>
      <w:bookmarkStart w:id="74" w:name="__RefHeading___Toc32311364"/>
      <w:bookmarkEnd w:id="74"/>
      <w:r>
        <w:rPr/>
        <w:t>Annex A:</w:t>
        <w:br/>
        <w:t>Background information on cloud gaming</w:t>
      </w:r>
    </w:p>
    <w:p>
      <w:pPr>
        <w:pStyle w:val="Normal"/>
        <w:rPr/>
      </w:pPr>
      <w:r>
        <w:rPr>
          <w:rFonts w:cs="Arial"/>
        </w:rPr>
        <w:t>Interactive online game applications require connectivity between the game application client and a game application server. The game application client typically runs on a UE or on a device attached to a UE. The type of traffic generated depends on the type of game. The Quality of Experience is influenced by the adequacy of the QoS of the connectivity and the traffic requirements from the game application.</w:t>
      </w:r>
    </w:p>
    <w:p>
      <w:pPr>
        <w:pStyle w:val="Normal"/>
        <w:rPr/>
      </w:pPr>
      <w:r>
        <w:rPr>
          <w:rFonts w:cs="Arial"/>
        </w:rPr>
        <w:t>For example, Ref. [23] provides delay thresholds per game type in table A-1:</w:t>
      </w:r>
    </w:p>
    <w:p>
      <w:pPr>
        <w:pStyle w:val="TH"/>
        <w:rPr/>
      </w:pPr>
      <w:r>
        <w:rPr/>
        <w:t>Table A-1: Delay tolerance in traditional gaming (from [23]).</w:t>
      </w:r>
    </w:p>
    <w:tbl>
      <w:tblPr>
        <w:tblW w:w="9489" w:type="dxa"/>
        <w:jc w:val="center"/>
        <w:tblInd w:w="0" w:type="dxa"/>
        <w:tblLayout w:type="fixed"/>
        <w:tblCellMar>
          <w:top w:w="0" w:type="dxa"/>
          <w:left w:w="108" w:type="dxa"/>
          <w:bottom w:w="0" w:type="dxa"/>
          <w:right w:w="108" w:type="dxa"/>
        </w:tblCellMar>
      </w:tblPr>
      <w:tblGrid>
        <w:gridCol w:w="3163"/>
        <w:gridCol w:w="3163"/>
        <w:gridCol w:w="3163"/>
      </w:tblGrid>
      <w:tr>
        <w:trPr/>
        <w:tc>
          <w:tcPr>
            <w:tcW w:w="3163" w:type="dxa"/>
            <w:tcBorders>
              <w:top w:val="single" w:sz="4" w:space="0" w:color="000000"/>
              <w:left w:val="single" w:sz="4" w:space="0" w:color="000000"/>
              <w:bottom w:val="single" w:sz="4" w:space="0" w:color="000000"/>
              <w:right w:val="single" w:sz="4" w:space="0" w:color="000000"/>
            </w:tcBorders>
          </w:tcPr>
          <w:p>
            <w:pPr>
              <w:pStyle w:val="TAH"/>
              <w:rPr>
                <w:rFonts w:eastAsia="SimSun;宋体"/>
              </w:rPr>
            </w:pPr>
            <w:r>
              <w:rPr>
                <w:rFonts w:eastAsia="SimSun;宋体"/>
              </w:rPr>
              <w:t>Example game type</w:t>
            </w:r>
          </w:p>
        </w:tc>
        <w:tc>
          <w:tcPr>
            <w:tcW w:w="3163" w:type="dxa"/>
            <w:tcBorders>
              <w:top w:val="single" w:sz="4" w:space="0" w:color="000000"/>
              <w:left w:val="single" w:sz="4" w:space="0" w:color="000000"/>
              <w:bottom w:val="single" w:sz="4" w:space="0" w:color="000000"/>
              <w:right w:val="single" w:sz="4" w:space="0" w:color="000000"/>
            </w:tcBorders>
          </w:tcPr>
          <w:p>
            <w:pPr>
              <w:pStyle w:val="TAH"/>
              <w:rPr>
                <w:rFonts w:eastAsia="SimSun;宋体"/>
              </w:rPr>
            </w:pPr>
            <w:r>
              <w:rPr>
                <w:rFonts w:eastAsia="SimSun;宋体"/>
              </w:rPr>
              <w:t>Perspective</w:t>
            </w:r>
          </w:p>
        </w:tc>
        <w:tc>
          <w:tcPr>
            <w:tcW w:w="3163" w:type="dxa"/>
            <w:tcBorders>
              <w:top w:val="single" w:sz="4" w:space="0" w:color="000000"/>
              <w:left w:val="single" w:sz="4" w:space="0" w:color="000000"/>
              <w:bottom w:val="single" w:sz="4" w:space="0" w:color="000000"/>
              <w:right w:val="single" w:sz="4" w:space="0" w:color="000000"/>
            </w:tcBorders>
          </w:tcPr>
          <w:p>
            <w:pPr>
              <w:pStyle w:val="TAH"/>
              <w:rPr/>
            </w:pPr>
            <w:r>
              <w:rPr>
                <w:rFonts w:eastAsia="SimSun;宋体"/>
              </w:rPr>
              <w:t>Delay threshold</w:t>
            </w:r>
          </w:p>
        </w:tc>
      </w:tr>
      <w:tr>
        <w:trPr/>
        <w:tc>
          <w:tcPr>
            <w:tcW w:w="3163" w:type="dxa"/>
            <w:tcBorders>
              <w:top w:val="single" w:sz="4" w:space="0" w:color="000000"/>
              <w:left w:val="single" w:sz="4" w:space="0" w:color="000000"/>
              <w:bottom w:val="single" w:sz="4" w:space="0" w:color="000000"/>
              <w:right w:val="single" w:sz="4" w:space="0" w:color="000000"/>
            </w:tcBorders>
          </w:tcPr>
          <w:p>
            <w:pPr>
              <w:pStyle w:val="TAL"/>
              <w:rPr>
                <w:rFonts w:eastAsia="SimSun;宋体"/>
              </w:rPr>
            </w:pPr>
            <w:r>
              <w:rPr>
                <w:rFonts w:eastAsia="SimSun;宋体"/>
              </w:rPr>
              <w:t>First person shooter (FPS)</w:t>
            </w:r>
          </w:p>
          <w:p>
            <w:pPr>
              <w:pStyle w:val="TAL"/>
              <w:rPr>
                <w:rFonts w:eastAsia="SimSun;宋体"/>
              </w:rPr>
            </w:pPr>
            <w:r>
              <w:rPr>
                <w:rFonts w:eastAsia="SimSun;宋体"/>
              </w:rPr>
            </w:r>
          </w:p>
        </w:tc>
        <w:tc>
          <w:tcPr>
            <w:tcW w:w="3163" w:type="dxa"/>
            <w:tcBorders>
              <w:top w:val="single" w:sz="4" w:space="0" w:color="000000"/>
              <w:left w:val="single" w:sz="4" w:space="0" w:color="000000"/>
              <w:bottom w:val="single" w:sz="4" w:space="0" w:color="000000"/>
              <w:right w:val="single" w:sz="4" w:space="0" w:color="000000"/>
            </w:tcBorders>
          </w:tcPr>
          <w:p>
            <w:pPr>
              <w:pStyle w:val="TAL"/>
              <w:rPr/>
            </w:pPr>
            <w:r>
              <w:rPr>
                <w:rFonts w:eastAsia="SimSun;宋体"/>
              </w:rPr>
              <w:t>First person</w:t>
            </w:r>
          </w:p>
          <w:p>
            <w:pPr>
              <w:pStyle w:val="TAL"/>
              <w:rPr>
                <w:rFonts w:eastAsia="SimSun;宋体"/>
              </w:rPr>
            </w:pPr>
            <w:r>
              <w:rPr>
                <w:rFonts w:eastAsia="SimSun;宋体"/>
              </w:rPr>
            </w:r>
          </w:p>
        </w:tc>
        <w:tc>
          <w:tcPr>
            <w:tcW w:w="3163" w:type="dxa"/>
            <w:tcBorders>
              <w:top w:val="single" w:sz="4" w:space="0" w:color="000000"/>
              <w:left w:val="single" w:sz="4" w:space="0" w:color="000000"/>
              <w:bottom w:val="single" w:sz="4" w:space="0" w:color="000000"/>
              <w:right w:val="single" w:sz="4" w:space="0" w:color="000000"/>
            </w:tcBorders>
          </w:tcPr>
          <w:p>
            <w:pPr>
              <w:pStyle w:val="TAL"/>
              <w:rPr>
                <w:rFonts w:eastAsia="SimSun;宋体"/>
              </w:rPr>
            </w:pPr>
            <w:r>
              <w:rPr>
                <w:rFonts w:eastAsia="SimSun;宋体"/>
              </w:rPr>
              <w:t>100 ms</w:t>
            </w:r>
          </w:p>
          <w:p>
            <w:pPr>
              <w:pStyle w:val="TAL"/>
              <w:rPr>
                <w:rFonts w:eastAsia="SimSun;宋体"/>
              </w:rPr>
            </w:pPr>
            <w:r>
              <w:rPr>
                <w:rFonts w:eastAsia="SimSun;宋体"/>
              </w:rPr>
            </w:r>
          </w:p>
        </w:tc>
      </w:tr>
      <w:tr>
        <w:trPr/>
        <w:tc>
          <w:tcPr>
            <w:tcW w:w="3163" w:type="dxa"/>
            <w:tcBorders>
              <w:top w:val="single" w:sz="4" w:space="0" w:color="000000"/>
              <w:left w:val="single" w:sz="4" w:space="0" w:color="000000"/>
              <w:bottom w:val="single" w:sz="4" w:space="0" w:color="000000"/>
              <w:right w:val="single" w:sz="4" w:space="0" w:color="000000"/>
            </w:tcBorders>
          </w:tcPr>
          <w:p>
            <w:pPr>
              <w:pStyle w:val="TAL"/>
              <w:rPr>
                <w:rFonts w:eastAsia="SimSun;宋体"/>
              </w:rPr>
            </w:pPr>
            <w:r>
              <w:rPr>
                <w:rFonts w:eastAsia="SimSun;宋体"/>
              </w:rPr>
              <w:t>Role playing game (RPG)</w:t>
            </w:r>
          </w:p>
          <w:p>
            <w:pPr>
              <w:pStyle w:val="TAL"/>
              <w:rPr>
                <w:rFonts w:eastAsia="SimSun;宋体"/>
              </w:rPr>
            </w:pPr>
            <w:r>
              <w:rPr>
                <w:rFonts w:eastAsia="SimSun;宋体"/>
              </w:rPr>
            </w:r>
          </w:p>
        </w:tc>
        <w:tc>
          <w:tcPr>
            <w:tcW w:w="3163" w:type="dxa"/>
            <w:tcBorders>
              <w:top w:val="single" w:sz="4" w:space="0" w:color="000000"/>
              <w:left w:val="single" w:sz="4" w:space="0" w:color="000000"/>
              <w:bottom w:val="single" w:sz="4" w:space="0" w:color="000000"/>
              <w:right w:val="single" w:sz="4" w:space="0" w:color="000000"/>
            </w:tcBorders>
          </w:tcPr>
          <w:p>
            <w:pPr>
              <w:pStyle w:val="TAL"/>
              <w:rPr/>
            </w:pPr>
            <w:r>
              <w:rPr>
                <w:rFonts w:eastAsia="SimSun;宋体"/>
              </w:rPr>
              <w:t>Third person</w:t>
            </w:r>
          </w:p>
          <w:p>
            <w:pPr>
              <w:pStyle w:val="TAL"/>
              <w:rPr>
                <w:rFonts w:eastAsia="SimSun;宋体"/>
              </w:rPr>
            </w:pPr>
            <w:r>
              <w:rPr>
                <w:rFonts w:eastAsia="SimSun;宋体"/>
              </w:rPr>
            </w:r>
          </w:p>
        </w:tc>
        <w:tc>
          <w:tcPr>
            <w:tcW w:w="3163" w:type="dxa"/>
            <w:tcBorders>
              <w:top w:val="single" w:sz="4" w:space="0" w:color="000000"/>
              <w:left w:val="single" w:sz="4" w:space="0" w:color="000000"/>
              <w:bottom w:val="single" w:sz="4" w:space="0" w:color="000000"/>
              <w:right w:val="single" w:sz="4" w:space="0" w:color="000000"/>
            </w:tcBorders>
          </w:tcPr>
          <w:p>
            <w:pPr>
              <w:pStyle w:val="TAL"/>
              <w:rPr/>
            </w:pPr>
            <w:r>
              <w:rPr>
                <w:rFonts w:eastAsia="SimSun;宋体"/>
              </w:rPr>
              <w:t>500 ms</w:t>
            </w:r>
          </w:p>
          <w:p>
            <w:pPr>
              <w:pStyle w:val="TAL"/>
              <w:rPr>
                <w:rFonts w:eastAsia="SimSun;宋体"/>
              </w:rPr>
            </w:pPr>
            <w:r>
              <w:rPr>
                <w:rFonts w:eastAsia="SimSun;宋体"/>
              </w:rPr>
            </w:r>
          </w:p>
        </w:tc>
      </w:tr>
      <w:tr>
        <w:trPr/>
        <w:tc>
          <w:tcPr>
            <w:tcW w:w="3163" w:type="dxa"/>
            <w:tcBorders>
              <w:top w:val="single" w:sz="4" w:space="0" w:color="000000"/>
              <w:left w:val="single" w:sz="4" w:space="0" w:color="000000"/>
              <w:bottom w:val="single" w:sz="4" w:space="0" w:color="000000"/>
              <w:right w:val="single" w:sz="4" w:space="0" w:color="000000"/>
            </w:tcBorders>
          </w:tcPr>
          <w:p>
            <w:pPr>
              <w:pStyle w:val="TAL"/>
              <w:rPr>
                <w:rFonts w:eastAsia="SimSun;宋体"/>
              </w:rPr>
            </w:pPr>
            <w:r>
              <w:rPr>
                <w:rFonts w:eastAsia="SimSun;宋体"/>
              </w:rPr>
              <w:t>Real-time strategy (RTS)</w:t>
            </w:r>
          </w:p>
          <w:p>
            <w:pPr>
              <w:pStyle w:val="TAL"/>
              <w:rPr>
                <w:rFonts w:eastAsia="SimSun;宋体"/>
              </w:rPr>
            </w:pPr>
            <w:r>
              <w:rPr>
                <w:rFonts w:eastAsia="SimSun;宋体"/>
              </w:rPr>
            </w:r>
          </w:p>
        </w:tc>
        <w:tc>
          <w:tcPr>
            <w:tcW w:w="3163" w:type="dxa"/>
            <w:tcBorders>
              <w:top w:val="single" w:sz="4" w:space="0" w:color="000000"/>
              <w:left w:val="single" w:sz="4" w:space="0" w:color="000000"/>
              <w:bottom w:val="single" w:sz="4" w:space="0" w:color="000000"/>
              <w:right w:val="single" w:sz="4" w:space="0" w:color="000000"/>
            </w:tcBorders>
          </w:tcPr>
          <w:p>
            <w:pPr>
              <w:pStyle w:val="TAL"/>
              <w:rPr>
                <w:rFonts w:eastAsia="SimSun;宋体"/>
              </w:rPr>
            </w:pPr>
            <w:r>
              <w:rPr>
                <w:rFonts w:eastAsia="SimSun;宋体"/>
              </w:rPr>
              <w:t>Omnipresent</w:t>
            </w:r>
          </w:p>
          <w:p>
            <w:pPr>
              <w:pStyle w:val="TAL"/>
              <w:rPr>
                <w:rFonts w:eastAsia="SimSun;宋体"/>
              </w:rPr>
            </w:pPr>
            <w:r>
              <w:rPr>
                <w:rFonts w:eastAsia="SimSun;宋体"/>
              </w:rPr>
            </w:r>
          </w:p>
        </w:tc>
        <w:tc>
          <w:tcPr>
            <w:tcW w:w="3163" w:type="dxa"/>
            <w:tcBorders>
              <w:top w:val="single" w:sz="4" w:space="0" w:color="000000"/>
              <w:left w:val="single" w:sz="4" w:space="0" w:color="000000"/>
              <w:bottom w:val="single" w:sz="4" w:space="0" w:color="000000"/>
              <w:right w:val="single" w:sz="4" w:space="0" w:color="000000"/>
            </w:tcBorders>
          </w:tcPr>
          <w:p>
            <w:pPr>
              <w:pStyle w:val="TAL"/>
              <w:rPr/>
            </w:pPr>
            <w:r>
              <w:rPr>
                <w:rFonts w:eastAsia="SimSun;宋体"/>
              </w:rPr>
              <w:t>1000 ms</w:t>
            </w:r>
          </w:p>
        </w:tc>
      </w:tr>
    </w:tbl>
    <w:p>
      <w:pPr>
        <w:pStyle w:val="FP"/>
        <w:rPr/>
      </w:pPr>
      <w:r>
        <w:rPr/>
      </w:r>
    </w:p>
    <w:p>
      <w:pPr>
        <w:pStyle w:val="NO"/>
        <w:rPr/>
      </w:pPr>
      <w:r>
        <w:rPr/>
        <w:t xml:space="preserve">NOTE: </w:t>
        <w:tab/>
        <w:t>The delay tolerance figures of Table A-1. are applicable to regular 2D games and do not take into account any motion-to-photon requirements of VR gaming applications.</w:t>
      </w:r>
    </w:p>
    <w:p>
      <w:pPr>
        <w:pStyle w:val="Normal"/>
        <w:rPr/>
      </w:pPr>
      <w:r>
        <w:rPr>
          <w:rFonts w:cs="Arial"/>
        </w:rPr>
        <w:t xml:space="preserve">Cloud gaming implies that, while the game is being played by a user on a client, game application processing and rendering is totally or partly performed in a remote network entity, potentially at the edge of the network. The rendered 2D or VR360 video is then encoded and streamed to the client. These extra steps in game workflow influence the overall interactive delay and audio/video quality (e.g. encoding type/profile/level and performances, resolution and frame rate), and hence influence the Quality of Experience. </w:t>
      </w:r>
    </w:p>
    <w:p>
      <w:pPr>
        <w:pStyle w:val="Normal"/>
        <w:rPr>
          <w:rFonts w:cs="Arial"/>
          <w:szCs w:val="22"/>
          <w:lang w:eastAsia="fr-FR"/>
        </w:rPr>
      </w:pPr>
      <w:r>
        <w:rPr>
          <w:rFonts w:cs="Arial"/>
          <w:szCs w:val="22"/>
        </w:rPr>
        <w:t>There is work in ITU-T Study Group 12 regarding assessment of gaming quality. Two recommendations are published:</w:t>
      </w:r>
    </w:p>
    <w:p>
      <w:pPr>
        <w:pStyle w:val="B1"/>
        <w:rPr>
          <w:rStyle w:val="Emphasis"/>
          <w:i w:val="false"/>
          <w:i w:val="false"/>
          <w:iCs w:val="false"/>
          <w:sz w:val="18"/>
        </w:rPr>
      </w:pPr>
      <w:r>
        <w:rPr>
          <w:rStyle w:val="Emphasis"/>
          <w:i w:val="false"/>
          <w:iCs w:val="false"/>
        </w:rPr>
        <w:t>-</w:t>
        <w:tab/>
        <w:t>ITU-T G.1032 "Influence factors on gaming quality of experience" (</w:t>
      </w:r>
      <w:hyperlink r:id="rId14">
        <w:r>
          <w:rPr>
            <w:rStyle w:val="InternetLink"/>
            <w:i w:val="false"/>
            <w:iCs w:val="false"/>
            <w:color w:val="0000FF"/>
            <w:u w:val="single"/>
          </w:rPr>
          <w:t>https://www.itu.int/rec/T-REC-G.1032-201710-I/en</w:t>
        </w:r>
      </w:hyperlink>
      <w:r>
        <w:rPr>
          <w:rStyle w:val="Emphasis"/>
          <w:i w:val="false"/>
          <w:iCs w:val="false"/>
        </w:rPr>
        <w:t>) [38]</w:t>
      </w:r>
    </w:p>
    <w:p>
      <w:pPr>
        <w:pStyle w:val="B1"/>
        <w:rPr>
          <w:rStyle w:val="Emphasis"/>
          <w:i w:val="false"/>
          <w:i w:val="false"/>
          <w:iCs w:val="false"/>
          <w:sz w:val="18"/>
        </w:rPr>
      </w:pPr>
      <w:r>
        <w:rPr>
          <w:rStyle w:val="Emphasis"/>
          <w:i w:val="false"/>
          <w:iCs w:val="false"/>
        </w:rPr>
        <w:t>-</w:t>
        <w:tab/>
        <w:t>ITU-T P.809 "Subjective evaluation methods for gaming quality" (</w:t>
      </w:r>
      <w:hyperlink r:id="rId15">
        <w:r>
          <w:rPr>
            <w:rStyle w:val="InternetLink"/>
            <w:i w:val="false"/>
            <w:iCs w:val="false"/>
            <w:color w:val="0000FF"/>
            <w:u w:val="single"/>
          </w:rPr>
          <w:t>https://www.itu.int/rec/T-REC-P.809/en</w:t>
        </w:r>
      </w:hyperlink>
      <w:r>
        <w:rPr>
          <w:rStyle w:val="Emphasis"/>
          <w:i w:val="false"/>
          <w:iCs w:val="false"/>
        </w:rPr>
        <w:t>). [39]</w:t>
      </w:r>
    </w:p>
    <w:p>
      <w:pPr>
        <w:pStyle w:val="Normal"/>
        <w:rPr/>
      </w:pPr>
      <w:r>
        <w:rPr>
          <w:rFonts w:cs="Arial"/>
          <w:szCs w:val="22"/>
        </w:rPr>
        <w:t xml:space="preserve">This last recommendation could be used to produce comparable subjective evaluations of the influence of connectivity characteristics over QoE. </w:t>
      </w:r>
    </w:p>
    <w:p>
      <w:pPr>
        <w:pStyle w:val="Normal"/>
        <w:rPr/>
      </w:pPr>
      <w:r>
        <w:rPr>
          <w:rFonts w:cs="Arial"/>
          <w:szCs w:val="22"/>
        </w:rPr>
        <w:t>Clause 5.3.1 of [22] discusses cloud gaming requirements. It states that "Taking out the delay for rendering and encoding/decoding processing, the round-trip time (RTT) delay over 5GS should be less than 5 ms".</w:t>
      </w:r>
    </w:p>
    <w:p>
      <w:pPr>
        <w:pStyle w:val="Normal"/>
        <w:rPr>
          <w:rFonts w:cs="Arial"/>
        </w:rPr>
      </w:pPr>
      <w:r>
        <w:rPr>
          <w:rFonts w:cs="Arial"/>
        </w:rPr>
        <w:t>Cloud gaming services already exist, and new ones are being launched, enabling users to play any type of game (whether it is originally offline or online, single player or multiplayer etc.) on a device like a lite smartphone, tablet or TV which would typically be unable to process such a game. The following is a brief look at several of these services and the public information about their requirements.</w:t>
      </w:r>
    </w:p>
    <w:p>
      <w:pPr>
        <w:pStyle w:val="Normal"/>
        <w:rPr>
          <w:rFonts w:cs="Arial"/>
        </w:rPr>
      </w:pPr>
      <w:r>
        <w:rPr>
          <w:rFonts w:cs="Arial"/>
        </w:rPr>
        <w:t xml:space="preserve">Cloud gaming typical traffic characteristics are evolving as services are being deployed. But a tendency can be derived from the data available. Bitrates in the range of 5-35Mbps are expected. Although latency requirements vary from game types and users, cloud gaming services are expected to offer a Quality of Experience which is at least as good as the experience of regular (locally processed) gaming. </w:t>
      </w:r>
      <w:r>
        <w:br w:type="page"/>
      </w:r>
    </w:p>
    <w:p>
      <w:pPr>
        <w:pStyle w:val="EW"/>
        <w:rPr>
          <w:rFonts w:cs="Arial"/>
        </w:rPr>
      </w:pPr>
      <w:r>
        <w:rPr>
          <w:rFonts w:cs="Arial"/>
        </w:rPr>
      </w:r>
    </w:p>
    <w:p>
      <w:pPr>
        <w:pStyle w:val="Heading9"/>
        <w:rPr/>
      </w:pPr>
      <w:bookmarkStart w:id="75" w:name="__RefHeading___Toc32311365"/>
      <w:bookmarkStart w:id="76" w:name="historyclause"/>
      <w:bookmarkEnd w:id="75"/>
      <w:bookmarkEnd w:id="76"/>
      <w:r>
        <w:rPr/>
        <w:t>Annex B:</w:t>
        <w:br/>
        <w:t>Change history</w:t>
      </w:r>
      <w:bookmarkStart w:id="77" w:name="OLE_LINK7"/>
      <w:bookmarkStart w:id="78" w:name="OLE_LINK6"/>
      <w:bookmarkStart w:id="79" w:name="OLE_LINK22"/>
      <w:bookmarkStart w:id="80" w:name="OLE_LINK21"/>
      <w:bookmarkStart w:id="81" w:name="OLE_LINK20"/>
      <w:bookmarkEnd w:id="77"/>
      <w:bookmarkEnd w:id="78"/>
    </w:p>
    <w:tbl>
      <w:tblPr>
        <w:tblW w:w="9741" w:type="dxa"/>
        <w:jc w:val="left"/>
        <w:tblInd w:w="-7" w:type="dxa"/>
        <w:tblLayout w:type="fixed"/>
        <w:tblCellMar>
          <w:top w:w="0" w:type="dxa"/>
          <w:left w:w="40" w:type="dxa"/>
          <w:bottom w:w="0" w:type="dxa"/>
          <w:right w:w="40" w:type="dxa"/>
        </w:tblCellMar>
      </w:tblPr>
      <w:tblGrid>
        <w:gridCol w:w="900"/>
        <w:gridCol w:w="943"/>
        <w:gridCol w:w="951"/>
        <w:gridCol w:w="425"/>
        <w:gridCol w:w="425"/>
        <w:gridCol w:w="425"/>
        <w:gridCol w:w="4962"/>
        <w:gridCol w:w="710"/>
      </w:tblGrid>
      <w:tr>
        <w:trPr>
          <w:cantSplit w:val="true"/>
        </w:trPr>
        <w:tc>
          <w:tcPr>
            <w:tcW w:w="9741"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9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943"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Meeting</w:t>
            </w:r>
          </w:p>
        </w:tc>
        <w:tc>
          <w:tcPr>
            <w:tcW w:w="951"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TDoc</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Cat</w:t>
            </w:r>
          </w:p>
        </w:tc>
        <w:tc>
          <w:tcPr>
            <w:tcW w:w="4962" w:type="dxa"/>
            <w:tcBorders>
              <w:top w:val="single" w:sz="6" w:space="0" w:color="000000"/>
              <w:left w:val="single" w:sz="6" w:space="0" w:color="000000"/>
              <w:bottom w:val="single" w:sz="6" w:space="0" w:color="000000"/>
              <w:right w:val="single" w:sz="6" w:space="0" w:color="000000"/>
            </w:tcBorders>
            <w:shd w:fill="E5E5E5" w:val="clear"/>
          </w:tcPr>
          <w:p>
            <w:pPr>
              <w:pStyle w:val="TAL"/>
              <w:rPr/>
            </w:pPr>
            <w:r>
              <w:rPr>
                <w:b/>
                <w:sz w:val="16"/>
              </w:rPr>
              <w:t>Subject/Comment</w:t>
            </w:r>
          </w:p>
        </w:tc>
        <w:tc>
          <w:tcPr>
            <w:tcW w:w="71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 version</w:t>
            </w:r>
          </w:p>
        </w:tc>
      </w:tr>
      <w:tr>
        <w:trPr/>
        <w:tc>
          <w:tcPr>
            <w:tcW w:w="9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2019-12</w:t>
            </w:r>
          </w:p>
        </w:tc>
        <w:tc>
          <w:tcPr>
            <w:tcW w:w="943"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SA#86</w:t>
            </w:r>
          </w:p>
        </w:tc>
        <w:tc>
          <w:tcPr>
            <w:tcW w:w="95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SP-19</w:t>
            </w:r>
            <w:r>
              <w:rPr>
                <w:color w:val="000000"/>
                <w:sz w:val="16"/>
                <w:szCs w:val="16"/>
              </w:rPr>
              <w:t>0993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Provided to TSG SA#86 (for information)</w:t>
            </w:r>
          </w:p>
        </w:tc>
        <w:tc>
          <w:tcPr>
            <w:tcW w:w="71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1.0.0</w:t>
            </w:r>
          </w:p>
        </w:tc>
      </w:tr>
      <w:tr>
        <w:trPr/>
        <w:tc>
          <w:tcPr>
            <w:tcW w:w="9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2020-01</w:t>
            </w:r>
          </w:p>
        </w:tc>
        <w:tc>
          <w:tcPr>
            <w:tcW w:w="943"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MBS SWG Ad hoc telco 31/01/2020</w:t>
            </w:r>
          </w:p>
        </w:tc>
        <w:tc>
          <w:tcPr>
            <w:tcW w:w="95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S4-AHI928</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Editor's compilation of S4-200037, S4-200319, S4-200011, S4-200067 in S4-AHI927 and online edits during call.</w:t>
            </w:r>
          </w:p>
        </w:tc>
        <w:tc>
          <w:tcPr>
            <w:tcW w:w="71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1.1.0</w:t>
            </w:r>
          </w:p>
        </w:tc>
      </w:tr>
      <w:tr>
        <w:trPr/>
        <w:tc>
          <w:tcPr>
            <w:tcW w:w="9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2020-03</w:t>
            </w:r>
          </w:p>
        </w:tc>
        <w:tc>
          <w:tcPr>
            <w:tcW w:w="943"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SA#87-e</w:t>
            </w:r>
          </w:p>
        </w:tc>
        <w:tc>
          <w:tcPr>
            <w:tcW w:w="95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SP-200048</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Provided to TSG SA#87-e (for approval)</w:t>
            </w:r>
          </w:p>
        </w:tc>
        <w:tc>
          <w:tcPr>
            <w:tcW w:w="71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2.0.0</w:t>
            </w:r>
          </w:p>
        </w:tc>
      </w:tr>
      <w:tr>
        <w:trPr/>
        <w:tc>
          <w:tcPr>
            <w:tcW w:w="9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2020-03</w:t>
            </w:r>
          </w:p>
        </w:tc>
        <w:tc>
          <w:tcPr>
            <w:tcW w:w="943"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SA#87-e</w:t>
            </w:r>
          </w:p>
        </w:tc>
        <w:tc>
          <w:tcPr>
            <w:tcW w:w="95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SP-200048</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Approved by TSG SA#87-e</w:t>
            </w:r>
          </w:p>
        </w:tc>
        <w:tc>
          <w:tcPr>
            <w:tcW w:w="71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16.0.0</w:t>
            </w:r>
          </w:p>
        </w:tc>
      </w:tr>
    </w:tbl>
    <w:p>
      <w:pPr>
        <w:pStyle w:val="Normal"/>
        <w:widowControl/>
        <w:overflowPunct w:val="false"/>
        <w:autoSpaceDE w:val="false"/>
        <w:bidi w:val="0"/>
        <w:spacing w:before="0" w:after="180"/>
        <w:textAlignment w:val="baseline"/>
        <w:rPr/>
      </w:pPr>
      <w:r>
        <w:rPr/>
      </w:r>
      <w:bookmarkStart w:id="82" w:name="historyclause"/>
      <w:bookmarkStart w:id="83" w:name="historyclause"/>
      <w:bookmarkEnd w:id="83"/>
      <w:bookmarkEnd w:id="79"/>
      <w:bookmarkEnd w:id="80"/>
      <w:bookmarkEnd w:id="81"/>
    </w:p>
    <w:sectPr>
      <w:headerReference w:type="default" r:id="rId16"/>
      <w:footerReference w:type="default" r:id="rId17"/>
      <w:endnotePr>
        <w:numFmt w:val="lowerRoman"/>
      </w:endnotePr>
      <w:type w:val="nextPage"/>
      <w:pgSz w:w="11906" w:h="16838"/>
      <w:pgMar w:left="1133" w:right="1133" w:gutter="0" w:header="850" w:top="1416" w:footer="340" w:bottom="1133"/>
      <w:pgNumType w:fmt="decimal"/>
      <w:formProt w:val="false"/>
      <w:textDirection w:val="lrTb"/>
      <w:docGrid w:type="default" w:linePitch="360" w:charSpace="0"/>
    </w:sectPr>
  </w:body>
</w:document>
</file>

<file path=word/endnotes.xml><?xml version="1.0" encoding="utf-8"?>
<w:end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endnote w:id="0" w:type="separator">
    <w:p>
      <w:r>
        <w:separator/>
      </w:r>
    </w:p>
  </w:endnote>
  <w:endnote w:id="1" w:type="continuationSeparator">
    <w:p>
      <w:r>
        <w:continuationSeparator/>
      </w:r>
    </w:p>
  </w:endnote>
  <w:endnote w:id="2">
    <w:p>
      <w:pPr>
        <w:pStyle w:val="Endnote"/>
        <w:overflowPunct w:val="false"/>
        <w:autoSpaceDE w:val="false"/>
        <w:spacing w:before="0" w:after="180"/>
        <w:textAlignment w:val="baseline"/>
        <w:rPr/>
      </w:pPr>
      <w:r>
        <w:rPr>
          <w:rStyle w:val="EndnoteCharacters"/>
        </w:rPr>
        <w:endnoteRef/>
      </w:r>
      <w:r>
        <w:rPr/>
        <w:t xml:space="preserve"> </w:t>
      </w:r>
    </w:p>
  </w:endnote>
</w:endnote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0"/>
    <w:family w:val="modern"/>
    <w:pitch w:val="default"/>
  </w:font>
  <w:font w:name="Wingdings">
    <w:charset w:val="02"/>
    <w:family w:val="auto"/>
    <w:pitch w:val="variable"/>
  </w:font>
  <w:font w:name="Segoe UI">
    <w:charset w:val="00"/>
    <w:family w:val="swiss"/>
    <w:pitch w:val="variable"/>
  </w:font>
  <w:font w:name="Liberation Sans">
    <w:altName w:val="Arial"/>
    <w:charset w:val="01"/>
    <w:family w:val="swiss"/>
    <w:pitch w:val="variable"/>
  </w:font>
  <w:font w:name="Tahoma">
    <w:charset w:val="00"/>
    <w:family w:val="swiss"/>
    <w:pitch w:val="variable"/>
  </w:font>
  <w:font w:name="Calibri">
    <w:charset w:val="00"/>
    <w:family w:val="swiss"/>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46">
              <wp:simplePos x="0" y="0"/>
              <wp:positionH relativeFrom="margin">
                <wp:align>right</wp:align>
              </wp:positionH>
              <wp:positionV relativeFrom="paragraph">
                <wp:posOffset>635</wp:posOffset>
              </wp:positionV>
              <wp:extent cx="1824990" cy="131445"/>
              <wp:effectExtent l="0" t="0" r="0" b="0"/>
              <wp:wrapSquare wrapText="largest"/>
              <wp:docPr id="15" name="Frame9"/>
              <a:graphic xmlns:a="http://schemas.openxmlformats.org/drawingml/2006/main">
                <a:graphicData uri="http://schemas.microsoft.com/office/word/2010/wordprocessingShape">
                  <wps:wsp>
                    <wps:cNvSpPr txBox="1"/>
                    <wps:spPr>
                      <a:xfrm>
                        <a:off x="0" y="0"/>
                        <a:ext cx="182499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TR 26.925 V16.0.0 (2020-03)</w:t>
                          </w:r>
                          <w:r>
                            <w:rPr/>
                          </w:r>
                          <w:r>
                            <w:rPr/>
                            <w:fldChar w:fldCharType="end"/>
                          </w:r>
                        </w:p>
                      </w:txbxContent>
                    </wps:txbx>
                    <wps:bodyPr anchor="t" lIns="0" tIns="0" rIns="0" bIns="0">
                      <a:noAutofit/>
                    </wps:bodyPr>
                  </wps:wsp>
                </a:graphicData>
              </a:graphic>
            </wp:anchor>
          </w:drawing>
        </mc:Choice>
        <mc:Fallback>
          <w:pict>
            <v:rect fillcolor="#FFFFFF" style="position:absolute;rotation:-0;width:143.7pt;height:10.35pt;mso-wrap-distance-left:0pt;mso-wrap-distance-right:0pt;mso-wrap-distance-top:0pt;mso-wrap-distance-bottom:0pt;margin-top:0.05pt;mso-position-vertical-relative:text;margin-left:338.3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TR 26.925 V16.0.0 (2020-03)</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78">
              <wp:simplePos x="0" y="0"/>
              <wp:positionH relativeFrom="margin">
                <wp:align>center</wp:align>
              </wp:positionH>
              <wp:positionV relativeFrom="paragraph">
                <wp:posOffset>635</wp:posOffset>
              </wp:positionV>
              <wp:extent cx="127635" cy="131445"/>
              <wp:effectExtent l="0" t="0" r="0" b="0"/>
              <wp:wrapSquare wrapText="largest"/>
              <wp:docPr id="16" name="Frame10"/>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33</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33</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10">
              <wp:simplePos x="0" y="0"/>
              <wp:positionH relativeFrom="margin">
                <wp:align>left</wp:align>
              </wp:positionH>
              <wp:positionV relativeFrom="paragraph">
                <wp:posOffset>635</wp:posOffset>
              </wp:positionV>
              <wp:extent cx="591820" cy="131445"/>
              <wp:effectExtent l="0" t="0" r="0" b="0"/>
              <wp:wrapSquare wrapText="largest"/>
              <wp:docPr id="17" name="Frame11"/>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bullet"/>
      <w:lvlText w:val=""/>
      <w:lvlJc w:val="left"/>
      <w:pPr>
        <w:tabs>
          <w:tab w:val="num" w:pos="737"/>
        </w:tabs>
        <w:ind w:left="737" w:hanging="453"/>
      </w:pPr>
      <w:rPr>
        <w:rFonts w:ascii="Symbol" w:hAnsi="Symbol" w:cs="Symbol" w:hint="default"/>
        <w:color w:val="000000"/>
      </w:rPr>
    </w:lvl>
  </w:abstractNum>
  <w:abstractNum w:abstractNumId="3">
    <w:lvl w:ilvl="0">
      <w:start w:val="4"/>
      <w:numFmt w:val="bullet"/>
      <w:lvlText w:val="-"/>
      <w:lvlJc w:val="left"/>
      <w:pPr>
        <w:tabs>
          <w:tab w:val="num" w:pos="0"/>
        </w:tabs>
        <w:ind w:left="720" w:hanging="360"/>
      </w:pPr>
      <w:rPr>
        <w:rFonts w:ascii="Times New Roman" w:hAnsi="Times New Roman" w:cs="Times New Roman" w:hint="default"/>
      </w:rPr>
    </w:lvl>
  </w:abstractNum>
  <w:abstractNum w:abstractNumId="4">
    <w:lvl w:ilvl="0">
      <w:start w:val="1"/>
      <w:numFmt w:val="bullet"/>
      <w:lvlText w:val=""/>
      <w:lvlJc w:val="left"/>
      <w:pPr>
        <w:tabs>
          <w:tab w:val="num" w:pos="0"/>
        </w:tabs>
        <w:ind w:left="768" w:hanging="360"/>
      </w:pPr>
      <w:rPr>
        <w:rFonts w:ascii="Wingdings" w:hAnsi="Wingdings" w:cs="Wingdings" w:hint="default"/>
      </w:rPr>
    </w:lvl>
  </w:abstractNum>
  <w:abstractNum w:abstractNumId="5">
    <w:lvl w:ilvl="0">
      <w:start w:val="1"/>
      <w:numFmt w:val="bullet"/>
      <w:lvlText w:val=""/>
      <w:lvlJc w:val="left"/>
      <w:pPr>
        <w:tabs>
          <w:tab w:val="num" w:pos="0"/>
        </w:tabs>
        <w:ind w:left="720" w:hanging="360"/>
      </w:pPr>
      <w:rPr>
        <w:rFonts w:ascii="Wingdings" w:hAnsi="Wingdings" w:cs="Wingdings" w:hint="default"/>
      </w:rPr>
    </w:lvl>
  </w:abstractNum>
  <w:abstractNum w:abstractNumId="6">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10"/>
  <w:defaultTabStop w:val="284"/>
  <w:autoHyphenation w:val="true"/>
  <w:endnotePr>
    <w:numFmt w:val="lowerRoman"/>
    <w:endnote w:id="0"/>
    <w:endnote w:id="1"/>
  </w:endnotePr>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overflowPunct w:val="false"/>
      <w:autoSpaceDE w:val="false"/>
      <w:bidi w:val="0"/>
      <w:spacing w:before="0" w:after="180"/>
      <w:textAlignment w:val="baseline"/>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overflowPunct w:val="false"/>
      <w:autoSpaceDE w:val="false"/>
      <w:bidi w:val="0"/>
      <w:spacing w:before="240" w:after="180"/>
      <w:ind w:left="1134" w:hanging="1134"/>
      <w:textAlignment w:val="baseline"/>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2z0">
    <w:name w:val="WW8Num2z0"/>
    <w:qFormat/>
    <w:rPr>
      <w:rFonts w:ascii="Symbol" w:hAnsi="Symbol" w:cs="Symbol"/>
    </w:rPr>
  </w:style>
  <w:style w:type="character" w:styleId="WW8Num3z0">
    <w:name w:val="WW8Num3z0"/>
    <w:qFormat/>
    <w:rPr>
      <w:rFonts w:ascii="Symbol" w:hAnsi="Symbol" w:cs="Symbol"/>
    </w:rPr>
  </w:style>
  <w:style w:type="character" w:styleId="WW8Num4z0">
    <w:name w:val="WW8Num4z0"/>
    <w:qFormat/>
    <w:rPr>
      <w:rFonts w:ascii="Symbol" w:hAnsi="Symbol" w:cs="Symbol"/>
    </w:rPr>
  </w:style>
  <w:style w:type="character" w:styleId="WW8Num5z0">
    <w:name w:val="WW8Num5z0"/>
    <w:qFormat/>
    <w:rPr>
      <w:rFonts w:ascii="Symbol" w:hAnsi="Symbol" w:cs="Symbol"/>
    </w:rPr>
  </w:style>
  <w:style w:type="character" w:styleId="WW8Num7z0">
    <w:name w:val="WW8Num7z0"/>
    <w:qFormat/>
    <w:rPr>
      <w:rFonts w:ascii="Symbol" w:hAnsi="Symbol" w:cs="Symbol"/>
    </w:rPr>
  </w:style>
  <w:style w:type="character" w:styleId="WW8Num9z0">
    <w:name w:val="WW8Num9z0"/>
    <w:qFormat/>
    <w:rPr>
      <w:rFonts w:ascii="Symbol" w:hAnsi="Symbol" w:cs="Symbol"/>
    </w:rPr>
  </w:style>
  <w:style w:type="character" w:styleId="WW8Num9z1">
    <w:name w:val="WW8Num9z1"/>
    <w:qFormat/>
    <w:rPr>
      <w:rFonts w:ascii="Courier New" w:hAnsi="Courier New" w:cs="Courier New"/>
    </w:rPr>
  </w:style>
  <w:style w:type="character" w:styleId="WW8Num9z2">
    <w:name w:val="WW8Num9z2"/>
    <w:qFormat/>
    <w:rPr>
      <w:rFonts w:ascii="Wingdings" w:hAnsi="Wingdings" w:cs="Wingdings"/>
    </w:rPr>
  </w:style>
  <w:style w:type="character" w:styleId="WW8Num11z0">
    <w:name w:val="WW8Num11z0"/>
    <w:qFormat/>
    <w:rPr>
      <w:rFonts w:ascii="Symbol" w:hAnsi="Symbol" w:cs="Symbol"/>
    </w:rPr>
  </w:style>
  <w:style w:type="character" w:styleId="WW8Num11z1">
    <w:name w:val="WW8Num11z1"/>
    <w:qFormat/>
    <w:rPr>
      <w:rFonts w:ascii="Courier New" w:hAnsi="Courier New" w:cs="Courier New"/>
    </w:rPr>
  </w:style>
  <w:style w:type="character" w:styleId="WW8Num11z2">
    <w:name w:val="WW8Num11z2"/>
    <w:qFormat/>
    <w:rPr>
      <w:rFonts w:ascii="Wingdings" w:hAnsi="Wingdings" w:cs="Wingdings"/>
    </w:rPr>
  </w:style>
  <w:style w:type="character" w:styleId="WW8Num12z0">
    <w:name w:val="WW8Num12z0"/>
    <w:qFormat/>
    <w:rPr>
      <w:rFonts w:ascii="Symbol" w:hAnsi="Symbol" w:cs="Symbol"/>
    </w:rPr>
  </w:style>
  <w:style w:type="character" w:styleId="WW8Num12z1">
    <w:name w:val="WW8Num12z1"/>
    <w:qFormat/>
    <w:rPr>
      <w:rFonts w:ascii="Courier New" w:hAnsi="Courier New" w:cs="Courier New"/>
    </w:rPr>
  </w:style>
  <w:style w:type="character" w:styleId="WW8Num12z2">
    <w:name w:val="WW8Num12z2"/>
    <w:qFormat/>
    <w:rPr>
      <w:rFonts w:ascii="Wingdings" w:hAnsi="Wingdings" w:cs="Wingdings"/>
    </w:rPr>
  </w:style>
  <w:style w:type="character" w:styleId="WW8Num13z0">
    <w:name w:val="WW8Num13z0"/>
    <w:qFormat/>
    <w:rPr>
      <w:rFonts w:ascii="Symbol" w:hAnsi="Symbol" w:cs="Symbol"/>
    </w:rPr>
  </w:style>
  <w:style w:type="character" w:styleId="WW8Num13z1">
    <w:name w:val="WW8Num13z1"/>
    <w:qFormat/>
    <w:rPr>
      <w:rFonts w:ascii="Courier New" w:hAnsi="Courier New" w:cs="Courier New"/>
    </w:rPr>
  </w:style>
  <w:style w:type="character" w:styleId="WW8Num13z2">
    <w:name w:val="WW8Num13z2"/>
    <w:qFormat/>
    <w:rPr>
      <w:rFonts w:ascii="Wingdings" w:hAnsi="Wingdings" w:cs="Wingdings"/>
    </w:rPr>
  </w:style>
  <w:style w:type="character" w:styleId="WW8Num14z0">
    <w:name w:val="WW8Num14z0"/>
    <w:qFormat/>
    <w:rPr/>
  </w:style>
  <w:style w:type="character" w:styleId="WW8Num15z0">
    <w:name w:val="WW8Num15z0"/>
    <w:qFormat/>
    <w:rPr>
      <w:rFonts w:ascii="Symbol" w:hAnsi="Symbol" w:cs="Symbol"/>
    </w:rPr>
  </w:style>
  <w:style w:type="character" w:styleId="WW8Num15z1">
    <w:name w:val="WW8Num15z1"/>
    <w:qFormat/>
    <w:rPr>
      <w:rFonts w:ascii="Courier New" w:hAnsi="Courier New" w:cs="Courier New"/>
    </w:rPr>
  </w:style>
  <w:style w:type="character" w:styleId="WW8Num15z2">
    <w:name w:val="WW8Num15z2"/>
    <w:qFormat/>
    <w:rPr>
      <w:rFonts w:ascii="Wingdings" w:hAnsi="Wingdings" w:cs="Wingdings"/>
    </w:rPr>
  </w:style>
  <w:style w:type="character" w:styleId="WW8Num16z0">
    <w:name w:val="WW8Num16z0"/>
    <w:qFormat/>
    <w:rPr>
      <w:rFonts w:ascii="Times New Roman" w:hAnsi="Times New Roman" w:eastAsia="Times New Roman" w:cs="Times New Roman"/>
    </w:rPr>
  </w:style>
  <w:style w:type="character" w:styleId="WW8Num16z1">
    <w:name w:val="WW8Num16z1"/>
    <w:qFormat/>
    <w:rPr>
      <w:rFonts w:ascii="Courier New" w:hAnsi="Courier New" w:cs="Courier New"/>
    </w:rPr>
  </w:style>
  <w:style w:type="character" w:styleId="WW8Num16z2">
    <w:name w:val="WW8Num16z2"/>
    <w:qFormat/>
    <w:rPr>
      <w:rFonts w:ascii="Wingdings" w:hAnsi="Wingdings" w:cs="Wingdings"/>
    </w:rPr>
  </w:style>
  <w:style w:type="character" w:styleId="WW8Num16z3">
    <w:name w:val="WW8Num16z3"/>
    <w:qFormat/>
    <w:rPr>
      <w:rFonts w:ascii="Symbol" w:hAnsi="Symbol" w:cs="Symbol"/>
    </w:rPr>
  </w:style>
  <w:style w:type="character" w:styleId="WW8Num17z0">
    <w:name w:val="WW8Num17z0"/>
    <w:qFormat/>
    <w:rPr/>
  </w:style>
  <w:style w:type="character" w:styleId="WW8Num18z0">
    <w:name w:val="WW8Num18z0"/>
    <w:qFormat/>
    <w:rPr>
      <w:rFonts w:ascii="Symbol" w:hAnsi="Symbol" w:cs="Symbol"/>
      <w:color w:val="000000"/>
    </w:rPr>
  </w:style>
  <w:style w:type="character" w:styleId="WW8Num18z1">
    <w:name w:val="WW8Num18z1"/>
    <w:qFormat/>
    <w:rPr>
      <w:rFonts w:ascii="Courier New" w:hAnsi="Courier New" w:cs="Courier New"/>
    </w:rPr>
  </w:style>
  <w:style w:type="character" w:styleId="WW8Num18z2">
    <w:name w:val="WW8Num18z2"/>
    <w:qFormat/>
    <w:rPr>
      <w:rFonts w:ascii="Wingdings" w:hAnsi="Wingdings" w:cs="Wingdings"/>
    </w:rPr>
  </w:style>
  <w:style w:type="character" w:styleId="WW8Num18z3">
    <w:name w:val="WW8Num18z3"/>
    <w:qFormat/>
    <w:rPr>
      <w:rFonts w:ascii="Symbol" w:hAnsi="Symbol" w:cs="Symbol"/>
    </w:rPr>
  </w:style>
  <w:style w:type="character" w:styleId="WW8Num20z0">
    <w:name w:val="WW8Num20z0"/>
    <w:qFormat/>
    <w:rPr>
      <w:rFonts w:ascii="Arial" w:hAnsi="Arial" w:eastAsia="SimSun;宋体" w:cs="Arial"/>
    </w:rPr>
  </w:style>
  <w:style w:type="character" w:styleId="WW8Num20z1">
    <w:name w:val="WW8Num20z1"/>
    <w:qFormat/>
    <w:rPr>
      <w:rFonts w:ascii="Courier New" w:hAnsi="Courier New" w:cs="Courier New"/>
    </w:rPr>
  </w:style>
  <w:style w:type="character" w:styleId="WW8Num20z2">
    <w:name w:val="WW8Num20z2"/>
    <w:qFormat/>
    <w:rPr>
      <w:rFonts w:ascii="Wingdings" w:hAnsi="Wingdings" w:cs="Wingdings"/>
    </w:rPr>
  </w:style>
  <w:style w:type="character" w:styleId="WW8Num20z3">
    <w:name w:val="WW8Num20z3"/>
    <w:qFormat/>
    <w:rPr>
      <w:rFonts w:ascii="Symbol" w:hAnsi="Symbol" w:cs="Symbol"/>
    </w:rPr>
  </w:style>
  <w:style w:type="character" w:styleId="WW8Num21z0">
    <w:name w:val="WW8Num21z0"/>
    <w:qFormat/>
    <w:rPr>
      <w:rFonts w:ascii="Times New Roman" w:hAnsi="Times New Roman" w:eastAsia="Times New Roman" w:cs="Times New Roman"/>
    </w:rPr>
  </w:style>
  <w:style w:type="character" w:styleId="WW8Num21z1">
    <w:name w:val="WW8Num21z1"/>
    <w:qFormat/>
    <w:rPr>
      <w:rFonts w:ascii="Courier New" w:hAnsi="Courier New" w:cs="Courier New"/>
    </w:rPr>
  </w:style>
  <w:style w:type="character" w:styleId="WW8Num21z2">
    <w:name w:val="WW8Num21z2"/>
    <w:qFormat/>
    <w:rPr>
      <w:rFonts w:ascii="Wingdings" w:hAnsi="Wingdings" w:cs="Wingdings"/>
    </w:rPr>
  </w:style>
  <w:style w:type="character" w:styleId="WW8Num21z3">
    <w:name w:val="WW8Num21z3"/>
    <w:qFormat/>
    <w:rPr>
      <w:rFonts w:ascii="Symbol" w:hAnsi="Symbol" w:cs="Symbol"/>
    </w:rPr>
  </w:style>
  <w:style w:type="character" w:styleId="WW8Num22z0">
    <w:name w:val="WW8Num22z0"/>
    <w:qFormat/>
    <w:rPr>
      <w:rFonts w:ascii="Symbol" w:hAnsi="Symbol" w:cs="Symbol"/>
    </w:rPr>
  </w:style>
  <w:style w:type="character" w:styleId="WW8Num22z1">
    <w:name w:val="WW8Num22z1"/>
    <w:qFormat/>
    <w:rPr>
      <w:rFonts w:ascii="Courier New" w:hAnsi="Courier New" w:cs="Courier New"/>
    </w:rPr>
  </w:style>
  <w:style w:type="character" w:styleId="WW8Num22z2">
    <w:name w:val="WW8Num22z2"/>
    <w:qFormat/>
    <w:rPr>
      <w:rFonts w:ascii="Wingdings" w:hAnsi="Wingdings" w:cs="Wingdings"/>
    </w:rPr>
  </w:style>
  <w:style w:type="character" w:styleId="WW8Num23z0">
    <w:name w:val="WW8Num23z0"/>
    <w:qFormat/>
    <w:rPr>
      <w:rFonts w:ascii="Symbol" w:hAnsi="Symbol" w:cs="Symbol"/>
    </w:rPr>
  </w:style>
  <w:style w:type="character" w:styleId="WW8Num23z1">
    <w:name w:val="WW8Num23z1"/>
    <w:qFormat/>
    <w:rPr>
      <w:rFonts w:ascii="Courier New" w:hAnsi="Courier New" w:cs="Courier New"/>
    </w:rPr>
  </w:style>
  <w:style w:type="character" w:styleId="WW8Num23z2">
    <w:name w:val="WW8Num23z2"/>
    <w:qFormat/>
    <w:rPr>
      <w:rFonts w:ascii="Wingdings" w:hAnsi="Wingdings" w:cs="Wingdings"/>
    </w:rPr>
  </w:style>
  <w:style w:type="character" w:styleId="WW8Num24z0">
    <w:name w:val="WW8Num24z0"/>
    <w:qFormat/>
    <w:rPr>
      <w:rFonts w:ascii="Symbol" w:hAnsi="Symbol" w:cs="Symbol"/>
    </w:rPr>
  </w:style>
  <w:style w:type="character" w:styleId="WW8Num24z1">
    <w:name w:val="WW8Num24z1"/>
    <w:qFormat/>
    <w:rPr>
      <w:rFonts w:ascii="Courier New" w:hAnsi="Courier New" w:cs="Courier New"/>
    </w:rPr>
  </w:style>
  <w:style w:type="character" w:styleId="WW8Num24z2">
    <w:name w:val="WW8Num24z2"/>
    <w:qFormat/>
    <w:rPr>
      <w:rFonts w:ascii="Wingdings" w:hAnsi="Wingdings" w:cs="Wingdings"/>
    </w:rPr>
  </w:style>
  <w:style w:type="character" w:styleId="WW8Num25z0">
    <w:name w:val="WW8Num25z0"/>
    <w:qFormat/>
    <w:rPr>
      <w:rFonts w:ascii="Times New Roman" w:hAnsi="Times New Roman" w:eastAsia="Times New Roman" w:cs="Times New Roman"/>
    </w:rPr>
  </w:style>
  <w:style w:type="character" w:styleId="WW8Num25z1">
    <w:name w:val="WW8Num25z1"/>
    <w:qFormat/>
    <w:rPr>
      <w:rFonts w:ascii="Courier New" w:hAnsi="Courier New" w:cs="Courier New"/>
    </w:rPr>
  </w:style>
  <w:style w:type="character" w:styleId="WW8Num25z2">
    <w:name w:val="WW8Num25z2"/>
    <w:qFormat/>
    <w:rPr>
      <w:rFonts w:ascii="Wingdings" w:hAnsi="Wingdings" w:cs="Wingdings"/>
    </w:rPr>
  </w:style>
  <w:style w:type="character" w:styleId="WW8Num25z3">
    <w:name w:val="WW8Num25z3"/>
    <w:qFormat/>
    <w:rPr>
      <w:rFonts w:ascii="Symbol" w:hAnsi="Symbol" w:cs="Symbol"/>
    </w:rPr>
  </w:style>
  <w:style w:type="character" w:styleId="WW8Num26z0">
    <w:name w:val="WW8Num26z0"/>
    <w:qFormat/>
    <w:rPr>
      <w:rFonts w:ascii="Times New Roman" w:hAnsi="Times New Roman" w:eastAsia="Times New Roman" w:cs="Times New Roman"/>
    </w:rPr>
  </w:style>
  <w:style w:type="character" w:styleId="WW8Num26z1">
    <w:name w:val="WW8Num26z1"/>
    <w:qFormat/>
    <w:rPr>
      <w:rFonts w:ascii="Courier New" w:hAnsi="Courier New" w:cs="Courier New"/>
    </w:rPr>
  </w:style>
  <w:style w:type="character" w:styleId="WW8Num26z2">
    <w:name w:val="WW8Num26z2"/>
    <w:qFormat/>
    <w:rPr>
      <w:rFonts w:ascii="Wingdings" w:hAnsi="Wingdings" w:cs="Wingdings"/>
    </w:rPr>
  </w:style>
  <w:style w:type="character" w:styleId="WW8Num26z3">
    <w:name w:val="WW8Num26z3"/>
    <w:qFormat/>
    <w:rPr>
      <w:rFonts w:ascii="Symbol" w:hAnsi="Symbol" w:cs="Symbol"/>
    </w:rPr>
  </w:style>
  <w:style w:type="character" w:styleId="WW8Num28z0">
    <w:name w:val="WW8Num28z0"/>
    <w:qFormat/>
    <w:rPr>
      <w:rFonts w:ascii="Times New Roman" w:hAnsi="Times New Roman" w:eastAsia="Times New Roman" w:cs="Times New Roman"/>
    </w:rPr>
  </w:style>
  <w:style w:type="character" w:styleId="WW8Num28z1">
    <w:name w:val="WW8Num28z1"/>
    <w:qFormat/>
    <w:rPr>
      <w:rFonts w:ascii="Courier New" w:hAnsi="Courier New" w:cs="Courier New"/>
    </w:rPr>
  </w:style>
  <w:style w:type="character" w:styleId="WW8Num28z2">
    <w:name w:val="WW8Num28z2"/>
    <w:qFormat/>
    <w:rPr>
      <w:rFonts w:ascii="Wingdings" w:hAnsi="Wingdings" w:cs="Wingdings"/>
    </w:rPr>
  </w:style>
  <w:style w:type="character" w:styleId="WW8Num28z3">
    <w:name w:val="WW8Num28z3"/>
    <w:qFormat/>
    <w:rPr>
      <w:rFonts w:ascii="Symbol" w:hAnsi="Symbol" w:cs="Symbol"/>
    </w:rPr>
  </w:style>
  <w:style w:type="character" w:styleId="WW8Num29z0">
    <w:name w:val="WW8Num29z0"/>
    <w:qFormat/>
    <w:rPr>
      <w:rFonts w:ascii="Times New Roman" w:hAnsi="Times New Roman" w:eastAsia="Times New Roman" w:cs="Times New Roman"/>
    </w:rPr>
  </w:style>
  <w:style w:type="character" w:styleId="WW8Num29z1">
    <w:name w:val="WW8Num29z1"/>
    <w:qFormat/>
    <w:rPr>
      <w:rFonts w:ascii="Courier New" w:hAnsi="Courier New" w:cs="Courier New"/>
    </w:rPr>
  </w:style>
  <w:style w:type="character" w:styleId="WW8Num29z2">
    <w:name w:val="WW8Num29z2"/>
    <w:qFormat/>
    <w:rPr>
      <w:rFonts w:ascii="Wingdings" w:hAnsi="Wingdings" w:cs="Wingdings"/>
    </w:rPr>
  </w:style>
  <w:style w:type="character" w:styleId="WW8Num29z3">
    <w:name w:val="WW8Num29z3"/>
    <w:qFormat/>
    <w:rPr>
      <w:rFonts w:ascii="Symbol" w:hAnsi="Symbol" w:cs="Symbol"/>
    </w:rPr>
  </w:style>
  <w:style w:type="character" w:styleId="WW8Num30z0">
    <w:name w:val="WW8Num30z0"/>
    <w:qFormat/>
    <w:rPr>
      <w:rFonts w:ascii="Symbol" w:hAnsi="Symbol" w:cs="Symbol"/>
    </w:rPr>
  </w:style>
  <w:style w:type="character" w:styleId="WW8Num30z1">
    <w:name w:val="WW8Num30z1"/>
    <w:qFormat/>
    <w:rPr>
      <w:rFonts w:ascii="Courier New" w:hAnsi="Courier New" w:cs="Courier New"/>
    </w:rPr>
  </w:style>
  <w:style w:type="character" w:styleId="WW8Num30z2">
    <w:name w:val="WW8Num30z2"/>
    <w:qFormat/>
    <w:rPr>
      <w:rFonts w:ascii="Wingdings" w:hAnsi="Wingdings" w:cs="Wingdings"/>
    </w:rPr>
  </w:style>
  <w:style w:type="character" w:styleId="WW8Num31z0">
    <w:name w:val="WW8Num31z0"/>
    <w:qFormat/>
    <w:rPr>
      <w:rFonts w:ascii="Wingdings" w:hAnsi="Wingdings" w:cs="Wingdings"/>
    </w:rPr>
  </w:style>
  <w:style w:type="character" w:styleId="WW8Num31z1">
    <w:name w:val="WW8Num31z1"/>
    <w:qFormat/>
    <w:rPr>
      <w:rFonts w:ascii="Courier New" w:hAnsi="Courier New" w:cs="Courier New"/>
    </w:rPr>
  </w:style>
  <w:style w:type="character" w:styleId="WW8Num31z3">
    <w:name w:val="WW8Num31z3"/>
    <w:qFormat/>
    <w:rPr>
      <w:rFonts w:ascii="Symbol" w:hAnsi="Symbol" w:cs="Symbol"/>
    </w:rPr>
  </w:style>
  <w:style w:type="character" w:styleId="WW8Num32z0">
    <w:name w:val="WW8Num32z0"/>
    <w:qFormat/>
    <w:rPr>
      <w:rFonts w:ascii="Times New Roman" w:hAnsi="Times New Roman" w:eastAsia="Times New Roman" w:cs="Times New Roman"/>
    </w:rPr>
  </w:style>
  <w:style w:type="character" w:styleId="WW8Num32z1">
    <w:name w:val="WW8Num32z1"/>
    <w:qFormat/>
    <w:rPr>
      <w:rFonts w:ascii="Courier New" w:hAnsi="Courier New" w:cs="Courier New"/>
    </w:rPr>
  </w:style>
  <w:style w:type="character" w:styleId="WW8Num32z2">
    <w:name w:val="WW8Num32z2"/>
    <w:qFormat/>
    <w:rPr>
      <w:rFonts w:ascii="Wingdings" w:hAnsi="Wingdings" w:cs="Wingdings"/>
    </w:rPr>
  </w:style>
  <w:style w:type="character" w:styleId="WW8Num32z3">
    <w:name w:val="WW8Num32z3"/>
    <w:qFormat/>
    <w:rPr>
      <w:rFonts w:ascii="Symbol" w:hAnsi="Symbol" w:cs="Symbol"/>
    </w:rPr>
  </w:style>
  <w:style w:type="character" w:styleId="WW8Num34z0">
    <w:name w:val="WW8Num34z0"/>
    <w:qFormat/>
    <w:rPr>
      <w:rFonts w:ascii="Symbol" w:hAnsi="Symbol" w:cs="Symbol"/>
      <w:sz w:val="20"/>
    </w:rPr>
  </w:style>
  <w:style w:type="character" w:styleId="WW8Num35z0">
    <w:name w:val="WW8Num35z0"/>
    <w:qFormat/>
    <w:rPr>
      <w:rFonts w:ascii="Times New Roman" w:hAnsi="Times New Roman" w:eastAsia="Times New Roman" w:cs="Times New Roman"/>
    </w:rPr>
  </w:style>
  <w:style w:type="character" w:styleId="WW8Num35z1">
    <w:name w:val="WW8Num35z1"/>
    <w:qFormat/>
    <w:rPr>
      <w:rFonts w:ascii="Courier New" w:hAnsi="Courier New" w:cs="Courier New"/>
    </w:rPr>
  </w:style>
  <w:style w:type="character" w:styleId="WW8Num35z2">
    <w:name w:val="WW8Num35z2"/>
    <w:qFormat/>
    <w:rPr>
      <w:rFonts w:ascii="Wingdings" w:hAnsi="Wingdings" w:cs="Wingdings"/>
    </w:rPr>
  </w:style>
  <w:style w:type="character" w:styleId="WW8Num35z3">
    <w:name w:val="WW8Num35z3"/>
    <w:qFormat/>
    <w:rPr>
      <w:rFonts w:ascii="Symbol" w:hAnsi="Symbol" w:cs="Symbol"/>
    </w:rPr>
  </w:style>
  <w:style w:type="character" w:styleId="WW8Num36z0">
    <w:name w:val="WW8Num36z0"/>
    <w:qFormat/>
    <w:rPr>
      <w:rFonts w:ascii="Symbol" w:hAnsi="Symbol" w:cs="Symbol"/>
    </w:rPr>
  </w:style>
  <w:style w:type="character" w:styleId="WW8Num36z1">
    <w:name w:val="WW8Num36z1"/>
    <w:qFormat/>
    <w:rPr>
      <w:rFonts w:ascii="Courier New" w:hAnsi="Courier New" w:cs="Courier New"/>
    </w:rPr>
  </w:style>
  <w:style w:type="character" w:styleId="WW8Num36z2">
    <w:name w:val="WW8Num36z2"/>
    <w:qFormat/>
    <w:rPr>
      <w:rFonts w:ascii="Wingdings" w:hAnsi="Wingdings" w:cs="Wingdings"/>
    </w:rPr>
  </w:style>
  <w:style w:type="character" w:styleId="WW8Num37z0">
    <w:name w:val="WW8Num37z0"/>
    <w:qFormat/>
    <w:rPr>
      <w:rFonts w:ascii="Arial" w:hAnsi="Arial" w:cs="Arial"/>
    </w:rPr>
  </w:style>
  <w:style w:type="character" w:styleId="WW8Num38z0">
    <w:name w:val="WW8Num38z0"/>
    <w:qFormat/>
    <w:rPr>
      <w:rFonts w:ascii="Times New Roman" w:hAnsi="Times New Roman" w:eastAsia="Times New Roman" w:cs="Times New Roman"/>
    </w:rPr>
  </w:style>
  <w:style w:type="character" w:styleId="WW8Num38z1">
    <w:name w:val="WW8Num38z1"/>
    <w:qFormat/>
    <w:rPr>
      <w:rFonts w:ascii="Courier New" w:hAnsi="Courier New" w:cs="Courier New"/>
    </w:rPr>
  </w:style>
  <w:style w:type="character" w:styleId="WW8Num38z2">
    <w:name w:val="WW8Num38z2"/>
    <w:qFormat/>
    <w:rPr>
      <w:rFonts w:ascii="Wingdings" w:hAnsi="Wingdings" w:cs="Wingdings"/>
    </w:rPr>
  </w:style>
  <w:style w:type="character" w:styleId="WW8Num38z3">
    <w:name w:val="WW8Num38z3"/>
    <w:qFormat/>
    <w:rPr>
      <w:rFonts w:ascii="Symbol" w:hAnsi="Symbol" w:cs="Symbol"/>
    </w:rPr>
  </w:style>
  <w:style w:type="character" w:styleId="WW8Num39z0">
    <w:name w:val="WW8Num39z0"/>
    <w:qFormat/>
    <w:rPr>
      <w:rFonts w:ascii="Symbol" w:hAnsi="Symbol" w:cs="Symbol"/>
    </w:rPr>
  </w:style>
  <w:style w:type="character" w:styleId="WW8Num39z1">
    <w:name w:val="WW8Num39z1"/>
    <w:qFormat/>
    <w:rPr>
      <w:rFonts w:ascii="Courier New" w:hAnsi="Courier New" w:cs="Courier New"/>
    </w:rPr>
  </w:style>
  <w:style w:type="character" w:styleId="WW8Num39z2">
    <w:name w:val="WW8Num39z2"/>
    <w:qFormat/>
    <w:rPr>
      <w:rFonts w:ascii="Wingdings" w:hAnsi="Wingdings" w:cs="Wingdings"/>
    </w:rPr>
  </w:style>
  <w:style w:type="character" w:styleId="WW8Num40z0">
    <w:name w:val="WW8Num40z0"/>
    <w:qFormat/>
    <w:rPr>
      <w:rFonts w:ascii="Wingdings" w:hAnsi="Wingdings" w:cs="Wingdings"/>
    </w:rPr>
  </w:style>
  <w:style w:type="character" w:styleId="WW8Num40z1">
    <w:name w:val="WW8Num40z1"/>
    <w:qFormat/>
    <w:rPr>
      <w:rFonts w:ascii="Courier New" w:hAnsi="Courier New" w:cs="Courier New"/>
    </w:rPr>
  </w:style>
  <w:style w:type="character" w:styleId="WW8Num40z3">
    <w:name w:val="WW8Num40z3"/>
    <w:qFormat/>
    <w:rPr>
      <w:rFonts w:ascii="Symbol" w:hAnsi="Symbol" w:cs="Symbol"/>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ZGSM">
    <w:name w:val="ZGSM"/>
    <w:qFormat/>
    <w:rPr/>
  </w:style>
  <w:style w:type="character" w:styleId="FootnoteCharacters">
    <w:name w:val="Footnote Characters"/>
    <w:qFormat/>
    <w:rPr>
      <w:b/>
      <w:sz w:val="16"/>
      <w:vertAlign w:val="superscript"/>
    </w:rPr>
  </w:style>
  <w:style w:type="character" w:styleId="FootnoteTextChar">
    <w:name w:val="Footnote Text Char"/>
    <w:qFormat/>
    <w:rPr>
      <w:sz w:val="16"/>
    </w:rPr>
  </w:style>
  <w:style w:type="character" w:styleId="NOZchn">
    <w:name w:val="NO Zchn"/>
    <w:qFormat/>
    <w:rPr/>
  </w:style>
  <w:style w:type="character" w:styleId="TALChar">
    <w:name w:val="TAL Char"/>
    <w:qFormat/>
    <w:rPr>
      <w:rFonts w:ascii="Arial" w:hAnsi="Arial" w:cs="Arial"/>
      <w:sz w:val="18"/>
    </w:rPr>
  </w:style>
  <w:style w:type="character" w:styleId="TAHCar">
    <w:name w:val="TAH Car"/>
    <w:qFormat/>
    <w:rPr>
      <w:rFonts w:ascii="Arial" w:hAnsi="Arial" w:cs="Arial"/>
      <w:b/>
      <w:sz w:val="18"/>
    </w:rPr>
  </w:style>
  <w:style w:type="character" w:styleId="EXChar">
    <w:name w:val="EX Char"/>
    <w:qFormat/>
    <w:rPr/>
  </w:style>
  <w:style w:type="character" w:styleId="B1Char">
    <w:name w:val="B1 Char"/>
    <w:qFormat/>
    <w:rPr/>
  </w:style>
  <w:style w:type="character" w:styleId="THChar">
    <w:name w:val="TH Char"/>
    <w:qFormat/>
    <w:rPr>
      <w:rFonts w:ascii="Arial" w:hAnsi="Arial" w:cs="Arial"/>
      <w:b/>
    </w:rPr>
  </w:style>
  <w:style w:type="character" w:styleId="B2Char">
    <w:name w:val="B2 Char"/>
    <w:qFormat/>
    <w:rPr/>
  </w:style>
  <w:style w:type="character" w:styleId="CommentTextChar">
    <w:name w:val="Comment Text Char"/>
    <w:qFormat/>
    <w:rPr/>
  </w:style>
  <w:style w:type="character" w:styleId="CommentSubjectChar">
    <w:name w:val="Comment Subject Char"/>
    <w:qFormat/>
    <w:rPr>
      <w:b/>
      <w:bCs/>
    </w:rPr>
  </w:style>
  <w:style w:type="character" w:styleId="CaptionChar">
    <w:name w:val="Caption Char"/>
    <w:qFormat/>
    <w:rPr>
      <w:b/>
      <w:lang w:val="en-GB"/>
    </w:rPr>
  </w:style>
  <w:style w:type="character" w:styleId="InternetLink">
    <w:name w:val="Hyperlink"/>
    <w:rPr>
      <w:color w:val="0000FF"/>
      <w:u w:val="single"/>
    </w:rPr>
  </w:style>
  <w:style w:type="character" w:styleId="VisitedInternetLink">
    <w:name w:val="FollowedHyperlink"/>
    <w:rPr>
      <w:color w:val="800080"/>
      <w:u w:val="single"/>
    </w:rPr>
  </w:style>
  <w:style w:type="character" w:styleId="CommentReference">
    <w:name w:val="Comment Reference"/>
    <w:qFormat/>
    <w:rPr>
      <w:sz w:val="16"/>
    </w:rPr>
  </w:style>
  <w:style w:type="character" w:styleId="BalloonTextChar">
    <w:name w:val="Balloon Text Char"/>
    <w:qFormat/>
    <w:rPr>
      <w:rFonts w:ascii="Segoe UI" w:hAnsi="Segoe UI" w:cs="Segoe UI"/>
      <w:sz w:val="18"/>
      <w:szCs w:val="18"/>
      <w:lang w:val="en-GB"/>
    </w:rPr>
  </w:style>
  <w:style w:type="character" w:styleId="EndnoteTextChar">
    <w:name w:val="Endnote Text Char"/>
    <w:qFormat/>
    <w:rPr>
      <w:rFonts w:eastAsia="MS Mincho;ＭＳ 明朝"/>
      <w:lang w:val="en-GB"/>
    </w:rPr>
  </w:style>
  <w:style w:type="character" w:styleId="EndnoteCharacters">
    <w:name w:val="Endnote Characters"/>
    <w:qFormat/>
    <w:rPr>
      <w:vertAlign w:val="superscript"/>
    </w:rPr>
  </w:style>
  <w:style w:type="character" w:styleId="Emphasis">
    <w:name w:val="Emphasis"/>
    <w:qFormat/>
    <w:rPr>
      <w:i/>
      <w:iCs/>
    </w:rPr>
  </w:style>
  <w:style w:type="character" w:styleId="B1Car">
    <w:name w:val="B1+ Car"/>
    <w:qFormat/>
    <w:rPr/>
  </w:style>
  <w:style w:type="character" w:styleId="StrongEmphasis">
    <w:name w:val="Strong Emphasis"/>
    <w:qFormat/>
    <w:rPr>
      <w:b/>
      <w:bCs/>
    </w:rPr>
  </w:style>
  <w:style w:type="character" w:styleId="IndexLink">
    <w:name w:val="Index Link"/>
    <w:qFormat/>
    <w:rPr/>
  </w:style>
  <w:style w:type="character" w:styleId="EndnoteAnchor">
    <w:name w:val="Endnote Anchor"/>
    <w:rPr>
      <w:vertAlign w:val="superscript"/>
    </w:rPr>
  </w:style>
  <w:style w:type="character" w:styleId="FootnoteAnchor">
    <w:name w:val="Footnote Anchor"/>
    <w:rPr>
      <w:vertAlign w:val="superscrip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style>
  <w:style w:type="paragraph" w:styleId="List">
    <w:name w:val="List"/>
    <w:basedOn w:val="Normal"/>
    <w:pPr>
      <w:ind w:lef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Lines/>
      <w:widowControl w:val="false"/>
      <w:tabs>
        <w:tab w:val="clear" w:pos="284"/>
        <w:tab w:val="right" w:pos="9639" w:leader="dot"/>
      </w:tabs>
      <w:overflowPunct w:val="false"/>
      <w:autoSpaceDE w:val="false"/>
      <w:bidi w:val="0"/>
      <w:spacing w:before="120" w:after="0"/>
      <w:ind w:left="567" w:right="425" w:hanging="567"/>
      <w:textAlignment w:val="baseline"/>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Times New Roman" w:cs="Arial"/>
      <w:b/>
      <w:color w:val="auto"/>
      <w:sz w:val="18"/>
      <w:szCs w:val="20"/>
      <w:lang w:val="en-GB" w:eastAsia="en-US" w:bidi="ar-SA"/>
    </w:rPr>
  </w:style>
  <w:style w:type="paragraph" w:styleId="ZD">
    <w:name w:val="ZD"/>
    <w:qFormat/>
    <w:pPr>
      <w:widowControl w:val="false"/>
      <w:overflowPunct w:val="false"/>
      <w:autoSpaceDE w:val="false"/>
      <w:bidi w:val="0"/>
      <w:textAlignment w:val="baseline"/>
    </w:pPr>
    <w:rPr>
      <w:rFonts w:ascii="Arial" w:hAnsi="Arial" w:eastAsia="Times New Roman" w:cs="Arial"/>
      <w:color w:val="auto"/>
      <w:sz w:val="32"/>
      <w:szCs w:val="20"/>
      <w:lang w:val="en-GB" w:eastAsia="en-US" w:bidi="ar-SA"/>
    </w:rPr>
  </w:style>
  <w:style w:type="paragraph" w:styleId="Contents2">
    <w:name w:val="TOC 2"/>
    <w:basedOn w:val="Contents1"/>
    <w:pPr>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overflowPunct w:val="false"/>
      <w:autoSpaceDE w:val="false"/>
      <w:bidi w:val="0"/>
      <w:textAlignment w:val="baseline"/>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6"/>
      </w:numPr>
    </w:pPr>
    <w:rPr/>
  </w:style>
  <w:style w:type="paragraph" w:styleId="ListNumber2">
    <w:name w:val="List Number 2"/>
    <w:basedOn w:val="ListNumber"/>
    <w:qFormat/>
    <w:pPr>
      <w:numPr>
        <w:ilvl w:val="0"/>
        <w:numId w:val="7"/>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overflowPunct w:val="false"/>
      <w:autoSpaceDE w:val="false"/>
      <w:bidi w:val="0"/>
      <w:spacing w:lineRule="exact" w:line="180"/>
      <w:textAlignment w:val="baseline"/>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8"/>
      </w:numPr>
    </w:pPr>
    <w:rPr/>
  </w:style>
  <w:style w:type="paragraph" w:styleId="ListBullet2">
    <w:name w:val="List Bullet 2"/>
    <w:basedOn w:val="ListBullet"/>
    <w:qFormat/>
    <w:pPr>
      <w:numPr>
        <w:ilvl w:val="0"/>
        <w:numId w:val="9"/>
      </w:num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overflowPunct w:val="false"/>
      <w:autoSpaceDE w:val="false"/>
      <w:bidi w:val="0"/>
      <w:jc w:val="right"/>
      <w:textAlignment w:val="baseline"/>
    </w:pPr>
    <w:rPr>
      <w:rFonts w:ascii="Arial" w:hAnsi="Arial" w:eastAsia="Times New Roman" w:cs="Arial"/>
      <w:color w:val="auto"/>
      <w:sz w:val="40"/>
      <w:szCs w:val="20"/>
      <w:lang w:val="en-GB" w:eastAsia="en-US" w:bidi="ar-SA"/>
    </w:rPr>
  </w:style>
  <w:style w:type="paragraph" w:styleId="ZB">
    <w:name w:val="ZB"/>
    <w:qFormat/>
    <w:pPr>
      <w:widowControl w:val="false"/>
      <w:overflowPunct w:val="false"/>
      <w:autoSpaceDE w:val="false"/>
      <w:bidi w:val="0"/>
      <w:ind w:right="28" w:hanging="0"/>
      <w:jc w:val="right"/>
      <w:textAlignment w:val="baseline"/>
    </w:pPr>
    <w:rPr>
      <w:rFonts w:ascii="Arial" w:hAnsi="Arial" w:eastAsia="Times New Roman" w:cs="Arial"/>
      <w:i/>
      <w:color w:val="auto"/>
      <w:sz w:val="20"/>
      <w:szCs w:val="20"/>
      <w:lang w:val="en-GB" w:eastAsia="en-US" w:bidi="ar-SA"/>
    </w:rPr>
  </w:style>
  <w:style w:type="paragraph" w:styleId="ZT">
    <w:name w:val="ZT"/>
    <w:qFormat/>
    <w:pPr>
      <w:widowControl w:val="false"/>
      <w:overflowPunct w:val="false"/>
      <w:autoSpaceDE w:val="false"/>
      <w:bidi w:val="0"/>
      <w:spacing w:lineRule="atLeast" w:line="240"/>
      <w:jc w:val="right"/>
      <w:textAlignment w:val="baseline"/>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overflowPunct w:val="false"/>
      <w:autoSpaceDE w:val="false"/>
      <w:bidi w:val="0"/>
      <w:textAlignment w:val="baseline"/>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CommentText">
    <w:name w:val="Comment Text"/>
    <w:basedOn w:val="Normal"/>
    <w:qFormat/>
    <w:pPr/>
    <w:rPr/>
  </w:style>
  <w:style w:type="paragraph" w:styleId="CommentSubject">
    <w:name w:val="Comment Subject"/>
    <w:basedOn w:val="CommentText"/>
    <w:next w:val="CommentText"/>
    <w:qFormat/>
    <w:pPr/>
    <w:rPr>
      <w:b/>
      <w:bCs/>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BalloonText">
    <w:name w:val="Balloon Text"/>
    <w:basedOn w:val="Normal"/>
    <w:qFormat/>
    <w:pPr>
      <w:spacing w:before="0" w:after="0"/>
    </w:pPr>
    <w:rPr>
      <w:rFonts w:ascii="Segoe UI" w:hAnsi="Segoe UI" w:cs="Segoe UI"/>
      <w:sz w:val="18"/>
      <w:szCs w:val="18"/>
    </w:rPr>
  </w:style>
  <w:style w:type="paragraph" w:styleId="Endnote">
    <w:name w:val="Endnote Text"/>
    <w:basedOn w:val="Normal"/>
    <w:pPr>
      <w:overflowPunct w:val="false"/>
      <w:autoSpaceDE w:val="false"/>
      <w:textAlignment w:val="baseline"/>
    </w:pPr>
    <w:rPr>
      <w:rFonts w:eastAsia="MS Mincho;ＭＳ 明朝"/>
    </w:rPr>
  </w:style>
  <w:style w:type="paragraph" w:styleId="Revision">
    <w:name w:val="Revision"/>
    <w:qFormat/>
    <w:pPr>
      <w:widowControl/>
      <w:bidi w:val="0"/>
    </w:pPr>
    <w:rPr>
      <w:rFonts w:ascii="Times New Roman" w:hAnsi="Times New Roman" w:eastAsia="Times New Roman" w:cs="Times New Roman"/>
      <w:color w:val="auto"/>
      <w:sz w:val="20"/>
      <w:szCs w:val="20"/>
      <w:lang w:val="en-GB" w:bidi="ar-SA" w:eastAsia="zh-CN"/>
    </w:rPr>
  </w:style>
  <w:style w:type="paragraph" w:styleId="ListParagraph">
    <w:name w:val="List Paragraph"/>
    <w:basedOn w:val="Normal"/>
    <w:qFormat/>
    <w:pPr>
      <w:spacing w:before="0" w:after="0"/>
      <w:ind w:left="720" w:hanging="0"/>
    </w:pPr>
    <w:rPr>
      <w:rFonts w:eastAsia="Calibri"/>
      <w:sz w:val="24"/>
      <w:szCs w:val="24"/>
      <w:lang w:val="en-US"/>
    </w:rPr>
  </w:style>
  <w:style w:type="paragraph" w:styleId="FL">
    <w:name w:val="FL"/>
    <w:basedOn w:val="Normal"/>
    <w:qFormat/>
    <w:pPr>
      <w:keepNext w:val="true"/>
      <w:keepLines/>
      <w:spacing w:before="60" w:after="180"/>
      <w:jc w:val="center"/>
    </w:pPr>
    <w:rPr>
      <w:rFonts w:ascii="Arial" w:hAnsi="Arial" w:cs="Arial"/>
      <w:b/>
    </w:rPr>
  </w:style>
  <w:style w:type="paragraph" w:styleId="B11">
    <w:name w:val="B1+"/>
    <w:basedOn w:val="B1"/>
    <w:qFormat/>
    <w:pPr>
      <w:numPr>
        <w:ilvl w:val="0"/>
        <w:numId w:val="2"/>
      </w:numPr>
    </w:pPr>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26">
    <w:name w:val="WW8Num26"/>
    <w:qFormat/>
  </w:style>
  <w:style w:type="numbering" w:styleId="WW8Num27">
    <w:name w:val="WW8Num27"/>
    <w:qFormat/>
  </w:style>
  <w:style w:type="numbering" w:styleId="WW8Num28">
    <w:name w:val="WW8Num28"/>
    <w:qFormat/>
  </w:style>
  <w:style w:type="numbering" w:styleId="WW8Num29">
    <w:name w:val="WW8Num29"/>
    <w:qFormat/>
  </w:style>
  <w:style w:type="numbering" w:styleId="WW8Num30">
    <w:name w:val="WW8Num30"/>
    <w:qFormat/>
  </w:style>
  <w:style w:type="numbering" w:styleId="WW8Num31">
    <w:name w:val="WW8Num31"/>
    <w:qFormat/>
  </w:style>
  <w:style w:type="numbering" w:styleId="WW8Num32">
    <w:name w:val="WW8Num32"/>
    <w:qFormat/>
  </w:style>
  <w:style w:type="numbering" w:styleId="WW8Num33">
    <w:name w:val="WW8Num33"/>
    <w:qFormat/>
  </w:style>
  <w:style w:type="numbering" w:styleId="WW8Num34">
    <w:name w:val="WW8Num34"/>
    <w:qFormat/>
  </w:style>
  <w:style w:type="numbering" w:styleId="WW8Num35">
    <w:name w:val="WW8Num35"/>
    <w:qFormat/>
  </w:style>
  <w:style w:type="numbering" w:styleId="WW8Num36">
    <w:name w:val="WW8Num36"/>
    <w:qFormat/>
  </w:style>
  <w:style w:type="numbering" w:styleId="WW8Num37">
    <w:name w:val="WW8Num37"/>
    <w:qFormat/>
  </w:style>
  <w:style w:type="numbering" w:styleId="WW8Num38">
    <w:name w:val="WW8Num38"/>
    <w:qFormat/>
  </w:style>
  <w:style w:type="numbering" w:styleId="WW8Num39">
    <w:name w:val="WW8Num39"/>
    <w:qFormat/>
  </w:style>
  <w:style w:type="numbering" w:styleId="WW8Num40">
    <w:name w:val="WW8Num40"/>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hyperlink" Target="https://www.itu.int/rec/T-REC-G.1032-201710-I/en" TargetMode="External"/><Relationship Id="rId7" Type="http://schemas.openxmlformats.org/officeDocument/2006/relationships/hyperlink" Target="https://www.itu.int/rec/T-REC-P.809/en" TargetMode="External"/><Relationship Id="rId8" Type="http://schemas.openxmlformats.org/officeDocument/2006/relationships/hyperlink" Target="https://nabpilot.org/nhk-launch-worlds-first-8k-broadcasting/" TargetMode="External"/><Relationship Id="rId9" Type="http://schemas.openxmlformats.org/officeDocument/2006/relationships/image" Target="media/image3.png"/><Relationship Id="rId10" Type="http://schemas.openxmlformats.org/officeDocument/2006/relationships/oleObject" Target="embeddings/oleObject1.bin"/><Relationship Id="rId11" Type="http://schemas.openxmlformats.org/officeDocument/2006/relationships/image" Target="media/image4.wmf"/><Relationship Id="rId12" Type="http://schemas.openxmlformats.org/officeDocument/2006/relationships/hyperlink" Target="http://dl.acm.org/citation.cfm?id=264023" TargetMode="External"/><Relationship Id="rId13" Type="http://schemas.openxmlformats.org/officeDocument/2006/relationships/image" Target="media/image5.png"/><Relationship Id="rId14" Type="http://schemas.openxmlformats.org/officeDocument/2006/relationships/hyperlink" Target="https://www.itu.int/rec/T-REC-G.1032-201710-I/en" TargetMode="External"/><Relationship Id="rId15" Type="http://schemas.openxmlformats.org/officeDocument/2006/relationships/hyperlink" Target="https://www.itu.int/rec/T-REC-P.809/en" TargetMode="External"/><Relationship Id="rId16" Type="http://schemas.openxmlformats.org/officeDocument/2006/relationships/header" Target="header1.xml"/><Relationship Id="rId17" Type="http://schemas.openxmlformats.org/officeDocument/2006/relationships/footer" Target="footer1.xml"/><Relationship Id="rId18" Type="http://schemas.openxmlformats.org/officeDocument/2006/relationships/endnotes" Target="endnotes.xml"/><Relationship Id="rId19" Type="http://schemas.openxmlformats.org/officeDocument/2006/relationships/numbering" Target="numbering.xml"/><Relationship Id="rId20" Type="http://schemas.openxmlformats.org/officeDocument/2006/relationships/fontTable" Target="fontTable.xml"/><Relationship Id="rId2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1</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2020-03-23T17:18:00Z</dcterms:created>
  <dc:creator>3GPP TSG SA WG4 Codec</dc:creator>
  <dc:description/>
  <cp:keywords/>
  <dc:language>en-US</dc:language>
  <cp:lastModifiedBy>S4-200331</cp:lastModifiedBy>
  <dcterms:modified xsi:type="dcterms:W3CDTF">2020-03-23T19:45:00Z</dcterms:modified>
  <cp:revision>3</cp:revision>
  <dc:subject>3GPP TR 26.925 Typical traffic characteristics of media services on 3GPP networks (Release 16)</dc:subject>
  <dc:title>3GPP TR 26.925 v. 1.0.0</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0x010100EB28163D68FE8E4D9361964FDD814FC4</vt:lpwstr>
  </property>
</Properties>
</file>