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4.png" ContentType="image/png"/>
  <Override PartName="/word/media/image8.wmf" ContentType="image/x-wmf"/>
  <Override PartName="/word/media/image13.png" ContentType="image/png"/>
  <Override PartName="/word/media/image7.wmf" ContentType="image/x-wmf"/>
  <Override PartName="/word/media/image12.png" ContentType="image/png"/>
  <Override PartName="/word/media/image11.wmf" ContentType="image/x-wmf"/>
  <Override PartName="/word/media/image6.wmf" ContentType="image/x-wmf"/>
  <Override PartName="/word/media/image10.wmf" ContentType="image/x-wmf"/>
  <Override PartName="/word/media/image2.png" ContentType="image/png"/>
  <Override PartName="/word/media/image23.wmf" ContentType="image/x-wmf"/>
  <Override PartName="/word/media/image22.png" ContentType="image/png"/>
  <Override PartName="/word/media/image1.jpeg" ContentType="image/jpeg"/>
  <Override PartName="/word/media/image3.wmf" ContentType="image/x-wmf"/>
  <Override PartName="/word/media/image4.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26.948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26.948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margin">
                  <wp:align>left</wp:align>
                </wp:positionH>
                <wp:positionV relativeFrom="page">
                  <wp:posOffset>2124710</wp:posOffset>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video enhancements in 3GPP multimedia services;</w:t>
                            </w:r>
                          </w:p>
                          <w:p>
                            <w:pPr>
                              <w:pStyle w:val="ZT"/>
                              <w:rPr/>
                            </w:pPr>
                            <w:r>
                              <w:rPr/>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167.3pt;mso-position-vertical-relative:page;margin-left:0pt;mso-position-horizontal:left;mso-position-horizontal-relative:margin">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video enhancements in 3GPP multimedia services;</w:t>
                      </w:r>
                    </w:p>
                    <w:p>
                      <w:pPr>
                        <w:pStyle w:val="ZT"/>
                        <w:rPr/>
                      </w:pPr>
                      <w:r>
                        <w:rPr/>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codec, LTE</w:t>
                            </w:r>
                          </w:p>
                          <w:p>
                            <w:pPr>
                              <w:pStyle w:val="FP"/>
                              <w:ind w:left="2835" w:right="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UMTS, codec, LTE</w:t>
                      </w:r>
                    </w:p>
                    <w:p>
                      <w:pPr>
                        <w:pStyle w:val="FP"/>
                        <w:ind w:left="2835" w:right="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45295">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45296">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445297">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445298">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445299">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445300">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 of video codecs specified for existing 3GPP multimedia services</w:t>
            <w:tab/>
          </w:r>
          <w:hyperlink w:anchor="__RefHeading___Toc517445301">
            <w:r>
              <w:rPr>
                <w:rStyle w:val="IndexLink"/>
              </w:rPr>
              <w:t>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Overview of SHVC</w:t>
            <w:tab/>
          </w:r>
          <w:hyperlink w:anchor="__RefHeading___Toc517445302">
            <w:r>
              <w:rPr>
                <w:rStyle w:val="IndexLink"/>
              </w:rPr>
              <w:t>9</w:t>
            </w:r>
          </w:hyperlink>
        </w:p>
        <w:p>
          <w:pPr>
            <w:pStyle w:val="Contents2"/>
            <w:rPr>
              <w:rFonts w:ascii="Calibri" w:hAnsi="Calibri" w:cs="Calibri"/>
              <w:sz w:val="22"/>
              <w:szCs w:val="22"/>
              <w:lang w:val="en-US" w:eastAsia="en-US"/>
            </w:rPr>
          </w:pPr>
          <w:r>
            <w:rPr/>
            <w:t>5.0</w:t>
          </w:r>
          <w:r>
            <w:rPr>
              <w:rFonts w:cs="Calibri" w:ascii="Calibri" w:hAnsi="Calibri"/>
              <w:sz w:val="22"/>
              <w:szCs w:val="22"/>
              <w:lang w:val="en-US" w:eastAsia="en-US"/>
            </w:rPr>
            <w:tab/>
          </w:r>
          <w:r>
            <w:rPr/>
            <w:t>General</w:t>
            <w:tab/>
          </w:r>
          <w:hyperlink w:anchor="__RefHeading___Toc517445303">
            <w:r>
              <w:rPr>
                <w:rStyle w:val="IndexLink"/>
              </w:rPr>
              <w:t>9</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Basic SHVC architecture</w:t>
            <w:tab/>
          </w:r>
          <w:hyperlink w:anchor="__RefHeading___Toc517445304">
            <w:r>
              <w:rPr>
                <w:rStyle w:val="IndexLink"/>
              </w:rPr>
              <w:t>9</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Systems and transport interfaces of SHVC</w:t>
            <w:tab/>
          </w:r>
          <w:hyperlink w:anchor="__RefHeading___Toc517445305">
            <w:r>
              <w:rPr>
                <w:rStyle w:val="IndexLink"/>
              </w:rPr>
              <w:t>10</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Introduction</w:t>
            <w:tab/>
          </w:r>
          <w:hyperlink w:anchor="__RefHeading___Toc517445306">
            <w:r>
              <w:rPr>
                <w:rStyle w:val="IndexLink"/>
              </w:rPr>
              <w:t>10</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Parameter Set and Slice Segment Header Extensions</w:t>
            <w:tab/>
          </w:r>
          <w:hyperlink w:anchor="__RefHeading___Toc517445307">
            <w:r>
              <w:rPr>
                <w:rStyle w:val="IndexLink"/>
              </w:rPr>
              <w:t>11</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Layer and Scalability Identification</w:t>
            <w:tab/>
          </w:r>
          <w:hyperlink w:anchor="__RefHeading___Toc517445308">
            <w:r>
              <w:rPr>
                <w:rStyle w:val="IndexLink"/>
              </w:rPr>
              <w:t>11</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Layer sets</w:t>
            <w:tab/>
          </w:r>
          <w:hyperlink w:anchor="__RefHeading___Toc517445309">
            <w:r>
              <w:rPr>
                <w:rStyle w:val="IndexLink"/>
              </w:rPr>
              <w:t>12</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Profile, Tier, and Level (PTL)</w:t>
            <w:tab/>
          </w:r>
          <w:hyperlink w:anchor="__RefHeading___Toc517445310">
            <w:r>
              <w:rPr>
                <w:rStyle w:val="IndexLink"/>
              </w:rPr>
              <w:t>12</w:t>
            </w:r>
          </w:hyperlink>
        </w:p>
        <w:p>
          <w:pPr>
            <w:pStyle w:val="Contents3"/>
            <w:rPr>
              <w:rFonts w:ascii="Calibri" w:hAnsi="Calibri" w:cs="Calibri"/>
              <w:sz w:val="22"/>
              <w:szCs w:val="22"/>
              <w:lang w:val="en-US" w:eastAsia="en-US"/>
            </w:rPr>
          </w:pPr>
          <w:r>
            <w:rPr/>
            <w:t>5.2.6</w:t>
          </w:r>
          <w:r>
            <w:rPr>
              <w:rFonts w:cs="Calibri" w:ascii="Calibri" w:hAnsi="Calibri"/>
              <w:sz w:val="22"/>
              <w:szCs w:val="22"/>
              <w:lang w:val="en-US" w:eastAsia="en-US"/>
            </w:rPr>
            <w:tab/>
          </w:r>
          <w:r>
            <w:rPr/>
            <w:t>RPS and Reference Picture List Construction</w:t>
            <w:tab/>
          </w:r>
          <w:hyperlink w:anchor="__RefHeading___Toc517445311">
            <w:r>
              <w:rPr>
                <w:rStyle w:val="IndexLink"/>
              </w:rPr>
              <w:t>12</w:t>
            </w:r>
          </w:hyperlink>
        </w:p>
        <w:p>
          <w:pPr>
            <w:pStyle w:val="Contents3"/>
            <w:rPr>
              <w:rFonts w:ascii="Calibri" w:hAnsi="Calibri" w:cs="Calibri"/>
              <w:sz w:val="22"/>
              <w:szCs w:val="22"/>
              <w:lang w:val="en-US" w:eastAsia="en-US"/>
            </w:rPr>
          </w:pPr>
          <w:r>
            <w:rPr/>
            <w:t>5.2.7</w:t>
          </w:r>
          <w:r>
            <w:rPr>
              <w:rFonts w:cs="Calibri" w:ascii="Calibri" w:hAnsi="Calibri"/>
              <w:sz w:val="22"/>
              <w:szCs w:val="22"/>
              <w:lang w:val="en-US" w:eastAsia="en-US"/>
            </w:rPr>
            <w:tab/>
          </w:r>
          <w:r>
            <w:rPr/>
            <w:t>Random Access, Layer Switching, and Bitstream Splicing</w:t>
            <w:tab/>
          </w:r>
          <w:hyperlink w:anchor="__RefHeading___Toc517445312">
            <w:r>
              <w:rPr>
                <w:rStyle w:val="IndexLink"/>
              </w:rPr>
              <w:t>13</w:t>
            </w:r>
          </w:hyperlink>
        </w:p>
        <w:p>
          <w:pPr>
            <w:pStyle w:val="Contents3"/>
            <w:rPr>
              <w:rFonts w:ascii="Calibri" w:hAnsi="Calibri" w:cs="Calibri"/>
              <w:sz w:val="22"/>
              <w:szCs w:val="22"/>
              <w:lang w:val="en-US" w:eastAsia="en-US"/>
            </w:rPr>
          </w:pPr>
          <w:r>
            <w:rPr/>
            <w:t>5.2.8</w:t>
          </w:r>
          <w:r>
            <w:rPr>
              <w:rFonts w:cs="Calibri" w:ascii="Calibri" w:hAnsi="Calibri"/>
              <w:sz w:val="22"/>
              <w:szCs w:val="22"/>
              <w:lang w:val="en-US" w:eastAsia="en-US"/>
            </w:rPr>
            <w:tab/>
          </w:r>
          <w:r>
            <w:rPr/>
            <w:t>Hybrid Codec Scalability and Multiview/3D Support</w:t>
            <w:tab/>
          </w:r>
          <w:hyperlink w:anchor="__RefHeading___Toc517445313">
            <w:r>
              <w:rPr>
                <w:rStyle w:val="IndexLink"/>
              </w:rPr>
              <w:t>13</w:t>
            </w:r>
          </w:hyperlink>
        </w:p>
        <w:p>
          <w:pPr>
            <w:pStyle w:val="Contents3"/>
            <w:rPr>
              <w:rFonts w:ascii="Calibri" w:hAnsi="Calibri" w:cs="Calibri"/>
              <w:sz w:val="22"/>
              <w:szCs w:val="22"/>
              <w:lang w:val="en-US" w:eastAsia="en-US"/>
            </w:rPr>
          </w:pPr>
          <w:r>
            <w:rPr/>
            <w:t>5.2.9</w:t>
          </w:r>
          <w:r>
            <w:rPr>
              <w:rFonts w:cs="Calibri" w:ascii="Calibri" w:hAnsi="Calibri"/>
              <w:sz w:val="22"/>
              <w:szCs w:val="22"/>
              <w:lang w:val="en-US" w:eastAsia="en-US"/>
            </w:rPr>
            <w:tab/>
          </w:r>
          <w:r>
            <w:rPr/>
            <w:t>Hypothetical Reference Decoder (HRD)</w:t>
            <w:tab/>
          </w:r>
          <w:hyperlink w:anchor="__RefHeading___Toc517445314">
            <w:r>
              <w:rPr>
                <w:rStyle w:val="IndexLink"/>
              </w:rPr>
              <w:t>14</w:t>
            </w:r>
          </w:hyperlink>
        </w:p>
        <w:p>
          <w:pPr>
            <w:pStyle w:val="Contents3"/>
            <w:rPr>
              <w:rFonts w:ascii="Calibri" w:hAnsi="Calibri" w:cs="Calibri"/>
              <w:sz w:val="22"/>
              <w:szCs w:val="22"/>
              <w:lang w:val="en-US" w:eastAsia="en-US"/>
            </w:rPr>
          </w:pPr>
          <w:r>
            <w:rPr/>
            <w:t>5.2.10</w:t>
          </w:r>
          <w:r>
            <w:rPr>
              <w:rFonts w:cs="Calibri" w:ascii="Calibri" w:hAnsi="Calibri"/>
              <w:sz w:val="22"/>
              <w:szCs w:val="22"/>
              <w:lang w:val="en-US" w:eastAsia="en-US"/>
            </w:rPr>
            <w:tab/>
          </w:r>
          <w:r>
            <w:rPr/>
            <w:t>SEI Messages</w:t>
            <w:tab/>
          </w:r>
          <w:hyperlink w:anchor="__RefHeading___Toc517445315">
            <w:r>
              <w:rPr>
                <w:rStyle w:val="IndexLink"/>
              </w:rPr>
              <w:t>14</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A comparison of SHVC and SVC</w:t>
            <w:tab/>
          </w:r>
          <w:hyperlink w:anchor="__RefHeading___Toc517445316">
            <w:r>
              <w:rPr>
                <w:rStyle w:val="IndexLink"/>
              </w:rPr>
              <w:t>14</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SHVC decoder and encoder complexity analyses</w:t>
            <w:tab/>
          </w:r>
          <w:hyperlink w:anchor="__RefHeading___Toc517445317">
            <w:r>
              <w:rPr>
                <w:rStyle w:val="IndexLink"/>
              </w:rPr>
              <w:t>16</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Introduction</w:t>
            <w:tab/>
          </w:r>
          <w:hyperlink w:anchor="__RefHeading___Toc517445318">
            <w:r>
              <w:rPr>
                <w:rStyle w:val="IndexLink"/>
              </w:rPr>
              <w:t>16</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HEVC simulcast encoder and decoder</w:t>
            <w:tab/>
          </w:r>
          <w:hyperlink w:anchor="__RefHeading___Toc517445319">
            <w:r>
              <w:rPr>
                <w:rStyle w:val="IndexLink"/>
              </w:rPr>
              <w:t>16</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SHVC encoder and decoder</w:t>
            <w:tab/>
          </w:r>
          <w:hyperlink w:anchor="__RefHeading___Toc517445320">
            <w:r>
              <w:rPr>
                <w:rStyle w:val="IndexLink"/>
              </w:rPr>
              <w:t>18</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Upsampling filter</w:t>
            <w:tab/>
          </w:r>
          <w:hyperlink w:anchor="__RefHeading___Toc517445321">
            <w:r>
              <w:rPr>
                <w:rStyle w:val="IndexLink"/>
              </w:rPr>
              <w:t>19</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t>Inter-layer texture prediction</w:t>
            <w:tab/>
          </w:r>
          <w:hyperlink w:anchor="__RefHeading___Toc517445322">
            <w:r>
              <w:rPr>
                <w:rStyle w:val="IndexLink"/>
              </w:rPr>
              <w:t>20</w:t>
            </w:r>
          </w:hyperlink>
        </w:p>
        <w:p>
          <w:pPr>
            <w:pStyle w:val="Contents3"/>
            <w:rPr>
              <w:rFonts w:ascii="Calibri" w:hAnsi="Calibri" w:cs="Calibri"/>
              <w:sz w:val="22"/>
              <w:szCs w:val="22"/>
              <w:lang w:val="en-US" w:eastAsia="en-US"/>
            </w:rPr>
          </w:pPr>
          <w:r>
            <w:rPr/>
            <w:t>5.4.6</w:t>
          </w:r>
          <w:r>
            <w:rPr>
              <w:rFonts w:cs="Calibri" w:ascii="Calibri" w:hAnsi="Calibri"/>
              <w:sz w:val="22"/>
              <w:szCs w:val="22"/>
              <w:lang w:val="en-US" w:eastAsia="en-US"/>
            </w:rPr>
            <w:tab/>
          </w:r>
          <w:r>
            <w:rPr/>
            <w:t>Inter-layer motion prediction</w:t>
            <w:tab/>
          </w:r>
          <w:hyperlink w:anchor="__RefHeading___Toc517445323">
            <w:r>
              <w:rPr>
                <w:rStyle w:val="IndexLink"/>
              </w:rPr>
              <w:t>21</w:t>
            </w:r>
          </w:hyperlink>
        </w:p>
        <w:p>
          <w:pPr>
            <w:pStyle w:val="Contents3"/>
            <w:rPr>
              <w:rFonts w:ascii="Calibri" w:hAnsi="Calibri" w:cs="Calibri"/>
              <w:sz w:val="22"/>
              <w:szCs w:val="22"/>
              <w:lang w:val="en-US" w:eastAsia="en-US"/>
            </w:rPr>
          </w:pPr>
          <w:r>
            <w:rPr/>
            <w:t>5.4.7</w:t>
          </w:r>
          <w:r>
            <w:rPr>
              <w:rFonts w:cs="Calibri" w:ascii="Calibri" w:hAnsi="Calibri"/>
              <w:sz w:val="22"/>
              <w:szCs w:val="22"/>
              <w:lang w:val="en-US" w:eastAsia="en-US"/>
            </w:rPr>
            <w:tab/>
          </w:r>
          <w:r>
            <w:rPr/>
            <w:t>Conclusion</w:t>
            <w:tab/>
          </w:r>
          <w:hyperlink w:anchor="__RefHeading___Toc517445324">
            <w:r>
              <w:rPr>
                <w:rStyle w:val="IndexLink"/>
              </w:rPr>
              <w:t>22</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Use cases</w:t>
            <w:tab/>
          </w:r>
          <w:hyperlink w:anchor="__RefHeading___Toc517445325">
            <w:r>
              <w:rPr>
                <w:rStyle w:val="IndexLink"/>
              </w:rPr>
              <w:t>22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Multi-stream Multiparty Video Conferencing (MMVC)</w:t>
            <w:tab/>
          </w:r>
          <w:hyperlink w:anchor="__RefHeading___Toc517445326">
            <w:r>
              <w:rPr>
                <w:rStyle w:val="IndexLink"/>
              </w:rPr>
              <w:t>22</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The heterogeneous-device MMVC use case</w:t>
            <w:tab/>
          </w:r>
          <w:hyperlink w:anchor="__RefHeading___Toc517445327">
            <w:r>
              <w:rPr>
                <w:rStyle w:val="IndexLink"/>
              </w:rPr>
              <w:t>22</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The heterogeneous-bandwidth MMVC use case</w:t>
            <w:tab/>
          </w:r>
          <w:hyperlink w:anchor="__RefHeading___Toc517445328">
            <w:r>
              <w:rPr>
                <w:rStyle w:val="IndexLink"/>
              </w:rPr>
              <w:t>24</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Solutions for the MMVC use cases</w:t>
            <w:tab/>
          </w:r>
          <w:hyperlink w:anchor="__RefHeading___Toc517445329">
            <w:r>
              <w:rPr>
                <w:rStyle w:val="IndexLink"/>
              </w:rPr>
              <w:t>24</w:t>
            </w:r>
          </w:hyperlink>
        </w:p>
        <w:p>
          <w:pPr>
            <w:pStyle w:val="Contents4"/>
            <w:rPr>
              <w:rFonts w:ascii="Calibri" w:hAnsi="Calibri" w:cs="Calibri"/>
              <w:sz w:val="22"/>
              <w:szCs w:val="22"/>
              <w:lang w:val="en-US" w:eastAsia="en-US"/>
            </w:rPr>
          </w:pPr>
          <w:r>
            <w:rPr/>
            <w:t>6.1.3.0</w:t>
          </w:r>
          <w:r>
            <w:rPr>
              <w:rFonts w:cs="Calibri" w:ascii="Calibri" w:hAnsi="Calibri"/>
              <w:sz w:val="22"/>
              <w:szCs w:val="22"/>
              <w:lang w:val="en-US" w:eastAsia="en-US"/>
            </w:rPr>
            <w:tab/>
          </w:r>
          <w:r>
            <w:rPr/>
            <w:t>General</w:t>
            <w:tab/>
          </w:r>
          <w:hyperlink w:anchor="__RefHeading___Toc517445330">
            <w:r>
              <w:rPr>
                <w:rStyle w:val="IndexLink"/>
              </w:rPr>
              <w:t>24</w:t>
            </w:r>
          </w:hyperlink>
        </w:p>
        <w:p>
          <w:pPr>
            <w:pStyle w:val="Contents4"/>
            <w:rPr>
              <w:rFonts w:ascii="Calibri" w:hAnsi="Calibri" w:cs="Calibri"/>
              <w:sz w:val="22"/>
              <w:szCs w:val="22"/>
              <w:lang w:val="en-US" w:eastAsia="en-US"/>
            </w:rPr>
          </w:pPr>
          <w:r>
            <w:rPr/>
            <w:t>6.1.3.1</w:t>
          </w:r>
          <w:r>
            <w:rPr>
              <w:rFonts w:cs="Calibri" w:ascii="Calibri" w:hAnsi="Calibri"/>
              <w:sz w:val="22"/>
              <w:szCs w:val="22"/>
              <w:lang w:val="en-US" w:eastAsia="en-US"/>
            </w:rPr>
            <w:tab/>
          </w:r>
          <w:r>
            <w:rPr/>
            <w:t>HEVC simulcast</w:t>
            <w:tab/>
          </w:r>
          <w:hyperlink w:anchor="__RefHeading___Toc517445331">
            <w:r>
              <w:rPr>
                <w:rStyle w:val="IndexLink"/>
              </w:rPr>
              <w:t>24</w:t>
            </w:r>
          </w:hyperlink>
        </w:p>
        <w:p>
          <w:pPr>
            <w:pStyle w:val="Contents4"/>
            <w:rPr>
              <w:rFonts w:ascii="Calibri" w:hAnsi="Calibri" w:cs="Calibri"/>
              <w:sz w:val="22"/>
              <w:szCs w:val="22"/>
              <w:lang w:val="en-US" w:eastAsia="en-US"/>
            </w:rPr>
          </w:pPr>
          <w:r>
            <w:rPr/>
            <w:t>6.1.3.2</w:t>
          </w:r>
          <w:r>
            <w:rPr>
              <w:rFonts w:cs="Calibri" w:ascii="Calibri" w:hAnsi="Calibri"/>
              <w:sz w:val="22"/>
              <w:szCs w:val="22"/>
              <w:lang w:val="en-US" w:eastAsia="en-US"/>
            </w:rPr>
            <w:tab/>
          </w:r>
          <w:r>
            <w:rPr/>
            <w:t>SHVC</w:t>
            <w:tab/>
          </w:r>
          <w:hyperlink w:anchor="__RefHeading___Toc517445332">
            <w:r>
              <w:rPr>
                <w:rStyle w:val="IndexLink"/>
              </w:rPr>
              <w:t>25</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Comparison of the solutions</w:t>
            <w:tab/>
          </w:r>
          <w:hyperlink w:anchor="__RefHeading___Toc517445333">
            <w:r>
              <w:rPr>
                <w:rStyle w:val="IndexLink"/>
              </w:rPr>
              <w:t>26</w:t>
            </w:r>
          </w:hyperlink>
        </w:p>
        <w:p>
          <w:pPr>
            <w:pStyle w:val="Contents4"/>
            <w:rPr>
              <w:rFonts w:ascii="Calibri" w:hAnsi="Calibri" w:cs="Calibri"/>
              <w:sz w:val="22"/>
              <w:szCs w:val="22"/>
              <w:lang w:val="en-US" w:eastAsia="en-US"/>
            </w:rPr>
          </w:pPr>
          <w:r>
            <w:rPr/>
            <w:t>6.1.4.1</w:t>
          </w:r>
          <w:r>
            <w:rPr>
              <w:rFonts w:cs="Calibri" w:ascii="Calibri" w:hAnsi="Calibri"/>
              <w:sz w:val="22"/>
              <w:szCs w:val="22"/>
              <w:lang w:val="en-US" w:eastAsia="en-US"/>
            </w:rPr>
            <w:tab/>
          </w:r>
          <w:r>
            <w:rPr>
              <w:lang w:val="en-US" w:eastAsia="en-US"/>
            </w:rPr>
            <w:t>Uplink bandwidth</w:t>
          </w:r>
          <w:r>
            <w:rPr/>
            <w:tab/>
          </w:r>
          <w:hyperlink w:anchor="__RefHeading___Toc517445334">
            <w:r>
              <w:rPr>
                <w:rStyle w:val="IndexLink"/>
              </w:rPr>
              <w:t>26</w:t>
            </w:r>
          </w:hyperlink>
        </w:p>
        <w:p>
          <w:pPr>
            <w:pStyle w:val="Contents4"/>
            <w:rPr>
              <w:rFonts w:ascii="Calibri" w:hAnsi="Calibri" w:cs="Calibri"/>
              <w:sz w:val="22"/>
              <w:szCs w:val="22"/>
              <w:lang w:val="en-US" w:eastAsia="en-US"/>
            </w:rPr>
          </w:pPr>
          <w:r>
            <w:rPr/>
            <w:t>6.1.4.2</w:t>
          </w:r>
          <w:r>
            <w:rPr>
              <w:rFonts w:cs="Calibri" w:ascii="Calibri" w:hAnsi="Calibri"/>
              <w:sz w:val="22"/>
              <w:szCs w:val="22"/>
              <w:lang w:val="en-US" w:eastAsia="en-US"/>
            </w:rPr>
            <w:tab/>
          </w:r>
          <w:r>
            <w:rPr>
              <w:lang w:val="en-US" w:eastAsia="en-US"/>
            </w:rPr>
            <w:t>Downlink bandwidth</w:t>
          </w:r>
          <w:r>
            <w:rPr/>
            <w:tab/>
          </w:r>
          <w:hyperlink w:anchor="__RefHeading___Toc517445335">
            <w:r>
              <w:rPr>
                <w:rStyle w:val="IndexLink"/>
              </w:rPr>
              <w:t>26</w:t>
            </w:r>
          </w:hyperlink>
        </w:p>
        <w:p>
          <w:pPr>
            <w:pStyle w:val="Contents4"/>
            <w:rPr>
              <w:rFonts w:ascii="Calibri" w:hAnsi="Calibri" w:cs="Calibri"/>
              <w:sz w:val="22"/>
              <w:szCs w:val="22"/>
              <w:lang w:val="en-US" w:eastAsia="en-US"/>
            </w:rPr>
          </w:pPr>
          <w:r>
            <w:rPr/>
            <w:t>6.1.4.3</w:t>
          </w:r>
          <w:r>
            <w:rPr>
              <w:rFonts w:cs="Calibri" w:ascii="Calibri" w:hAnsi="Calibri"/>
              <w:sz w:val="22"/>
              <w:szCs w:val="22"/>
              <w:lang w:val="en-US" w:eastAsia="en-US"/>
            </w:rPr>
            <w:tab/>
          </w:r>
          <w:r>
            <w:rPr>
              <w:lang w:val="en-US" w:eastAsia="en-US"/>
            </w:rPr>
            <w:t>Decoding complexity</w:t>
          </w:r>
          <w:r>
            <w:rPr/>
            <w:tab/>
          </w:r>
          <w:hyperlink w:anchor="__RefHeading___Toc517445336">
            <w:r>
              <w:rPr>
                <w:rStyle w:val="IndexLink"/>
              </w:rPr>
              <w:t>27</w:t>
            </w:r>
          </w:hyperlink>
        </w:p>
        <w:p>
          <w:pPr>
            <w:pStyle w:val="Contents4"/>
            <w:rPr>
              <w:rFonts w:ascii="Calibri" w:hAnsi="Calibri" w:cs="Calibri"/>
              <w:sz w:val="22"/>
              <w:szCs w:val="22"/>
              <w:lang w:val="en-US" w:eastAsia="en-US"/>
            </w:rPr>
          </w:pPr>
          <w:r>
            <w:rPr/>
            <w:t>6.1.4.4</w:t>
          </w:r>
          <w:r>
            <w:rPr>
              <w:rFonts w:cs="Calibri" w:ascii="Calibri" w:hAnsi="Calibri"/>
              <w:sz w:val="22"/>
              <w:szCs w:val="22"/>
              <w:lang w:val="en-US" w:eastAsia="en-US"/>
            </w:rPr>
            <w:tab/>
          </w:r>
          <w:r>
            <w:rPr>
              <w:lang w:val="en-US" w:eastAsia="en-US"/>
            </w:rPr>
            <w:t>Encoding complexity</w:t>
          </w:r>
          <w:r>
            <w:rPr/>
            <w:tab/>
          </w:r>
          <w:hyperlink w:anchor="__RefHeading___Toc517445337">
            <w:r>
              <w:rPr>
                <w:rStyle w:val="IndexLink"/>
              </w:rPr>
              <w:t>27</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MBMS</w:t>
            <w:tab/>
          </w:r>
          <w:hyperlink w:anchor="__RefHeading___Toc517445338">
            <w:r>
              <w:rPr>
                <w:rStyle w:val="IndexLink"/>
              </w:rPr>
              <w:t>27</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The differentiated-service MBMS use case</w:t>
            <w:tab/>
          </w:r>
          <w:hyperlink w:anchor="__RefHeading___Toc517445339">
            <w:r>
              <w:rPr>
                <w:rStyle w:val="IndexLink"/>
              </w:rPr>
              <w:t>27</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Solutions for the MBMS use case</w:t>
            <w:tab/>
          </w:r>
          <w:hyperlink w:anchor="__RefHeading___Toc517445340">
            <w:r>
              <w:rPr>
                <w:rStyle w:val="IndexLink"/>
              </w:rPr>
              <w:t>28</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HEVC simulcast</w:t>
            <w:tab/>
          </w:r>
          <w:hyperlink w:anchor="__RefHeading___Toc517445341">
            <w:r>
              <w:rPr>
                <w:rStyle w:val="IndexLink"/>
              </w:rPr>
              <w:t>28</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SHVC</w:t>
            <w:tab/>
          </w:r>
          <w:hyperlink w:anchor="__RefHeading___Toc517445342">
            <w:r>
              <w:rPr>
                <w:rStyle w:val="IndexLink"/>
              </w:rPr>
              <w:t>29</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Comparison of the solutions</w:t>
            <w:tab/>
          </w:r>
          <w:hyperlink w:anchor="__RefHeading___Toc517445343">
            <w:r>
              <w:rPr>
                <w:rStyle w:val="IndexLink"/>
              </w:rPr>
              <w:t>29</w:t>
            </w:r>
          </w:hyperlink>
        </w:p>
        <w:p>
          <w:pPr>
            <w:pStyle w:val="Contents4"/>
            <w:rPr>
              <w:rFonts w:ascii="Calibri" w:hAnsi="Calibri" w:cs="Calibri"/>
              <w:sz w:val="22"/>
              <w:szCs w:val="22"/>
              <w:lang w:val="en-US" w:eastAsia="en-US"/>
            </w:rPr>
          </w:pPr>
          <w:r>
            <w:rPr/>
            <w:t>6.2.3.1</w:t>
          </w:r>
          <w:r>
            <w:rPr>
              <w:rFonts w:cs="Calibri" w:ascii="Calibri" w:hAnsi="Calibri"/>
              <w:sz w:val="22"/>
              <w:szCs w:val="22"/>
              <w:lang w:val="en-US" w:eastAsia="en-US"/>
            </w:rPr>
            <w:tab/>
          </w:r>
          <w:r>
            <w:rPr>
              <w:lang w:val="en-US" w:eastAsia="en-US"/>
            </w:rPr>
            <w:t>Transmission bandwidth</w:t>
          </w:r>
          <w:r>
            <w:rPr/>
            <w:tab/>
          </w:r>
          <w:hyperlink w:anchor="__RefHeading___Toc517445344">
            <w:r>
              <w:rPr>
                <w:rStyle w:val="IndexLink"/>
              </w:rPr>
              <w:t>29</w:t>
            </w:r>
          </w:hyperlink>
        </w:p>
        <w:p>
          <w:pPr>
            <w:pStyle w:val="Contents4"/>
            <w:rPr>
              <w:rFonts w:ascii="Calibri" w:hAnsi="Calibri" w:cs="Calibri"/>
              <w:sz w:val="22"/>
              <w:szCs w:val="22"/>
              <w:lang w:val="en-US" w:eastAsia="en-US"/>
            </w:rPr>
          </w:pPr>
          <w:r>
            <w:rPr/>
            <w:t>6.2.3.2</w:t>
          </w:r>
          <w:r>
            <w:rPr>
              <w:rFonts w:cs="Calibri" w:ascii="Calibri" w:hAnsi="Calibri"/>
              <w:sz w:val="22"/>
              <w:szCs w:val="22"/>
              <w:lang w:val="en-US" w:eastAsia="en-US"/>
            </w:rPr>
            <w:tab/>
          </w:r>
          <w:r>
            <w:rPr>
              <w:lang w:val="en-US" w:eastAsia="en-US"/>
            </w:rPr>
            <w:t>Decoding complexity</w:t>
          </w:r>
          <w:r>
            <w:rPr/>
            <w:tab/>
          </w:r>
          <w:hyperlink w:anchor="__RefHeading___Toc517445345">
            <w:r>
              <w:rPr>
                <w:rStyle w:val="IndexLink"/>
              </w:rPr>
              <w:t>31</w:t>
            </w:r>
          </w:hyperlink>
        </w:p>
        <w:p>
          <w:pPr>
            <w:pStyle w:val="Contents4"/>
            <w:rPr>
              <w:rFonts w:ascii="Calibri" w:hAnsi="Calibri" w:cs="Calibri"/>
              <w:sz w:val="22"/>
              <w:szCs w:val="22"/>
              <w:lang w:val="en-US" w:eastAsia="en-US"/>
            </w:rPr>
          </w:pPr>
          <w:r>
            <w:rPr/>
            <w:t>6.2.3.3</w:t>
          </w:r>
          <w:r>
            <w:rPr>
              <w:rFonts w:cs="Calibri" w:ascii="Calibri" w:hAnsi="Calibri"/>
              <w:sz w:val="22"/>
              <w:szCs w:val="22"/>
              <w:lang w:val="en-US" w:eastAsia="en-US"/>
            </w:rPr>
            <w:tab/>
          </w:r>
          <w:r>
            <w:rPr>
              <w:lang w:val="en-US" w:eastAsia="en-US"/>
            </w:rPr>
            <w:t>Encoding complexity</w:t>
          </w:r>
          <w:r>
            <w:rPr/>
            <w:tab/>
          </w:r>
          <w:hyperlink w:anchor="__RefHeading___Toc517445346">
            <w:r>
              <w:rPr>
                <w:rStyle w:val="IndexLink"/>
              </w:rPr>
              <w:t>32</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3GP-DASH</w:t>
            <w:tab/>
          </w:r>
          <w:hyperlink w:anchor="__RefHeading___Toc517445347">
            <w:r>
              <w:rPr>
                <w:rStyle w:val="IndexLink"/>
              </w:rPr>
              <w:t>32</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The 3GP-DASH use case</w:t>
            <w:tab/>
          </w:r>
          <w:hyperlink w:anchor="__RefHeading___Toc517445348">
            <w:r>
              <w:rPr>
                <w:rStyle w:val="IndexLink"/>
              </w:rPr>
              <w:t>32</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Solutions for the 3GP-DASH use case</w:t>
            <w:tab/>
          </w:r>
          <w:hyperlink w:anchor="__RefHeading___Toc517445349">
            <w:r>
              <w:rPr>
                <w:rStyle w:val="IndexLink"/>
              </w:rPr>
              <w:t>32</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HEVC simulcast</w:t>
            <w:tab/>
          </w:r>
          <w:hyperlink w:anchor="__RefHeading___Toc517445350">
            <w:r>
              <w:rPr>
                <w:rStyle w:val="IndexLink"/>
              </w:rPr>
              <w:t>32</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t>SHVC</w:t>
            <w:tab/>
          </w:r>
          <w:hyperlink w:anchor="__RefHeading___Toc517445351">
            <w:r>
              <w:rPr>
                <w:rStyle w:val="IndexLink"/>
              </w:rPr>
              <w:t>33</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lang w:val="en-US" w:eastAsia="en-US"/>
            </w:rPr>
            <w:t>Comparison of the solutions</w:t>
          </w:r>
          <w:r>
            <w:rPr/>
            <w:tab/>
          </w:r>
          <w:hyperlink w:anchor="__RefHeading___Toc517445352">
            <w:r>
              <w:rPr>
                <w:rStyle w:val="IndexLink"/>
              </w:rPr>
              <w:t>34</w:t>
            </w:r>
          </w:hyperlink>
        </w:p>
        <w:p>
          <w:pPr>
            <w:pStyle w:val="Contents4"/>
            <w:rPr>
              <w:rFonts w:ascii="Calibri" w:hAnsi="Calibri" w:cs="Calibri"/>
              <w:sz w:val="22"/>
              <w:szCs w:val="22"/>
              <w:lang w:val="en-US" w:eastAsia="en-US"/>
            </w:rPr>
          </w:pPr>
          <w:r>
            <w:rPr/>
            <w:t>6.3.3.0</w:t>
          </w:r>
          <w:r>
            <w:rPr>
              <w:rFonts w:cs="Calibri" w:ascii="Calibri" w:hAnsi="Calibri"/>
              <w:sz w:val="22"/>
              <w:szCs w:val="22"/>
              <w:lang w:val="en-US" w:eastAsia="en-US"/>
            </w:rPr>
            <w:tab/>
          </w:r>
          <w:r>
            <w:rPr>
              <w:lang w:val="en-US" w:eastAsia="en-US"/>
            </w:rPr>
            <w:t>General</w:t>
          </w:r>
          <w:r>
            <w:rPr/>
            <w:tab/>
          </w:r>
          <w:hyperlink w:anchor="__RefHeading___Toc517445353">
            <w:r>
              <w:rPr>
                <w:rStyle w:val="IndexLink"/>
              </w:rPr>
              <w:t>34</w:t>
            </w:r>
          </w:hyperlink>
        </w:p>
        <w:p>
          <w:pPr>
            <w:pStyle w:val="Contents4"/>
            <w:rPr>
              <w:rFonts w:ascii="Calibri" w:hAnsi="Calibri" w:cs="Calibri"/>
              <w:sz w:val="22"/>
              <w:szCs w:val="22"/>
              <w:lang w:val="en-US" w:eastAsia="en-US"/>
            </w:rPr>
          </w:pPr>
          <w:r>
            <w:rPr/>
            <w:t>6.3.3.1</w:t>
          </w:r>
          <w:r>
            <w:rPr>
              <w:rFonts w:cs="Calibri" w:ascii="Calibri" w:hAnsi="Calibri"/>
              <w:sz w:val="22"/>
              <w:szCs w:val="22"/>
              <w:lang w:val="en-US" w:eastAsia="en-US"/>
            </w:rPr>
            <w:tab/>
          </w:r>
          <w:r>
            <w:rPr>
              <w:lang w:val="en-US" w:eastAsia="en-US"/>
            </w:rPr>
            <w:t>Outgoing transmission bandwidth</w:t>
          </w:r>
          <w:r>
            <w:rPr/>
            <w:tab/>
          </w:r>
          <w:hyperlink w:anchor="__RefHeading___Toc517445354">
            <w:r>
              <w:rPr>
                <w:rStyle w:val="IndexLink"/>
              </w:rPr>
              <w:t>34</w:t>
            </w:r>
          </w:hyperlink>
        </w:p>
        <w:p>
          <w:pPr>
            <w:pStyle w:val="Contents5"/>
            <w:rPr>
              <w:rFonts w:ascii="Calibri" w:hAnsi="Calibri" w:cs="Calibri"/>
              <w:sz w:val="22"/>
              <w:szCs w:val="22"/>
              <w:lang w:val="en-US" w:eastAsia="en-US"/>
            </w:rPr>
          </w:pPr>
          <w:r>
            <w:rPr/>
            <w:t>6.3.3.1.0</w:t>
          </w:r>
          <w:r>
            <w:rPr>
              <w:rFonts w:cs="Calibri" w:ascii="Calibri" w:hAnsi="Calibri"/>
              <w:sz w:val="22"/>
              <w:szCs w:val="22"/>
              <w:lang w:val="en-US" w:eastAsia="en-US"/>
            </w:rPr>
            <w:tab/>
          </w:r>
          <w:r>
            <w:rPr>
              <w:lang w:val="en-US" w:eastAsia="en-US"/>
            </w:rPr>
            <w:t>General</w:t>
          </w:r>
          <w:r>
            <w:rPr/>
            <w:tab/>
          </w:r>
          <w:hyperlink w:anchor="__RefHeading___Toc517445355">
            <w:r>
              <w:rPr>
                <w:rStyle w:val="IndexLink"/>
              </w:rPr>
              <w:t>34</w:t>
            </w:r>
          </w:hyperlink>
        </w:p>
        <w:p>
          <w:pPr>
            <w:pStyle w:val="Contents5"/>
            <w:rPr>
              <w:rFonts w:ascii="Calibri" w:hAnsi="Calibri" w:cs="Calibri"/>
              <w:sz w:val="22"/>
              <w:szCs w:val="22"/>
              <w:lang w:val="en-US" w:eastAsia="en-US"/>
            </w:rPr>
          </w:pPr>
          <w:r>
            <w:rPr/>
            <w:t>6.3.3.1.1</w:t>
          </w:r>
          <w:r>
            <w:rPr>
              <w:rFonts w:cs="Calibri" w:ascii="Calibri" w:hAnsi="Calibri"/>
              <w:sz w:val="22"/>
              <w:szCs w:val="22"/>
              <w:lang w:val="en-US" w:eastAsia="en-US"/>
            </w:rPr>
            <w:tab/>
          </w:r>
          <w:r>
            <w:rPr>
              <w:lang w:val="en-US" w:eastAsia="en-US"/>
            </w:rPr>
            <w:t>From origin server to caches</w:t>
          </w:r>
          <w:r>
            <w:rPr/>
            <w:tab/>
          </w:r>
          <w:hyperlink w:anchor="__RefHeading___Toc517445356">
            <w:r>
              <w:rPr>
                <w:rStyle w:val="IndexLink"/>
              </w:rPr>
              <w:t>34</w:t>
            </w:r>
          </w:hyperlink>
        </w:p>
        <w:p>
          <w:pPr>
            <w:pStyle w:val="Contents5"/>
            <w:rPr>
              <w:rFonts w:ascii="Calibri" w:hAnsi="Calibri" w:cs="Calibri"/>
              <w:sz w:val="22"/>
              <w:szCs w:val="22"/>
              <w:lang w:val="en-US" w:eastAsia="en-US"/>
            </w:rPr>
          </w:pPr>
          <w:r>
            <w:rPr/>
            <w:t>6.3.3.1.2</w:t>
          </w:r>
          <w:r>
            <w:rPr>
              <w:rFonts w:cs="Calibri" w:ascii="Calibri" w:hAnsi="Calibri"/>
              <w:sz w:val="22"/>
              <w:szCs w:val="22"/>
              <w:lang w:val="en-US" w:eastAsia="en-US"/>
            </w:rPr>
            <w:tab/>
          </w:r>
          <w:r>
            <w:rPr>
              <w:lang w:val="en-US" w:eastAsia="en-US"/>
            </w:rPr>
            <w:t>From origin server to UEs</w:t>
          </w:r>
          <w:r>
            <w:rPr/>
            <w:tab/>
          </w:r>
          <w:hyperlink w:anchor="__RefHeading___Toc517445357">
            <w:r>
              <w:rPr>
                <w:rStyle w:val="IndexLink"/>
              </w:rPr>
              <w:t>34</w:t>
            </w:r>
          </w:hyperlink>
        </w:p>
        <w:p>
          <w:pPr>
            <w:pStyle w:val="Contents4"/>
            <w:rPr>
              <w:rFonts w:ascii="Calibri" w:hAnsi="Calibri" w:cs="Calibri"/>
              <w:sz w:val="22"/>
              <w:szCs w:val="22"/>
              <w:lang w:val="en-US" w:eastAsia="en-US"/>
            </w:rPr>
          </w:pPr>
          <w:r>
            <w:rPr/>
            <w:t>6.3.3.2</w:t>
          </w:r>
          <w:r>
            <w:rPr>
              <w:rFonts w:cs="Calibri" w:ascii="Calibri" w:hAnsi="Calibri"/>
              <w:sz w:val="22"/>
              <w:szCs w:val="22"/>
              <w:lang w:val="en-US" w:eastAsia="en-US"/>
            </w:rPr>
            <w:tab/>
          </w:r>
          <w:r>
            <w:rPr>
              <w:lang w:val="en-US" w:eastAsia="en-US"/>
            </w:rPr>
            <w:t>Incoming transmission bandwidth</w:t>
          </w:r>
          <w:r>
            <w:rPr/>
            <w:tab/>
          </w:r>
          <w:hyperlink w:anchor="__RefHeading___Toc517445358">
            <w:r>
              <w:rPr>
                <w:rStyle w:val="IndexLink"/>
              </w:rPr>
              <w:t>35</w:t>
            </w:r>
          </w:hyperlink>
        </w:p>
        <w:p>
          <w:pPr>
            <w:pStyle w:val="Contents4"/>
            <w:rPr>
              <w:rFonts w:ascii="Calibri" w:hAnsi="Calibri" w:cs="Calibri"/>
              <w:sz w:val="22"/>
              <w:szCs w:val="22"/>
              <w:lang w:val="en-US" w:eastAsia="en-US"/>
            </w:rPr>
          </w:pPr>
          <w:r>
            <w:rPr/>
            <w:t>6.3.3.3</w:t>
          </w:r>
          <w:r>
            <w:rPr>
              <w:rFonts w:cs="Calibri" w:ascii="Calibri" w:hAnsi="Calibri"/>
              <w:sz w:val="22"/>
              <w:szCs w:val="22"/>
              <w:lang w:val="en-US" w:eastAsia="en-US"/>
            </w:rPr>
            <w:tab/>
          </w:r>
          <w:r>
            <w:rPr>
              <w:lang w:val="en-US" w:eastAsia="en-US"/>
            </w:rPr>
            <w:t>Decoding complexity</w:t>
          </w:r>
          <w:r>
            <w:rPr/>
            <w:tab/>
          </w:r>
          <w:hyperlink w:anchor="__RefHeading___Toc517445359">
            <w:r>
              <w:rPr>
                <w:rStyle w:val="IndexLink"/>
              </w:rPr>
              <w:t>36</w:t>
            </w:r>
          </w:hyperlink>
        </w:p>
        <w:p>
          <w:pPr>
            <w:pStyle w:val="Contents4"/>
            <w:rPr>
              <w:rFonts w:ascii="Calibri" w:hAnsi="Calibri" w:cs="Calibri"/>
              <w:sz w:val="22"/>
              <w:szCs w:val="22"/>
              <w:lang w:val="en-US" w:eastAsia="en-US"/>
            </w:rPr>
          </w:pPr>
          <w:r>
            <w:rPr/>
            <w:t>6.3.3.4</w:t>
          </w:r>
          <w:r>
            <w:rPr>
              <w:rFonts w:cs="Calibri" w:ascii="Calibri" w:hAnsi="Calibri"/>
              <w:sz w:val="22"/>
              <w:szCs w:val="22"/>
              <w:lang w:val="en-US" w:eastAsia="en-US"/>
            </w:rPr>
            <w:tab/>
          </w:r>
          <w:r>
            <w:rPr>
              <w:lang w:val="en-US" w:eastAsia="en-US"/>
            </w:rPr>
            <w:t>Encoding complexity</w:t>
          </w:r>
          <w:r>
            <w:rPr/>
            <w:tab/>
          </w:r>
          <w:hyperlink w:anchor="__RefHeading___Toc517445360">
            <w:r>
              <w:rPr>
                <w:rStyle w:val="IndexLink"/>
              </w:rPr>
              <w:t>36</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Test cases, conditions, and results</w:t>
            <w:tab/>
          </w:r>
          <w:hyperlink w:anchor="__RefHeading___Toc517445361">
            <w:r>
              <w:rPr>
                <w:rStyle w:val="IndexLink"/>
              </w:rPr>
              <w:t>37</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Test cases and conditions</w:t>
            <w:tab/>
          </w:r>
          <w:hyperlink w:anchor="__RefHeading___Toc517445362">
            <w:r>
              <w:rPr>
                <w:rStyle w:val="IndexLink"/>
              </w:rPr>
              <w:t>37</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General conditions</w:t>
            <w:tab/>
          </w:r>
          <w:hyperlink w:anchor="__RefHeading___Toc517445363">
            <w:r>
              <w:rPr>
                <w:rStyle w:val="IndexLink"/>
              </w:rPr>
              <w:t>37</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MMVC</w:t>
            <w:tab/>
          </w:r>
          <w:hyperlink w:anchor="__RefHeading___Toc517445364">
            <w:r>
              <w:rPr>
                <w:rStyle w:val="IndexLink"/>
              </w:rPr>
              <w:t>38</w:t>
            </w:r>
          </w:hyperlink>
        </w:p>
        <w:p>
          <w:pPr>
            <w:pStyle w:val="Contents3"/>
            <w:rPr>
              <w:rFonts w:ascii="Calibri" w:hAnsi="Calibri" w:cs="Calibri"/>
              <w:sz w:val="22"/>
              <w:szCs w:val="22"/>
              <w:lang w:val="en-US" w:eastAsia="en-US"/>
            </w:rPr>
          </w:pPr>
          <w:r>
            <w:rPr/>
            <w:t>7.1.3</w:t>
          </w:r>
          <w:r>
            <w:rPr>
              <w:rFonts w:cs="Calibri" w:ascii="Calibri" w:hAnsi="Calibri"/>
              <w:sz w:val="22"/>
              <w:szCs w:val="22"/>
              <w:lang w:val="en-US" w:eastAsia="en-US"/>
            </w:rPr>
            <w:tab/>
          </w:r>
          <w:r>
            <w:rPr/>
            <w:t>MBMS</w:t>
            <w:tab/>
          </w:r>
          <w:hyperlink w:anchor="__RefHeading___Toc517445365">
            <w:r>
              <w:rPr>
                <w:rStyle w:val="IndexLink"/>
              </w:rPr>
              <w:t>39</w:t>
            </w:r>
          </w:hyperlink>
        </w:p>
        <w:p>
          <w:pPr>
            <w:pStyle w:val="Contents3"/>
            <w:rPr>
              <w:rFonts w:ascii="Calibri" w:hAnsi="Calibri" w:cs="Calibri"/>
              <w:sz w:val="22"/>
              <w:szCs w:val="22"/>
              <w:lang w:val="en-US" w:eastAsia="en-US"/>
            </w:rPr>
          </w:pPr>
          <w:r>
            <w:rPr/>
            <w:t>7.1.4</w:t>
          </w:r>
          <w:r>
            <w:rPr>
              <w:rFonts w:cs="Calibri" w:ascii="Calibri" w:hAnsi="Calibri"/>
              <w:sz w:val="22"/>
              <w:szCs w:val="22"/>
              <w:lang w:val="en-US" w:eastAsia="en-US"/>
            </w:rPr>
            <w:tab/>
          </w:r>
          <w:r>
            <w:rPr/>
            <w:t>3GP-DASH</w:t>
            <w:tab/>
          </w:r>
          <w:hyperlink w:anchor="__RefHeading___Toc517445366">
            <w:r>
              <w:rPr>
                <w:rStyle w:val="IndexLink"/>
              </w:rPr>
              <w:t>40</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Test results</w:t>
            <w:tab/>
          </w:r>
          <w:hyperlink w:anchor="__RefHeading___Toc517445367">
            <w:r>
              <w:rPr>
                <w:rStyle w:val="IndexLink"/>
              </w:rPr>
              <w:t>42</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MMVC</w:t>
            <w:tab/>
          </w:r>
          <w:hyperlink w:anchor="__RefHeading___Toc517445368">
            <w:r>
              <w:rPr>
                <w:rStyle w:val="IndexLink"/>
              </w:rPr>
              <w:t>42</w:t>
            </w:r>
          </w:hyperlink>
        </w:p>
        <w:p>
          <w:pPr>
            <w:pStyle w:val="Contents4"/>
            <w:rPr>
              <w:rFonts w:ascii="Calibri" w:hAnsi="Calibri" w:cs="Calibri"/>
              <w:sz w:val="22"/>
              <w:szCs w:val="22"/>
              <w:lang w:val="en-US" w:eastAsia="en-US"/>
            </w:rPr>
          </w:pPr>
          <w:r>
            <w:rPr/>
            <w:t>7.2.1.1</w:t>
          </w:r>
          <w:r>
            <w:rPr>
              <w:rFonts w:cs="Calibri" w:ascii="Calibri" w:hAnsi="Calibri"/>
              <w:sz w:val="22"/>
              <w:szCs w:val="22"/>
              <w:lang w:val="en-US" w:eastAsia="en-US"/>
            </w:rPr>
            <w:tab/>
          </w:r>
          <w:r>
            <w:rPr/>
            <w:t>General</w:t>
            <w:tab/>
          </w:r>
          <w:hyperlink w:anchor="__RefHeading___Toc517445369">
            <w:r>
              <w:rPr>
                <w:rStyle w:val="IndexLink"/>
              </w:rPr>
              <w:t>42</w:t>
            </w:r>
          </w:hyperlink>
        </w:p>
        <w:p>
          <w:pPr>
            <w:pStyle w:val="Contents4"/>
            <w:rPr>
              <w:rFonts w:ascii="Calibri" w:hAnsi="Calibri" w:cs="Calibri"/>
              <w:sz w:val="22"/>
              <w:szCs w:val="22"/>
              <w:lang w:val="en-US" w:eastAsia="en-US"/>
            </w:rPr>
          </w:pPr>
          <w:r>
            <w:rPr/>
            <w:t>7.2.1.2</w:t>
          </w:r>
          <w:r>
            <w:rPr>
              <w:rFonts w:cs="Calibri" w:ascii="Calibri" w:hAnsi="Calibri"/>
              <w:sz w:val="22"/>
              <w:szCs w:val="22"/>
              <w:lang w:val="en-US" w:eastAsia="en-US"/>
            </w:rPr>
            <w:tab/>
          </w:r>
          <w:r>
            <w:rPr/>
            <w:t>Results for aligned IRAP pictures case</w:t>
            <w:tab/>
          </w:r>
          <w:hyperlink w:anchor="__RefHeading___Toc517445370">
            <w:r>
              <w:rPr>
                <w:rStyle w:val="IndexLink"/>
              </w:rPr>
              <w:t>42</w:t>
            </w:r>
          </w:hyperlink>
        </w:p>
        <w:p>
          <w:pPr>
            <w:pStyle w:val="Contents4"/>
            <w:rPr>
              <w:rFonts w:ascii="Calibri" w:hAnsi="Calibri" w:cs="Calibri"/>
              <w:sz w:val="22"/>
              <w:szCs w:val="22"/>
              <w:lang w:val="en-US" w:eastAsia="en-US"/>
            </w:rPr>
          </w:pPr>
          <w:r>
            <w:rPr/>
            <w:t>7.2.1.3</w:t>
          </w:r>
          <w:r>
            <w:rPr>
              <w:rFonts w:cs="Calibri" w:ascii="Calibri" w:hAnsi="Calibri"/>
              <w:sz w:val="22"/>
              <w:szCs w:val="22"/>
              <w:lang w:val="en-US" w:eastAsia="en-US"/>
            </w:rPr>
            <w:tab/>
          </w:r>
          <w:r>
            <w:rPr/>
            <w:t>Results for IRAP non-aligned test case</w:t>
            <w:tab/>
          </w:r>
          <w:hyperlink w:anchor="__RefHeading___Toc517445371">
            <w:r>
              <w:rPr>
                <w:rStyle w:val="IndexLink"/>
              </w:rPr>
              <w:t>43</w:t>
            </w:r>
          </w:hyperlink>
        </w:p>
        <w:p>
          <w:pPr>
            <w:pStyle w:val="Contents4"/>
            <w:rPr>
              <w:rFonts w:ascii="Calibri" w:hAnsi="Calibri" w:cs="Calibri"/>
              <w:sz w:val="22"/>
              <w:szCs w:val="22"/>
              <w:lang w:val="en-US" w:eastAsia="en-US"/>
            </w:rPr>
          </w:pPr>
          <w:r>
            <w:rPr/>
            <w:t>7.2.1.4</w:t>
          </w:r>
          <w:r>
            <w:rPr>
              <w:rFonts w:cs="Calibri" w:ascii="Calibri" w:hAnsi="Calibri"/>
              <w:sz w:val="22"/>
              <w:szCs w:val="22"/>
              <w:lang w:val="en-US" w:eastAsia="en-US"/>
            </w:rPr>
            <w:tab/>
          </w:r>
          <w:r>
            <w:rPr/>
            <w:t>First set of additional results</w:t>
            <w:tab/>
          </w:r>
          <w:hyperlink w:anchor="__RefHeading___Toc517445372">
            <w:r>
              <w:rPr>
                <w:rStyle w:val="IndexLink"/>
              </w:rPr>
              <w:t>43</w:t>
            </w:r>
          </w:hyperlink>
        </w:p>
        <w:p>
          <w:pPr>
            <w:pStyle w:val="Contents4"/>
            <w:rPr>
              <w:rFonts w:ascii="Calibri" w:hAnsi="Calibri" w:cs="Calibri"/>
              <w:sz w:val="22"/>
              <w:szCs w:val="22"/>
              <w:lang w:val="en-US" w:eastAsia="en-US"/>
            </w:rPr>
          </w:pPr>
          <w:r>
            <w:rPr/>
            <w:t>7.2.1.5</w:t>
          </w:r>
          <w:r>
            <w:rPr>
              <w:rFonts w:cs="Calibri" w:ascii="Calibri" w:hAnsi="Calibri"/>
              <w:sz w:val="22"/>
              <w:szCs w:val="22"/>
              <w:lang w:val="en-US" w:eastAsia="en-US"/>
            </w:rPr>
            <w:tab/>
          </w:r>
          <w:r>
            <w:rPr/>
            <w:t>Second set of additional results</w:t>
            <w:tab/>
          </w:r>
          <w:hyperlink w:anchor="__RefHeading___Toc517445373">
            <w:r>
              <w:rPr>
                <w:rStyle w:val="IndexLink"/>
              </w:rPr>
              <w:t>44</w:t>
            </w:r>
          </w:hyperlink>
        </w:p>
        <w:p>
          <w:pPr>
            <w:pStyle w:val="Contents4"/>
            <w:rPr>
              <w:rFonts w:ascii="Calibri" w:hAnsi="Calibri" w:cs="Calibri"/>
              <w:sz w:val="22"/>
              <w:szCs w:val="22"/>
              <w:lang w:val="en-US" w:eastAsia="en-US"/>
            </w:rPr>
          </w:pPr>
          <w:r>
            <w:rPr/>
            <w:t>7.2.1.6</w:t>
          </w:r>
          <w:r>
            <w:rPr>
              <w:rFonts w:cs="Calibri" w:ascii="Calibri" w:hAnsi="Calibri"/>
              <w:sz w:val="22"/>
              <w:szCs w:val="22"/>
              <w:lang w:val="en-US" w:eastAsia="en-US"/>
            </w:rPr>
            <w:tab/>
          </w:r>
          <w:r>
            <w:rPr/>
            <w:t>Additional analysis for comparing SHVC and HEVC simulcast</w:t>
            <w:tab/>
          </w:r>
          <w:hyperlink w:anchor="__RefHeading___Toc517445374">
            <w:r>
              <w:rPr>
                <w:rStyle w:val="IndexLink"/>
              </w:rPr>
              <w:t>47</w:t>
            </w:r>
          </w:hyperlink>
        </w:p>
        <w:p>
          <w:pPr>
            <w:pStyle w:val="Contents5"/>
            <w:rPr>
              <w:rFonts w:ascii="Calibri" w:hAnsi="Calibri" w:cs="Calibri"/>
              <w:sz w:val="22"/>
              <w:szCs w:val="22"/>
              <w:lang w:val="en-US" w:eastAsia="en-US"/>
            </w:rPr>
          </w:pPr>
          <w:r>
            <w:rPr/>
            <w:t>7.2.1.6.1</w:t>
          </w:r>
          <w:r>
            <w:rPr>
              <w:rFonts w:cs="Calibri" w:ascii="Calibri" w:hAnsi="Calibri"/>
              <w:sz w:val="22"/>
              <w:szCs w:val="22"/>
              <w:lang w:val="en-US" w:eastAsia="en-US"/>
            </w:rPr>
            <w:tab/>
          </w:r>
          <w:r>
            <w:rPr/>
            <w:t>Introduction</w:t>
            <w:tab/>
          </w:r>
          <w:hyperlink w:anchor="__RefHeading___Toc517445375">
            <w:r>
              <w:rPr>
                <w:rStyle w:val="IndexLink"/>
              </w:rPr>
              <w:t>47</w:t>
            </w:r>
          </w:hyperlink>
        </w:p>
        <w:p>
          <w:pPr>
            <w:pStyle w:val="Contents5"/>
            <w:rPr>
              <w:rFonts w:ascii="Calibri" w:hAnsi="Calibri" w:cs="Calibri"/>
              <w:sz w:val="22"/>
              <w:szCs w:val="22"/>
              <w:lang w:val="en-US" w:eastAsia="en-US"/>
            </w:rPr>
          </w:pPr>
          <w:r>
            <w:rPr/>
            <w:t>7.2.1.6.2</w:t>
          </w:r>
          <w:r>
            <w:rPr>
              <w:rFonts w:cs="Calibri" w:ascii="Calibri" w:hAnsi="Calibri"/>
              <w:sz w:val="22"/>
              <w:szCs w:val="22"/>
              <w:lang w:val="en-US" w:eastAsia="en-US"/>
            </w:rPr>
            <w:tab/>
          </w:r>
          <w:r>
            <w:rPr/>
            <w:t>Uplink vs downlink transmission cost</w:t>
            <w:tab/>
          </w:r>
          <w:hyperlink w:anchor="__RefHeading___Toc517445376">
            <w:r>
              <w:rPr>
                <w:rStyle w:val="IndexLink"/>
              </w:rPr>
              <w:t>47</w:t>
            </w:r>
          </w:hyperlink>
        </w:p>
        <w:p>
          <w:pPr>
            <w:pStyle w:val="Contents5"/>
            <w:rPr>
              <w:rFonts w:ascii="Calibri" w:hAnsi="Calibri" w:cs="Calibri"/>
              <w:sz w:val="22"/>
              <w:szCs w:val="22"/>
              <w:lang w:val="en-US" w:eastAsia="en-US"/>
            </w:rPr>
          </w:pPr>
          <w:r>
            <w:rPr/>
            <w:t>7.2.1.6.3</w:t>
          </w:r>
          <w:r>
            <w:rPr>
              <w:rFonts w:cs="Calibri" w:ascii="Calibri" w:hAnsi="Calibri"/>
              <w:sz w:val="22"/>
              <w:szCs w:val="22"/>
              <w:lang w:val="en-US" w:eastAsia="en-US"/>
            </w:rPr>
            <w:tab/>
          </w:r>
          <w:r>
            <w:rPr/>
            <w:t>Case by case cost/benefit analysis of SHVC vs HEVC simulcast</w:t>
            <w:tab/>
          </w:r>
          <w:hyperlink w:anchor="__RefHeading___Toc517445377">
            <w:r>
              <w:rPr>
                <w:rStyle w:val="IndexLink"/>
              </w:rPr>
              <w:t>47</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MBMS</w:t>
            <w:tab/>
          </w:r>
          <w:hyperlink w:anchor="__RefHeading___Toc517445378">
            <w:r>
              <w:rPr>
                <w:rStyle w:val="IndexLink"/>
              </w:rPr>
              <w:t>51</w:t>
            </w:r>
          </w:hyperlink>
        </w:p>
        <w:p>
          <w:pPr>
            <w:pStyle w:val="Contents4"/>
            <w:rPr>
              <w:rFonts w:ascii="Calibri" w:hAnsi="Calibri" w:cs="Calibri"/>
              <w:sz w:val="22"/>
              <w:szCs w:val="22"/>
              <w:lang w:val="en-US" w:eastAsia="en-US"/>
            </w:rPr>
          </w:pPr>
          <w:r>
            <w:rPr/>
            <w:t>7.2.2.0</w:t>
          </w:r>
          <w:r>
            <w:rPr>
              <w:rFonts w:cs="Calibri" w:ascii="Calibri" w:hAnsi="Calibri"/>
              <w:sz w:val="22"/>
              <w:szCs w:val="22"/>
              <w:lang w:val="en-US" w:eastAsia="en-US"/>
            </w:rPr>
            <w:tab/>
          </w:r>
          <w:r>
            <w:rPr/>
            <w:t>General</w:t>
            <w:tab/>
          </w:r>
          <w:hyperlink w:anchor="__RefHeading___Toc517445379">
            <w:r>
              <w:rPr>
                <w:rStyle w:val="IndexLink"/>
              </w:rPr>
              <w:t>51</w:t>
            </w:r>
          </w:hyperlink>
        </w:p>
        <w:p>
          <w:pPr>
            <w:pStyle w:val="Contents4"/>
            <w:rPr>
              <w:rFonts w:ascii="Calibri" w:hAnsi="Calibri" w:cs="Calibri"/>
              <w:sz w:val="22"/>
              <w:szCs w:val="22"/>
              <w:lang w:val="en-US" w:eastAsia="en-US"/>
            </w:rPr>
          </w:pPr>
          <w:r>
            <w:rPr/>
            <w:t>7.2.2.1</w:t>
          </w:r>
          <w:r>
            <w:rPr>
              <w:rFonts w:cs="Calibri" w:ascii="Calibri" w:hAnsi="Calibri"/>
              <w:sz w:val="22"/>
              <w:szCs w:val="22"/>
              <w:lang w:val="en-US" w:eastAsia="en-US"/>
            </w:rPr>
            <w:tab/>
          </w:r>
          <w:r>
            <w:rPr/>
            <w:t>Results for aligned IRAP pictures case</w:t>
            <w:tab/>
          </w:r>
          <w:hyperlink w:anchor="__RefHeading___Toc517445380">
            <w:r>
              <w:rPr>
                <w:rStyle w:val="IndexLink"/>
              </w:rPr>
              <w:t>52</w:t>
            </w:r>
          </w:hyperlink>
        </w:p>
        <w:p>
          <w:pPr>
            <w:pStyle w:val="Contents4"/>
            <w:rPr>
              <w:rFonts w:ascii="Calibri" w:hAnsi="Calibri" w:cs="Calibri"/>
              <w:sz w:val="22"/>
              <w:szCs w:val="22"/>
              <w:lang w:val="en-US" w:eastAsia="en-US"/>
            </w:rPr>
          </w:pPr>
          <w:r>
            <w:rPr/>
            <w:t>7.2.2.2</w:t>
          </w:r>
          <w:r>
            <w:rPr>
              <w:rFonts w:cs="Calibri" w:ascii="Calibri" w:hAnsi="Calibri"/>
              <w:sz w:val="22"/>
              <w:szCs w:val="22"/>
              <w:lang w:val="en-US" w:eastAsia="en-US"/>
            </w:rPr>
            <w:tab/>
          </w:r>
          <w:r>
            <w:rPr/>
            <w:t>Results for non-aligned IRAP pictures case</w:t>
            <w:tab/>
          </w:r>
          <w:hyperlink w:anchor="__RefHeading___Toc517445381">
            <w:r>
              <w:rPr>
                <w:rStyle w:val="IndexLink"/>
              </w:rPr>
              <w:t>53</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3GP-DASH</w:t>
            <w:tab/>
          </w:r>
          <w:hyperlink w:anchor="__RefHeading___Toc517445382">
            <w:r>
              <w:rPr>
                <w:rStyle w:val="IndexLink"/>
              </w:rPr>
              <w:t>54</w:t>
            </w:r>
          </w:hyperlink>
        </w:p>
        <w:p>
          <w:pPr>
            <w:pStyle w:val="Contents4"/>
            <w:rPr>
              <w:rFonts w:ascii="Calibri" w:hAnsi="Calibri" w:cs="Calibri"/>
              <w:sz w:val="22"/>
              <w:szCs w:val="22"/>
              <w:lang w:val="en-US" w:eastAsia="en-US"/>
            </w:rPr>
          </w:pPr>
          <w:r>
            <w:rPr/>
            <w:t>7.2.3.0</w:t>
          </w:r>
          <w:r>
            <w:rPr>
              <w:rFonts w:cs="Calibri" w:ascii="Calibri" w:hAnsi="Calibri"/>
              <w:sz w:val="22"/>
              <w:szCs w:val="22"/>
              <w:lang w:val="en-US" w:eastAsia="en-US"/>
            </w:rPr>
            <w:tab/>
          </w:r>
          <w:r>
            <w:rPr/>
            <w:t>General</w:t>
            <w:tab/>
          </w:r>
          <w:hyperlink w:anchor="__RefHeading___Toc517445383">
            <w:r>
              <w:rPr>
                <w:rStyle w:val="IndexLink"/>
              </w:rPr>
              <w:t>54</w:t>
            </w:r>
          </w:hyperlink>
        </w:p>
        <w:p>
          <w:pPr>
            <w:pStyle w:val="Contents4"/>
            <w:rPr>
              <w:rFonts w:ascii="Calibri" w:hAnsi="Calibri" w:cs="Calibri"/>
              <w:sz w:val="22"/>
              <w:szCs w:val="22"/>
              <w:lang w:val="en-US" w:eastAsia="en-US"/>
            </w:rPr>
          </w:pPr>
          <w:r>
            <w:rPr/>
            <w:t>7.2.3.1</w:t>
          </w:r>
          <w:r>
            <w:rPr>
              <w:rFonts w:cs="Calibri" w:ascii="Calibri" w:hAnsi="Calibri"/>
              <w:sz w:val="22"/>
              <w:szCs w:val="22"/>
              <w:lang w:val="en-US" w:eastAsia="en-US"/>
            </w:rPr>
            <w:tab/>
          </w:r>
          <w:r>
            <w:rPr/>
            <w:t>Results for aligned IRAP pictures case</w:t>
            <w:tab/>
          </w:r>
          <w:hyperlink w:anchor="__RefHeading___Toc517445384">
            <w:r>
              <w:rPr>
                <w:rStyle w:val="IndexLink"/>
              </w:rPr>
              <w:t>55</w:t>
            </w:r>
          </w:hyperlink>
        </w:p>
        <w:p>
          <w:pPr>
            <w:pStyle w:val="Contents4"/>
            <w:rPr>
              <w:rFonts w:ascii="Calibri" w:hAnsi="Calibri" w:cs="Calibri"/>
              <w:sz w:val="22"/>
              <w:szCs w:val="22"/>
              <w:lang w:val="en-US" w:eastAsia="en-US"/>
            </w:rPr>
          </w:pPr>
          <w:r>
            <w:rPr/>
            <w:t>7.2.3.2</w:t>
          </w:r>
          <w:r>
            <w:rPr>
              <w:rFonts w:cs="Calibri" w:ascii="Calibri" w:hAnsi="Calibri"/>
              <w:sz w:val="22"/>
              <w:szCs w:val="22"/>
              <w:lang w:val="en-US" w:eastAsia="en-US"/>
            </w:rPr>
            <w:tab/>
          </w:r>
          <w:r>
            <w:rPr/>
            <w:t>Results for non-aligned IRAP pictures case</w:t>
            <w:tab/>
          </w:r>
          <w:hyperlink w:anchor="__RefHeading___Toc517445385">
            <w:r>
              <w:rPr>
                <w:rStyle w:val="IndexLink"/>
              </w:rPr>
              <w:t>56</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Conclusions</w:t>
            <w:tab/>
          </w:r>
          <w:hyperlink w:anchor="__RefHeading___Toc517445386">
            <w:r>
              <w:rPr>
                <w:rStyle w:val="IndexLink"/>
              </w:rPr>
              <w:t>57</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Introduction</w:t>
            <w:tab/>
          </w:r>
          <w:hyperlink w:anchor="__RefHeading___Toc517445387">
            <w:r>
              <w:rPr>
                <w:rStyle w:val="IndexLink"/>
              </w:rPr>
              <w:t>57</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MMVC and IMS based telepresence</w:t>
            <w:tab/>
          </w:r>
          <w:hyperlink w:anchor="__RefHeading___Toc517445388">
            <w:r>
              <w:rPr>
                <w:rStyle w:val="IndexLink"/>
              </w:rPr>
              <w:t>58</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MBMS</w:t>
            <w:tab/>
          </w:r>
          <w:hyperlink w:anchor="__RefHeading___Toc517445389">
            <w:r>
              <w:rPr>
                <w:rStyle w:val="IndexLink"/>
              </w:rPr>
              <w:t>58</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3GP-DASH</w:t>
            <w:tab/>
          </w:r>
          <w:hyperlink w:anchor="__RefHeading___Toc517445390">
            <w:r>
              <w:rPr>
                <w:rStyle w:val="IndexLink"/>
              </w:rPr>
              <w:t>59</w:t>
            </w:r>
          </w:hyperlink>
        </w:p>
        <w:p>
          <w:pPr>
            <w:pStyle w:val="Contents9"/>
            <w:rPr>
              <w:rFonts w:ascii="Calibri" w:hAnsi="Calibri" w:cs="Calibri"/>
              <w:szCs w:val="22"/>
              <w:lang w:val="en-US" w:eastAsia="en-US"/>
            </w:rPr>
          </w:pPr>
          <w:r>
            <w:rPr>
              <w:b w:val="false"/>
            </w:rPr>
            <w:t xml:space="preserve">Annex </w:t>
          </w:r>
          <w:r>
            <w:rPr>
              <w:b w:val="false"/>
              <w:lang w:val="en-US" w:eastAsia="en-US"/>
            </w:rPr>
            <w:t>A</w:t>
          </w:r>
          <w:r>
            <w:rPr>
              <w:b w:val="false"/>
            </w:rPr>
            <w:t>:</w:t>
            <w:tab/>
            <w:t>Change history</w:t>
            <w:tab/>
          </w:r>
          <w:hyperlink w:anchor="__RefHeading___Toc517445391">
            <w:r>
              <w:rPr>
                <w:rStyle w:val="IndexLink"/>
                <w:b w:val="false"/>
              </w:rPr>
              <w:t>60</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7445295"/>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jc w:val="both"/>
        <w:rPr/>
      </w:pPr>
      <w:r>
        <w:rPr/>
        <w:t>Version x.y.z</w:t>
      </w:r>
    </w:p>
    <w:p>
      <w:pPr>
        <w:pStyle w:val="B1"/>
        <w:jc w:val="both"/>
        <w:rPr/>
      </w:pPr>
      <w:r>
        <w:rPr/>
        <w:t>where:</w:t>
      </w:r>
    </w:p>
    <w:p>
      <w:pPr>
        <w:pStyle w:val="B2"/>
        <w:jc w:val="both"/>
        <w:rPr/>
      </w:pPr>
      <w:r>
        <w:rPr/>
        <w:t>x</w:t>
        <w:tab/>
        <w:t>the first digit:</w:t>
      </w:r>
    </w:p>
    <w:p>
      <w:pPr>
        <w:pStyle w:val="B3"/>
        <w:jc w:val="both"/>
        <w:rPr/>
      </w:pPr>
      <w:r>
        <w:rPr/>
        <w:t>1</w:t>
        <w:tab/>
        <w:t>presented to TSG for information;</w:t>
      </w:r>
    </w:p>
    <w:p>
      <w:pPr>
        <w:pStyle w:val="B3"/>
        <w:jc w:val="both"/>
        <w:rPr/>
      </w:pPr>
      <w:r>
        <w:rPr/>
        <w:t>2</w:t>
        <w:tab/>
        <w:t>presented to TSG for approval;</w:t>
      </w:r>
    </w:p>
    <w:p>
      <w:pPr>
        <w:pStyle w:val="B3"/>
        <w:jc w:val="both"/>
        <w:rPr/>
      </w:pPr>
      <w:r>
        <w:rPr/>
        <w:t>3</w:t>
        <w:tab/>
        <w:t>or greater indicates TSG approved document under change control.</w:t>
      </w:r>
    </w:p>
    <w:p>
      <w:pPr>
        <w:pStyle w:val="B2"/>
        <w:jc w:val="both"/>
        <w:rPr/>
      </w:pPr>
      <w:r>
        <w:rPr/>
        <w:t>y</w:t>
        <w:tab/>
        <w:t>the second digit is incremented for all changes of substance, i.e. technical enhancements, corrections, updates, etc.</w:t>
      </w:r>
    </w:p>
    <w:p>
      <w:pPr>
        <w:pStyle w:val="B2"/>
        <w:jc w:val="both"/>
        <w:rPr/>
      </w:pPr>
      <w:r>
        <w:rPr/>
        <w:t>z</w:t>
        <w:tab/>
        <w:t>the third digit is incremented when editorial only changes have been incorporated in the document.</w:t>
      </w:r>
      <w:r>
        <w:br w:type="page"/>
      </w:r>
    </w:p>
    <w:p>
      <w:pPr>
        <w:pStyle w:val="Heading1"/>
        <w:ind w:left="1134" w:hanging="1134"/>
        <w:jc w:val="both"/>
        <w:rPr/>
      </w:pPr>
      <w:bookmarkStart w:id="8" w:name="__RefHeading___Toc517445296"/>
      <w:bookmarkEnd w:id="8"/>
      <w:r>
        <w:rPr/>
        <w:t>1</w:t>
        <w:tab/>
        <w:t>Scope</w:t>
      </w:r>
    </w:p>
    <w:p>
      <w:pPr>
        <w:pStyle w:val="Normal"/>
        <w:rPr/>
      </w:pPr>
      <w:r>
        <w:rPr/>
        <w:t>The present document reports the study on video enhancements in 3GPP multimedia services. It firstly provides an overview of the video codecs and their configurations specified for existing 3GPP multimedia services, namely 3GP-DASH (TS 26.247 [1]), PSS (TS 26.234 [2]), MBMS (TS 26.346 [3]), MTSI (TS 26.114 [4], including multi-stream multiparty video conferencing), MMS (TS 26.140 [5]), and IMS Messaging and Presence (TS 26.141 [6]). Then use cases on video enhancements for existing 3GPP multimedia services are discussed, including a discussion on potential codec solutions for each of the use cases. To enable drawing conclusions, simulation conditions and simulation results for comparisons of different codecs and their configurations are provided. Performance is evaluated in typical 3GPP service environments taking into account bandwidth, quality and complexity. Based on the performance results, conclusions are made in terms of recommendations for support of enhanced video capabilities for 3GPP multimedia services.</w:t>
      </w:r>
    </w:p>
    <w:p>
      <w:pPr>
        <w:pStyle w:val="Heading1"/>
        <w:ind w:left="1134" w:hanging="1134"/>
        <w:jc w:val="both"/>
        <w:rPr/>
      </w:pPr>
      <w:bookmarkStart w:id="9" w:name="__RefHeading___Toc517445297"/>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lang w:eastAsia="ko-KR"/>
        </w:rPr>
        <w:t>[1]</w:t>
        <w:tab/>
        <w:t>3GPP</w:t>
      </w:r>
      <w:r>
        <w:rPr/>
        <w:t xml:space="preserve"> TS 26.247: "Transparent end-to-end Packet-switched Streaming Service (PSS); Progressive Download and Dynamic Adaptive Streaming over HTTP (3GP-DASH)".</w:t>
      </w:r>
    </w:p>
    <w:p>
      <w:pPr>
        <w:pStyle w:val="EX"/>
        <w:rPr/>
      </w:pPr>
      <w:r>
        <w:rPr/>
        <w:t>[2]</w:t>
        <w:tab/>
      </w:r>
      <w:r>
        <w:rPr>
          <w:lang w:eastAsia="ko-KR"/>
        </w:rPr>
        <w:t>3GPP</w:t>
      </w:r>
      <w:r>
        <w:rPr/>
        <w:t xml:space="preserve"> TS 26.234: "Transparent end-to-end Packet-switched Streaming Service (PSS); Protocols and codecs".</w:t>
      </w:r>
    </w:p>
    <w:p>
      <w:pPr>
        <w:pStyle w:val="EX"/>
        <w:rPr/>
      </w:pPr>
      <w:r>
        <w:rPr/>
        <w:t>[3]</w:t>
        <w:tab/>
      </w:r>
      <w:r>
        <w:rPr>
          <w:lang w:eastAsia="ko-KR"/>
        </w:rPr>
        <w:t>3GPP</w:t>
      </w:r>
      <w:r>
        <w:rPr/>
        <w:t xml:space="preserve"> TS 26.346: "Multimedia Broadcast/Multicast Service (MBMS); Protocols and codecs".</w:t>
      </w:r>
    </w:p>
    <w:p>
      <w:pPr>
        <w:pStyle w:val="EX"/>
        <w:rPr/>
      </w:pPr>
      <w:r>
        <w:rPr/>
        <w:t>[4]</w:t>
        <w:tab/>
      </w:r>
      <w:r>
        <w:rPr>
          <w:lang w:eastAsia="ko-KR"/>
        </w:rPr>
        <w:t>3GPP</w:t>
      </w:r>
      <w:r>
        <w:rPr/>
        <w:t xml:space="preserve"> TS 26.114: "IP Multimedia Subsystem (IMS); Multimedia telephony; Media handling and interaction".</w:t>
      </w:r>
    </w:p>
    <w:p>
      <w:pPr>
        <w:pStyle w:val="EX"/>
        <w:rPr/>
      </w:pPr>
      <w:r>
        <w:rPr/>
        <w:t>[5]</w:t>
        <w:tab/>
      </w:r>
      <w:r>
        <w:rPr>
          <w:lang w:eastAsia="ko-KR"/>
        </w:rPr>
        <w:t>3GPP</w:t>
      </w:r>
      <w:r>
        <w:rPr/>
        <w:t xml:space="preserve"> TS 26.140: "Multimedia Messaging Service (MMS); Media formats and codecs".</w:t>
      </w:r>
    </w:p>
    <w:p>
      <w:pPr>
        <w:pStyle w:val="EX"/>
        <w:rPr/>
      </w:pPr>
      <w:r>
        <w:rPr/>
        <w:t>[6]</w:t>
        <w:tab/>
      </w:r>
      <w:r>
        <w:rPr>
          <w:lang w:eastAsia="ko-KR"/>
        </w:rPr>
        <w:t>3GPP</w:t>
      </w:r>
      <w:r>
        <w:rPr/>
        <w:t xml:space="preserve"> TS 26.141: "IP Multimedia System (IMS) Messaging and Presence; Media formats and codecs".</w:t>
      </w:r>
    </w:p>
    <w:p>
      <w:pPr>
        <w:pStyle w:val="EX"/>
        <w:jc w:val="both"/>
        <w:rPr/>
      </w:pPr>
      <w:r>
        <w:rPr/>
        <w:t>[7]</w:t>
        <w:tab/>
        <w:t>3GPP TR 21.905: "Vocabulary for 3GPP Specifications".</w:t>
      </w:r>
    </w:p>
    <w:p>
      <w:pPr>
        <w:pStyle w:val="EX"/>
        <w:rPr/>
      </w:pPr>
      <w:r>
        <w:rPr/>
        <w:t>[8]</w:t>
        <w:tab/>
        <w:t>ITU-T Recommendation H.263 (01/2005): "Video coding for low bit rate communication".</w:t>
      </w:r>
    </w:p>
    <w:p>
      <w:pPr>
        <w:pStyle w:val="EX"/>
        <w:rPr/>
      </w:pPr>
      <w:r>
        <w:rPr/>
        <w:t>[9]</w:t>
        <w:tab/>
        <w:t>ITU-T Recommendation H.264 (V9) (02/2014): "Advanced video coding for generic audiovisual services".</w:t>
      </w:r>
    </w:p>
    <w:p>
      <w:pPr>
        <w:pStyle w:val="EX"/>
        <w:rPr/>
      </w:pPr>
      <w:r>
        <w:rPr/>
        <w:t>[10]</w:t>
        <w:tab/>
        <w:t>ITU-T Recommendation H.265 (V3) (04/2015): "High efficiency video coding".</w:t>
      </w:r>
    </w:p>
    <w:p>
      <w:pPr>
        <w:pStyle w:val="EX"/>
        <w:rPr/>
      </w:pPr>
      <w:r>
        <w:rPr/>
        <w:t>[11]</w:t>
        <w:tab/>
        <w:t xml:space="preserve">J. Boyce, Y. Yan, J. Chen, and A. K. Ramasubramonian, "Overview of SHVC: Scalable Extensions of the High Efficiency Video Coding (HEVC) Standard," </w:t>
      </w:r>
      <w:r>
        <w:rPr>
          <w:i/>
        </w:rPr>
        <w:t>IEEE Trans. Circuits Syst. Video Technol.</w:t>
      </w:r>
      <w:r>
        <w:rPr/>
        <w:t>,</w:t>
      </w:r>
      <w:r>
        <w:rPr>
          <w:lang w:eastAsia="zh-CN"/>
        </w:rPr>
        <w:t xml:space="preserve"> August 2015, to be published.</w:t>
      </w:r>
    </w:p>
    <w:p>
      <w:pPr>
        <w:pStyle w:val="EX"/>
        <w:rPr/>
      </w:pPr>
      <w:r>
        <w:rPr/>
        <w:t>[12]</w:t>
        <w:tab/>
        <w:t xml:space="preserve">R. Sjöberg, Y. Chen, A. Fujibayashi, M. M. Hannuksela, J. Samuelsson, T. K. Tan, Y.-K. Wang, and S. Wenger, "Overview of HEVC High-Level Syntax and Reference Picture Management," </w:t>
      </w:r>
      <w:r>
        <w:rPr>
          <w:i/>
        </w:rPr>
        <w:t>IEEE Trans. Circuits Syst. Video Technol.</w:t>
      </w:r>
      <w:r>
        <w:rPr/>
        <w:t>, vol. 22, no. 12, pp. 1858‒1870, Dec. 2012.</w:t>
      </w:r>
    </w:p>
    <w:p>
      <w:pPr>
        <w:pStyle w:val="EX"/>
        <w:rPr/>
      </w:pPr>
      <w:r>
        <w:rPr/>
        <w:t>[13]</w:t>
        <w:tab/>
        <w:t>3GPP TR 26.906: "Evaluation of HEVC for 3GPP Services".</w:t>
      </w:r>
    </w:p>
    <w:p>
      <w:pPr>
        <w:pStyle w:val="EX"/>
        <w:rPr/>
      </w:pPr>
      <w:r>
        <w:rPr/>
        <w:t>[14]</w:t>
        <w:tab/>
        <w:t>G. Tech, Y. Chen, K. M</w:t>
      </w:r>
      <w:r>
        <w:rPr>
          <w:rStyle w:val="MemberType"/>
          <w:i w:val="false"/>
        </w:rPr>
        <w:t>ü</w:t>
      </w:r>
      <w:r>
        <w:rPr/>
        <w:t xml:space="preserve">ller, J.-R. Ohm, A. Vetro, and Y.-K. Wang, "Overview of the Multiview and 3D Extensions of High Efficiency Video Coding," </w:t>
      </w:r>
      <w:r>
        <w:rPr>
          <w:i/>
        </w:rPr>
        <w:t>IEEE Trans. Circuits Syst. Video Technol.</w:t>
      </w:r>
      <w:r>
        <w:rPr/>
        <w:t>,</w:t>
      </w:r>
      <w:r>
        <w:rPr>
          <w:lang w:eastAsia="zh-CN"/>
        </w:rPr>
        <w:t xml:space="preserve"> August 2015, to be published.</w:t>
      </w:r>
    </w:p>
    <w:p>
      <w:pPr>
        <w:pStyle w:val="EX"/>
        <w:rPr/>
      </w:pPr>
      <w:r>
        <w:rPr/>
        <w:t>[15]</w:t>
        <w:tab/>
        <w:t>ITU-R Recommendation BT.709-6 (06/2015): "Parameter values for the HDTV standards for production and international programme exchange".</w:t>
      </w:r>
    </w:p>
    <w:p>
      <w:pPr>
        <w:pStyle w:val="EX"/>
        <w:rPr/>
      </w:pPr>
      <w:r>
        <w:rPr/>
        <w:t>[16]</w:t>
        <w:tab/>
        <w:t>ITU-R Recommendation BT.2020-1 (06/2014): "Parameter values for ultra-high definition television systems for production and international programme exchange".</w:t>
      </w:r>
    </w:p>
    <w:p>
      <w:pPr>
        <w:pStyle w:val="EX"/>
        <w:rPr/>
      </w:pPr>
      <w:r>
        <w:rPr/>
        <w:t>[17]</w:t>
        <w:tab/>
        <w:t>3GPP TR 26.923: "Study on Media Handling Aspects of IMS-based Telepresence".</w:t>
      </w:r>
    </w:p>
    <w:p>
      <w:pPr>
        <w:pStyle w:val="EX"/>
        <w:rPr/>
      </w:pPr>
      <w:r>
        <w:rPr/>
        <w:t>[18]</w:t>
        <w:tab/>
        <w:t>3GPP TS 26.948: "Video enhancements for 3GPP Multimedia Services".</w:t>
      </w:r>
    </w:p>
    <w:p>
      <w:pPr>
        <w:pStyle w:val="Heading1"/>
        <w:ind w:left="1134" w:hanging="1134"/>
        <w:jc w:val="both"/>
        <w:rPr/>
      </w:pPr>
      <w:bookmarkStart w:id="10" w:name="__RefHeading___Toc517445298"/>
      <w:bookmarkEnd w:id="10"/>
      <w:r>
        <w:rPr/>
        <w:t>3</w:t>
        <w:tab/>
        <w:t>Definitions and abbreviations</w:t>
      </w:r>
    </w:p>
    <w:p>
      <w:pPr>
        <w:pStyle w:val="Heading2"/>
        <w:jc w:val="both"/>
        <w:rPr/>
      </w:pPr>
      <w:bookmarkStart w:id="11" w:name="__RefHeading___Toc517445299"/>
      <w:bookmarkEnd w:id="11"/>
      <w:r>
        <w:rPr/>
        <w:t>3.1</w:t>
        <w:tab/>
        <w:t>Definitions</w:t>
      </w:r>
    </w:p>
    <w:p>
      <w:pPr>
        <w:pStyle w:val="Normal"/>
        <w:rPr/>
      </w:pPr>
      <w:r>
        <w:rPr/>
        <w:t>For the purposes of the present document, the terms and definitions given in TR 21.905 [7] apply.</w:t>
      </w:r>
    </w:p>
    <w:p>
      <w:pPr>
        <w:pStyle w:val="Heading2"/>
        <w:jc w:val="both"/>
        <w:rPr/>
      </w:pPr>
      <w:bookmarkStart w:id="12" w:name="__RefHeading___Toc517445300"/>
      <w:bookmarkEnd w:id="12"/>
      <w:r>
        <w:rPr/>
        <w:t>3.2</w:t>
        <w:tab/>
        <w:t>Abbreviations</w:t>
      </w:r>
    </w:p>
    <w:p>
      <w:pPr>
        <w:pStyle w:val="Normal"/>
        <w:rPr/>
      </w:pPr>
      <w:r>
        <w:rPr/>
        <w:t>For the purposes of the present document, the abbreviations given in TR 21.905 [7] and the following apply.</w:t>
      </w:r>
    </w:p>
    <w:p>
      <w:pPr>
        <w:pStyle w:val="EW"/>
        <w:rPr/>
      </w:pPr>
      <w:r>
        <w:rPr/>
        <w:t>3D-HEVC</w:t>
        <w:tab/>
        <w:t>Three-Dimension High Efficiency Video Coding</w:t>
      </w:r>
    </w:p>
    <w:p>
      <w:pPr>
        <w:pStyle w:val="EW"/>
        <w:rPr/>
      </w:pPr>
      <w:r>
        <w:rPr/>
        <w:t>3GPP</w:t>
        <w:tab/>
        <w:t>3</w:t>
      </w:r>
      <w:r>
        <w:rPr>
          <w:vertAlign w:val="superscript"/>
        </w:rPr>
        <w:t>rd</w:t>
      </w:r>
      <w:r>
        <w:rPr/>
        <w:t xml:space="preserve"> Generation Partnership Project</w:t>
      </w:r>
    </w:p>
    <w:p>
      <w:pPr>
        <w:pStyle w:val="EW"/>
        <w:rPr/>
      </w:pPr>
      <w:r>
        <w:rPr/>
        <w:t>API</w:t>
        <w:tab/>
        <w:t>Application Program Interface</w:t>
      </w:r>
    </w:p>
    <w:p>
      <w:pPr>
        <w:pStyle w:val="EW"/>
        <w:rPr/>
      </w:pPr>
      <w:r>
        <w:rPr/>
        <w:t>AU</w:t>
        <w:tab/>
        <w:t>Access Unit</w:t>
      </w:r>
    </w:p>
    <w:p>
      <w:pPr>
        <w:pStyle w:val="EW"/>
        <w:rPr/>
      </w:pPr>
      <w:r>
        <w:rPr/>
        <w:t>AVC</w:t>
        <w:tab/>
        <w:t>Advanced Video Coding</w:t>
      </w:r>
    </w:p>
    <w:p>
      <w:pPr>
        <w:pStyle w:val="EW"/>
        <w:rPr/>
      </w:pPr>
      <w:r>
        <w:rPr/>
        <w:t>BD</w:t>
        <w:tab/>
        <w:t>Bjontegaard Delta</w:t>
      </w:r>
    </w:p>
    <w:p>
      <w:pPr>
        <w:pStyle w:val="EW"/>
        <w:rPr/>
      </w:pPr>
      <w:r>
        <w:rPr/>
        <w:t>BL</w:t>
        <w:tab/>
        <w:t>Base Layer</w:t>
      </w:r>
    </w:p>
    <w:p>
      <w:pPr>
        <w:pStyle w:val="EW"/>
        <w:rPr/>
      </w:pPr>
      <w:r>
        <w:rPr/>
        <w:t>BLA</w:t>
        <w:tab/>
        <w:t>Broken Link Access</w:t>
      </w:r>
    </w:p>
    <w:p>
      <w:pPr>
        <w:pStyle w:val="EW"/>
        <w:rPr/>
      </w:pPr>
      <w:r>
        <w:rPr/>
        <w:t>BM-SC</w:t>
        <w:tab/>
      </w:r>
      <w:r>
        <w:rPr>
          <w:lang w:eastAsia="en-GB"/>
        </w:rPr>
        <w:t>Broadcast-Multicast - Service Centre</w:t>
      </w:r>
    </w:p>
    <w:p>
      <w:pPr>
        <w:pStyle w:val="EW"/>
        <w:rPr/>
      </w:pPr>
      <w:r>
        <w:rPr/>
        <w:t>BP</w:t>
        <w:tab/>
        <w:t>Bitstream Partition</w:t>
      </w:r>
    </w:p>
    <w:p>
      <w:pPr>
        <w:pStyle w:val="EW"/>
        <w:rPr/>
      </w:pPr>
      <w:r>
        <w:rPr/>
        <w:t>CABAC</w:t>
        <w:tab/>
        <w:t>Context Adaptive Binary Arithmetic Coding</w:t>
      </w:r>
    </w:p>
    <w:p>
      <w:pPr>
        <w:pStyle w:val="EW"/>
        <w:rPr/>
      </w:pPr>
      <w:r>
        <w:rPr/>
        <w:t>CPB</w:t>
        <w:tab/>
        <w:t>Coded Picture Buffer</w:t>
      </w:r>
    </w:p>
    <w:p>
      <w:pPr>
        <w:pStyle w:val="EW"/>
        <w:rPr/>
      </w:pPr>
      <w:r>
        <w:rPr/>
        <w:t>CRA</w:t>
        <w:tab/>
        <w:t>Clean Random Access</w:t>
      </w:r>
    </w:p>
    <w:p>
      <w:pPr>
        <w:pStyle w:val="EW"/>
        <w:rPr/>
      </w:pPr>
      <w:r>
        <w:rPr/>
        <w:t>CTU</w:t>
        <w:tab/>
        <w:t>Coding Tree Unit</w:t>
      </w:r>
    </w:p>
    <w:p>
      <w:pPr>
        <w:pStyle w:val="EW"/>
        <w:rPr/>
      </w:pPr>
      <w:r>
        <w:rPr/>
        <w:t>DASH</w:t>
        <w:tab/>
        <w:t>Dynamic Adaptive Streaming over HTTP</w:t>
      </w:r>
    </w:p>
    <w:p>
      <w:pPr>
        <w:pStyle w:val="EW"/>
        <w:rPr/>
      </w:pPr>
      <w:r>
        <w:rPr/>
        <w:t>DPB</w:t>
        <w:tab/>
        <w:t>Decoded Picture Buffer</w:t>
      </w:r>
    </w:p>
    <w:p>
      <w:pPr>
        <w:pStyle w:val="EW"/>
        <w:rPr/>
      </w:pPr>
      <w:r>
        <w:rPr/>
        <w:t>EL</w:t>
        <w:tab/>
        <w:t>Enhancement Layer</w:t>
      </w:r>
    </w:p>
    <w:p>
      <w:pPr>
        <w:pStyle w:val="EW"/>
        <w:rPr/>
      </w:pPr>
      <w:r>
        <w:rPr/>
        <w:t>GOP</w:t>
        <w:tab/>
        <w:t>Group of Pictures</w:t>
      </w:r>
    </w:p>
    <w:p>
      <w:pPr>
        <w:pStyle w:val="EW"/>
        <w:rPr/>
      </w:pPr>
      <w:r>
        <w:rPr/>
        <w:t>HDTV</w:t>
        <w:tab/>
        <w:t>High-Definition TeleVision</w:t>
      </w:r>
    </w:p>
    <w:p>
      <w:pPr>
        <w:pStyle w:val="EW"/>
        <w:rPr/>
      </w:pPr>
      <w:r>
        <w:rPr/>
        <w:t>HEVC</w:t>
        <w:tab/>
        <w:t>High Efficiency Video Coding</w:t>
      </w:r>
    </w:p>
    <w:p>
      <w:pPr>
        <w:pStyle w:val="EW"/>
        <w:rPr/>
      </w:pPr>
      <w:r>
        <w:rPr/>
        <w:t>HLS</w:t>
        <w:tab/>
        <w:t>High-Level Syntax</w:t>
      </w:r>
    </w:p>
    <w:p>
      <w:pPr>
        <w:pStyle w:val="EW"/>
        <w:rPr/>
      </w:pPr>
      <w:r>
        <w:rPr/>
        <w:t>HRD</w:t>
        <w:tab/>
        <w:t>Hypothetical Reference Decoder</w:t>
      </w:r>
    </w:p>
    <w:p>
      <w:pPr>
        <w:pStyle w:val="EW"/>
        <w:rPr/>
      </w:pPr>
      <w:r>
        <w:rPr/>
        <w:t>IDR</w:t>
        <w:tab/>
        <w:t xml:space="preserve">Instantaneous Decoding Refresh </w:t>
      </w:r>
    </w:p>
    <w:p>
      <w:pPr>
        <w:pStyle w:val="EW"/>
        <w:rPr/>
      </w:pPr>
      <w:r>
        <w:rPr/>
        <w:t>IMS</w:t>
        <w:tab/>
        <w:t>IP Multimedia Subsystem</w:t>
      </w:r>
    </w:p>
    <w:p>
      <w:pPr>
        <w:pStyle w:val="EW"/>
        <w:rPr/>
      </w:pPr>
      <w:r>
        <w:rPr/>
        <w:t>INBLD</w:t>
        <w:tab/>
        <w:t>Independent Non-Base Layer Decoding</w:t>
      </w:r>
    </w:p>
    <w:p>
      <w:pPr>
        <w:pStyle w:val="EW"/>
        <w:rPr/>
      </w:pPr>
      <w:r>
        <w:rPr/>
        <w:t>ILP</w:t>
        <w:tab/>
        <w:t>Inter-Layer Prediction</w:t>
      </w:r>
    </w:p>
    <w:p>
      <w:pPr>
        <w:pStyle w:val="EW"/>
        <w:rPr/>
      </w:pPr>
      <w:r>
        <w:rPr/>
        <w:t>IRAP</w:t>
        <w:tab/>
        <w:t>Intra Random Access Point</w:t>
      </w:r>
    </w:p>
    <w:p>
      <w:pPr>
        <w:pStyle w:val="EW"/>
        <w:rPr/>
      </w:pPr>
      <w:r>
        <w:rPr/>
        <w:t>MANE</w:t>
        <w:tab/>
        <w:t>Media Aware Network Element</w:t>
      </w:r>
    </w:p>
    <w:p>
      <w:pPr>
        <w:pStyle w:val="EW"/>
        <w:rPr/>
      </w:pPr>
      <w:r>
        <w:rPr/>
        <w:t>MBMS</w:t>
        <w:tab/>
        <w:t>Multimedia Broadcast/Multicast Service</w:t>
      </w:r>
    </w:p>
    <w:p>
      <w:pPr>
        <w:pStyle w:val="EW"/>
        <w:rPr/>
      </w:pPr>
      <w:r>
        <w:rPr/>
        <w:t>MBMS-GW</w:t>
        <w:tab/>
        <w:t>MBMS Gateway</w:t>
      </w:r>
    </w:p>
    <w:p>
      <w:pPr>
        <w:pStyle w:val="EW"/>
        <w:rPr/>
      </w:pPr>
      <w:r>
        <w:rPr/>
        <w:t>MMVC</w:t>
        <w:tab/>
        <w:t>Multi-stream Multiparty Video Conferencing</w:t>
      </w:r>
    </w:p>
    <w:p>
      <w:pPr>
        <w:pStyle w:val="EW"/>
        <w:rPr/>
      </w:pPr>
      <w:r>
        <w:rPr/>
        <w:t>MMS</w:t>
        <w:tab/>
        <w:t>Multimedia Messaging Service</w:t>
      </w:r>
    </w:p>
    <w:p>
      <w:pPr>
        <w:pStyle w:val="EW"/>
        <w:rPr/>
      </w:pPr>
      <w:r>
        <w:rPr/>
        <w:t>MRFP</w:t>
        <w:tab/>
        <w:t>Multimedia Resource Function Processor</w:t>
      </w:r>
    </w:p>
    <w:p>
      <w:pPr>
        <w:pStyle w:val="EW"/>
        <w:rPr/>
      </w:pPr>
      <w:r>
        <w:rPr/>
        <w:t>MSB</w:t>
        <w:tab/>
        <w:t>Most Significant Bits</w:t>
      </w:r>
    </w:p>
    <w:p>
      <w:pPr>
        <w:pStyle w:val="EW"/>
        <w:rPr/>
      </w:pPr>
      <w:r>
        <w:rPr/>
        <w:t>MTSI</w:t>
        <w:tab/>
        <w:t>Multimedia Telephony Service for IMS</w:t>
      </w:r>
    </w:p>
    <w:p>
      <w:pPr>
        <w:pStyle w:val="EW"/>
        <w:rPr/>
      </w:pPr>
      <w:r>
        <w:rPr/>
        <w:t>MTU</w:t>
        <w:tab/>
        <w:t>Maximum Transmission Unit</w:t>
      </w:r>
    </w:p>
    <w:p>
      <w:pPr>
        <w:pStyle w:val="EW"/>
        <w:rPr/>
      </w:pPr>
      <w:r>
        <w:rPr/>
        <w:t>MV</w:t>
        <w:tab/>
        <w:t>Motion Vector</w:t>
      </w:r>
    </w:p>
    <w:p>
      <w:pPr>
        <w:pStyle w:val="EW"/>
        <w:rPr/>
      </w:pPr>
      <w:r>
        <w:rPr/>
        <w:t>MV-HEVC</w:t>
        <w:tab/>
        <w:t>MultiView High Efficiency Video Coding</w:t>
      </w:r>
    </w:p>
    <w:p>
      <w:pPr>
        <w:pStyle w:val="EW"/>
        <w:rPr/>
      </w:pPr>
      <w:r>
        <w:rPr/>
        <w:t>NAL</w:t>
        <w:tab/>
        <w:t>Network Abstraction Layer</w:t>
      </w:r>
    </w:p>
    <w:p>
      <w:pPr>
        <w:pStyle w:val="EW"/>
        <w:rPr/>
      </w:pPr>
      <w:r>
        <w:rPr/>
        <w:t>OLS</w:t>
        <w:tab/>
        <w:t>Output Layer Set</w:t>
      </w:r>
    </w:p>
    <w:p>
      <w:pPr>
        <w:pStyle w:val="EW"/>
        <w:rPr/>
      </w:pPr>
      <w:r>
        <w:rPr/>
        <w:t>POC</w:t>
        <w:tab/>
        <w:t>Picture Order Count</w:t>
      </w:r>
    </w:p>
    <w:p>
      <w:pPr>
        <w:pStyle w:val="EW"/>
        <w:rPr/>
      </w:pPr>
      <w:r>
        <w:rPr/>
        <w:t>PPS</w:t>
        <w:tab/>
        <w:t>Picture Parameter Set</w:t>
      </w:r>
    </w:p>
    <w:p>
      <w:pPr>
        <w:pStyle w:val="EW"/>
        <w:rPr/>
      </w:pPr>
      <w:r>
        <w:rPr/>
        <w:t>PSNR</w:t>
        <w:tab/>
        <w:t>Peak Signal Noise Ratio</w:t>
      </w:r>
    </w:p>
    <w:p>
      <w:pPr>
        <w:pStyle w:val="EW"/>
        <w:rPr/>
      </w:pPr>
      <w:r>
        <w:rPr/>
        <w:t>PSS</w:t>
        <w:tab/>
        <w:t>Packet-switched Streaming Service</w:t>
      </w:r>
    </w:p>
    <w:p>
      <w:pPr>
        <w:pStyle w:val="EW"/>
        <w:rPr/>
      </w:pPr>
      <w:r>
        <w:rPr/>
        <w:t>PTL</w:t>
        <w:tab/>
        <w:t>Profile, Tier, and Level</w:t>
      </w:r>
    </w:p>
    <w:p>
      <w:pPr>
        <w:pStyle w:val="EW"/>
        <w:rPr/>
      </w:pPr>
      <w:r>
        <w:rPr/>
        <w:t>QP</w:t>
        <w:tab/>
        <w:t>Quantization Parameter</w:t>
      </w:r>
    </w:p>
    <w:p>
      <w:pPr>
        <w:pStyle w:val="EW"/>
        <w:rPr/>
      </w:pPr>
      <w:r>
        <w:rPr/>
        <w:t>RAP</w:t>
        <w:tab/>
        <w:t>Random Access Point</w:t>
      </w:r>
    </w:p>
    <w:p>
      <w:pPr>
        <w:pStyle w:val="EW"/>
        <w:rPr/>
      </w:pPr>
      <w:r>
        <w:rPr/>
        <w:t>RPL</w:t>
        <w:tab/>
        <w:t>Reference Picture List</w:t>
      </w:r>
    </w:p>
    <w:p>
      <w:pPr>
        <w:pStyle w:val="EW"/>
        <w:rPr/>
      </w:pPr>
      <w:r>
        <w:rPr/>
        <w:t>RPS</w:t>
        <w:tab/>
        <w:t>Reference Picture Set</w:t>
      </w:r>
    </w:p>
    <w:p>
      <w:pPr>
        <w:pStyle w:val="EW"/>
        <w:rPr/>
      </w:pPr>
      <w:r>
        <w:rPr/>
        <w:t>SAO</w:t>
        <w:tab/>
        <w:t>Sample Adaptive Offset</w:t>
      </w:r>
    </w:p>
    <w:p>
      <w:pPr>
        <w:pStyle w:val="EW"/>
        <w:rPr/>
      </w:pPr>
      <w:r>
        <w:rPr/>
        <w:t>SEI</w:t>
        <w:tab/>
        <w:t>Supplemental Enhancement Information</w:t>
      </w:r>
    </w:p>
    <w:p>
      <w:pPr>
        <w:pStyle w:val="EW"/>
        <w:rPr/>
      </w:pPr>
      <w:r>
        <w:rPr/>
        <w:t>SPS</w:t>
        <w:tab/>
        <w:t>Sequence Parameter Set</w:t>
      </w:r>
    </w:p>
    <w:p>
      <w:pPr>
        <w:pStyle w:val="EW"/>
        <w:rPr/>
      </w:pPr>
      <w:r>
        <w:rPr/>
        <w:t>SVC</w:t>
        <w:tab/>
        <w:t>Scalable Video Coding</w:t>
      </w:r>
    </w:p>
    <w:p>
      <w:pPr>
        <w:pStyle w:val="EW"/>
        <w:rPr/>
      </w:pPr>
      <w:r>
        <w:rPr/>
        <w:t>SHVC</w:t>
        <w:tab/>
        <w:t>Scalable High efficiency Video Coding</w:t>
      </w:r>
    </w:p>
    <w:p>
      <w:pPr>
        <w:pStyle w:val="EW"/>
        <w:rPr>
          <w:lang w:eastAsia="ko-KR"/>
        </w:rPr>
      </w:pPr>
      <w:r>
        <w:rPr>
          <w:lang w:eastAsia="ko-KR"/>
        </w:rPr>
        <w:t>TMVP</w:t>
        <w:tab/>
        <w:t>Temporal Motion Vector Prediction</w:t>
      </w:r>
    </w:p>
    <w:p>
      <w:pPr>
        <w:pStyle w:val="EW"/>
        <w:rPr>
          <w:lang w:eastAsia="ko-KR"/>
        </w:rPr>
      </w:pPr>
      <w:r>
        <w:rPr>
          <w:lang w:eastAsia="ko-KR"/>
        </w:rPr>
        <w:t>UE</w:t>
        <w:tab/>
        <w:t>User Equipment</w:t>
      </w:r>
    </w:p>
    <w:p>
      <w:pPr>
        <w:pStyle w:val="EW"/>
        <w:rPr/>
      </w:pPr>
      <w:r>
        <w:rPr/>
        <w:t>UHDTV</w:t>
        <w:tab/>
        <w:t>Ultra High-Definition TeleVision</w:t>
      </w:r>
    </w:p>
    <w:p>
      <w:pPr>
        <w:pStyle w:val="EW"/>
        <w:rPr/>
      </w:pPr>
      <w:r>
        <w:rPr/>
        <w:t>VPS</w:t>
        <w:tab/>
        <w:t>Video Parameter Set</w:t>
      </w:r>
    </w:p>
    <w:p>
      <w:pPr>
        <w:pStyle w:val="EW"/>
        <w:rPr/>
      </w:pPr>
      <w:r>
        <w:rPr/>
        <w:t>VUI</w:t>
        <w:tab/>
        <w:t>Video Usability Information</w:t>
      </w:r>
    </w:p>
    <w:p>
      <w:pPr>
        <w:pStyle w:val="EW"/>
        <w:rPr/>
      </w:pPr>
      <w:r>
        <w:rPr/>
        <w:t>WPP</w:t>
        <w:tab/>
        <w:t>Wavefront Parallel Processing</w:t>
      </w:r>
    </w:p>
    <w:p>
      <w:pPr>
        <w:pStyle w:val="Heading1"/>
        <w:ind w:left="1134" w:hanging="1134"/>
        <w:rPr/>
      </w:pPr>
      <w:bookmarkStart w:id="13" w:name="__RefHeading___Toc517445301"/>
      <w:bookmarkEnd w:id="13"/>
      <w:r>
        <w:rPr/>
        <w:t>4</w:t>
        <w:tab/>
        <w:t>Overview of video codecs specified for existing 3GPP multimedia services</w:t>
      </w:r>
    </w:p>
    <w:p>
      <w:pPr>
        <w:pStyle w:val="Normal"/>
        <w:rPr/>
      </w:pPr>
      <w:r>
        <w:rPr/>
        <w:t>The video support in 3GPP multimedia services in Release-12 is provided in Table 1.</w:t>
      </w:r>
    </w:p>
    <w:p>
      <w:pPr>
        <w:pStyle w:val="TH"/>
        <w:rPr/>
      </w:pPr>
      <w:r>
        <w:rPr/>
        <w:t>Table 1: Video support in 3GPP multimedia services in Release-12</w:t>
      </w:r>
    </w:p>
    <w:tbl>
      <w:tblPr>
        <w:tblW w:w="9857" w:type="dxa"/>
        <w:jc w:val="left"/>
        <w:tblInd w:w="-113" w:type="dxa"/>
        <w:tblLayout w:type="fixed"/>
        <w:tblCellMar>
          <w:top w:w="0" w:type="dxa"/>
          <w:left w:w="108" w:type="dxa"/>
          <w:bottom w:w="0" w:type="dxa"/>
          <w:right w:w="108" w:type="dxa"/>
        </w:tblCellMar>
      </w:tblPr>
      <w:tblGrid>
        <w:gridCol w:w="2464"/>
        <w:gridCol w:w="2464"/>
        <w:gridCol w:w="2464"/>
        <w:gridCol w:w="2465"/>
      </w:tblGrid>
      <w:tr>
        <w:trPr/>
        <w:tc>
          <w:tcPr>
            <w:tcW w:w="246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H.263 [8]</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H.264/AVC [9]</w:t>
            </w:r>
          </w:p>
        </w:tc>
        <w:tc>
          <w:tcPr>
            <w:tcW w:w="2465" w:type="dxa"/>
            <w:tcBorders>
              <w:top w:val="single" w:sz="4" w:space="0" w:color="000000"/>
              <w:left w:val="single" w:sz="4" w:space="0" w:color="000000"/>
              <w:bottom w:val="single" w:sz="4" w:space="0" w:color="000000"/>
              <w:right w:val="single" w:sz="4" w:space="0" w:color="000000"/>
            </w:tcBorders>
          </w:tcPr>
          <w:p>
            <w:pPr>
              <w:pStyle w:val="TAH"/>
              <w:rPr/>
            </w:pPr>
            <w:r>
              <w:rPr/>
              <w:t>HEVC/H.265 [10]</w:t>
            </w:r>
          </w:p>
        </w:tc>
      </w:tr>
      <w:tr>
        <w:trPr/>
        <w:tc>
          <w:tcPr>
            <w:tcW w:w="2464" w:type="dxa"/>
            <w:tcBorders>
              <w:top w:val="single" w:sz="4" w:space="0" w:color="000000"/>
              <w:left w:val="single" w:sz="4" w:space="0" w:color="000000"/>
              <w:bottom w:val="single" w:sz="4" w:space="0" w:color="000000"/>
              <w:right w:val="single" w:sz="4" w:space="0" w:color="000000"/>
            </w:tcBorders>
          </w:tcPr>
          <w:p>
            <w:pPr>
              <w:pStyle w:val="TAL"/>
              <w:rPr/>
            </w:pPr>
            <w:r>
              <w:rPr/>
              <w:t>DASH and PSS</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Profile 0 Level 45</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Constrained Baseline Profile, Level 1.3</w:t>
            </w:r>
          </w:p>
          <w:p>
            <w:pPr>
              <w:pStyle w:val="TAL"/>
              <w:rPr/>
            </w:pPr>
            <w:r>
              <w:rPr/>
              <w:t>Progressive High Profile Level 3.1</w:t>
            </w:r>
          </w:p>
          <w:p>
            <w:pPr>
              <w:pStyle w:val="TAL"/>
              <w:rPr/>
            </w:pPr>
            <w:r>
              <w:rPr/>
              <w:t>Frame-packed stereoscopic 3D video (H.264 Constrained Baseline Profile Level 1.3 or Progressive High Profile Level 3.1)</w:t>
            </w:r>
          </w:p>
          <w:p>
            <w:pPr>
              <w:pStyle w:val="TAL"/>
              <w:rPr>
                <w:b/>
                <w:b/>
              </w:rPr>
            </w:pPr>
            <w:r>
              <w:rPr/>
              <w:t>Multiview stereoscopic 3D video (H.264 Stereo High Profile Level 3.1), but not for RTP based transmission</w:t>
            </w:r>
          </w:p>
        </w:tc>
        <w:tc>
          <w:tcPr>
            <w:tcW w:w="2465" w:type="dxa"/>
            <w:tcBorders>
              <w:top w:val="single" w:sz="4" w:space="0" w:color="000000"/>
              <w:left w:val="single" w:sz="4" w:space="0" w:color="000000"/>
              <w:bottom w:val="single" w:sz="4" w:space="0" w:color="000000"/>
              <w:right w:val="single" w:sz="4" w:space="0" w:color="000000"/>
            </w:tcBorders>
          </w:tcPr>
          <w:p>
            <w:pPr>
              <w:pStyle w:val="TAL"/>
              <w:rPr/>
            </w:pPr>
            <w:r>
              <w:rPr/>
              <w:t>Main Profile, Main Tier, Level 3.1</w:t>
            </w:r>
          </w:p>
        </w:tc>
      </w:tr>
      <w:tr>
        <w:trPr/>
        <w:tc>
          <w:tcPr>
            <w:tcW w:w="2464" w:type="dxa"/>
            <w:tcBorders>
              <w:top w:val="single" w:sz="4" w:space="0" w:color="000000"/>
              <w:left w:val="single" w:sz="4" w:space="0" w:color="000000"/>
              <w:bottom w:val="single" w:sz="4" w:space="0" w:color="000000"/>
              <w:right w:val="single" w:sz="4" w:space="0" w:color="000000"/>
            </w:tcBorders>
          </w:tcPr>
          <w:p>
            <w:pPr>
              <w:pStyle w:val="TAL"/>
              <w:rPr/>
            </w:pPr>
            <w:r>
              <w:rPr/>
              <w:t>MBMS</w:t>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Constrained Baseline Profile, Level 1.3</w:t>
            </w:r>
          </w:p>
          <w:p>
            <w:pPr>
              <w:pStyle w:val="TAL"/>
              <w:rPr/>
            </w:pPr>
            <w:r>
              <w:rPr/>
              <w:t>Progressive High Profile Level 3.1</w:t>
            </w:r>
          </w:p>
          <w:p>
            <w:pPr>
              <w:pStyle w:val="TAL"/>
              <w:rPr/>
            </w:pPr>
            <w:r>
              <w:rPr/>
              <w:t>Frame-packed stereoscopic 3D video (H.264 Constrained Baseline Profile Level 1.3 or Progressive High Profile Level 3.1)</w:t>
            </w:r>
          </w:p>
        </w:tc>
        <w:tc>
          <w:tcPr>
            <w:tcW w:w="2465" w:type="dxa"/>
            <w:tcBorders>
              <w:top w:val="single" w:sz="4" w:space="0" w:color="000000"/>
              <w:left w:val="single" w:sz="4" w:space="0" w:color="000000"/>
              <w:bottom w:val="single" w:sz="4" w:space="0" w:color="000000"/>
              <w:right w:val="single" w:sz="4" w:space="0" w:color="000000"/>
            </w:tcBorders>
          </w:tcPr>
          <w:p>
            <w:pPr>
              <w:pStyle w:val="TAL"/>
              <w:rPr/>
            </w:pPr>
            <w:r>
              <w:rPr/>
              <w:t>Main Profile, Main Tier, Level 3.1</w:t>
            </w:r>
          </w:p>
        </w:tc>
      </w:tr>
      <w:tr>
        <w:trPr/>
        <w:tc>
          <w:tcPr>
            <w:tcW w:w="2464" w:type="dxa"/>
            <w:tcBorders>
              <w:top w:val="single" w:sz="4" w:space="0" w:color="000000"/>
              <w:left w:val="single" w:sz="4" w:space="0" w:color="000000"/>
              <w:bottom w:val="single" w:sz="4" w:space="0" w:color="000000"/>
              <w:right w:val="single" w:sz="4" w:space="0" w:color="000000"/>
            </w:tcBorders>
          </w:tcPr>
          <w:p>
            <w:pPr>
              <w:pStyle w:val="TAL"/>
              <w:rPr/>
            </w:pPr>
            <w:r>
              <w:rPr/>
              <w:t>MTSI and IMS Messaging and Presence</w:t>
            </w:r>
          </w:p>
        </w:tc>
        <w:tc>
          <w:tcPr>
            <w:tcW w:w="246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H.264 Constrained Baseline Profile, Level 1.2</w:t>
            </w:r>
          </w:p>
          <w:p>
            <w:pPr>
              <w:pStyle w:val="TAL"/>
              <w:rPr>
                <w:b/>
                <w:b/>
              </w:rPr>
            </w:pPr>
            <w:r>
              <w:rPr/>
              <w:t>Constrained Baseline Profile, Level 3.1</w:t>
            </w:r>
          </w:p>
        </w:tc>
        <w:tc>
          <w:tcPr>
            <w:tcW w:w="2465" w:type="dxa"/>
            <w:tcBorders>
              <w:top w:val="single" w:sz="4" w:space="0" w:color="000000"/>
              <w:left w:val="single" w:sz="4" w:space="0" w:color="000000"/>
              <w:bottom w:val="single" w:sz="4" w:space="0" w:color="000000"/>
              <w:right w:val="single" w:sz="4" w:space="0" w:color="000000"/>
            </w:tcBorders>
          </w:tcPr>
          <w:p>
            <w:pPr>
              <w:pStyle w:val="TAL"/>
              <w:rPr/>
            </w:pPr>
            <w:r>
              <w:rPr/>
              <w:t>Main Profile, Main Tier, Level 3.1</w:t>
            </w:r>
          </w:p>
        </w:tc>
      </w:tr>
      <w:tr>
        <w:trPr/>
        <w:tc>
          <w:tcPr>
            <w:tcW w:w="2464" w:type="dxa"/>
            <w:tcBorders>
              <w:top w:val="single" w:sz="4" w:space="0" w:color="000000"/>
              <w:left w:val="single" w:sz="4" w:space="0" w:color="000000"/>
              <w:bottom w:val="single" w:sz="4" w:space="0" w:color="000000"/>
              <w:right w:val="single" w:sz="4" w:space="0" w:color="000000"/>
            </w:tcBorders>
          </w:tcPr>
          <w:p>
            <w:pPr>
              <w:pStyle w:val="TAL"/>
              <w:rPr/>
            </w:pPr>
            <w:r>
              <w:rPr/>
              <w:t>MMS</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Profile 0 Level 45</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Constrained Baseline Profile, Level 1.3</w:t>
            </w:r>
          </w:p>
          <w:p>
            <w:pPr>
              <w:pStyle w:val="TAL"/>
              <w:rPr/>
            </w:pPr>
            <w:r>
              <w:rPr/>
              <w:t>Progressive High Profile Level 3.1</w:t>
            </w:r>
          </w:p>
          <w:p>
            <w:pPr>
              <w:pStyle w:val="TAL"/>
              <w:rPr/>
            </w:pPr>
            <w:r>
              <w:rPr/>
              <w:t>Frame-packed stereoscopic 3D video (H.264 Constrained Baseline Profile Level 1.3 or Progressive High Profile Level 3.1)</w:t>
            </w:r>
          </w:p>
        </w:tc>
        <w:tc>
          <w:tcPr>
            <w:tcW w:w="2465" w:type="dxa"/>
            <w:tcBorders>
              <w:top w:val="single" w:sz="4" w:space="0" w:color="000000"/>
              <w:left w:val="single" w:sz="4" w:space="0" w:color="000000"/>
              <w:bottom w:val="single" w:sz="4" w:space="0" w:color="000000"/>
              <w:right w:val="single" w:sz="4" w:space="0" w:color="000000"/>
            </w:tcBorders>
          </w:tcPr>
          <w:p>
            <w:pPr>
              <w:pStyle w:val="TAL"/>
              <w:rPr/>
            </w:pPr>
            <w:r>
              <w:rPr/>
              <w:t>Main Profile, Main Tier, Level 3.1</w:t>
            </w:r>
          </w:p>
        </w:tc>
      </w:tr>
    </w:tbl>
    <w:p>
      <w:pPr>
        <w:pStyle w:val="Normal"/>
        <w:rPr/>
      </w:pPr>
      <w:r>
        <w:rPr/>
      </w:r>
    </w:p>
    <w:p>
      <w:pPr>
        <w:pStyle w:val="Heading1"/>
        <w:ind w:left="1134" w:hanging="1134"/>
        <w:rPr/>
      </w:pPr>
      <w:bookmarkStart w:id="14" w:name="__RefHeading___Toc517445302"/>
      <w:bookmarkEnd w:id="14"/>
      <w:r>
        <w:rPr/>
        <w:t>5</w:t>
        <w:tab/>
        <w:t>Overview of SHVC</w:t>
      </w:r>
    </w:p>
    <w:p>
      <w:pPr>
        <w:pStyle w:val="Heading2"/>
        <w:rPr/>
      </w:pPr>
      <w:bookmarkStart w:id="15" w:name="__RefHeading___Toc517445303"/>
      <w:bookmarkEnd w:id="15"/>
      <w:r>
        <w:rPr/>
        <w:t>5.0</w:t>
        <w:tab/>
        <w:t>General</w:t>
      </w:r>
    </w:p>
    <w:p>
      <w:pPr>
        <w:pStyle w:val="Normal"/>
        <w:rPr/>
      </w:pPr>
      <w:r>
        <w:rPr/>
        <w:t>Scalable High efficiency Video Coding (SHVC) refers to the scalable extension of H.265/HEVC, specified in Annex H of the H.265/HEVC specification [10]. This clause provides an overview of SHVC, including the basic SHVC architecture, SHVC systems and transport interfaces, a comparison of SHVC and Scalable Video Coding (SVC), the scalable extension of H.264/AVC [9], and SHVC decoder and encoder complexity analyses.</w:t>
      </w:r>
    </w:p>
    <w:p>
      <w:pPr>
        <w:pStyle w:val="Heading2"/>
        <w:rPr/>
      </w:pPr>
      <w:bookmarkStart w:id="16" w:name="__RefHeading___Toc517445304"/>
      <w:bookmarkEnd w:id="16"/>
      <w:r>
        <w:rPr/>
        <w:t>5.1</w:t>
        <w:tab/>
        <w:t>Basic SHVC architecture</w:t>
      </w:r>
    </w:p>
    <w:p>
      <w:pPr>
        <w:pStyle w:val="Normal"/>
        <w:rPr/>
      </w:pPr>
      <w:r>
        <w:rPr/>
        <w:t>Inter-layer prediction is employed in a scalable system to improve the coding efficiency of the enhancement layers. In addition to the spatial and temporal motion-compensated predictions that are available in a single-layer codec, inter-layer prediction (ILP) in SHVC uses the reconstructed video signal from a reference layer to predict the current enhancement layer. Inter layer prediction in SHVC is built upon the so called "reference index" framework. With this framework, the collocated reconstructed picture from the reference layer is treated as a long-term reference picture, and is assigned a reference index (or reference indices) in the reference picture list(s) along with other temporal reference pictures in the current layer. Then, ILP is achieved at the block-level (Prediction Unit-level) by setting the value of the ref_idx syntax element to correspond to the inter-layer reference picture(s) in the reference picture list(s).</w:t>
      </w:r>
    </w:p>
    <w:p>
      <w:pPr>
        <w:pStyle w:val="Normal"/>
        <w:rPr/>
      </w:pPr>
      <w:r>
        <w:rPr/>
        <w:t>Figure 1 shows the SHVC codec architecture from the decoder's perspective. SHVC supports more layers, but for ease of explanation, Figure 1 only describes a two-layer scalable system consisting of the base layer (BL) and one enhancement layer (EL).</w:t>
      </w:r>
    </w:p>
    <w:p>
      <w:pPr>
        <w:pStyle w:val="Normal"/>
        <w:rPr/>
      </w:pPr>
      <w:r>
        <w:rPr/>
        <w:t>As will be discussed later in clause 8.3, one fundamental benefit of the "reference index" based SHVC architecture is that it allows the EL codec to maintain the same block level logics as a single-layer HEVC decoder. The EL codec differs from a single-layer HEVC decoder only at the high level syntax level, i.e. at or above the slice header level. Hence, the EL decoder is labeled as HEVC* in Figure 1 to reflect this. To achieve efficient inter-layer prediction, inter-layer processing is applied to the reconstructed BL pictures retrieved from the BL Decoded Picture Buffer (BL DPB); afterwards, the processed pictures are put into the EL Decoded Picture Buffer (EL DPB) and used as inter-layer reference pictures for predictive coding of the EL pictures. SHVC applies different forms of inter-layer processing depending on the types of scalability between the two layers. For example, for spatial scalability, resampling of texture and/or motion information from the reference layer is applied. By adjusting the sample bit depth during resampling, SHVC also supports bit depth scalability. For color gamut scalability, a color mapping process is applied. Further detailed discussion of inter layer processing modules supported by SHVC can be found in [11].</w:t>
      </w:r>
    </w:p>
    <w:p>
      <w:pPr>
        <w:pStyle w:val="Normal"/>
        <w:rPr/>
      </w:pPr>
      <w:r>
        <w:rPr/>
        <w:t>As shown in Figure 1, the base layer bitstream can be sent either as part of the SHVC bitstream "in-band", or obtained via "external means" in an "out-of-band" manner. In the former case when the base layer is embedded within the SHVC bitstream, the input bitstream is de-multiplexed into two separate layers. The base layer (BL) bitstream is sent to the base layer decoder and the enhancement layer (EL) bitstream is sent to the EL decoder. The BL decoder is an HEVC decoder; in the Scalable Main and Scalable Main 10 profiles currently defined in SHVC, the BL decoder conforms to either the HEVC Main or Main 10 profile. Additionally, SHVC also allows the base layer bitstream to be provided via external means, for example, through other system-level multiplexing methods. This latter function can be used to support the use case when the base layer bitstream is coded using a non-HEVC single-layer codec, for example, using H.264/AVC, MPEG-2, or even non-standardized codecs. Accordingly, this is also referred to as hybrid codec scalability. For hybrid codec scalability, the BL decoding operations are outside of the scope of the SHVC decoder. After decoding, the reconstructed BL pictures are provided to the SHVC decoder, along with some information associated with the BL pictures. The remaining SHVC decoding operations are the same as the former case with the embedded BL bitstream. The SHVC decoder applies inter-layer processing to the reconstructed BL pictures to obtain the inter-layer reference pictures for predictive coding of the EL video pictures. It is worth noting that, although BL bitstreams provided via external means are generally expected to be non-HEVC coded, an HEVC-coded BL bitstream can be provided via external means as well.</w:t>
      </w:r>
    </w:p>
    <w:p>
      <w:pPr>
        <w:pStyle w:val="TH"/>
        <w:rPr/>
      </w:pPr>
      <w:r>
        <w:rPr/>
        <w:drawing>
          <wp:inline distT="0" distB="0" distL="0" distR="0">
            <wp:extent cx="4495800" cy="2260600"/>
            <wp:effectExtent l="0" t="0" r="0" b="0"/>
            <wp:docPr id="1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
                    <pic:cNvPicPr>
                      <a:picLocks noChangeAspect="1" noChangeArrowheads="1"/>
                    </pic:cNvPicPr>
                  </pic:nvPicPr>
                  <pic:blipFill>
                    <a:blip r:embed="rId6"/>
                    <a:srcRect l="-5" t="-11" r="-5" b="-11"/>
                    <a:stretch>
                      <a:fillRect/>
                    </a:stretch>
                  </pic:blipFill>
                  <pic:spPr bwMode="auto">
                    <a:xfrm>
                      <a:off x="0" y="0"/>
                      <a:ext cx="4495800" cy="2260600"/>
                    </a:xfrm>
                    <a:prstGeom prst="rect">
                      <a:avLst/>
                    </a:prstGeom>
                  </pic:spPr>
                </pic:pic>
              </a:graphicData>
            </a:graphic>
          </wp:inline>
        </w:drawing>
      </w:r>
    </w:p>
    <w:p>
      <w:pPr>
        <w:pStyle w:val="TF"/>
        <w:rPr/>
      </w:pPr>
      <w:r>
        <w:rPr/>
        <w:t>Figure 1: SHVC decoder architecture</w:t>
      </w:r>
    </w:p>
    <w:p>
      <w:pPr>
        <w:pStyle w:val="Heading2"/>
        <w:rPr/>
      </w:pPr>
      <w:bookmarkStart w:id="17" w:name="__RefHeading___Toc517445305"/>
      <w:bookmarkEnd w:id="17"/>
      <w:r>
        <w:rPr/>
        <w:t>5.2</w:t>
        <w:tab/>
        <w:t>Systems and transport interfaces of SHVC</w:t>
      </w:r>
    </w:p>
    <w:p>
      <w:pPr>
        <w:pStyle w:val="Heading3"/>
        <w:rPr/>
      </w:pPr>
      <w:bookmarkStart w:id="18" w:name="__RefHeading___Toc517445306"/>
      <w:bookmarkEnd w:id="18"/>
      <w:r>
        <w:rPr/>
        <w:t>5.2.1</w:t>
        <w:tab/>
        <w:t>Introduction</w:t>
      </w:r>
    </w:p>
    <w:p>
      <w:pPr>
        <w:pStyle w:val="Normal"/>
        <w:rPr/>
      </w:pPr>
      <w:r>
        <w:rPr/>
        <w:t>The systems and transport interfaces of a video codec, also referred to as high-level syntax (HLS), are an integral part of a video codec. An important part is the network abstraction layer (NAL), providing a (generic) interface of a video codec to (various) networks/systems. HLS topics include (but are not limited to) bitstream structure and coded data units structures; parameter sets signalling; support of random access and stream adaptation; error resilience; coded and decoded picture buffer management and buffering model (a.k.a. hypothetical reference decoder or HRD); scalability; byte stream format; profile and level signalling; signalling of supplemental enhancement information (SEI) and video usability information (VUI); extensibility and backward compatibility.</w:t>
      </w:r>
    </w:p>
    <w:p>
      <w:pPr>
        <w:pStyle w:val="Normal"/>
        <w:rPr/>
      </w:pPr>
      <w:r>
        <w:rPr/>
        <w:t>HEVC (single-layer coding) HLS was designed with significant consideration of extensibility mechanisms. These are also referred to as hooks, which basically allow future extensions that would be backward compatible to earlier versions of the standard. Important HLS hooks in HEVC include: a) Inclusion of layer identifier (ID) in the NAL unit header, whereby the same NAL unit header syntax applies to both HEVC single-layer coding and its multi-layer extensions; b) Introduction of the video parameter set (VPS), which was introduced mainly for use with multi-layer extensions, as VPS contains cross-layer information; c) Introduction of the layer set concept and the associated signalling of multi-layer HRD parameters; d) Addition of extensibility for all types of parameter sets and slice header, which allows the same syntax structures to be used for both the base layer and enhancement layers without defining new NAL unit types and to be further extended in the future when needed.</w:t>
      </w:r>
    </w:p>
    <w:p>
      <w:pPr>
        <w:pStyle w:val="Normal"/>
        <w:rPr/>
      </w:pPr>
      <w:r>
        <w:rPr/>
        <w:t>A common HLS framework has been jointly developed for SHVC and MV-HEVC (which is largely applicable to 3D-HEVC as well). This clause focuses on the new HLS features developed for the three multi-layer HEVC extensions compared to HEVC single layer coding HLS, for which an overview can be found in [12] and TR 26.906 [13]. More details of SHVC Systems and transport interfaces be found in [11] and [14].</w:t>
      </w:r>
    </w:p>
    <w:p>
      <w:pPr>
        <w:pStyle w:val="Heading3"/>
        <w:rPr/>
      </w:pPr>
      <w:bookmarkStart w:id="19" w:name="__RefHeading___Toc517445307"/>
      <w:bookmarkEnd w:id="19"/>
      <w:r>
        <w:rPr/>
        <w:t>5.2.2</w:t>
        <w:tab/>
        <w:t>Parameter Set and Slice Segment Header Extensions</w:t>
      </w:r>
    </w:p>
    <w:p>
      <w:pPr>
        <w:pStyle w:val="Normal"/>
        <w:rPr/>
      </w:pPr>
      <w:r>
        <w:rPr/>
        <w:t>The VPS has been extended by adding the VPS extension structure to the end, which mainly includes information on: a) Scalability type and division of NAL unit header layer ID to scalability IDs; b) Layer dependency, dependency type, and independent layers; c) Layer sets and output layer sets; d) Sub-layers and inter-layer dependency of sub-layers; e) Profile, tier, and level (PTL); f) Representation format (resolution, bit depth, color format, etc.); g) Decoded picture buffer (DPB) size; h) cross-layer video usability information (VUI), which includes information on cross-layer picture type alignment, cross-layer intra random access point (IRAP) picture alignment, bit rate and picture rate of layer sets, video signal format (color primaries, transfer characteristics, etc.), usage of tiles and wavefronts and other enabled parallel processing capabilities, and additional HRD parameters.</w:t>
      </w:r>
    </w:p>
    <w:p>
      <w:pPr>
        <w:pStyle w:val="Normal"/>
        <w:rPr/>
      </w:pPr>
      <w:r>
        <w:rPr/>
        <w:t>It should be noted that the VPS applies to all layers, while in the AU decoding order dimension it applies from the first AU where it is activated up to the AU when it is deactivated. Different layers (including the base layer and a non-base layer) may either share the same SPS or use different SPSs. Pictures of different layers or AUs can also share the same picture parameter set (PPS) or use different PPSs. To enable sharing between sequence parameter set (SPS) and PPS, all SPSs share the same value space of their SPS IDs, regardless of the layer ID values in their NAL unit headers; the same is true for PPSs.</w:t>
      </w:r>
    </w:p>
    <w:p>
      <w:pPr>
        <w:pStyle w:val="Normal"/>
        <w:rPr/>
      </w:pPr>
      <w:r>
        <w:rPr/>
        <w:t>Among other smaller extensions, the slice segment header has been extended in a backward compatible manner by adding the following information: a) The discardable flag that indicates whether the picture is used for at least one of inter prediction and inter-layer prediction or neither (when neither applies the picture can be discarded without affecting the decoding of any other pictures, in the same layer or other layers); b) A flag that indicates whether an IDR picture is a bitstream splicing point (if yes, then pictures from earlier AUs would be unavailable as references for pictures of any layer starting from the current AU); c) Information on lower-layer pictures used by the current picture for inter-layer prediction; and d) POC resetting and POC most significant bits (MSB) information. The latter two sets of information are used as the basis for derivation of the inter-layer reference picture set (RPS) and for guaranteeing cross-layer POC alignment, both of which are discussed later.</w:t>
      </w:r>
    </w:p>
    <w:p>
      <w:pPr>
        <w:pStyle w:val="Heading3"/>
        <w:rPr/>
      </w:pPr>
      <w:bookmarkStart w:id="20" w:name="__RefHeading___Toc517445308"/>
      <w:bookmarkEnd w:id="20"/>
      <w:r>
        <w:rPr/>
        <w:t>5.2.3</w:t>
        <w:tab/>
        <w:t>Layer and Scalability Identification</w:t>
      </w:r>
    </w:p>
    <w:p>
      <w:pPr>
        <w:pStyle w:val="Normal"/>
        <w:rPr/>
      </w:pPr>
      <w:r>
        <w:rPr/>
        <w:t>Each layer is associated with a unique layer ID, for which the value will be increasing across pictures of different layers in decoding order within an AU. In addition, a layer is associated with scalability IDs specifying its content, which are derived from the VPS extension and denoted as view order index and auxiliary ID.</w:t>
      </w:r>
    </w:p>
    <w:p>
      <w:pPr>
        <w:pStyle w:val="Normal"/>
        <w:rPr/>
      </w:pPr>
      <w:r>
        <w:rPr/>
        <w:t>All layers of a view have the same view order index. The view order index is required to be increasing in decoding order of views. Furthermore, a view ID value is signalled for each view order index, which can be chosen without constraints, but should indicate the view's camera position (e.g. in a linear setup).</w:t>
      </w:r>
    </w:p>
    <w:p>
      <w:pPr>
        <w:pStyle w:val="Normal"/>
        <w:rPr/>
      </w:pPr>
      <w:r>
        <w:rPr/>
        <w:t>The auxiliary ID signals whether a layer is an auxiliary picture layer carrying depth, alpha or other user defined auxiliary data. By design choice, auxiliary picture layers have no normative impact on the decoding of non-auxiliary picture layers (denoted as primary picture layers).</w:t>
      </w:r>
    </w:p>
    <w:p>
      <w:pPr>
        <w:pStyle w:val="Heading3"/>
        <w:rPr/>
      </w:pPr>
      <w:bookmarkStart w:id="21" w:name="__RefHeading___Toc517445309"/>
      <w:bookmarkEnd w:id="21"/>
      <w:r>
        <w:rPr/>
        <w:t>5.2.4</w:t>
        <w:tab/>
        <w:t>Layer sets</w:t>
      </w:r>
    </w:p>
    <w:p>
      <w:pPr>
        <w:pStyle w:val="Normal"/>
        <w:rPr/>
      </w:pPr>
      <w:r>
        <w:rPr/>
        <w:t>The concept of layer sets was already introduced in HEVC version 1. A layer set is a set of independent decodable layers that contains the base layer. Layer sets are signalled in the base part of the VPS. During the development of the common multi-layer HLS, two related concepts, namely output layer sets (OLSs) and additional layer sets, were further introduced. An OLS is a layer set for which the target output layers are specified (non-target-output layers are for example those layers that are used only for inter-layer prediction but not for output/display). For example, an OLS can have two layers for output (e.g. stereoscopic viewing) but contain three layers. An HEVC single-layer decoder would only process one target output layer, i.e. the base layer, regardless of how many layers the layer set contains. This is the reason why the concept of OLS layer set was not needed in HEVC version 1.</w:t>
      </w:r>
    </w:p>
    <w:p>
      <w:pPr>
        <w:pStyle w:val="Normal"/>
        <w:rPr/>
      </w:pPr>
      <w:r>
        <w:rPr/>
        <w:t>An additional layer set is a set of independent decodable layers that does not contain the base layer. For example, if a bitstream contains two simulcast (i.e. independently coded) layers, then the non-base layer itself can be included in an additional layer set. This concept can also be used for signalling the PTL for auxiliary picture layers, which are usually coded independently from the primary picture layers. For example, a depth or alpha (i.e. transparency) auxiliary picture layer can be included in an additional layer set and indicated to conform to the Monochrome (8 bit) profile, regardless of which single-layer profile the base (primary picture) layer conforms to. Without such a design, many more profiles would need to be defined to handle all the combinations of auxiliary picture layers with single-layer profiles. To realize the benefits of this design, an independent non-base layer rewriting process was specified, which "transcodes" independent non-base layers to a bitstream that conforms to a single-layer profile.</w:t>
      </w:r>
    </w:p>
    <w:p>
      <w:pPr>
        <w:pStyle w:val="Normal"/>
        <w:rPr/>
      </w:pPr>
      <w:r>
        <w:rPr/>
        <w:t>By design choice, an additional layer set is allowed to contain more than one layer, e.g. three layers with layer ID values equal to 3, 4, and 5, where the layer with layer ID equal to 3 is an independent non-base layer. Along with this, a bitstream extraction process for additional layer sets was specified. While the extracted sub-bitstream does not contain a base layer, it is still a conforming bitstream, i.e. the multi-layer extensions of HEVC allow for a conforming multi-layer bitstream to not contain the base layer, and compliant decoding of the bitstream may not involve the base layer at all.</w:t>
      </w:r>
    </w:p>
    <w:p>
      <w:pPr>
        <w:pStyle w:val="Heading3"/>
        <w:rPr/>
      </w:pPr>
      <w:bookmarkStart w:id="22" w:name="__RefHeading___Toc517445310"/>
      <w:bookmarkEnd w:id="22"/>
      <w:r>
        <w:rPr/>
        <w:t>5.2.5</w:t>
        <w:tab/>
        <w:t>Profile, Tier, and Level (PTL)</w:t>
      </w:r>
    </w:p>
    <w:p>
      <w:pPr>
        <w:pStyle w:val="Normal"/>
        <w:rPr/>
      </w:pPr>
      <w:r>
        <w:rPr/>
        <w:t>Compared to earlier multi-layer video coding standards, a fundamentally different approach was taken for MV-HEVC and SHVC for the specification and signalling of interoperability points (i.e. PTL in the context of HEVC and its extensions). Rather than specifying PTL for an operation point that contains a set of layers, in MV-HEVC and SHVC, PTL is specified and signalled in a layer specific manner. Consequently, a decoder that is able to decode two-layer bitstreams with 720p@30fps at the base layer and 1080p@60fps at the enhancement layer should express its capability as a list of two PTLs equivalent to {Main profile Main tier Level 3.1, Scalable Main profile Main tier Level 4.1}. A key advantage of this design is that it facilitates easy decoding of multiple layers by reusing single-layer decoders. If PTL was specified for the two layers together, then the decoder would need to be able to decode the two-layer bitstreams with both the base and enhancement layers of 1080p@60fps. In other words, over provisioning of resources would be required.</w:t>
      </w:r>
    </w:p>
    <w:p>
      <w:pPr>
        <w:pStyle w:val="Normal"/>
        <w:rPr/>
      </w:pPr>
      <w:r>
        <w:rPr/>
        <w:t>Another related innovation is the definition of the independent non-base layer decoding (INBLD) capability, which is associated with the decoding capability of one or more of the single-layer profiles. The INBLD capability, when supported, indicates the capability of a decoder to decode an independent non-base layer that is indicated in the active VPSs and SPSs to conform to a single-layer profile and is the layer with the smallest nuh_layer_id value in an additional layer set. Compared to conventional single-layer decoders, such single-layer decoders can also parse some multi-layer syntaxes such as VPS extension and handle NAL units with layer ID greater than zero. It is recommended that, when expressing the capabilities of a decoder for one or more single-layer profiles, whether the INBLD capability is supported for those profiles should also be expressed. As can be seen from its connection to additional layer sets, the INBLD capability is also part of the entire solution for auxiliary picture layers introduced to HEVC version 2.</w:t>
      </w:r>
    </w:p>
    <w:p>
      <w:pPr>
        <w:pStyle w:val="Heading3"/>
        <w:rPr/>
      </w:pPr>
      <w:bookmarkStart w:id="23" w:name="__RefHeading___Toc517445311"/>
      <w:bookmarkEnd w:id="23"/>
      <w:r>
        <w:rPr/>
        <w:t>5.2.6</w:t>
        <w:tab/>
        <w:t>RPS and Reference Picture List Construction</w:t>
      </w:r>
    </w:p>
    <w:p>
      <w:pPr>
        <w:pStyle w:val="Normal"/>
        <w:rPr/>
      </w:pPr>
      <w:r>
        <w:rPr/>
        <w:t>In addition to the five RPS lists (RefPicSetStCurrBefore, RefPicSetStCurrAfter, RefPicSetStFoll, RefPicSetLtCurr, and RefPicSetLtFoll) defined in HEVC version 1, two more RPS lists, RefPicSetInterLayer0 and RefPicSetInterLayer1 (denoted as RpsIL0 and RpsIL1, respectively), were introduced to contain inter-layer reference pictures. Given a current picture, those inter-layer reference pictures are included into two sets depending on whether they have view ID values greater or smaller than the current picture. If the base view has greater view ID than the current picture, then those with greater view IDs are included into RpsIL0 and those with smaller view IDs into RpsIL1, and vice versa. The derivation of RpsIL0 and RpsIL1 is based on VPS extension signalling (of layer dependency and inter-layer dependency of sub-layers) as well as slice header signalling (of lower-layer pictures used by the current picture for inter-layer prediction).</w:t>
      </w:r>
    </w:p>
    <w:p>
      <w:pPr>
        <w:pStyle w:val="Normal"/>
        <w:rPr/>
      </w:pPr>
      <w:r>
        <w:rPr/>
        <w:t>When constructing the initial reference picture list 0 (i.e. RefPicListTemp0), pictures in RpsIL0 are inserted immediately after pictures in RefPicSetStCurrBefore, and pictures in RpsIL1 are inserted last, after pictures in RefPicSetLtCurr. When constructing the initial reference picture list 1 (i.e. RefPicListTemp1), pictures in RpsIL1 are inserted immediately after pictures in RefPicSetStCurrAfter, and pictures in RpsIL0 are inserted last, after pictures in RefPicSetLtCurr. Otherwise the reference picture list construction process stays the same as for HEVC single-layer coding.</w:t>
      </w:r>
    </w:p>
    <w:p>
      <w:pPr>
        <w:pStyle w:val="Heading3"/>
        <w:rPr/>
      </w:pPr>
      <w:bookmarkStart w:id="24" w:name="__RefHeading___Toc517445312"/>
      <w:bookmarkEnd w:id="24"/>
      <w:r>
        <w:rPr/>
        <w:t>5.2.7</w:t>
        <w:tab/>
        <w:t>Random Access, Layer Switching, and Bitstream Splicing</w:t>
      </w:r>
    </w:p>
    <w:p>
      <w:pPr>
        <w:pStyle w:val="Normal"/>
        <w:rPr/>
      </w:pPr>
      <w:r>
        <w:rPr/>
        <w:t>Compared to AVC, HEVC provides more flexible and convenient random access and splicing operations, by allowing conforming bitstreams to start with a clean random access (CRA) or broken link access (BLA) picture. In addition, MV-HEVC and SHVC support non-cross-layer aligned IRAP pictures of any type (IDR, CRA, or BLA), and a conforming bitstream can start with any type of IRAP access unit, including an IRAP AU where the base layer picture is an IRAP picture while (some of) the enhancement layer pictures are non-IRAP pictures. This allows easy splicing of multi-layer bitstreams at any type of IRAP AU and random accessing from such AU. Non-cross-layer aligned IRAP pictures also allow for flexible layer switching.</w:t>
      </w:r>
    </w:p>
    <w:p>
      <w:pPr>
        <w:pStyle w:val="Normal"/>
        <w:rPr/>
      </w:pPr>
      <w:r>
        <w:rPr/>
        <w:t>To support non-cross-layer aligned IRAP pictures, the multi-layer POC design needs to ensure cross-layer POC alignment within any AU. Cross-layer POC alignment is needed to ensure that the in-layer RPS derivation and the output order of pictures of target output layers are correct.</w:t>
      </w:r>
    </w:p>
    <w:p>
      <w:pPr>
        <w:pStyle w:val="Normal"/>
        <w:rPr/>
      </w:pPr>
      <w:r>
        <w:rPr/>
        <w:t>The multi-layer HEVC design allows extremely flexible layering structures. Basically, a picture of any layer may be absent at any AU. For example, the highest layer ID value can vary from AU to AU, which was disallowed in SVC and MVC. Such flexibilities imposed a great challenge on the multi-layer POC design. In addition, although a bitstream after layer or sub-layer switching is not required to be conforming, the design should still enable a conforming decoding behaviour to work with layer and sub-layer switching, including cascaded switching behaviour. This is achieved by a POC resetting approach.</w:t>
      </w:r>
    </w:p>
    <w:p>
      <w:pPr>
        <w:pStyle w:val="Normal"/>
        <w:rPr/>
      </w:pPr>
      <w:r>
        <w:rPr/>
        <w:t>The basic idea of POC resetting is to reset the POC value when decoding a non-IRAP picture (as determined by the POC derivation process in HEVC version 1), such that the final POC values of pictures of all layers of the AU are identical. In addition, to ensure that POC values of pictures in earlier AUs are also cross-layer aligned and that POC delta values of pictures within each layer remain proportional to the associated presentation time delta values, POC values of pictures in earlier AUs are reduced by a specified amount.</w:t>
      </w:r>
    </w:p>
    <w:p>
      <w:pPr>
        <w:pStyle w:val="Normal"/>
        <w:rPr/>
      </w:pPr>
      <w:r>
        <w:rPr/>
        <w:t>To work with all possible layering structures as well as some picture loss situations, the POC resetting period is specified based on the POC resetting period ID that is optionally signalled in the slice header. Each non-IRAP picture that belongs to an AU that contains at least one IRAP picture will be the start of a POC resetting period in the layer containing the non-IRAP picture. In that AU, each picture would be the start of a POC resetting period in the layer containing the picture. POC resetting and decreasing of POC values of same-layer pictures are applied only for the first picture within each POC resetting period, such that these operations would not be performed more than necessary; otherwise POC values would be messed up.</w:t>
      </w:r>
    </w:p>
    <w:p>
      <w:pPr>
        <w:pStyle w:val="Heading3"/>
        <w:rPr/>
      </w:pPr>
      <w:bookmarkStart w:id="25" w:name="__RefHeading___Toc517445313"/>
      <w:bookmarkEnd w:id="25"/>
      <w:r>
        <w:rPr/>
        <w:t>5.2.8</w:t>
        <w:tab/>
        <w:t>Hybrid Codec Scalability and Multiview/3D Support</w:t>
      </w:r>
    </w:p>
    <w:p>
      <w:pPr>
        <w:pStyle w:val="Normal"/>
        <w:rPr/>
      </w:pPr>
      <w:r>
        <w:rPr/>
        <w:t>The HEVC multi-layer extensions support the base layer being coded by other codecs, e.g. AVC. A simple approach was taken for this functionality by specifying the base layer being provided by an external means, i.e. not specified by the standard. Basically, except for information on the representation format and whether the base layer is a target output layer as signalled in the VPS extension, no other information about the base layer is included in the bitstream (as input to the enhancement-layer decoder). Decoder implementations can implement an application program interface (API) to accept the sample values of the decoded base layer picture for each AU plus some other minimum amount of information required for decoding the enhancement layer pictures, including whether it is an IRAP picture and, if yes, the IRAP picture type (IDR, CRA, or BLA). The base layer pictures and this latter information may be provided by the base layer decoder through the API, however this is not part of the enhancement-layer decoder specified by HEVC version 2. The output of base layer pictures is the responsibility of the base layer decoder, and output synchronization between a base layer picture and an enhancement layer picture in the same AU, when needed, is externally controlled (e.g. by using presentation timestamps). The association of a base layer decoded picture to an AU is also the responsibility of external means.</w:t>
      </w:r>
    </w:p>
    <w:p>
      <w:pPr>
        <w:pStyle w:val="Heading3"/>
        <w:rPr/>
      </w:pPr>
      <w:bookmarkStart w:id="26" w:name="__RefHeading___Toc517445314"/>
      <w:bookmarkEnd w:id="26"/>
      <w:r>
        <w:rPr/>
        <w:t>5.2.9</w:t>
        <w:tab/>
        <w:t>Hypothetical Reference Decoder (HRD)</w:t>
      </w:r>
    </w:p>
    <w:p>
      <w:pPr>
        <w:pStyle w:val="Normal"/>
        <w:rPr/>
      </w:pPr>
      <w:r>
        <w:rPr/>
        <w:t>The main new developments of HRD of the common HLS compared to HEVC version 1 include the following three aspects relevant for MV- and 3D-HEVC. Firstly, the bitstream conformance tests specified in HEVC version 1 are classified into two sets and a third set is additionally specified. The first set of tests is for testing the conformance of the entire bitstream and its temporal subsets. The second set of bitstream conformance tests is for testing the conformance of the layer sets specified by the active VPS and their temporal subsets. For the first and second sets of tests, only the base layer pictures are decoded and other pictures are ignored by the decoder. The third set of tests is for testing the conformance of the OLSs specified in the VPS extension and their temporal subsets.</w:t>
      </w:r>
    </w:p>
    <w:p>
      <w:pPr>
        <w:pStyle w:val="Normal"/>
        <w:rPr/>
      </w:pPr>
      <w:r>
        <w:rPr/>
        <w:t>The second aspect is the introduction of bitstream partition (BP) specific coded picture buffer (CPB) operations, wherein each BP contains one or more layers, and CPB parameters for each BP can be signalled and applied. These parameters can be utilized by transport systems that transmit different sets of layers in different physical or logical channels; one extreme example is one channel for each layer. The layer specific CPB parameters are also a basis for defining the semantics of layer specific PTL. The third aspect is the layer specific DPB management operations, where each layer exclusively uses its own sub-DPB. To ensure the design works with (cascaded) layer switching behavior, sharing of a particular memory unit across layers is disallowed.</w:t>
      </w:r>
    </w:p>
    <w:p>
      <w:pPr>
        <w:pStyle w:val="Heading3"/>
        <w:rPr/>
      </w:pPr>
      <w:bookmarkStart w:id="27" w:name="__RefHeading___Toc517445315"/>
      <w:bookmarkEnd w:id="27"/>
      <w:r>
        <w:rPr/>
        <w:t>5.2.10</w:t>
        <w:tab/>
        <w:t>SEI Messages</w:t>
      </w:r>
    </w:p>
    <w:p>
      <w:pPr>
        <w:pStyle w:val="Normal"/>
        <w:rPr/>
      </w:pPr>
      <w:r>
        <w:rPr/>
        <w:t>SEI messages in HEVC version 1 have been adapted to be applicable in the multi-layer contexts, in a backward compatible fashion, some of them with significant semantics changes. In addition, some new SEI messages are specified that apply to all multi-layer HEVC extensions.</w:t>
      </w:r>
    </w:p>
    <w:p>
      <w:pPr>
        <w:pStyle w:val="Normal"/>
        <w:rPr/>
      </w:pPr>
      <w:r>
        <w:rPr/>
        <w:t>The layers not present SEI message can indicate which layers are dropped. The inter-layer constrained tile sets SEI message, which can indicate cross-layer region of interest coding based on tiles. The BP nesting SEI message and the BP initial arrival time SEI message can be used to signal BP buffering parameters for CPB operations. The sub-bitstream property SEI message provides the bit rate information for a sub-bitstream created by discarding those pictures in the layers that do not belong to the output layers of the OLSs specified by the active VPS and that do not affect the decoding of the output layers. The alpha channel information SEI message provides information about alpha channel sample values and post-processing applied to the decoded alpha plane auxiliary pictures, and one or more associated primary pictures. Other new SEI messages that apply to all multi-layer HEVC extensions include the temporal motion vector prediction constraints SEI message and the frame-field information SEI message.</w:t>
      </w:r>
    </w:p>
    <w:p>
      <w:pPr>
        <w:pStyle w:val="Heading2"/>
        <w:rPr/>
      </w:pPr>
      <w:bookmarkStart w:id="28" w:name="__RefHeading___Toc517445316"/>
      <w:bookmarkEnd w:id="28"/>
      <w:r>
        <w:rPr/>
        <w:t>5.3</w:t>
        <w:tab/>
        <w:t>A comparison of SHVC and SVC</w:t>
      </w:r>
    </w:p>
    <w:p>
      <w:pPr>
        <w:pStyle w:val="Normal"/>
        <w:rPr/>
      </w:pPr>
      <w:r>
        <w:rPr/>
        <w:t>The scalable extension to H.264/AVC, commonly referred to as SVC, is the most recent scalable video coding standard preceding SHVC. In this clause a brief comparison between SHVC and SVC is provided.</w:t>
      </w:r>
    </w:p>
    <w:p>
      <w:pPr>
        <w:pStyle w:val="Normal"/>
        <w:rPr/>
      </w:pPr>
      <w:r>
        <w:rPr/>
        <w:t>The first difference between SHVC and SVC is the indication (i.e. signalling) of inter layer prediction. The previous SVC standard uses a base_mode_flag signalled at the macroblock level to enable inter-layer prediction, and makes further block-level operation changes depending on the value of base_mode_flag. In comparison, SHVC uses the "reference index" based framework, as discussed above. Because the ref_idx syntax element already exists in the single-layer HEVC standard at the Prediction Unit-level, referencing an inter-layer reference picture can be carried out in a transparent manner at the block-level. In other words, all block-level logic, including parsing and interpretation of the syntax elements, decoding and reconstruction, loop filtering, and other related processes, of the EL codec can be kept unchanged from those of a single-layer HEVC codec. Any necessary changes to the EL decoder, denoted as HEVC* in Figure 1, are only at slice header-level and above, that is, at the high level syntax level. By keeping the detailed block-level operations compatible with a single-layer codec, SHVC can be implemented by reusing/repurposing most parts of an existing HEVC implementation; thus, the implementation cost of SHVC can be reduced significantly.</w:t>
      </w:r>
    </w:p>
    <w:p>
      <w:pPr>
        <w:pStyle w:val="Normal"/>
        <w:rPr/>
      </w:pPr>
      <w:r>
        <w:rPr/>
        <w:t>Secondly, to achieve inter-layer prediction, the only BL information that the EL needs to access is the reconstructed pictures from the BL DPB, which includes the reconstructed texture samples, and typically also the BL motion information. As the BL DPB needs to be provided as an open interface in a single-layer codec implementation, such scalable codec architecture requires no change at all to the BL codec, and allows the BL codec to essentially operate as a black box. In contrast, in addition to using the BL reconstructed texture to predict the EL, SVC also applies cross-layer syntax prediction and cross-layer residual prediction, the implementation of which requires the BL codec to be redesigned to provide much more information than what it would generally need to provide as a single-layer codec. As such, implementation of the SHVC codec is much simpler than that of SVC. Further, operating the BL codec as a "black box" also allows SHVC to support hybrid codec scalability discussed earlier, thus providing expanded backward compatibility support.</w:t>
      </w:r>
    </w:p>
    <w:p>
      <w:pPr>
        <w:pStyle w:val="Normal"/>
        <w:rPr/>
      </w:pPr>
      <w:r>
        <w:rPr/>
        <w:t>Thirdly, SVC applies a single-loop decoding constraint, whereby when decoding a bitstream containing multiple layers, full decoding of reference layer(s) may not be required (i.e. limited decoding may be sufficient) in order to fully decode the current enhancement layer picture. This limited reference layer decoding can include decoding of multiple layers of intra-coded macroblocks, but not decoding of multiple layers of inter-coded macroblocks. As a consequence, constrained intra prediction will be used for any layer which will be used as a reference layer, meaning that spatial intra prediction in the reference layer can only predict from intra-coded spatial neighbours and not from inter-coded spatial neighbours. This constraint can negatively impact the coding efficiency. A disadvantage of single loop decoding is that arbitrary down-switching at any picture is not supported. For example, consider a two-layer spatial scalable bitstream containing a lower resolution BL and a higher resolution EL. When the decoder receives both layers and operates in single loop decoding mode, it outputs only the high resolution EL, and does not fully decode the lower resolution BL. If a Media Aware Network Element (MANE) removes the enhancement layer of the bitstream in the middle of a coded sequence, this single loop decoder is unable to switch to decoding just the lower resolution BL, because the previous temporal reference pictures of the BL are not available. In comparison, the SHVC architecture is based on multi-loop decoding. It allows all samples from the reference layers within the specified reference regions to be used in inter-layer prediction. By not imposing the constraint, SHVC does not have the problems inherent to single loop decoding.</w:t>
      </w:r>
    </w:p>
    <w:p>
      <w:pPr>
        <w:pStyle w:val="Normal"/>
        <w:rPr/>
      </w:pPr>
      <w:r>
        <w:rPr/>
        <w:t>Lastly, a full list of scalability features supported by SHVC is summarized in Table 2 in comparison with SVC. The type of scalability feature(s) between two layers dictates the type of inter-layer processing applied (cf. Figure 1). Both scalable standards support the conventional set of scalability features including temporal scalability (lower frame rate to higher frame rate), spatial scalability (lower spatial resolution to higher spatial resolution) and SNR scalability (lower quality to higher quality). Temporal scalability is already fully supported by the single-layer HEVC standard; SHVC simply inherits this feature. For spatial scalability, the resampling process in SHVC provides more enhanced functionality compared to SVC, to be discussed next. As shown in Table 2, SHVC also supports three new scalability features not supported by SVC: 1) the hybrid codec scalability discussed above, where the base layer can be coded using non-HEVC codec; 2) bit depth scalability, where the base layer is of lower bit-depth (e.g. 8-bit) and the EL is of higher bit-depth (e.g. 10-bit); 3) color gamut scalability, where the BL has narrower color gamut (e.g. ITU-R recommendation BT.709 [15]) and the EL has wider color gamut (e.g. ITU-R recommendation BT.2020 [16]). Individual scalability features in Table 2 can be combined. In particular, the combination of spatial, bit depth, and color gamut scalability can be used to fully enable the migration from HDTV to UHDTV.</w:t>
      </w:r>
    </w:p>
    <w:p>
      <w:pPr>
        <w:pStyle w:val="TH"/>
        <w:rPr/>
      </w:pPr>
      <w:r>
        <w:rPr/>
        <w:t>Table 2: Comparison of scalability features supported by SVC and SHVC</w:t>
      </w:r>
    </w:p>
    <w:tbl>
      <w:tblPr>
        <w:tblW w:w="5148" w:type="dxa"/>
        <w:jc w:val="center"/>
        <w:tblInd w:w="0" w:type="dxa"/>
        <w:tblLayout w:type="fixed"/>
        <w:tblCellMar>
          <w:top w:w="0" w:type="dxa"/>
          <w:left w:w="108" w:type="dxa"/>
          <w:bottom w:w="0" w:type="dxa"/>
          <w:right w:w="108" w:type="dxa"/>
        </w:tblCellMar>
      </w:tblPr>
      <w:tblGrid>
        <w:gridCol w:w="1368"/>
        <w:gridCol w:w="630"/>
        <w:gridCol w:w="1350"/>
        <w:gridCol w:w="1800"/>
      </w:tblGrid>
      <w:tr>
        <w:trPr/>
        <w:tc>
          <w:tcPr>
            <w:tcW w:w="1368" w:type="dxa"/>
            <w:vMerge w:val="restart"/>
            <w:tcBorders>
              <w:top w:val="single" w:sz="4" w:space="0" w:color="000000"/>
              <w:left w:val="single" w:sz="4" w:space="0" w:color="000000"/>
              <w:bottom w:val="single" w:sz="4" w:space="0" w:color="000000"/>
              <w:right w:val="single" w:sz="4" w:space="0" w:color="000000"/>
            </w:tcBorders>
          </w:tcPr>
          <w:p>
            <w:pPr>
              <w:pStyle w:val="TAH"/>
              <w:rPr/>
            </w:pPr>
            <w:r>
              <w:rPr/>
              <w:t>Scalability features</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H"/>
              <w:rPr/>
            </w:pPr>
            <w:r>
              <w:rPr/>
              <w:t>Scalable standard</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H"/>
              <w:rPr/>
            </w:pPr>
            <w:r>
              <w:rPr/>
              <w:t>Examples</w:t>
            </w:r>
          </w:p>
        </w:tc>
      </w:tr>
      <w:tr>
        <w:trPr/>
        <w:tc>
          <w:tcPr>
            <w:tcW w:w="136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630" w:type="dxa"/>
            <w:tcBorders>
              <w:top w:val="single" w:sz="4" w:space="0" w:color="000000"/>
              <w:left w:val="single" w:sz="4" w:space="0" w:color="000000"/>
              <w:bottom w:val="single" w:sz="4" w:space="0" w:color="000000"/>
              <w:right w:val="single" w:sz="4" w:space="0" w:color="000000"/>
            </w:tcBorders>
          </w:tcPr>
          <w:p>
            <w:pPr>
              <w:pStyle w:val="TAH"/>
              <w:rPr/>
            </w:pPr>
            <w:r>
              <w:rPr/>
              <w:t>SVC</w:t>
            </w:r>
          </w:p>
        </w:tc>
        <w:tc>
          <w:tcPr>
            <w:tcW w:w="1350" w:type="dxa"/>
            <w:tcBorders>
              <w:top w:val="single" w:sz="4" w:space="0" w:color="000000"/>
              <w:left w:val="single" w:sz="4" w:space="0" w:color="000000"/>
              <w:bottom w:val="single" w:sz="4" w:space="0" w:color="000000"/>
              <w:right w:val="single" w:sz="4" w:space="0" w:color="000000"/>
            </w:tcBorders>
          </w:tcPr>
          <w:p>
            <w:pPr>
              <w:pStyle w:val="TAH"/>
              <w:rPr/>
            </w:pPr>
            <w:r>
              <w:rPr/>
              <w:t>SHVC</w:t>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1368" w:type="dxa"/>
            <w:tcBorders>
              <w:top w:val="single" w:sz="4" w:space="0" w:color="000000"/>
              <w:left w:val="single" w:sz="4" w:space="0" w:color="000000"/>
              <w:bottom w:val="single" w:sz="4" w:space="0" w:color="000000"/>
              <w:right w:val="single" w:sz="4" w:space="0" w:color="000000"/>
            </w:tcBorders>
          </w:tcPr>
          <w:p>
            <w:pPr>
              <w:pStyle w:val="TAL"/>
              <w:rPr/>
            </w:pPr>
            <w:r>
              <w:rPr/>
              <w:t>Temporal</w:t>
            </w:r>
          </w:p>
        </w:tc>
        <w:tc>
          <w:tcPr>
            <w:tcW w:w="630"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X (in HEVC)</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30fps to 60fps</w:t>
            </w:r>
          </w:p>
        </w:tc>
      </w:tr>
      <w:tr>
        <w:trPr/>
        <w:tc>
          <w:tcPr>
            <w:tcW w:w="1368" w:type="dxa"/>
            <w:tcBorders>
              <w:top w:val="single" w:sz="4" w:space="0" w:color="000000"/>
              <w:left w:val="single" w:sz="4" w:space="0" w:color="000000"/>
              <w:bottom w:val="single" w:sz="4" w:space="0" w:color="000000"/>
              <w:right w:val="single" w:sz="4" w:space="0" w:color="000000"/>
            </w:tcBorders>
          </w:tcPr>
          <w:p>
            <w:pPr>
              <w:pStyle w:val="TAL"/>
              <w:rPr/>
            </w:pPr>
            <w:r>
              <w:rPr/>
              <w:t>Spatial</w:t>
            </w:r>
          </w:p>
        </w:tc>
        <w:tc>
          <w:tcPr>
            <w:tcW w:w="630"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1080p to 4Kx2K</w:t>
            </w:r>
          </w:p>
        </w:tc>
      </w:tr>
      <w:tr>
        <w:trPr/>
        <w:tc>
          <w:tcPr>
            <w:tcW w:w="1368" w:type="dxa"/>
            <w:tcBorders>
              <w:top w:val="single" w:sz="4" w:space="0" w:color="000000"/>
              <w:left w:val="single" w:sz="4" w:space="0" w:color="000000"/>
              <w:bottom w:val="single" w:sz="4" w:space="0" w:color="000000"/>
              <w:right w:val="single" w:sz="4" w:space="0" w:color="000000"/>
            </w:tcBorders>
          </w:tcPr>
          <w:p>
            <w:pPr>
              <w:pStyle w:val="TAL"/>
              <w:rPr/>
            </w:pPr>
            <w:r>
              <w:rPr/>
              <w:t>SNR (quality)</w:t>
            </w:r>
          </w:p>
        </w:tc>
        <w:tc>
          <w:tcPr>
            <w:tcW w:w="630"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33 dB to 36 dB</w:t>
            </w:r>
          </w:p>
        </w:tc>
      </w:tr>
      <w:tr>
        <w:trPr/>
        <w:tc>
          <w:tcPr>
            <w:tcW w:w="1368" w:type="dxa"/>
            <w:tcBorders>
              <w:top w:val="single" w:sz="4" w:space="0" w:color="000000"/>
              <w:left w:val="single" w:sz="4" w:space="0" w:color="000000"/>
              <w:bottom w:val="single" w:sz="4" w:space="0" w:color="000000"/>
              <w:right w:val="single" w:sz="4" w:space="0" w:color="000000"/>
            </w:tcBorders>
          </w:tcPr>
          <w:p>
            <w:pPr>
              <w:pStyle w:val="TAL"/>
              <w:rPr/>
            </w:pPr>
            <w:r>
              <w:rPr/>
              <w:t>Hybrid codec</w:t>
            </w:r>
          </w:p>
        </w:tc>
        <w:tc>
          <w:tcPr>
            <w:tcW w:w="6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AVC-coded BL</w:t>
            </w:r>
          </w:p>
        </w:tc>
      </w:tr>
      <w:tr>
        <w:trPr/>
        <w:tc>
          <w:tcPr>
            <w:tcW w:w="1368" w:type="dxa"/>
            <w:tcBorders>
              <w:top w:val="single" w:sz="4" w:space="0" w:color="000000"/>
              <w:left w:val="single" w:sz="4" w:space="0" w:color="000000"/>
              <w:bottom w:val="single" w:sz="4" w:space="0" w:color="000000"/>
              <w:right w:val="single" w:sz="4" w:space="0" w:color="000000"/>
            </w:tcBorders>
          </w:tcPr>
          <w:p>
            <w:pPr>
              <w:pStyle w:val="TAL"/>
              <w:rPr/>
            </w:pPr>
            <w:r>
              <w:rPr/>
              <w:t>Bit depth</w:t>
            </w:r>
          </w:p>
        </w:tc>
        <w:tc>
          <w:tcPr>
            <w:tcW w:w="6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8-bit to 10-bit</w:t>
            </w:r>
          </w:p>
        </w:tc>
      </w:tr>
      <w:tr>
        <w:trPr/>
        <w:tc>
          <w:tcPr>
            <w:tcW w:w="1368" w:type="dxa"/>
            <w:tcBorders>
              <w:top w:val="single" w:sz="4" w:space="0" w:color="000000"/>
              <w:left w:val="single" w:sz="4" w:space="0" w:color="000000"/>
              <w:bottom w:val="single" w:sz="4" w:space="0" w:color="000000"/>
              <w:right w:val="single" w:sz="4" w:space="0" w:color="000000"/>
            </w:tcBorders>
          </w:tcPr>
          <w:p>
            <w:pPr>
              <w:pStyle w:val="TAL"/>
              <w:rPr/>
            </w:pPr>
            <w:r>
              <w:rPr/>
              <w:t>Color gamut</w:t>
            </w:r>
          </w:p>
        </w:tc>
        <w:tc>
          <w:tcPr>
            <w:tcW w:w="6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X</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BT.709 to BT.2020</w:t>
            </w:r>
          </w:p>
        </w:tc>
      </w:tr>
    </w:tbl>
    <w:p>
      <w:pPr>
        <w:pStyle w:val="Normal"/>
        <w:rPr/>
      </w:pPr>
      <w:r>
        <w:rPr/>
      </w:r>
    </w:p>
    <w:p>
      <w:pPr>
        <w:pStyle w:val="Normal"/>
        <w:rPr/>
      </w:pPr>
      <w:r>
        <w:rPr/>
        <w:t>In terms of spatial scalability, SHVC provides more flexibility, mainly in two aspects: 1) because of SHVC's relatively simple architecture design, arbitrary scaling ratio is included in SHVC's Scalable Main and Scalable Main 10 profiles. In comparison, arbitrary spatial ratio, also referred to as enhanced spatial scalability in SVC, is supported only in the Scalable High profile of SVC, and Scalable Baseline profile only allows 2x and 1.5x ratios; 2) SHVC supports flexible resampling phase adjustment in resampling. This allows the resampling filter phases to be selected to match those of the down-sampling filters used by the encoder. By default, the resampling process of SHVC assumes that the top left sample location of the pictures of the two spatial layers have zero phase shift. However, when generating the lower resolution layer, SHVC gives the encoder the freedom to choose non-default down-sampling filters; for example, the encoder can choose the down-sampling filters used by SVC with 0.5-sample phase shift [6]. By adjusting the filter phases during resampling at the decoder to match those used by the encoder during down-sampling, high coding efficiency can be maintained for all encoder designs. Additionally, the resampling process in SHVC allows the output sample bit depth to be different from (and larger than) the input sample bit depth. This provides a natural support for bit depth scalability.</w:t>
      </w:r>
    </w:p>
    <w:p>
      <w:pPr>
        <w:pStyle w:val="Normal"/>
        <w:spacing w:lineRule="auto" w:line="252"/>
        <w:rPr/>
      </w:pPr>
      <w:r>
        <w:rPr/>
        <w:t>Note that when Nx is used to refer to the spatial ratio for spatial scalable coding, the spatial resolution ratio is N is both the horizontal and the vertical dimensions, for example, for a two-layer spatial scalable coding, if the base layer is of 640x360 and the enhancement layer is of 1280x720, it is a 2x spatial scalable coding.</w:t>
      </w:r>
    </w:p>
    <w:p>
      <w:pPr>
        <w:pStyle w:val="Normal"/>
        <w:rPr/>
      </w:pPr>
      <w:r>
        <w:rPr/>
        <w:t>To summarize, Table 3 lists the comparison between SVC and SHVC made in this clause.</w:t>
      </w:r>
    </w:p>
    <w:p>
      <w:pPr>
        <w:pStyle w:val="TH"/>
        <w:rPr/>
      </w:pPr>
      <w:r>
        <w:rPr/>
        <w:t>Table 3: Summary of comparison between SVC and SHVC</w:t>
      </w:r>
    </w:p>
    <w:tbl>
      <w:tblPr>
        <w:tblW w:w="7218" w:type="dxa"/>
        <w:jc w:val="center"/>
        <w:tblInd w:w="0" w:type="dxa"/>
        <w:tblLayout w:type="fixed"/>
        <w:tblCellMar>
          <w:top w:w="0" w:type="dxa"/>
          <w:left w:w="108" w:type="dxa"/>
          <w:bottom w:w="0" w:type="dxa"/>
          <w:right w:w="108" w:type="dxa"/>
        </w:tblCellMar>
      </w:tblPr>
      <w:tblGrid>
        <w:gridCol w:w="1874"/>
        <w:gridCol w:w="2554"/>
        <w:gridCol w:w="2790"/>
      </w:tblGrid>
      <w:tr>
        <w:trPr/>
        <w:tc>
          <w:tcPr>
            <w:tcW w:w="187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554" w:type="dxa"/>
            <w:tcBorders>
              <w:top w:val="single" w:sz="4" w:space="0" w:color="000000"/>
              <w:left w:val="single" w:sz="4" w:space="0" w:color="000000"/>
              <w:bottom w:val="single" w:sz="4" w:space="0" w:color="000000"/>
              <w:right w:val="single" w:sz="4" w:space="0" w:color="000000"/>
            </w:tcBorders>
          </w:tcPr>
          <w:p>
            <w:pPr>
              <w:pStyle w:val="TAH"/>
              <w:rPr/>
            </w:pPr>
            <w:r>
              <w:rPr/>
              <w:t>SVC</w:t>
            </w:r>
          </w:p>
        </w:tc>
        <w:tc>
          <w:tcPr>
            <w:tcW w:w="2790" w:type="dxa"/>
            <w:tcBorders>
              <w:top w:val="single" w:sz="4" w:space="0" w:color="000000"/>
              <w:left w:val="single" w:sz="4" w:space="0" w:color="000000"/>
              <w:bottom w:val="single" w:sz="4" w:space="0" w:color="000000"/>
              <w:right w:val="single" w:sz="4" w:space="0" w:color="000000"/>
            </w:tcBorders>
          </w:tcPr>
          <w:p>
            <w:pPr>
              <w:pStyle w:val="TAH"/>
              <w:rPr/>
            </w:pPr>
            <w:r>
              <w:rPr/>
              <w:t>SHVC</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pPr>
            <w:r>
              <w:rPr/>
              <w:t>Inter-layer prediction signalling</w:t>
            </w:r>
          </w:p>
        </w:tc>
        <w:tc>
          <w:tcPr>
            <w:tcW w:w="2554" w:type="dxa"/>
            <w:tcBorders>
              <w:top w:val="single" w:sz="4" w:space="0" w:color="000000"/>
              <w:left w:val="single" w:sz="4" w:space="0" w:color="000000"/>
              <w:bottom w:val="single" w:sz="4" w:space="0" w:color="000000"/>
              <w:right w:val="single" w:sz="4" w:space="0" w:color="000000"/>
            </w:tcBorders>
          </w:tcPr>
          <w:p>
            <w:pPr>
              <w:pStyle w:val="TAL"/>
              <w:rPr/>
            </w:pPr>
            <w:r>
              <w:rPr/>
              <w:t>Add flag in macroblock</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t>Reuse ref_idx in Prediction Unit</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pPr>
            <w:r>
              <w:rPr/>
              <w:t>Decoding type</w:t>
            </w:r>
          </w:p>
        </w:tc>
        <w:tc>
          <w:tcPr>
            <w:tcW w:w="2554" w:type="dxa"/>
            <w:tcBorders>
              <w:top w:val="single" w:sz="4" w:space="0" w:color="000000"/>
              <w:left w:val="single" w:sz="4" w:space="0" w:color="000000"/>
              <w:bottom w:val="single" w:sz="4" w:space="0" w:color="000000"/>
              <w:right w:val="single" w:sz="4" w:space="0" w:color="000000"/>
            </w:tcBorders>
          </w:tcPr>
          <w:p>
            <w:pPr>
              <w:pStyle w:val="TAL"/>
              <w:rPr/>
            </w:pPr>
            <w:r>
              <w:rPr/>
              <w:t>Single-loop</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t>Multi-loop</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pPr>
            <w:r>
              <w:rPr/>
              <w:t>Spatial scalability ratio</w:t>
            </w:r>
          </w:p>
        </w:tc>
        <w:tc>
          <w:tcPr>
            <w:tcW w:w="2554" w:type="dxa"/>
            <w:tcBorders>
              <w:top w:val="single" w:sz="4" w:space="0" w:color="000000"/>
              <w:left w:val="single" w:sz="4" w:space="0" w:color="000000"/>
              <w:bottom w:val="single" w:sz="4" w:space="0" w:color="000000"/>
              <w:right w:val="single" w:sz="4" w:space="0" w:color="000000"/>
            </w:tcBorders>
          </w:tcPr>
          <w:p>
            <w:pPr>
              <w:pStyle w:val="TAL"/>
              <w:rPr/>
            </w:pPr>
            <w:r>
              <w:rPr/>
              <w:t>Limited to 2x and 1.5x in Scalable Baseline</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t>Arbitrary ratio</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pPr>
            <w:r>
              <w:rPr/>
              <w:t>Spatial resampling phase</w:t>
            </w:r>
          </w:p>
        </w:tc>
        <w:tc>
          <w:tcPr>
            <w:tcW w:w="2554" w:type="dxa"/>
            <w:tcBorders>
              <w:top w:val="single" w:sz="4" w:space="0" w:color="000000"/>
              <w:left w:val="single" w:sz="4" w:space="0" w:color="000000"/>
              <w:bottom w:val="single" w:sz="4" w:space="0" w:color="000000"/>
              <w:right w:val="single" w:sz="4" w:space="0" w:color="000000"/>
            </w:tcBorders>
          </w:tcPr>
          <w:p>
            <w:pPr>
              <w:pStyle w:val="TAL"/>
              <w:rPr/>
            </w:pPr>
            <w:r>
              <w:rPr/>
              <w:t>Fixed phase position</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t>Arbitrary phase adjustment</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pPr>
            <w:r>
              <w:rPr/>
              <w:t>Backward compatibility</w:t>
            </w:r>
          </w:p>
        </w:tc>
        <w:tc>
          <w:tcPr>
            <w:tcW w:w="2554" w:type="dxa"/>
            <w:tcBorders>
              <w:top w:val="single" w:sz="4" w:space="0" w:color="000000"/>
              <w:left w:val="single" w:sz="4" w:space="0" w:color="000000"/>
              <w:bottom w:val="single" w:sz="4" w:space="0" w:color="000000"/>
              <w:right w:val="single" w:sz="4" w:space="0" w:color="000000"/>
            </w:tcBorders>
          </w:tcPr>
          <w:p>
            <w:pPr>
              <w:pStyle w:val="TAL"/>
              <w:rPr/>
            </w:pPr>
            <w:r>
              <w:rPr/>
              <w:t>AVC-coded BL only</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t>HEVC or non-HEVC coded BL</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pPr>
            <w:r>
              <w:rPr/>
              <w:t>BL decoder design</w:t>
            </w:r>
          </w:p>
        </w:tc>
        <w:tc>
          <w:tcPr>
            <w:tcW w:w="2554" w:type="dxa"/>
            <w:tcBorders>
              <w:top w:val="single" w:sz="4" w:space="0" w:color="000000"/>
              <w:left w:val="single" w:sz="4" w:space="0" w:color="000000"/>
              <w:bottom w:val="single" w:sz="4" w:space="0" w:color="000000"/>
              <w:right w:val="single" w:sz="4" w:space="0" w:color="000000"/>
            </w:tcBorders>
          </w:tcPr>
          <w:p>
            <w:pPr>
              <w:pStyle w:val="TAL"/>
              <w:rPr/>
            </w:pPr>
            <w:r>
              <w:rPr/>
              <w:t>Needs new API</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t>No change to the BL decoder</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pPr>
            <w:r>
              <w:rPr/>
              <w:t>EL decoder design</w:t>
            </w:r>
          </w:p>
        </w:tc>
        <w:tc>
          <w:tcPr>
            <w:tcW w:w="2554" w:type="dxa"/>
            <w:tcBorders>
              <w:top w:val="single" w:sz="4" w:space="0" w:color="000000"/>
              <w:left w:val="single" w:sz="4" w:space="0" w:color="000000"/>
              <w:bottom w:val="single" w:sz="4" w:space="0" w:color="000000"/>
              <w:right w:val="single" w:sz="4" w:space="0" w:color="000000"/>
            </w:tcBorders>
          </w:tcPr>
          <w:p>
            <w:pPr>
              <w:pStyle w:val="TAL"/>
              <w:rPr/>
            </w:pPr>
            <w:r>
              <w:rPr/>
              <w:t>Cannot directly reuse AVC decoder</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t>Can repurpose existing HEVC decoder</w:t>
            </w:r>
          </w:p>
        </w:tc>
      </w:tr>
    </w:tbl>
    <w:p>
      <w:pPr>
        <w:pStyle w:val="Normal"/>
        <w:rPr/>
      </w:pPr>
      <w:r>
        <w:rPr/>
      </w:r>
    </w:p>
    <w:p>
      <w:pPr>
        <w:pStyle w:val="Heading2"/>
        <w:jc w:val="both"/>
        <w:rPr/>
      </w:pPr>
      <w:bookmarkStart w:id="29" w:name="__RefHeading___Toc517445317"/>
      <w:bookmarkEnd w:id="29"/>
      <w:r>
        <w:rPr/>
        <w:t>5.4</w:t>
        <w:tab/>
        <w:t>SHVC decoder and encoder complexity analyses</w:t>
      </w:r>
    </w:p>
    <w:p>
      <w:pPr>
        <w:pStyle w:val="Heading3"/>
        <w:jc w:val="both"/>
        <w:rPr/>
      </w:pPr>
      <w:bookmarkStart w:id="30" w:name="__RefHeading___Toc517445318"/>
      <w:bookmarkEnd w:id="30"/>
      <w:r>
        <w:rPr/>
        <w:t>5.4.1</w:t>
        <w:tab/>
        <w:t>Introduction</w:t>
      </w:r>
    </w:p>
    <w:p>
      <w:pPr>
        <w:pStyle w:val="Normal"/>
        <w:rPr/>
      </w:pPr>
      <w:r>
        <w:rPr/>
        <w:t>This clause provides a complexity comparison of SHVC and HEVC simulcast, including the encoder/decoder architecture and coding tools.</w:t>
      </w:r>
    </w:p>
    <w:p>
      <w:pPr>
        <w:pStyle w:val="Normal"/>
        <w:rPr/>
      </w:pPr>
      <w:r>
        <w:rPr/>
        <w:t>The following are concluded from the analysis:</w:t>
      </w:r>
    </w:p>
    <w:p>
      <w:pPr>
        <w:pStyle w:val="B1"/>
        <w:rPr/>
      </w:pPr>
      <w:r>
        <w:rPr>
          <w:rFonts w:eastAsia="MS Mincho;ＭＳ 明朝"/>
          <w:lang w:eastAsia="ja-JP"/>
        </w:rPr>
        <w:t>-</w:t>
        <w:tab/>
        <w:t>SHVC codec architecture is high-level syntax changes only which is easy to implement by re-using the existing HEVC codec designs.</w:t>
      </w:r>
    </w:p>
    <w:p>
      <w:pPr>
        <w:pStyle w:val="B1"/>
        <w:rPr/>
      </w:pPr>
      <w:r>
        <w:rPr>
          <w:rFonts w:eastAsia="MS Mincho;ＭＳ 明朝"/>
          <w:lang w:eastAsia="ja-JP"/>
        </w:rPr>
        <w:t>-</w:t>
        <w:tab/>
        <w:t>HEVC simulcast decoder and SHVC base layer decoder complexity are identical when the output layer is base layer.</w:t>
      </w:r>
    </w:p>
    <w:p>
      <w:pPr>
        <w:pStyle w:val="B1"/>
        <w:rPr/>
      </w:pPr>
      <w:r>
        <w:rPr>
          <w:rFonts w:eastAsia="MS Mincho;ＭＳ 明朝"/>
          <w:lang w:eastAsia="ja-JP"/>
        </w:rPr>
        <w:t>-</w:t>
        <w:tab/>
        <w:t>SHVC decoder complexity is around 1.25x as that of HEVC single layer decoder for 2x spatial scalability when the output layer is the enhancement layer.</w:t>
      </w:r>
    </w:p>
    <w:p>
      <w:pPr>
        <w:pStyle w:val="FP"/>
        <w:rPr>
          <w:rFonts w:eastAsia="MS Mincho;ＭＳ 明朝"/>
          <w:lang w:eastAsia="ja-JP"/>
        </w:rPr>
      </w:pPr>
      <w:r>
        <w:rPr>
          <w:rFonts w:eastAsia="MS Mincho;ＭＳ 明朝"/>
          <w:lang w:eastAsia="ja-JP"/>
        </w:rPr>
      </w:r>
    </w:p>
    <w:p>
      <w:pPr>
        <w:pStyle w:val="Heading3"/>
        <w:jc w:val="both"/>
        <w:rPr/>
      </w:pPr>
      <w:bookmarkStart w:id="31" w:name="__RefHeading___Toc517445319"/>
      <w:bookmarkEnd w:id="31"/>
      <w:r>
        <w:rPr/>
        <w:t>5.4.2</w:t>
        <w:tab/>
        <w:t>HEVC simulcast encoder and decoder</w:t>
      </w:r>
    </w:p>
    <w:p>
      <w:pPr>
        <w:pStyle w:val="Normal"/>
        <w:rPr/>
      </w:pPr>
      <w:r>
        <w:rPr>
          <w:rFonts w:eastAsia="MS Mincho;ＭＳ 明朝"/>
          <w:lang w:eastAsia="ja-JP"/>
        </w:rPr>
        <w:t>HEVC is a block-based hybrid coding architecture, combining inter and intra prediction and transform coding with high-</w:t>
      </w:r>
      <w:r>
        <w:rPr>
          <w:lang w:eastAsia="ko-KR"/>
        </w:rPr>
        <w:t>efficiency</w:t>
      </w:r>
      <w:r>
        <w:rPr>
          <w:rFonts w:eastAsia="MS Mincho;ＭＳ 明朝"/>
          <w:lang w:eastAsia="ja-JP"/>
        </w:rPr>
        <w:t xml:space="preserve"> entropy cod</w:t>
      </w:r>
      <w:r>
        <w:rPr>
          <w:lang w:eastAsia="ko-KR"/>
        </w:rPr>
        <w:t>ing</w:t>
      </w:r>
      <w:r>
        <w:rPr>
          <w:rFonts w:eastAsia="MS Mincho;ＭＳ 明朝"/>
          <w:lang w:eastAsia="ja-JP"/>
        </w:rPr>
        <w:t xml:space="preserve">. HEVC employs a quad-tree coding block partitioning </w:t>
      </w:r>
      <w:r>
        <w:rPr>
          <w:lang w:eastAsia="ko-KR"/>
        </w:rPr>
        <w:t xml:space="preserve">structure based on a coding tree unit (CTU) instead of a macroblock, </w:t>
      </w:r>
      <w:r>
        <w:rPr>
          <w:rFonts w:eastAsia="MS Mincho;ＭＳ 明朝"/>
          <w:lang w:eastAsia="ja-JP"/>
        </w:rPr>
        <w:t xml:space="preserve">which enables a flexible use of large and small </w:t>
      </w:r>
      <w:r>
        <w:rPr>
          <w:lang w:eastAsia="ko-KR"/>
        </w:rPr>
        <w:t xml:space="preserve">coding, </w:t>
      </w:r>
      <w:r>
        <w:rPr>
          <w:rFonts w:eastAsia="MS Mincho;ＭＳ 明朝"/>
          <w:lang w:eastAsia="ja-JP"/>
        </w:rPr>
        <w:t>prediction</w:t>
      </w:r>
      <w:r>
        <w:rPr>
          <w:lang w:eastAsia="ko-KR"/>
        </w:rPr>
        <w:t>,</w:t>
      </w:r>
      <w:r>
        <w:rPr>
          <w:rFonts w:eastAsia="MS Mincho;ＭＳ 明朝"/>
          <w:lang w:eastAsia="ja-JP"/>
        </w:rPr>
        <w:t xml:space="preserve"> and transform blocks</w:t>
      </w:r>
      <w:r>
        <w:rPr>
          <w:lang w:eastAsia="ko-KR"/>
        </w:rPr>
        <w:t xml:space="preserve">. HEVC also allows for improved intra prediction and coding, </w:t>
      </w:r>
      <w:r>
        <w:rPr>
          <w:rFonts w:eastAsia="MS Mincho;ＭＳ 明朝"/>
          <w:lang w:eastAsia="ja-JP"/>
        </w:rPr>
        <w:t xml:space="preserve">adaptive motion parameter </w:t>
      </w:r>
      <w:r>
        <w:rPr>
          <w:lang w:eastAsia="ko-KR"/>
        </w:rPr>
        <w:t xml:space="preserve">prediction and </w:t>
      </w:r>
      <w:r>
        <w:rPr>
          <w:rFonts w:eastAsia="MS Mincho;ＭＳ 明朝"/>
          <w:lang w:eastAsia="ja-JP"/>
        </w:rPr>
        <w:t xml:space="preserve">coding, a </w:t>
      </w:r>
      <w:r>
        <w:rPr>
          <w:lang w:eastAsia="ko-KR"/>
        </w:rPr>
        <w:t xml:space="preserve">new loop filter and an enhanced version of </w:t>
      </w:r>
      <w:r>
        <w:rPr>
          <w:szCs w:val="22"/>
          <w:lang w:eastAsia="ko-KR"/>
        </w:rPr>
        <w:t>c</w:t>
      </w:r>
      <w:r>
        <w:rPr>
          <w:szCs w:val="22"/>
        </w:rPr>
        <w:t>ontext-adaptive binary arithmetic coding</w:t>
      </w:r>
      <w:r>
        <w:rPr>
          <w:lang w:eastAsia="ko-KR"/>
        </w:rPr>
        <w:t xml:space="preserve"> (CABAC) entropy coding</w:t>
      </w:r>
      <w:r>
        <w:rPr>
          <w:rFonts w:eastAsia="MS Mincho;ＭＳ 明朝"/>
          <w:lang w:eastAsia="ja-JP"/>
        </w:rPr>
        <w:t xml:space="preserve">. </w:t>
      </w:r>
      <w:r>
        <w:rPr>
          <w:lang w:eastAsia="ko-KR"/>
        </w:rPr>
        <w:t xml:space="preserve">New high level structures, such as tiles or wavefront parallel processing (WPP), have also been designed to aid parallel processing. </w:t>
      </w:r>
      <w:r>
        <w:rPr/>
        <w:t>Figure 2</w:t>
      </w:r>
      <w:r>
        <w:rPr>
          <w:lang w:eastAsia="ko-KR"/>
        </w:rPr>
        <w:t xml:space="preserve"> </w:t>
      </w:r>
      <w:r>
        <w:rPr>
          <w:rFonts w:eastAsia="MS Mincho;ＭＳ 明朝"/>
          <w:lang w:eastAsia="ja-JP"/>
        </w:rPr>
        <w:t>shows a general block diagram of HEVC encoders.</w:t>
      </w:r>
    </w:p>
    <w:p>
      <w:pPr>
        <w:pStyle w:val="Normal"/>
        <w:rPr/>
      </w:pPr>
      <w:r>
        <w:rPr/>
        <w:t>Figure 3 illustrates a block diagram of HEVC decoders that corresponds to the encoder diagram in Figure 2. The video bitstream is parsed and entropy decoded first, the coding mode and associated prediction information are passed to either intra prediction or motion compensated prediction to form the prediction block. The residual transform coefficients are then inverse quantized and inverse transformed to reconstruct the residual block. The prediction block and the reconstructed residual block are then added together to form the reconstructed block. The reconstructed block may further go through in-loop filtering before being stored into the reference picture buffer and used to predict future video blocks.</w:t>
      </w:r>
    </w:p>
    <w:p>
      <w:pPr>
        <w:pStyle w:val="Normal"/>
        <w:rPr/>
      </w:pPr>
      <w:r>
        <w:rPr>
          <w:rFonts w:eastAsia="MS Mincho;ＭＳ 明朝"/>
          <w:lang w:eastAsia="ja-JP"/>
        </w:rPr>
        <w:t>The total amount of memory required for HEVC decoding can be expected to be similar to that for H.264/AVC decoding, and most of the memory is required for the decoded picture buffer that holds multiple pictures. HEVC may require more cache memory due to larger block sizes that it supports. The complexity of some key modules such as transforms, intra prediction and motion compensation is likely higher in HEVC than in H.264/AVC, and the complexity was reduced in other modules such as entropy coding and deblocking. The implementation cost of an HEVC decoder is not expected to be much higher than that of an H.264/AVC decoder even with additional in-loop filter such as sample adaptive offset (SAO). From an encoder prospective, due to the flexibility of quad-tree structures and many more intra prediction modes, an encoder fully exploiting the capabilities of HEVC can be expected to be several times more complex than an H.264/AVC encoder. It was reported that real-time software decoding and display of a variety of 1080p sequences was feasible on a smartphone featuring an ARMv7 processor clocked at 1.3GHz with 30fps at 2Mbps back in 2012.</w:t>
      </w:r>
    </w:p>
    <w:p>
      <w:pPr>
        <w:pStyle w:val="TH"/>
        <w:rPr>
          <w:lang w:eastAsia="ko-KR"/>
        </w:rPr>
      </w:pPr>
      <w:r>
        <w:rPr>
          <w:lang w:eastAsia="ko-KR"/>
        </w:rPr>
        <w:drawing>
          <wp:inline distT="0" distB="0" distL="0" distR="0">
            <wp:extent cx="4749800" cy="3272790"/>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7"/>
                    <a:srcRect l="-4" t="-6" r="-4" b="-6"/>
                    <a:stretch>
                      <a:fillRect/>
                    </a:stretch>
                  </pic:blipFill>
                  <pic:spPr bwMode="auto">
                    <a:xfrm>
                      <a:off x="0" y="0"/>
                      <a:ext cx="4749800" cy="3272790"/>
                    </a:xfrm>
                    <a:prstGeom prst="rect">
                      <a:avLst/>
                    </a:prstGeom>
                  </pic:spPr>
                </pic:pic>
              </a:graphicData>
            </a:graphic>
          </wp:inline>
        </w:drawing>
      </w:r>
    </w:p>
    <w:p>
      <w:pPr>
        <w:pStyle w:val="TF"/>
        <w:rPr/>
      </w:pPr>
      <w:r>
        <w:rPr/>
        <w:t xml:space="preserve">Figure 2: </w:t>
      </w:r>
      <w:r>
        <w:rPr>
          <w:lang w:eastAsia="ko-KR"/>
        </w:rPr>
        <w:t>Generic diagram of HEVC encoders</w:t>
      </w:r>
    </w:p>
    <w:p>
      <w:pPr>
        <w:pStyle w:val="Normal"/>
        <w:rPr>
          <w:lang w:eastAsia="ko-KR"/>
        </w:rPr>
      </w:pPr>
      <w:r>
        <w:rPr>
          <w:lang w:eastAsia="ko-KR"/>
        </w:rPr>
      </w:r>
    </w:p>
    <w:p>
      <w:pPr>
        <w:pStyle w:val="TH"/>
        <w:rPr/>
      </w:pPr>
      <w:r>
        <w:rPr/>
        <w:object w:dxaOrig="14640" w:dyaOrig="498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67.7pt;height:159.1pt" filled="f" o:ole="">
            <v:imagedata r:id="rId9" o:title=""/>
          </v:shape>
          <o:OLEObject Type="Embed" ProgID="" ShapeID="ole_rId8" DrawAspect="Content" ObjectID="_397869744" r:id="rId8"/>
        </w:object>
      </w:r>
    </w:p>
    <w:p>
      <w:pPr>
        <w:pStyle w:val="TF"/>
        <w:rPr/>
      </w:pPr>
      <w:r>
        <w:rPr/>
        <w:t xml:space="preserve">Figure 3: </w:t>
      </w:r>
      <w:r>
        <w:rPr>
          <w:lang w:eastAsia="ko-KR"/>
        </w:rPr>
        <w:t>Generic diagram of HEVC decoders</w:t>
      </w:r>
    </w:p>
    <w:p>
      <w:pPr>
        <w:pStyle w:val="Normal"/>
        <w:rPr/>
      </w:pPr>
      <w:r>
        <w:rPr>
          <w:lang w:eastAsia="ko-KR"/>
        </w:rPr>
        <w:t xml:space="preserve">For HEVC simulcast, each single layer video sequence is encoded by an HEVC encoder and decoded by an HEVC decode without any dependency. </w:t>
      </w:r>
      <w:r>
        <w:rPr/>
        <w:t>Figure 4</w:t>
      </w:r>
      <w:r>
        <w:rPr>
          <w:lang w:eastAsia="ko-KR"/>
        </w:rPr>
        <w:t xml:space="preserve"> illustrates an HEVC simulcast example with two spatial resolutions, the high resolution video content is encoded by a single HEVC encoder and the generated video bitstream is streamed to the devices with high capabilities or sufficient network bandwidth. The down-sampled low resolution video content is encoded by another HEVC encoder, and the generated video bitstream is streamed to the devices with low capabilities or low network bandwidth. The decoded picture buffer (DPB) stores multiple reconstructed pictures as reference for the motion estimation and compensation.</w:t>
      </w:r>
    </w:p>
    <w:p>
      <w:pPr>
        <w:pStyle w:val="TH"/>
        <w:rPr>
          <w:lang w:eastAsia="ko-KR"/>
        </w:rPr>
      </w:pPr>
      <w:r>
        <w:rPr/>
        <w:object w:dxaOrig="14475" w:dyaOrig="406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67.5pt;height:131.25pt" filled="f" o:ole="">
            <v:imagedata r:id="rId11" o:title=""/>
          </v:shape>
          <o:OLEObject Type="Embed" ProgID="" ShapeID="ole_rId10" DrawAspect="Content" ObjectID="_773878083" r:id="rId10"/>
        </w:object>
      </w:r>
    </w:p>
    <w:p>
      <w:pPr>
        <w:pStyle w:val="TF"/>
        <w:rPr/>
      </w:pPr>
      <w:r>
        <w:rPr/>
        <w:t xml:space="preserve">Figure 4: </w:t>
      </w:r>
      <w:r>
        <w:rPr>
          <w:lang w:eastAsia="ko-KR"/>
        </w:rPr>
        <w:t>HEVC simulcast example</w:t>
      </w:r>
    </w:p>
    <w:p>
      <w:pPr>
        <w:pStyle w:val="Heading3"/>
        <w:jc w:val="both"/>
        <w:rPr/>
      </w:pPr>
      <w:bookmarkStart w:id="32" w:name="__RefHeading___Toc517445320"/>
      <w:bookmarkEnd w:id="32"/>
      <w:r>
        <w:rPr/>
        <w:t>5.4.3</w:t>
        <w:tab/>
        <w:t>SHVC encoder and decoder</w:t>
      </w:r>
    </w:p>
    <w:p>
      <w:pPr>
        <w:pStyle w:val="Normal"/>
        <w:rPr/>
      </w:pPr>
      <w:r>
        <w:rPr>
          <w:lang w:eastAsia="ko-KR"/>
        </w:rPr>
        <w:t xml:space="preserve">SHVC is the scalability extension to HEVC that enables spatial scalability, SNR scalability, bit depth scalability and color gamut scalability. </w:t>
      </w:r>
      <w:r>
        <w:rPr/>
        <w:t>The SHVC design uses a multi-loop coding framework, such that in order to decode an enhancement layer, its reference layers have to first be fully decoded to make them available as prediction references. The coding tools of SHVC are limited to changes at the slice level and above for ease of implementation, especially the possibility to re-use existing HEVC implementations.</w:t>
      </w:r>
    </w:p>
    <w:p>
      <w:pPr>
        <w:pStyle w:val="TH"/>
        <w:rPr/>
      </w:pPr>
      <w:r>
        <w:rPr/>
        <w:object w:dxaOrig="8925" w:dyaOrig="438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46.3pt;height:219.05pt" filled="f" o:ole="">
            <v:imagedata r:id="rId13" o:title=""/>
          </v:shape>
          <o:OLEObject Type="Embed" ProgID="" ShapeID="ole_rId12" DrawAspect="Content" ObjectID="_1841313300" r:id="rId12"/>
        </w:object>
      </w:r>
    </w:p>
    <w:p>
      <w:pPr>
        <w:pStyle w:val="TF"/>
        <w:rPr/>
      </w:pPr>
      <w:r>
        <w:rPr/>
        <w:t>Figure 5: 2 layer spatial scalability SHVC encoder diagram</w:t>
      </w:r>
    </w:p>
    <w:p>
      <w:pPr>
        <w:pStyle w:val="Normal"/>
        <w:rPr/>
      </w:pPr>
      <w:r>
        <w:rPr/>
        <w:t>Figure 5</w:t>
      </w:r>
      <w:r>
        <w:rPr>
          <w:lang w:eastAsia="ko-KR"/>
        </w:rPr>
        <w:t xml:space="preserve"> shows a two-layer spatial scalability SHVC encoder architecture consisting of a base layer (BL) encoder and an enhancement layer (EL) encoder. The base layer encoder is identical to a single HEVC encoder. The up-sampling module is used to map reconstructed sample values from the base layer to the higher-resolution sampling grid of the enhancement layer. This allows the use of the reconstructed base layer sample values for enhancement layer prediction.</w:t>
      </w:r>
    </w:p>
    <w:p>
      <w:pPr>
        <w:pStyle w:val="TH"/>
        <w:rPr/>
      </w:pPr>
      <w:r>
        <w:rPr/>
        <w:object w:dxaOrig="10125" w:dyaOrig="361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67.25pt;height:166.8pt" filled="f" o:ole="">
            <v:imagedata r:id="rId15" o:title=""/>
          </v:shape>
          <o:OLEObject Type="Embed" ProgID="" ShapeID="ole_rId14" DrawAspect="Content" ObjectID="_1608279912" r:id="rId14"/>
        </w:object>
      </w:r>
    </w:p>
    <w:p>
      <w:pPr>
        <w:pStyle w:val="TF"/>
        <w:rPr/>
      </w:pPr>
      <w:r>
        <w:rPr/>
        <w:t xml:space="preserve">Figure 6: </w:t>
      </w:r>
      <w:r>
        <w:rPr>
          <w:lang w:eastAsia="ko-KR"/>
        </w:rPr>
        <w:t>2 layer spatial scalability SHVC decoder diagram</w:t>
      </w:r>
    </w:p>
    <w:p>
      <w:pPr>
        <w:pStyle w:val="Normal"/>
        <w:rPr/>
      </w:pPr>
      <w:r>
        <w:rPr/>
        <w:t>Figure 6</w:t>
      </w:r>
      <w:r>
        <w:rPr>
          <w:lang w:eastAsia="ko-KR"/>
        </w:rPr>
        <w:t xml:space="preserve"> shows a two layer spatial scalability SHVC decoder architecture consisting of a base layer (BL) decoder and an enhancement layer (EL) decoder. The base layer decoder is identical to a single HEVC decoder. The reconstructed picture from the base layer is then up-sampled and put into the EL DPB as a long term reference picture and used along with the EL temporal reference pictures for enhancement layer decoding.</w:t>
      </w:r>
    </w:p>
    <w:p>
      <w:pPr>
        <w:pStyle w:val="NO"/>
        <w:rPr>
          <w:lang w:eastAsia="ko-KR"/>
        </w:rPr>
      </w:pPr>
      <w:r>
        <w:rPr>
          <w:caps/>
          <w:lang w:eastAsia="ko-KR"/>
        </w:rPr>
        <w:t>Note</w:t>
      </w:r>
      <w:r>
        <w:rPr>
          <w:lang w:eastAsia="ko-KR"/>
        </w:rPr>
        <w:t>:</w:t>
        <w:tab/>
      </w:r>
      <w:r>
        <w:rPr/>
        <w:t>In the SHVC spec, the up-sampled reference layer picture is not specified as being stored in the DPB. Decoders that would store an entire up-sampled reference layer picture can store it in a memory buffer that is conceptually not considered as part of the DPB.</w:t>
      </w:r>
    </w:p>
    <w:p>
      <w:pPr>
        <w:pStyle w:val="Normal"/>
        <w:rPr/>
      </w:pPr>
      <w:r>
        <w:rPr>
          <w:lang w:eastAsia="ko-KR"/>
        </w:rPr>
        <w:t xml:space="preserve">Furthermore, the base layer codec in </w:t>
      </w:r>
      <w:r>
        <w:rPr/>
        <w:t>Figure 2</w:t>
      </w:r>
      <w:r>
        <w:rPr>
          <w:lang w:eastAsia="ko-KR"/>
        </w:rPr>
        <w:t xml:space="preserve"> and </w:t>
      </w:r>
      <w:r>
        <w:rPr/>
        <w:t>Figure 3</w:t>
      </w:r>
      <w:r>
        <w:rPr>
          <w:lang w:eastAsia="ko-KR"/>
        </w:rPr>
        <w:t xml:space="preserve"> can be operated as a black box because SHVC EL codec only needs the reconstructed BL pictures. This makes it easier to support different codecs for the base layer, which is also referred to as hybrid codec scalability. Such feature allows previous generation codecs to be used in the BL for backward compatibility, and the more efficient HEVC codec is used in the EL to improve coding performance.</w:t>
      </w:r>
    </w:p>
    <w:p>
      <w:pPr>
        <w:pStyle w:val="Heading3"/>
        <w:jc w:val="both"/>
        <w:rPr/>
      </w:pPr>
      <w:bookmarkStart w:id="33" w:name="__RefHeading___Toc517445321"/>
      <w:bookmarkEnd w:id="33"/>
      <w:r>
        <w:rPr/>
        <w:t>5.4.4</w:t>
        <w:tab/>
        <w:t>Upsampling filter</w:t>
      </w:r>
    </w:p>
    <w:p>
      <w:pPr>
        <w:pStyle w:val="Normal"/>
        <w:rPr/>
      </w:pPr>
      <w:r>
        <w:rPr>
          <w:lang w:eastAsia="ko-KR"/>
        </w:rPr>
        <w:t xml:space="preserve">In SHVC, the upsampling filter is defined as an 8-tap filter for luma resampling, and a 4-tap filter for chroma resampling. The basic design enables the use of arbitrary upsampling ratios, in which filters for all 16 phase positions would be necessary. </w:t>
      </w:r>
      <w:r>
        <w:rPr/>
        <w:t>Table 4</w:t>
      </w:r>
      <w:r>
        <w:rPr>
          <w:lang w:eastAsia="ko-KR"/>
        </w:rPr>
        <w:t xml:space="preserve"> shows the filter coefficients of 8-tap luma resampling filters and </w:t>
      </w:r>
      <w:r>
        <w:rPr/>
        <w:t>Table 5</w:t>
      </w:r>
      <w:r>
        <w:rPr>
          <w:lang w:eastAsia="ko-KR"/>
        </w:rPr>
        <w:t xml:space="preserve"> shows the filter coefficients of the 4-tap chroma resampling filters. In HEVC, the luma and chroma sample interpolation for fractional sample positions use the similar type of filters with the same number of taps.</w:t>
      </w:r>
    </w:p>
    <w:p>
      <w:pPr>
        <w:pStyle w:val="TH"/>
        <w:rPr/>
      </w:pPr>
      <w:r>
        <w:rPr/>
        <w:t>Table 4: 16-phase luma resampling filter</w:t>
      </w:r>
    </w:p>
    <w:tbl>
      <w:tblPr>
        <w:tblW w:w="8662" w:type="dxa"/>
        <w:jc w:val="center"/>
        <w:tblInd w:w="0" w:type="dxa"/>
        <w:tblLayout w:type="fixed"/>
        <w:tblCellMar>
          <w:top w:w="0" w:type="dxa"/>
          <w:left w:w="0" w:type="dxa"/>
          <w:bottom w:w="0" w:type="dxa"/>
          <w:right w:w="0" w:type="dxa"/>
        </w:tblCellMar>
      </w:tblPr>
      <w:tblGrid>
        <w:gridCol w:w="1169"/>
        <w:gridCol w:w="950"/>
        <w:gridCol w:w="950"/>
        <w:gridCol w:w="950"/>
        <w:gridCol w:w="843"/>
        <w:gridCol w:w="950"/>
        <w:gridCol w:w="950"/>
        <w:gridCol w:w="950"/>
        <w:gridCol w:w="950"/>
      </w:tblGrid>
      <w:tr>
        <w:trPr>
          <w:trHeight w:val="255" w:hRule="atLeast"/>
          <w:cantSplit w:val="true"/>
        </w:trPr>
        <w:tc>
          <w:tcPr>
            <w:tcW w:w="116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rPr>
            </w:pPr>
            <w:r>
              <w:rPr/>
              <w:t>phase p</w:t>
            </w:r>
          </w:p>
        </w:tc>
        <w:tc>
          <w:tcPr>
            <w:tcW w:w="7493" w:type="dxa"/>
            <w:gridSpan w:val="8"/>
            <w:tcBorders>
              <w:top w:val="single" w:sz="4" w:space="0" w:color="000000"/>
              <w:bottom w:val="single" w:sz="4" w:space="0" w:color="000000"/>
              <w:right w:val="single" w:sz="4" w:space="0" w:color="000000"/>
            </w:tcBorders>
            <w:tcMar>
              <w:top w:w="9" w:type="dxa"/>
              <w:left w:w="9" w:type="dxa"/>
              <w:right w:w="9" w:type="dxa"/>
            </w:tcMar>
            <w:vAlign w:val="bottom"/>
          </w:tcPr>
          <w:p>
            <w:pPr>
              <w:pStyle w:val="TAH"/>
              <w:rPr/>
            </w:pPr>
            <w:r>
              <w:rPr/>
              <w:t>interpolation filter coefficients</w:t>
            </w:r>
          </w:p>
        </w:tc>
      </w:tr>
      <w:tr>
        <w:trPr>
          <w:trHeight w:val="255" w:hRule="atLeast"/>
          <w:cantSplit w:val="true"/>
        </w:trPr>
        <w:tc>
          <w:tcPr>
            <w:tcW w:w="116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Arial Unicode MS"/>
                <w:szCs w:val="18"/>
              </w:rPr>
            </w:pPr>
            <w:r>
              <w:rPr>
                <w:rFonts w:eastAsia="Arial Unicode MS"/>
                <w:szCs w:val="18"/>
              </w:rPr>
            </w:r>
          </w:p>
        </w:tc>
        <w:tc>
          <w:tcPr>
            <w:tcW w:w="950" w:type="dxa"/>
            <w:tcBorders>
              <w:bottom w:val="single" w:sz="4" w:space="0" w:color="000000"/>
              <w:right w:val="single" w:sz="4" w:space="0" w:color="000000"/>
            </w:tcBorders>
            <w:tcMar>
              <w:top w:w="9" w:type="dxa"/>
              <w:left w:w="9" w:type="dxa"/>
              <w:right w:w="9" w:type="dxa"/>
            </w:tcMar>
            <w:vAlign w:val="bottom"/>
          </w:tcPr>
          <w:p>
            <w:pPr>
              <w:pStyle w:val="TAH"/>
              <w:rPr>
                <w:rFonts w:eastAsia="Arial Unicode MS"/>
              </w:rPr>
            </w:pPr>
            <w:r>
              <w:rPr/>
              <w:t>f</w:t>
            </w:r>
            <w:r>
              <w:rPr>
                <w:vertAlign w:val="subscript"/>
              </w:rPr>
              <w:t>L</w:t>
            </w:r>
            <w:r>
              <w:rPr/>
              <w:t>[ p, 0 ]</w:t>
            </w:r>
          </w:p>
        </w:tc>
        <w:tc>
          <w:tcPr>
            <w:tcW w:w="950" w:type="dxa"/>
            <w:tcBorders>
              <w:bottom w:val="single" w:sz="4" w:space="0" w:color="000000"/>
              <w:right w:val="single" w:sz="4" w:space="0" w:color="000000"/>
            </w:tcBorders>
            <w:vAlign w:val="bottom"/>
          </w:tcPr>
          <w:p>
            <w:pPr>
              <w:pStyle w:val="TAH"/>
              <w:rPr>
                <w:rFonts w:eastAsia="Arial Unicode MS"/>
              </w:rPr>
            </w:pPr>
            <w:r>
              <w:rPr/>
              <w:t>f</w:t>
            </w:r>
            <w:r>
              <w:rPr>
                <w:vertAlign w:val="subscript"/>
              </w:rPr>
              <w:t>L</w:t>
            </w:r>
            <w:r>
              <w:rPr/>
              <w:t>[ p, 1 ]</w:t>
            </w:r>
          </w:p>
        </w:tc>
        <w:tc>
          <w:tcPr>
            <w:tcW w:w="950" w:type="dxa"/>
            <w:tcBorders>
              <w:bottom w:val="single" w:sz="4" w:space="0" w:color="000000"/>
              <w:right w:val="single" w:sz="4" w:space="0" w:color="000000"/>
            </w:tcBorders>
            <w:tcMar>
              <w:top w:w="9" w:type="dxa"/>
              <w:left w:w="9" w:type="dxa"/>
              <w:right w:w="9" w:type="dxa"/>
            </w:tcMar>
            <w:vAlign w:val="bottom"/>
          </w:tcPr>
          <w:p>
            <w:pPr>
              <w:pStyle w:val="TAH"/>
              <w:rPr>
                <w:rFonts w:eastAsia="Arial Unicode MS"/>
              </w:rPr>
            </w:pPr>
            <w:r>
              <w:rPr/>
              <w:t>f</w:t>
            </w:r>
            <w:r>
              <w:rPr>
                <w:vertAlign w:val="subscript"/>
              </w:rPr>
              <w:t>L</w:t>
            </w:r>
            <w:r>
              <w:rPr/>
              <w:t>[ p, 2 ]</w:t>
            </w:r>
          </w:p>
        </w:tc>
        <w:tc>
          <w:tcPr>
            <w:tcW w:w="843" w:type="dxa"/>
            <w:tcBorders>
              <w:bottom w:val="single" w:sz="4" w:space="0" w:color="000000"/>
              <w:right w:val="single" w:sz="4" w:space="0" w:color="000000"/>
            </w:tcBorders>
            <w:vAlign w:val="bottom"/>
          </w:tcPr>
          <w:p>
            <w:pPr>
              <w:pStyle w:val="TAH"/>
              <w:rPr>
                <w:rFonts w:eastAsia="Arial Unicode MS"/>
              </w:rPr>
            </w:pPr>
            <w:r>
              <w:rPr/>
              <w:t>f</w:t>
            </w:r>
            <w:r>
              <w:rPr>
                <w:vertAlign w:val="subscript"/>
              </w:rPr>
              <w:t>L</w:t>
            </w:r>
            <w:r>
              <w:rPr/>
              <w:t>[ p, 3 ]</w:t>
            </w:r>
          </w:p>
        </w:tc>
        <w:tc>
          <w:tcPr>
            <w:tcW w:w="950" w:type="dxa"/>
            <w:tcBorders>
              <w:bottom w:val="single" w:sz="4" w:space="0" w:color="000000"/>
              <w:right w:val="single" w:sz="4" w:space="0" w:color="000000"/>
            </w:tcBorders>
            <w:tcMar>
              <w:top w:w="9" w:type="dxa"/>
              <w:left w:w="9" w:type="dxa"/>
              <w:right w:w="9" w:type="dxa"/>
            </w:tcMar>
            <w:vAlign w:val="bottom"/>
          </w:tcPr>
          <w:p>
            <w:pPr>
              <w:pStyle w:val="TAH"/>
              <w:rPr>
                <w:rFonts w:eastAsia="Arial Unicode MS"/>
              </w:rPr>
            </w:pPr>
            <w:r>
              <w:rPr/>
              <w:t>f</w:t>
            </w:r>
            <w:r>
              <w:rPr>
                <w:vertAlign w:val="subscript"/>
              </w:rPr>
              <w:t>L</w:t>
            </w:r>
            <w:r>
              <w:rPr/>
              <w:t>[ p, 4 ]</w:t>
            </w:r>
          </w:p>
        </w:tc>
        <w:tc>
          <w:tcPr>
            <w:tcW w:w="950" w:type="dxa"/>
            <w:tcBorders>
              <w:bottom w:val="single" w:sz="4" w:space="0" w:color="000000"/>
              <w:right w:val="single" w:sz="4" w:space="0" w:color="000000"/>
            </w:tcBorders>
            <w:vAlign w:val="bottom"/>
          </w:tcPr>
          <w:p>
            <w:pPr>
              <w:pStyle w:val="TAH"/>
              <w:rPr>
                <w:rFonts w:eastAsia="Arial Unicode MS"/>
              </w:rPr>
            </w:pPr>
            <w:r>
              <w:rPr/>
              <w:t>f</w:t>
            </w:r>
            <w:r>
              <w:rPr>
                <w:vertAlign w:val="subscript"/>
              </w:rPr>
              <w:t>L</w:t>
            </w:r>
            <w:r>
              <w:rPr/>
              <w:t>[ p, 5 ]</w:t>
            </w:r>
          </w:p>
        </w:tc>
        <w:tc>
          <w:tcPr>
            <w:tcW w:w="950" w:type="dxa"/>
            <w:tcBorders>
              <w:bottom w:val="single" w:sz="4" w:space="0" w:color="000000"/>
              <w:right w:val="single" w:sz="4" w:space="0" w:color="000000"/>
            </w:tcBorders>
            <w:tcMar>
              <w:top w:w="9" w:type="dxa"/>
              <w:left w:w="9" w:type="dxa"/>
              <w:right w:w="9" w:type="dxa"/>
            </w:tcMar>
            <w:vAlign w:val="bottom"/>
          </w:tcPr>
          <w:p>
            <w:pPr>
              <w:pStyle w:val="TAH"/>
              <w:rPr>
                <w:rFonts w:eastAsia="Arial Unicode MS"/>
              </w:rPr>
            </w:pPr>
            <w:r>
              <w:rPr/>
              <w:t>f</w:t>
            </w:r>
            <w:r>
              <w:rPr>
                <w:vertAlign w:val="subscript"/>
              </w:rPr>
              <w:t>L</w:t>
            </w:r>
            <w:r>
              <w:rPr/>
              <w:t>[ p, 6 ]</w:t>
            </w:r>
          </w:p>
        </w:tc>
        <w:tc>
          <w:tcPr>
            <w:tcW w:w="950" w:type="dxa"/>
            <w:tcBorders>
              <w:bottom w:val="single" w:sz="4" w:space="0" w:color="000000"/>
              <w:right w:val="single" w:sz="4" w:space="0" w:color="000000"/>
            </w:tcBorders>
            <w:vAlign w:val="bottom"/>
          </w:tcPr>
          <w:p>
            <w:pPr>
              <w:pStyle w:val="TAH"/>
              <w:rPr>
                <w:rFonts w:eastAsia="Arial Unicode MS"/>
              </w:rPr>
            </w:pPr>
            <w:r>
              <w:rPr/>
              <w:t>f</w:t>
            </w:r>
            <w:r>
              <w:rPr>
                <w:vertAlign w:val="subscript"/>
              </w:rPr>
              <w:t>L</w:t>
            </w:r>
            <w:r>
              <w:rPr/>
              <w:t>[ p, 7 ]</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rFonts w:eastAsia="Arial Unicode MS"/>
              </w:rPr>
              <w:t>0</w:t>
            </w:r>
          </w:p>
        </w:tc>
        <w:tc>
          <w:tcPr>
            <w:tcW w:w="843" w:type="dxa"/>
            <w:tcBorders>
              <w:bottom w:val="single" w:sz="4" w:space="0" w:color="000000"/>
              <w:right w:val="single" w:sz="4" w:space="0" w:color="000000"/>
            </w:tcBorders>
            <w:vAlign w:val="bottom"/>
          </w:tcPr>
          <w:p>
            <w:pPr>
              <w:pStyle w:val="TAL"/>
              <w:rPr>
                <w:rFonts w:eastAsia="Arial Unicode MS"/>
              </w:rPr>
            </w:pPr>
            <w:r>
              <w:rPr/>
              <w:t>64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0</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3</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63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50" w:type="dxa"/>
            <w:tcBorders>
              <w:bottom w:val="single" w:sz="4" w:space="0" w:color="000000"/>
              <w:right w:val="single" w:sz="4" w:space="0" w:color="000000"/>
            </w:tcBorders>
            <w:vAlign w:val="bottom"/>
          </w:tcPr>
          <w:p>
            <w:pPr>
              <w:pStyle w:val="TAL"/>
              <w:rPr>
                <w:rFonts w:eastAsia="Arial Unicode MS"/>
              </w:rPr>
            </w:pPr>
            <w:r>
              <w:rPr/>
              <w:t>−</w:t>
            </w:r>
            <w:r>
              <w:rPr/>
              <w:t>2</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0</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2</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2</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5</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62</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8</w:t>
            </w:r>
          </w:p>
        </w:tc>
        <w:tc>
          <w:tcPr>
            <w:tcW w:w="950" w:type="dxa"/>
            <w:tcBorders>
              <w:bottom w:val="single" w:sz="4" w:space="0" w:color="000000"/>
              <w:right w:val="single" w:sz="4" w:space="0" w:color="000000"/>
            </w:tcBorders>
            <w:vAlign w:val="bottom"/>
          </w:tcPr>
          <w:p>
            <w:pPr>
              <w:pStyle w:val="TAL"/>
              <w:rPr>
                <w:rFonts w:eastAsia="Arial Unicode MS"/>
              </w:rPr>
            </w:pPr>
            <w:r>
              <w:rPr/>
              <w:t>−</w:t>
            </w:r>
            <w:r>
              <w:rPr/>
              <w:t>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0</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8</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60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13</w:t>
            </w:r>
          </w:p>
        </w:tc>
        <w:tc>
          <w:tcPr>
            <w:tcW w:w="950" w:type="dxa"/>
            <w:tcBorders>
              <w:bottom w:val="single" w:sz="4" w:space="0" w:color="000000"/>
              <w:right w:val="single" w:sz="4" w:space="0" w:color="000000"/>
            </w:tcBorders>
            <w:vAlign w:val="bottom"/>
          </w:tcPr>
          <w:p>
            <w:pPr>
              <w:pStyle w:val="TAL"/>
              <w:rPr>
                <w:rFonts w:eastAsia="Arial Unicode MS"/>
              </w:rPr>
            </w:pPr>
            <w:r>
              <w:rPr/>
              <w:t>−</w:t>
            </w:r>
            <w:r>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0</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10</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58</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17</w:t>
            </w:r>
          </w:p>
        </w:tc>
        <w:tc>
          <w:tcPr>
            <w:tcW w:w="950" w:type="dxa"/>
            <w:tcBorders>
              <w:bottom w:val="single" w:sz="4" w:space="0" w:color="000000"/>
              <w:right w:val="single" w:sz="4" w:space="0" w:color="000000"/>
            </w:tcBorders>
            <w:vAlign w:val="bottom"/>
          </w:tcPr>
          <w:p>
            <w:pPr>
              <w:pStyle w:val="TAL"/>
              <w:rPr>
                <w:rFonts w:eastAsia="Arial Unicode MS"/>
              </w:rPr>
            </w:pPr>
            <w:r>
              <w:rPr/>
              <w:t>−</w:t>
            </w:r>
            <w:r>
              <w:rPr/>
              <w:t>5</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0</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11</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52</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26</w:t>
            </w:r>
          </w:p>
        </w:tc>
        <w:tc>
          <w:tcPr>
            <w:tcW w:w="950" w:type="dxa"/>
            <w:tcBorders>
              <w:bottom w:val="single" w:sz="4" w:space="0" w:color="000000"/>
              <w:right w:val="single" w:sz="4" w:space="0" w:color="000000"/>
            </w:tcBorders>
            <w:vAlign w:val="bottom"/>
          </w:tcPr>
          <w:p>
            <w:pPr>
              <w:pStyle w:val="TAL"/>
              <w:rPr/>
            </w:pPr>
            <w:r>
              <w:rPr/>
              <w:t>−</w:t>
            </w:r>
            <w:r>
              <w:rPr>
                <w:rFonts w:eastAsia="Arial Unicode MS"/>
              </w:rPr>
              <w:t>8</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w:t>
            </w:r>
          </w:p>
        </w:tc>
        <w:tc>
          <w:tcPr>
            <w:tcW w:w="950" w:type="dxa"/>
            <w:tcBorders>
              <w:bottom w:val="single" w:sz="4" w:space="0" w:color="000000"/>
              <w:right w:val="single" w:sz="4" w:space="0" w:color="000000"/>
            </w:tcBorders>
            <w:vAlign w:val="bottom"/>
          </w:tcPr>
          <w:p>
            <w:pPr>
              <w:pStyle w:val="TAL"/>
              <w:rPr/>
            </w:pPr>
            <w:r>
              <w:rPr/>
              <w:t>−</w:t>
            </w:r>
            <w:r>
              <w:rPr>
                <w:rFonts w:eastAsia="Arial Unicode MS"/>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6</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9</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47</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31</w:t>
            </w:r>
          </w:p>
        </w:tc>
        <w:tc>
          <w:tcPr>
            <w:tcW w:w="950" w:type="dxa"/>
            <w:tcBorders>
              <w:bottom w:val="single" w:sz="4" w:space="0" w:color="000000"/>
              <w:right w:val="single" w:sz="4" w:space="0" w:color="000000"/>
            </w:tcBorders>
            <w:vAlign w:val="bottom"/>
          </w:tcPr>
          <w:p>
            <w:pPr>
              <w:pStyle w:val="TAL"/>
              <w:rPr>
                <w:rFonts w:eastAsia="Arial Unicode MS"/>
              </w:rPr>
            </w:pPr>
            <w:r>
              <w:rPr/>
              <w:t>−</w:t>
            </w:r>
            <w:r>
              <w:rPr/>
              <w:t>10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50" w:type="dxa"/>
            <w:tcBorders>
              <w:bottom w:val="single" w:sz="4" w:space="0" w:color="000000"/>
              <w:right w:val="single" w:sz="4" w:space="0" w:color="000000"/>
            </w:tcBorders>
            <w:vAlign w:val="bottom"/>
          </w:tcPr>
          <w:p>
            <w:pPr>
              <w:pStyle w:val="TAL"/>
              <w:rPr>
                <w:rFonts w:eastAsia="Arial Unicode MS"/>
              </w:rPr>
            </w:pPr>
            <w:r>
              <w:rPr/>
              <w:t>−</w:t>
            </w:r>
            <w:r>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7</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11</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45</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34</w:t>
            </w:r>
          </w:p>
        </w:tc>
        <w:tc>
          <w:tcPr>
            <w:tcW w:w="950" w:type="dxa"/>
            <w:tcBorders>
              <w:bottom w:val="single" w:sz="4" w:space="0" w:color="000000"/>
              <w:right w:val="single" w:sz="4" w:space="0" w:color="000000"/>
            </w:tcBorders>
            <w:vAlign w:val="bottom"/>
          </w:tcPr>
          <w:p>
            <w:pPr>
              <w:pStyle w:val="TAL"/>
              <w:rPr>
                <w:rFonts w:eastAsia="Arial Unicode MS"/>
              </w:rPr>
            </w:pPr>
            <w:r>
              <w:rPr/>
              <w:t>−</w:t>
            </w:r>
            <w:r>
              <w:rPr/>
              <w:t>10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50" w:type="dxa"/>
            <w:tcBorders>
              <w:bottom w:val="single" w:sz="4" w:space="0" w:color="000000"/>
              <w:right w:val="single" w:sz="4" w:space="0" w:color="000000"/>
            </w:tcBorders>
            <w:vAlign w:val="bottom"/>
          </w:tcPr>
          <w:p>
            <w:pPr>
              <w:pStyle w:val="TAL"/>
              <w:rPr>
                <w:rFonts w:eastAsia="Arial Unicode MS"/>
              </w:rPr>
            </w:pPr>
            <w:r>
              <w:rPr/>
              <w:t>−</w:t>
            </w:r>
            <w:r>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8</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11</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40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40</w:t>
            </w:r>
          </w:p>
        </w:tc>
        <w:tc>
          <w:tcPr>
            <w:tcW w:w="950" w:type="dxa"/>
            <w:tcBorders>
              <w:bottom w:val="single" w:sz="4" w:space="0" w:color="000000"/>
              <w:right w:val="single" w:sz="4" w:space="0" w:color="000000"/>
            </w:tcBorders>
            <w:vAlign w:val="bottom"/>
          </w:tcPr>
          <w:p>
            <w:pPr>
              <w:pStyle w:val="TAL"/>
              <w:rPr/>
            </w:pPr>
            <w:r>
              <w:rPr/>
              <w:t>−</w:t>
            </w:r>
            <w:r>
              <w:rPr>
                <w:rFonts w:eastAsia="Arial Unicode MS"/>
              </w:rPr>
              <w:t>11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50" w:type="dxa"/>
            <w:tcBorders>
              <w:bottom w:val="single" w:sz="4" w:space="0" w:color="000000"/>
              <w:right w:val="single" w:sz="4" w:space="0" w:color="000000"/>
            </w:tcBorders>
            <w:vAlign w:val="bottom"/>
          </w:tcPr>
          <w:p>
            <w:pPr>
              <w:pStyle w:val="TAL"/>
              <w:rPr/>
            </w:pPr>
            <w:r>
              <w:rPr/>
              <w:t>−</w:t>
            </w:r>
            <w:r>
              <w:rPr>
                <w:rFonts w:eastAsia="Arial Unicode MS"/>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9</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10</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34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45</w:t>
            </w:r>
          </w:p>
        </w:tc>
        <w:tc>
          <w:tcPr>
            <w:tcW w:w="950" w:type="dxa"/>
            <w:tcBorders>
              <w:bottom w:val="single" w:sz="4" w:space="0" w:color="000000"/>
              <w:right w:val="single" w:sz="4" w:space="0" w:color="000000"/>
            </w:tcBorders>
            <w:vAlign w:val="bottom"/>
          </w:tcPr>
          <w:p>
            <w:pPr>
              <w:pStyle w:val="TAL"/>
              <w:rPr>
                <w:rFonts w:eastAsia="Arial Unicode MS"/>
              </w:rPr>
            </w:pPr>
            <w:r>
              <w:rPr/>
              <w:t>−</w:t>
            </w:r>
            <w:r>
              <w:rPr/>
              <w:t>11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50" w:type="dxa"/>
            <w:tcBorders>
              <w:bottom w:val="single" w:sz="4" w:space="0" w:color="000000"/>
              <w:right w:val="single" w:sz="4" w:space="0" w:color="000000"/>
            </w:tcBorders>
            <w:vAlign w:val="bottom"/>
          </w:tcPr>
          <w:p>
            <w:pPr>
              <w:pStyle w:val="TAL"/>
              <w:rPr>
                <w:rFonts w:eastAsia="Arial Unicode MS"/>
              </w:rPr>
            </w:pPr>
            <w:r>
              <w:rPr/>
              <w:t>−</w:t>
            </w:r>
            <w:r>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10</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31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47</w:t>
            </w:r>
          </w:p>
        </w:tc>
        <w:tc>
          <w:tcPr>
            <w:tcW w:w="950" w:type="dxa"/>
            <w:tcBorders>
              <w:bottom w:val="single" w:sz="4" w:space="0" w:color="000000"/>
              <w:right w:val="single" w:sz="4" w:space="0" w:color="000000"/>
            </w:tcBorders>
            <w:vAlign w:val="bottom"/>
          </w:tcPr>
          <w:p>
            <w:pPr>
              <w:pStyle w:val="TAL"/>
              <w:rPr>
                <w:rFonts w:eastAsia="Arial Unicode MS"/>
              </w:rPr>
            </w:pPr>
            <w:r>
              <w:rPr/>
              <w:t>−</w:t>
            </w:r>
            <w:r>
              <w:rPr/>
              <w:t>9</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w:t>
            </w:r>
          </w:p>
        </w:tc>
        <w:tc>
          <w:tcPr>
            <w:tcW w:w="950" w:type="dxa"/>
            <w:tcBorders>
              <w:bottom w:val="single" w:sz="4" w:space="0" w:color="000000"/>
              <w:right w:val="single" w:sz="4" w:space="0" w:color="000000"/>
            </w:tcBorders>
            <w:vAlign w:val="bottom"/>
          </w:tcPr>
          <w:p>
            <w:pPr>
              <w:pStyle w:val="TAL"/>
              <w:rPr>
                <w:rFonts w:eastAsia="Arial Unicode MS"/>
              </w:rPr>
            </w:pPr>
            <w:r>
              <w:rPr/>
              <w:t>−</w:t>
            </w:r>
            <w:r>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8</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26</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52</w:t>
            </w:r>
          </w:p>
        </w:tc>
        <w:tc>
          <w:tcPr>
            <w:tcW w:w="950" w:type="dxa"/>
            <w:tcBorders>
              <w:bottom w:val="single" w:sz="4" w:space="0" w:color="000000"/>
              <w:right w:val="single" w:sz="4" w:space="0" w:color="000000"/>
            </w:tcBorders>
            <w:vAlign w:val="bottom"/>
          </w:tcPr>
          <w:p>
            <w:pPr>
              <w:pStyle w:val="TAL"/>
              <w:rPr/>
            </w:pPr>
            <w:r>
              <w:rPr/>
              <w:t>−</w:t>
            </w:r>
            <w:r>
              <w:rPr>
                <w:rFonts w:eastAsia="Arial Unicode MS"/>
              </w:rPr>
              <w:t>11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50" w:type="dxa"/>
            <w:tcBorders>
              <w:bottom w:val="single" w:sz="4" w:space="0" w:color="000000"/>
              <w:right w:val="single" w:sz="4" w:space="0" w:color="000000"/>
            </w:tcBorders>
            <w:vAlign w:val="bottom"/>
          </w:tcPr>
          <w:p>
            <w:pPr>
              <w:pStyle w:val="TAL"/>
              <w:rPr/>
            </w:pPr>
            <w:r>
              <w:rPr/>
              <w:t>−</w:t>
            </w:r>
            <w:r>
              <w:rPr>
                <w:rFonts w:eastAsia="Arial Unicode MS"/>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12</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5</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17</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58</w:t>
            </w:r>
          </w:p>
        </w:tc>
        <w:tc>
          <w:tcPr>
            <w:tcW w:w="950" w:type="dxa"/>
            <w:tcBorders>
              <w:bottom w:val="single" w:sz="4" w:space="0" w:color="000000"/>
              <w:right w:val="single" w:sz="4" w:space="0" w:color="000000"/>
            </w:tcBorders>
            <w:vAlign w:val="bottom"/>
          </w:tcPr>
          <w:p>
            <w:pPr>
              <w:pStyle w:val="TAL"/>
              <w:rPr>
                <w:rFonts w:eastAsia="Arial Unicode MS"/>
              </w:rPr>
            </w:pPr>
            <w:r>
              <w:rPr/>
              <w:t>−</w:t>
            </w:r>
            <w:r>
              <w:rPr/>
              <w:t>10</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50" w:type="dxa"/>
            <w:tcBorders>
              <w:bottom w:val="single" w:sz="4" w:space="0" w:color="000000"/>
              <w:right w:val="single" w:sz="4" w:space="0" w:color="000000"/>
            </w:tcBorders>
            <w:vAlign w:val="bottom"/>
          </w:tcPr>
          <w:p>
            <w:pPr>
              <w:pStyle w:val="TAL"/>
              <w:rPr/>
            </w:pPr>
            <w:r>
              <w:rPr/>
              <w:t>−</w:t>
            </w:r>
            <w:r>
              <w:rPr>
                <w:rFonts w:eastAsia="Arial Unicode MS"/>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13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60</w:t>
            </w:r>
          </w:p>
        </w:tc>
        <w:tc>
          <w:tcPr>
            <w:tcW w:w="950" w:type="dxa"/>
            <w:tcBorders>
              <w:bottom w:val="single" w:sz="4" w:space="0" w:color="000000"/>
              <w:right w:val="single" w:sz="4" w:space="0" w:color="000000"/>
            </w:tcBorders>
            <w:vAlign w:val="bottom"/>
          </w:tcPr>
          <w:p>
            <w:pPr>
              <w:pStyle w:val="TAL"/>
              <w:rPr>
                <w:rFonts w:eastAsia="Arial Unicode MS"/>
              </w:rPr>
            </w:pPr>
            <w:r>
              <w:rPr/>
              <w:t>−</w:t>
            </w:r>
            <w:r>
              <w:rPr/>
              <w:t>8</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w:t>
            </w:r>
          </w:p>
        </w:tc>
        <w:tc>
          <w:tcPr>
            <w:tcW w:w="950" w:type="dxa"/>
            <w:tcBorders>
              <w:bottom w:val="single" w:sz="4" w:space="0" w:color="000000"/>
              <w:right w:val="single" w:sz="4" w:space="0" w:color="000000"/>
            </w:tcBorders>
            <w:vAlign w:val="bottom"/>
          </w:tcPr>
          <w:p>
            <w:pPr>
              <w:pStyle w:val="TAL"/>
              <w:rPr/>
            </w:pPr>
            <w:r>
              <w:rPr/>
              <w:t>−</w:t>
            </w:r>
            <w:r>
              <w:rPr>
                <w:rFonts w:eastAsia="Arial Unicode MS"/>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3</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8</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62</w:t>
            </w:r>
          </w:p>
        </w:tc>
        <w:tc>
          <w:tcPr>
            <w:tcW w:w="950" w:type="dxa"/>
            <w:tcBorders>
              <w:bottom w:val="single" w:sz="4" w:space="0" w:color="000000"/>
              <w:right w:val="single" w:sz="4" w:space="0" w:color="000000"/>
            </w:tcBorders>
            <w:vAlign w:val="bottom"/>
          </w:tcPr>
          <w:p>
            <w:pPr>
              <w:pStyle w:val="TAL"/>
              <w:rPr>
                <w:rFonts w:eastAsia="Arial Unicode MS"/>
              </w:rPr>
            </w:pPr>
            <w:r>
              <w:rPr/>
              <w:t>−</w:t>
            </w:r>
            <w:r>
              <w:rPr/>
              <w:t>5</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2</w:t>
            </w:r>
          </w:p>
        </w:tc>
        <w:tc>
          <w:tcPr>
            <w:tcW w:w="950" w:type="dxa"/>
            <w:tcBorders>
              <w:bottom w:val="single" w:sz="4" w:space="0" w:color="000000"/>
              <w:right w:val="single" w:sz="4" w:space="0" w:color="000000"/>
            </w:tcBorders>
            <w:vAlign w:val="bottom"/>
          </w:tcPr>
          <w:p>
            <w:pPr>
              <w:pStyle w:val="TAL"/>
              <w:rPr/>
            </w:pPr>
            <w:r>
              <w:rPr/>
              <w:t>−</w:t>
            </w:r>
            <w:r>
              <w:rPr>
                <w:rFonts w:eastAsia="Arial Unicode MS"/>
              </w:rPr>
              <w:t>1</w:t>
            </w:r>
          </w:p>
        </w:tc>
      </w:tr>
      <w:tr>
        <w:trPr>
          <w:trHeight w:val="255" w:hRule="atLeast"/>
        </w:trPr>
        <w:tc>
          <w:tcPr>
            <w:tcW w:w="1169"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15</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1</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c>
          <w:tcPr>
            <w:tcW w:w="843" w:type="dxa"/>
            <w:tcBorders>
              <w:bottom w:val="single" w:sz="4" w:space="0" w:color="000000"/>
              <w:right w:val="single" w:sz="4" w:space="0" w:color="000000"/>
            </w:tcBorders>
            <w:vAlign w:val="bottom"/>
          </w:tcPr>
          <w:p>
            <w:pPr>
              <w:pStyle w:val="TAL"/>
              <w:rPr>
                <w:rFonts w:eastAsia="Arial Unicode MS"/>
              </w:rPr>
            </w:pPr>
            <w:r>
              <w:rPr>
                <w:rFonts w:eastAsia="Arial Unicode MS"/>
              </w:rPr>
              <w:t>4</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63</w:t>
            </w:r>
          </w:p>
        </w:tc>
        <w:tc>
          <w:tcPr>
            <w:tcW w:w="950" w:type="dxa"/>
            <w:tcBorders>
              <w:bottom w:val="single" w:sz="4" w:space="0" w:color="000000"/>
              <w:right w:val="single" w:sz="4" w:space="0" w:color="000000"/>
            </w:tcBorders>
            <w:vAlign w:val="bottom"/>
          </w:tcPr>
          <w:p>
            <w:pPr>
              <w:pStyle w:val="TAL"/>
              <w:rPr>
                <w:rFonts w:eastAsia="Arial Unicode MS"/>
              </w:rPr>
            </w:pPr>
            <w:r>
              <w:rPr/>
              <w:t>−</w:t>
            </w:r>
            <w:r>
              <w:rPr/>
              <w:t>3</w:t>
            </w:r>
          </w:p>
        </w:tc>
        <w:tc>
          <w:tcPr>
            <w:tcW w:w="95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w:t>
            </w:r>
          </w:p>
        </w:tc>
        <w:tc>
          <w:tcPr>
            <w:tcW w:w="950" w:type="dxa"/>
            <w:tcBorders>
              <w:bottom w:val="single" w:sz="4" w:space="0" w:color="000000"/>
              <w:right w:val="single" w:sz="4" w:space="0" w:color="000000"/>
            </w:tcBorders>
            <w:vAlign w:val="bottom"/>
          </w:tcPr>
          <w:p>
            <w:pPr>
              <w:pStyle w:val="TAL"/>
              <w:rPr>
                <w:rFonts w:eastAsia="Arial Unicode MS"/>
              </w:rPr>
            </w:pPr>
            <w:r>
              <w:rPr>
                <w:rFonts w:eastAsia="Arial Unicode MS"/>
              </w:rPr>
              <w:t>0</w:t>
            </w:r>
          </w:p>
        </w:tc>
      </w:tr>
    </w:tbl>
    <w:p>
      <w:pPr>
        <w:pStyle w:val="Normal"/>
        <w:rPr>
          <w:lang w:eastAsia="ko-KR"/>
        </w:rPr>
      </w:pPr>
      <w:r>
        <w:rPr>
          <w:lang w:eastAsia="ko-KR"/>
        </w:rPr>
      </w:r>
    </w:p>
    <w:p>
      <w:pPr>
        <w:pStyle w:val="TH"/>
        <w:rPr/>
      </w:pPr>
      <w:r>
        <w:rPr/>
        <w:t>Table 5: 16-phase chroma resampling filter</w:t>
      </w:r>
    </w:p>
    <w:tbl>
      <w:tblPr>
        <w:tblW w:w="4872" w:type="dxa"/>
        <w:jc w:val="center"/>
        <w:tblInd w:w="0" w:type="dxa"/>
        <w:tblLayout w:type="fixed"/>
        <w:tblCellMar>
          <w:top w:w="0" w:type="dxa"/>
          <w:left w:w="0" w:type="dxa"/>
          <w:bottom w:w="0" w:type="dxa"/>
          <w:right w:w="0" w:type="dxa"/>
        </w:tblCellMar>
      </w:tblPr>
      <w:tblGrid>
        <w:gridCol w:w="960"/>
        <w:gridCol w:w="1032"/>
        <w:gridCol w:w="960"/>
        <w:gridCol w:w="960"/>
        <w:gridCol w:w="960"/>
      </w:tblGrid>
      <w:tr>
        <w:trPr>
          <w:trHeight w:val="255" w:hRule="atLeast"/>
          <w:cantSplit w:val="true"/>
        </w:trPr>
        <w:tc>
          <w:tcPr>
            <w:tcW w:w="960" w:type="dxa"/>
            <w:vMerge w:val="restart"/>
            <w:tcBorders>
              <w:top w:val="single" w:sz="4" w:space="0" w:color="000000"/>
              <w:left w:val="single" w:sz="4" w:space="0" w:color="000000"/>
              <w:bottom w:val="single" w:sz="4" w:space="0" w:color="000000"/>
              <w:right w:val="single" w:sz="4" w:space="0" w:color="000000"/>
            </w:tcBorders>
            <w:vAlign w:val="center"/>
          </w:tcPr>
          <w:p>
            <w:pPr>
              <w:pStyle w:val="TAR"/>
              <w:rPr>
                <w:rFonts w:eastAsia="Arial Unicode MS"/>
              </w:rPr>
            </w:pPr>
            <w:r>
              <w:rPr/>
              <w:t>phase p</w:t>
            </w:r>
          </w:p>
        </w:tc>
        <w:tc>
          <w:tcPr>
            <w:tcW w:w="3912" w:type="dxa"/>
            <w:gridSpan w:val="4"/>
            <w:tcBorders>
              <w:top w:val="single" w:sz="4" w:space="0" w:color="000000"/>
              <w:bottom w:val="single" w:sz="4" w:space="0" w:color="000000"/>
              <w:right w:val="single" w:sz="4" w:space="0" w:color="000000"/>
            </w:tcBorders>
            <w:tcMar>
              <w:top w:w="9" w:type="dxa"/>
              <w:left w:w="9" w:type="dxa"/>
              <w:right w:w="9" w:type="dxa"/>
            </w:tcMar>
            <w:vAlign w:val="bottom"/>
          </w:tcPr>
          <w:p>
            <w:pPr>
              <w:pStyle w:val="TAR"/>
              <w:rPr/>
            </w:pPr>
            <w:r>
              <w:rPr/>
              <w:t>interpolation filter coefficients</w:t>
            </w:r>
          </w:p>
        </w:tc>
      </w:tr>
      <w:tr>
        <w:trPr>
          <w:trHeight w:val="255" w:hRule="atLeast"/>
          <w:cantSplit w:val="true"/>
        </w:trPr>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TAR"/>
              <w:snapToGrid w:val="false"/>
              <w:rPr>
                <w:rFonts w:eastAsia="Arial Unicode MS"/>
              </w:rPr>
            </w:pPr>
            <w:r>
              <w:rPr>
                <w:rFonts w:eastAsia="Arial Unicode MS"/>
              </w:rPr>
            </w:r>
          </w:p>
        </w:tc>
        <w:tc>
          <w:tcPr>
            <w:tcW w:w="1032" w:type="dxa"/>
            <w:tcBorders>
              <w:bottom w:val="single" w:sz="4" w:space="0" w:color="000000"/>
              <w:right w:val="single" w:sz="4" w:space="0" w:color="000000"/>
            </w:tcBorders>
            <w:tcMar>
              <w:top w:w="9" w:type="dxa"/>
              <w:left w:w="9" w:type="dxa"/>
              <w:right w:w="9" w:type="dxa"/>
            </w:tcMar>
            <w:vAlign w:val="bottom"/>
          </w:tcPr>
          <w:p>
            <w:pPr>
              <w:pStyle w:val="TAR"/>
              <w:rPr>
                <w:rFonts w:eastAsia="Arial Unicode MS"/>
              </w:rPr>
            </w:pPr>
            <w:r>
              <w:rPr/>
              <w:t>f</w:t>
            </w:r>
            <w:r>
              <w:rPr>
                <w:vertAlign w:val="subscript"/>
              </w:rPr>
              <w:t>C</w:t>
            </w:r>
            <w:r>
              <w:rPr/>
              <w:t>[ p, 0 ]</w:t>
            </w:r>
          </w:p>
        </w:tc>
        <w:tc>
          <w:tcPr>
            <w:tcW w:w="960" w:type="dxa"/>
            <w:tcBorders>
              <w:bottom w:val="single" w:sz="4" w:space="0" w:color="000000"/>
              <w:right w:val="single" w:sz="4" w:space="0" w:color="000000"/>
            </w:tcBorders>
            <w:tcMar>
              <w:top w:w="9" w:type="dxa"/>
              <w:left w:w="9" w:type="dxa"/>
              <w:right w:w="9" w:type="dxa"/>
            </w:tcMar>
            <w:vAlign w:val="bottom"/>
          </w:tcPr>
          <w:p>
            <w:pPr>
              <w:pStyle w:val="TAR"/>
              <w:rPr>
                <w:rFonts w:eastAsia="Arial Unicode MS"/>
              </w:rPr>
            </w:pPr>
            <w:r>
              <w:rPr/>
              <w:t>f</w:t>
            </w:r>
            <w:r>
              <w:rPr>
                <w:vertAlign w:val="subscript"/>
              </w:rPr>
              <w:t>C</w:t>
            </w:r>
            <w:r>
              <w:rPr/>
              <w:t>[ p, 1 ]</w:t>
            </w:r>
          </w:p>
        </w:tc>
        <w:tc>
          <w:tcPr>
            <w:tcW w:w="960" w:type="dxa"/>
            <w:tcBorders>
              <w:bottom w:val="single" w:sz="4" w:space="0" w:color="000000"/>
              <w:right w:val="single" w:sz="4" w:space="0" w:color="000000"/>
            </w:tcBorders>
            <w:tcMar>
              <w:top w:w="9" w:type="dxa"/>
              <w:left w:w="9" w:type="dxa"/>
              <w:right w:w="9" w:type="dxa"/>
            </w:tcMar>
            <w:vAlign w:val="bottom"/>
          </w:tcPr>
          <w:p>
            <w:pPr>
              <w:pStyle w:val="TAR"/>
              <w:rPr>
                <w:rFonts w:eastAsia="Arial Unicode MS"/>
              </w:rPr>
            </w:pPr>
            <w:r>
              <w:rPr/>
              <w:t>f</w:t>
            </w:r>
            <w:r>
              <w:rPr>
                <w:vertAlign w:val="subscript"/>
              </w:rPr>
              <w:t>C</w:t>
            </w:r>
            <w:r>
              <w:rPr/>
              <w:t>[ p, 2 ]</w:t>
            </w:r>
          </w:p>
        </w:tc>
        <w:tc>
          <w:tcPr>
            <w:tcW w:w="960" w:type="dxa"/>
            <w:tcBorders>
              <w:bottom w:val="single" w:sz="4" w:space="0" w:color="000000"/>
              <w:right w:val="single" w:sz="4" w:space="0" w:color="000000"/>
            </w:tcBorders>
            <w:tcMar>
              <w:top w:w="9" w:type="dxa"/>
              <w:left w:w="9" w:type="dxa"/>
              <w:right w:w="9" w:type="dxa"/>
            </w:tcMar>
            <w:vAlign w:val="bottom"/>
          </w:tcPr>
          <w:p>
            <w:pPr>
              <w:pStyle w:val="TAR"/>
              <w:rPr>
                <w:rFonts w:eastAsia="Arial Unicode MS"/>
              </w:rPr>
            </w:pPr>
            <w:r>
              <w:rPr/>
              <w:t>f</w:t>
            </w:r>
            <w:r>
              <w:rPr>
                <w:vertAlign w:val="subscript"/>
              </w:rPr>
              <w:t>C</w:t>
            </w:r>
            <w:r>
              <w:rPr/>
              <w:t>[ p, 3 ]</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64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62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2</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58</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20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6</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28</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7</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8</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9</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30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10</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28</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6</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11</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20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6</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12</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13</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56</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4</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14</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58</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r>
      <w:tr>
        <w:trPr>
          <w:trHeight w:val="255" w:hRule="atLeast"/>
        </w:trPr>
        <w:tc>
          <w:tcPr>
            <w:tcW w:w="960" w:type="dxa"/>
            <w:tcBorders>
              <w:left w:val="single" w:sz="4" w:space="0" w:color="000000"/>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15</w:t>
            </w:r>
          </w:p>
        </w:tc>
        <w:tc>
          <w:tcPr>
            <w:tcW w:w="1032"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0</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4</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62</w:t>
            </w:r>
          </w:p>
        </w:tc>
        <w:tc>
          <w:tcPr>
            <w:tcW w:w="960" w:type="dxa"/>
            <w:tcBorders>
              <w:bottom w:val="single" w:sz="4" w:space="0" w:color="000000"/>
              <w:right w:val="single" w:sz="4" w:space="0" w:color="000000"/>
            </w:tcBorders>
            <w:tcMar>
              <w:top w:w="9" w:type="dxa"/>
              <w:left w:w="9" w:type="dxa"/>
              <w:right w:w="9" w:type="dxa"/>
            </w:tcMar>
            <w:vAlign w:val="bottom"/>
          </w:tcPr>
          <w:p>
            <w:pPr>
              <w:pStyle w:val="TAL"/>
              <w:rPr>
                <w:rFonts w:eastAsia="Arial Unicode MS"/>
              </w:rPr>
            </w:pPr>
            <w:r>
              <w:rPr/>
              <w:t>−</w:t>
            </w:r>
            <w:r>
              <w:rPr/>
              <w:t>2</w:t>
            </w:r>
          </w:p>
        </w:tc>
      </w:tr>
    </w:tbl>
    <w:p>
      <w:pPr>
        <w:pStyle w:val="Normal"/>
        <w:rPr>
          <w:lang w:eastAsia="ko-KR"/>
        </w:rPr>
      </w:pPr>
      <w:r>
        <w:rPr>
          <w:lang w:eastAsia="ko-KR"/>
        </w:rPr>
      </w:r>
    </w:p>
    <w:p>
      <w:pPr>
        <w:pStyle w:val="Heading3"/>
        <w:jc w:val="both"/>
        <w:rPr/>
      </w:pPr>
      <w:bookmarkStart w:id="34" w:name="__RefHeading___Toc517445322"/>
      <w:bookmarkEnd w:id="34"/>
      <w:r>
        <w:rPr/>
        <w:t>5.4.5</w:t>
        <w:tab/>
        <w:t>Inter-layer texture prediction</w:t>
      </w:r>
    </w:p>
    <w:p>
      <w:pPr>
        <w:pStyle w:val="Normal"/>
        <w:rPr/>
      </w:pPr>
      <w:r>
        <w:rPr>
          <w:lang w:eastAsia="ko-KR"/>
        </w:rPr>
        <w:t>The upsampling process above enables the projection of reference layer reconstructed samples to the enhancement layer resolution. SHVC requires an EL decoder to insert the up-sampled reference layer picture into the EL DPB as inter-layer reference picture (ILP) for texture prediction. The ILP is signaled in reference picture list (RPL) for reference in the same manner as usually in inter prediction.</w:t>
      </w:r>
    </w:p>
    <w:p>
      <w:pPr>
        <w:pStyle w:val="Normal"/>
        <w:rPr/>
      </w:pPr>
      <w:r>
        <w:rPr>
          <w:lang w:eastAsia="ko-KR"/>
        </w:rPr>
        <w:t>The process for constructing the RPL at the decoder is relatively straightforward. First, an initial RPL is constructed in the same way as in HEVC version 1, the short-term reference pictures and long-term reference pictures identified in the bitstream are added to the RPL, and the upsampled base layer picture is inserted after the short-term reference pictures that have smaller values of picture order counts than the current picture and is marked as a long term reference picture. Again, this is consistent with the HEVC except that the initial RPL contain the upsampled base layer picture and any additional reference layer pictures when present.</w:t>
      </w:r>
    </w:p>
    <w:p>
      <w:pPr>
        <w:pStyle w:val="Normal"/>
        <w:rPr/>
      </w:pPr>
      <w:r>
        <w:rPr>
          <w:lang w:eastAsia="ko-KR"/>
        </w:rPr>
        <w:t>Such reference index signaling based approach improves the coding flexibility and efficiency since the enhancement layer encoder can signal a prediction from either temporal reference picture, or base layer upsampled reference picture, or both with weighted prediction. To limit memory bandwidth and complexity, SHVC specifies a bitstream restriction that the motion vector will be zero when referencing the upsampled reference layer samples. This simplifies the codec design, especially for implementations that might perform the up-sampling on the fly as part of prediction process, rather than upsampling whole reference pictures in advance.</w:t>
      </w:r>
    </w:p>
    <w:p>
      <w:pPr>
        <w:pStyle w:val="TH"/>
        <w:rPr/>
      </w:pPr>
      <w:r>
        <w:rPr/>
        <w:object w:dxaOrig="10905" w:dyaOrig="610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29.85pt;height:184.7pt" filled="f" o:ole="">
            <v:imagedata r:id="rId17" o:title=""/>
          </v:shape>
          <o:OLEObject Type="Embed" ProgID="" ShapeID="ole_rId16" DrawAspect="Content" ObjectID="_891689404" r:id="rId16"/>
        </w:object>
      </w:r>
    </w:p>
    <w:p>
      <w:pPr>
        <w:pStyle w:val="TF"/>
        <w:rPr/>
      </w:pPr>
      <w:r>
        <w:rPr/>
        <w:t xml:space="preserve">Figure 7: </w:t>
      </w:r>
      <w:r>
        <w:rPr>
          <w:lang w:eastAsia="ko-KR"/>
        </w:rPr>
        <w:t>SHVC inter-layer texture prediction</w:t>
      </w:r>
    </w:p>
    <w:p>
      <w:pPr>
        <w:pStyle w:val="Heading3"/>
        <w:jc w:val="both"/>
        <w:rPr/>
      </w:pPr>
      <w:bookmarkStart w:id="35" w:name="__RefHeading___Toc517445323"/>
      <w:bookmarkEnd w:id="35"/>
      <w:r>
        <w:rPr/>
        <w:t>5.4.6</w:t>
        <w:tab/>
        <w:t>Inter-layer motion prediction</w:t>
      </w:r>
    </w:p>
    <w:p>
      <w:pPr>
        <w:pStyle w:val="Normal"/>
        <w:rPr>
          <w:lang w:eastAsia="ko-KR"/>
        </w:rPr>
      </w:pPr>
      <w:r>
        <w:rPr>
          <w:lang w:eastAsia="ko-KR"/>
        </w:rPr>
        <w:t>SHVC uses the reference layer motion information when coding EL motion vectors (MVs) by making use of the existing temporal motion vector prediction (TMVP) process of HEVC version 1.</w:t>
      </w:r>
    </w:p>
    <w:p>
      <w:pPr>
        <w:pStyle w:val="Normal"/>
        <w:rPr/>
      </w:pPr>
      <w:r>
        <w:rPr>
          <w:lang w:eastAsia="ko-KR"/>
        </w:rPr>
        <w:t>In HEVC, TMVP is used to predict motion information for a current block from a co-located block in the reference picture (</w:t>
      </w:r>
      <w:r>
        <w:rPr/>
        <w:t>Figure 8</w:t>
      </w:r>
      <w:r>
        <w:rPr>
          <w:lang w:eastAsia="ko-KR"/>
        </w:rPr>
        <w:t>). The motion information consists of inter prediction mode, reference indices, luma MVs and reference picture order counts (POCs) of the co-located block. The motion information is compressed and stored on a 16x16 luma lock basis which reduces the worst-case memory size and bandwidth requirements for storing the reference layer motion information.</w:t>
      </w:r>
    </w:p>
    <w:p>
      <w:pPr>
        <w:pStyle w:val="TH"/>
        <w:rPr/>
      </w:pPr>
      <w:r>
        <w:rPr/>
        <w:object w:dxaOrig="12120" w:dyaOrig="306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7.2pt;height:117.95pt" filled="f" o:ole="">
            <v:imagedata r:id="rId19" o:title=""/>
          </v:shape>
          <o:OLEObject Type="Embed" ProgID="" ShapeID="ole_rId18" DrawAspect="Content" ObjectID="_1654826255" r:id="rId18"/>
        </w:object>
      </w:r>
    </w:p>
    <w:p>
      <w:pPr>
        <w:pStyle w:val="TF"/>
        <w:rPr/>
      </w:pPr>
      <w:r>
        <w:rPr/>
        <w:t xml:space="preserve">Figure 8: </w:t>
      </w:r>
      <w:r>
        <w:rPr>
          <w:lang w:eastAsia="ko-KR"/>
        </w:rPr>
        <w:t>HEVC TMVP</w:t>
      </w:r>
    </w:p>
    <w:p>
      <w:pPr>
        <w:pStyle w:val="Normal"/>
        <w:rPr/>
      </w:pPr>
      <w:r>
        <w:rPr>
          <w:lang w:eastAsia="ko-KR"/>
        </w:rPr>
        <w:t xml:space="preserve">SHVC inter-layer motion prediction maps BL's motion information to EL's resolution and the mapped motion information is also stored in units of 16x16 luma samples. Once the EL co-located position is determined and the corresponding motion information from the co-located BL block is available, a scaling operation is applied to those BL motion vectors to account for the upsampling ratio. The scaled BL motion information is then used as reference to predict the EL's motion information as shown in </w:t>
      </w:r>
      <w:r>
        <w:rPr/>
        <w:t>Figure 9</w:t>
      </w:r>
      <w:r>
        <w:rPr>
          <w:lang w:eastAsia="ko-KR"/>
        </w:rPr>
        <w:t>. The inter-layer motion prediction provides a means to leverage a significant amount of reference layer information without changing the block level design of an HEVC codec. When the base layer is using a previous generation codec such as H264/AVC or MPEG-2, the inter-layer motion prediction is disabled since the BL motion information may not be available.</w:t>
      </w:r>
    </w:p>
    <w:p>
      <w:pPr>
        <w:pStyle w:val="TH"/>
        <w:rPr/>
      </w:pPr>
      <w:r>
        <w:rPr/>
        <w:object w:dxaOrig="12435" w:dyaOrig="607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67.55pt;height:228.4pt" filled="f" o:ole="">
            <v:imagedata r:id="rId21" o:title=""/>
          </v:shape>
          <o:OLEObject Type="Embed" ProgID="" ShapeID="ole_rId20" DrawAspect="Content" ObjectID="_1306365535" r:id="rId20"/>
        </w:object>
      </w:r>
    </w:p>
    <w:p>
      <w:pPr>
        <w:pStyle w:val="TF"/>
        <w:rPr>
          <w:lang w:eastAsia="ko-KR"/>
        </w:rPr>
      </w:pPr>
      <w:r>
        <w:rPr/>
        <w:t>Figure 9: SHVC inter-layer motion prediction</w:t>
      </w:r>
    </w:p>
    <w:p>
      <w:pPr>
        <w:pStyle w:val="Heading3"/>
        <w:jc w:val="both"/>
        <w:rPr/>
      </w:pPr>
      <w:bookmarkStart w:id="36" w:name="__RefHeading___Toc517445324"/>
      <w:bookmarkEnd w:id="36"/>
      <w:r>
        <w:rPr/>
        <w:t>5.4.7</w:t>
        <w:tab/>
        <w:t>Conclusion</w:t>
      </w:r>
    </w:p>
    <w:p>
      <w:pPr>
        <w:pStyle w:val="Normal"/>
        <w:rPr/>
      </w:pPr>
      <w:r>
        <w:rPr>
          <w:lang w:eastAsia="ko-KR"/>
        </w:rPr>
        <w:t>SHVC adopts a multi-loop design framework with only high-level syntax changes relative to its base codec. Such design would ease SHVC implementation and allow re-using existing HEVC implementations. The SHVC coding modules such as up-sampling filter, inter-layer texture prediction and inter-layer motion prediction leverage a significant amount of reference layer information without changing the block level design of an HEVC codec.</w:t>
      </w:r>
    </w:p>
    <w:p>
      <w:pPr>
        <w:pStyle w:val="Normal"/>
        <w:rPr/>
      </w:pPr>
      <w:r>
        <w:rPr>
          <w:lang w:eastAsia="ko-KR"/>
        </w:rPr>
        <w:t>The computational complexity and memory access would be similar between HEVC simulcast and SHVC from the encoder perspective. Multiple HEVC simulcast bitstreams or multiple layer SHVC bitstreams would be generated to support multiparty video conferencing, and the complexity of each layer's HEVC encoder or SHVC encoder would be similar based on the previous technical complexity analysis.</w:t>
      </w:r>
    </w:p>
    <w:p>
      <w:pPr>
        <w:pStyle w:val="Normal"/>
        <w:rPr/>
      </w:pPr>
      <w:r>
        <w:rPr>
          <w:lang w:eastAsia="ko-KR"/>
        </w:rPr>
        <w:t>From the decoder perspective, the decoding complexity of the base layer would be exactly the same between HEVC simulcast decoder (of the lowest resolution) and SHVC base layer decoder. When decoding the high resolution layer, SHVC base layer decoder and enhancement layer decoder are both needed in order to output enhancement layer pictures, the extra computational complexity of SHVC decoder comparing to HEVC single layer decoder is determined by the base layer decoder complexity. For 2x spatial scalability, SHVC decoder complexity is estimated to be around 1.25x comparing to HEVC single layer decoder when the enhancement layer is the output layer.</w:t>
      </w:r>
    </w:p>
    <w:p>
      <w:pPr>
        <w:pStyle w:val="Heading1"/>
        <w:ind w:left="1134" w:hanging="1134"/>
        <w:rPr/>
      </w:pPr>
      <w:bookmarkStart w:id="37" w:name="__RefHeading___Toc517445325"/>
      <w:bookmarkEnd w:id="37"/>
      <w:r>
        <w:rPr/>
        <w:t>6</w:t>
        <w:tab/>
        <w:t>Use cases</w:t>
      </w:r>
    </w:p>
    <w:p>
      <w:pPr>
        <w:pStyle w:val="Heading2"/>
        <w:rPr/>
      </w:pPr>
      <w:bookmarkStart w:id="38" w:name="__RefHeading___Toc517445326"/>
      <w:bookmarkEnd w:id="38"/>
      <w:r>
        <w:rPr/>
        <w:t>6.1</w:t>
        <w:tab/>
        <w:t>Multi-stream Multiparty Video Conferencing (MMVC)</w:t>
      </w:r>
    </w:p>
    <w:p>
      <w:pPr>
        <w:pStyle w:val="Heading3"/>
        <w:rPr/>
      </w:pPr>
      <w:bookmarkStart w:id="39" w:name="__RefHeading___Toc517445327"/>
      <w:bookmarkEnd w:id="39"/>
      <w:r>
        <w:rPr/>
        <w:t>6.1.1</w:t>
        <w:tab/>
        <w:t>The heterogeneous-device MMVC use case</w:t>
      </w:r>
    </w:p>
    <w:p>
      <w:pPr>
        <w:pStyle w:val="Normal"/>
        <w:rPr/>
      </w:pPr>
      <w:r>
        <w:rPr/>
        <w:t>The first MMVC use case considers video conferencing with multiple participating endpoints, e.g. special VC terminals, laptops, tablets and smartphones, with different decoding and render capabilities. This use case is thus referred to as the heterogeneous-device MMVC use case. The Multimedia Resource Function Processor (MRFP) as the conference focus makes connections between multiple video conferencing endpoints and receives video streams from each endpoint, and forwards a set of appropriate video streams to each endpoint.</w:t>
      </w:r>
    </w:p>
    <w:p>
      <w:pPr>
        <w:pStyle w:val="Normal"/>
        <w:rPr/>
      </w:pPr>
      <w:r>
        <w:rPr/>
        <w:t>The following assumptions are made for this use case:</w:t>
      </w:r>
    </w:p>
    <w:p>
      <w:pPr>
        <w:pStyle w:val="B1"/>
        <w:rPr/>
      </w:pPr>
      <w:r>
        <w:rPr/>
        <w:t>1)</w:t>
        <w:tab/>
        <w:t>It is assumed that there are two terminal classes, the high-end terminal devices that are capable of encoding/sending and decoding/receiving a high video resolution, e.g. 1080p@30fps, and the low-end terminal devices that are capable of encoding/sending and decoding/receiving a medium video resolution, e.g. 720p@30fps.</w:t>
      </w:r>
    </w:p>
    <w:p>
      <w:pPr>
        <w:pStyle w:val="B1"/>
        <w:rPr/>
      </w:pPr>
      <w:r>
        <w:rPr/>
        <w:t>2)</w:t>
        <w:tab/>
        <w:t>Each UE other than the current active speaker displays a full video of the current active speaker and a thumbnail video of other participants. The video resolution of the full video is the lower of the current active speaker's sending capability and this UE's receiving capability. The video resolution of each thumbnail video is of a low video solution, e.g. 240p@15fps.</w:t>
      </w:r>
    </w:p>
    <w:p>
      <w:pPr>
        <w:pStyle w:val="B1"/>
        <w:rPr/>
      </w:pPr>
      <w:r>
        <w:rPr/>
        <w:t>3)</w:t>
        <w:tab/>
        <w:t>The current active speaker UE displays a full video of the previous active speaker and a thumbnail video of other participants. The video resolution of the full video is the lower of the previous active speaker's sending capability and the active speaker UE's receiving capability.</w:t>
      </w:r>
    </w:p>
    <w:p>
      <w:pPr>
        <w:pStyle w:val="B1"/>
        <w:rPr/>
      </w:pPr>
      <w:r>
        <w:rPr/>
        <w:t>4)</w:t>
        <w:tab/>
        <w:t>It is assumed that the thumbnail video of each participant is encoded as a single video bitstream (i.e. not as the base layer of a scalable video bitstream).</w:t>
      </w:r>
    </w:p>
    <w:p>
      <w:pPr>
        <w:pStyle w:val="Normal"/>
        <w:rPr/>
      </w:pPr>
      <w:r>
        <w:rPr/>
        <w:t>Figure 10 shows an example of this use case. Four endpoints (A, B, C and D) are the participants in one video conference, where participants A and D are high-end devices, B and C and are low-end devices, A is the current active speaker, and B is the previous active speaker.</w:t>
      </w:r>
    </w:p>
    <w:p>
      <w:pPr>
        <w:pStyle w:val="TH"/>
        <w:rPr/>
      </w:pPr>
      <w:r>
        <w:rPr/>
        <w:drawing>
          <wp:inline distT="0" distB="0" distL="0" distR="0">
            <wp:extent cx="4674235" cy="2426970"/>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22"/>
                    <a:srcRect l="-5" t="-10" r="-5" b="-10"/>
                    <a:stretch>
                      <a:fillRect/>
                    </a:stretch>
                  </pic:blipFill>
                  <pic:spPr bwMode="auto">
                    <a:xfrm>
                      <a:off x="0" y="0"/>
                      <a:ext cx="4674235" cy="2426970"/>
                    </a:xfrm>
                    <a:prstGeom prst="rect">
                      <a:avLst/>
                    </a:prstGeom>
                  </pic:spPr>
                </pic:pic>
              </a:graphicData>
            </a:graphic>
          </wp:inline>
        </w:drawing>
      </w:r>
    </w:p>
    <w:p>
      <w:pPr>
        <w:pStyle w:val="TF"/>
        <w:rPr/>
      </w:pPr>
      <w:r>
        <w:rPr/>
        <w:t>Figure 10: The heterogeneous-device MMVC use case</w:t>
      </w:r>
    </w:p>
    <w:p>
      <w:pPr>
        <w:pStyle w:val="Normal"/>
        <w:rPr/>
      </w:pPr>
      <w:r>
        <w:rPr/>
        <w:t>The signal flows are as follows:</w:t>
      </w:r>
    </w:p>
    <w:p>
      <w:pPr>
        <w:pStyle w:val="Normal"/>
        <w:rPr/>
      </w:pPr>
      <w:r>
        <w:rPr/>
        <w:t>Participant A (the current active speaker) sends a high video resolution (as main video for participant D) and a medium video resolution (as main video for participants B and C) to the MRFP, and receives (via the MRFP) the medium resolution full video from participant B and the low resolution thumbnail videos from participants C and D.</w:t>
      </w:r>
    </w:p>
    <w:p>
      <w:pPr>
        <w:pStyle w:val="Normal"/>
        <w:rPr/>
      </w:pPr>
      <w:r>
        <w:rPr/>
        <w:t>Participant B (the previous active speaker) sends a medium video resolution (as main video for participant A) and a low resolution thumbnail video (for participants C and D) to the MRFP, and receives (via the MRFP) the medium resolution full video from participant A and the low resolution thumbnail videos from participants C and D. The medium resolution video is encoded as a single video bitstream, and the thumbnail video is also encoded as a single video bitstream.</w:t>
      </w:r>
    </w:p>
    <w:p>
      <w:pPr>
        <w:pStyle w:val="Normal"/>
        <w:rPr/>
      </w:pPr>
      <w:r>
        <w:rPr/>
        <w:t>Participant C sends a low resolution thumbnail video (for participants A, B and D) to the MRFP, and receives (via the MRFP) the medium resolution full video from participant A and the low resolution thumbnail videos from participants B and D. The thumbnail video is encoded and transmitted as a single HEVC bitstream.</w:t>
      </w:r>
    </w:p>
    <w:p>
      <w:pPr>
        <w:pStyle w:val="Normal"/>
        <w:rPr/>
      </w:pPr>
      <w:r>
        <w:rPr/>
        <w:t>Participant D sends a low resolution thumbnail video (for participants A, B and C) to the MRFP, and receives (via the MRFP) the high resolution full video from participant A and the low resolution thumbnail videos from participants C and D. The thumbnail video is encoded and transmitted as a single HEVC bitstream.</w:t>
      </w:r>
    </w:p>
    <w:p>
      <w:pPr>
        <w:pStyle w:val="Normal"/>
        <w:rPr/>
      </w:pPr>
      <w:r>
        <w:rPr/>
        <w:t>The metrics for comparison of the potential solutions for this use case are:</w:t>
      </w:r>
    </w:p>
    <w:p>
      <w:pPr>
        <w:pStyle w:val="B1"/>
        <w:rPr/>
      </w:pPr>
      <w:r>
        <w:rPr/>
        <w:t>1)</w:t>
        <w:tab/>
        <w:t>Total uplink bitrate for each participant UE</w:t>
      </w:r>
    </w:p>
    <w:p>
      <w:pPr>
        <w:pStyle w:val="B1"/>
        <w:rPr/>
      </w:pPr>
      <w:r>
        <w:rPr/>
        <w:t>2)</w:t>
        <w:tab/>
        <w:t>Total downlink bitrate for each participant UE</w:t>
      </w:r>
    </w:p>
    <w:p>
      <w:pPr>
        <w:pStyle w:val="B1"/>
        <w:rPr/>
      </w:pPr>
      <w:r>
        <w:rPr/>
        <w:t>3)</w:t>
        <w:tab/>
        <w:t>Quality for participant UE</w:t>
      </w:r>
    </w:p>
    <w:p>
      <w:pPr>
        <w:pStyle w:val="B1"/>
        <w:rPr/>
      </w:pPr>
      <w:r>
        <w:rPr/>
        <w:t>4)</w:t>
        <w:tab/>
        <w:t>Decoding complexity for each participant UE</w:t>
      </w:r>
    </w:p>
    <w:p>
      <w:pPr>
        <w:pStyle w:val="B1"/>
        <w:rPr/>
      </w:pPr>
      <w:r>
        <w:rPr/>
        <w:t>5)</w:t>
        <w:tab/>
        <w:t>Encoding complexity for each participant UE</w:t>
      </w:r>
    </w:p>
    <w:p>
      <w:pPr>
        <w:pStyle w:val="FP"/>
        <w:rPr/>
      </w:pPr>
      <w:r>
        <w:rPr/>
      </w:r>
    </w:p>
    <w:p>
      <w:pPr>
        <w:pStyle w:val="Heading3"/>
        <w:rPr/>
      </w:pPr>
      <w:bookmarkStart w:id="40" w:name="__RefHeading___Toc517445328"/>
      <w:bookmarkEnd w:id="40"/>
      <w:r>
        <w:rPr/>
        <w:t>6.1.2</w:t>
        <w:tab/>
        <w:t>The heterogeneous-bandwidth MMVC use case</w:t>
      </w:r>
    </w:p>
    <w:p>
      <w:pPr>
        <w:pStyle w:val="Normal"/>
        <w:rPr/>
      </w:pPr>
      <w:r>
        <w:rPr/>
        <w:t>The second MMVC use case considers video conferencing with multiple participating endpoints with different access network bandwidths, e.g. as shown in Figure 11. This use case is thus referred to as the heterogeneous-bandwidth MMVC use case. Similarly as in the heterogeneous-device MMVC use case, the MRFP makes connections between multiple video conferencing endpoints and receives video streams from each endpoint, and forwards a set of appropriate video streams to each endpoint.</w:t>
      </w:r>
    </w:p>
    <w:p>
      <w:pPr>
        <w:pStyle w:val="TH"/>
        <w:rPr/>
      </w:pPr>
      <w:r>
        <w:rPr/>
        <w:drawing>
          <wp:inline distT="0" distB="0" distL="0" distR="0">
            <wp:extent cx="4712970" cy="2451100"/>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23"/>
                    <a:srcRect l="-5" t="-10" r="-5" b="-10"/>
                    <a:stretch>
                      <a:fillRect/>
                    </a:stretch>
                  </pic:blipFill>
                  <pic:spPr bwMode="auto">
                    <a:xfrm>
                      <a:off x="0" y="0"/>
                      <a:ext cx="4712970" cy="2451100"/>
                    </a:xfrm>
                    <a:prstGeom prst="rect">
                      <a:avLst/>
                    </a:prstGeom>
                  </pic:spPr>
                </pic:pic>
              </a:graphicData>
            </a:graphic>
          </wp:inline>
        </w:drawing>
      </w:r>
    </w:p>
    <w:p>
      <w:pPr>
        <w:pStyle w:val="TF"/>
        <w:rPr/>
      </w:pPr>
      <w:r>
        <w:rPr/>
        <w:t>Figure 11: The heterogeneous-bandwidth MMVC use case</w:t>
      </w:r>
    </w:p>
    <w:p>
      <w:pPr>
        <w:pStyle w:val="Normal"/>
        <w:rPr/>
      </w:pPr>
      <w:r>
        <w:rPr/>
        <w:t>The following assumption is made for this use case:</w:t>
      </w:r>
    </w:p>
    <w:p>
      <w:pPr>
        <w:pStyle w:val="LD"/>
        <w:rPr/>
      </w:pPr>
      <w:r>
        <w:rPr>
          <w:lang w:val="en-GB" w:eastAsia="en-US"/>
        </w:rPr>
        <w:t>1)</w:t>
        <w:tab/>
        <w:t>It is assumed that there are two access network classes, the fast connection that is capable of sending and receiving a high video resolution, e.g. 1080p@30fps, and the slow connection that is capable of sending and receiving a medium video resolution, e.g. 720p@30fps.</w:t>
      </w:r>
    </w:p>
    <w:p>
      <w:pPr>
        <w:pStyle w:val="LD"/>
        <w:rPr/>
      </w:pPr>
      <w:r>
        <w:rPr>
          <w:lang w:val="en-GB" w:eastAsia="en-US"/>
        </w:rPr>
        <w:t>2)</w:t>
        <w:tab/>
        <w:t>It is also assumed that the sending and decoding capabilities of each terminal's access network are within the terminal's encoding and decoding capabilities.</w:t>
      </w:r>
    </w:p>
    <w:p>
      <w:pPr>
        <w:pStyle w:val="Normal"/>
        <w:rPr/>
      </w:pPr>
      <w:r>
        <w:rPr/>
        <w:t>With these two assumptions, then the 2</w:t>
      </w:r>
      <w:r>
        <w:rPr>
          <w:vertAlign w:val="superscript"/>
        </w:rPr>
        <w:t>nd</w:t>
      </w:r>
      <w:r>
        <w:rPr/>
        <w:t>, 3</w:t>
      </w:r>
      <w:r>
        <w:rPr>
          <w:vertAlign w:val="superscript"/>
        </w:rPr>
        <w:t>rd</w:t>
      </w:r>
      <w:r>
        <w:rPr/>
        <w:t xml:space="preserve"> and 4</w:t>
      </w:r>
      <w:r>
        <w:rPr>
          <w:vertAlign w:val="superscript"/>
        </w:rPr>
        <w:t>th</w:t>
      </w:r>
      <w:r>
        <w:rPr/>
        <w:t xml:space="preserve"> assumptions of the heterogeneous-device MMVC use case apply herein. With the same topology in Figure 11 as in Figure 10, the same signal flows as well as the metrics as described for the heterogeneous-device MMVC use case also apply herein.</w:t>
      </w:r>
    </w:p>
    <w:p>
      <w:pPr>
        <w:pStyle w:val="Heading3"/>
        <w:rPr/>
      </w:pPr>
      <w:bookmarkStart w:id="41" w:name="__RefHeading___Toc517445329"/>
      <w:bookmarkEnd w:id="41"/>
      <w:r>
        <w:rPr/>
        <w:t>6.1.3</w:t>
        <w:tab/>
        <w:t>Solutions for the MMVC use cases</w:t>
      </w:r>
    </w:p>
    <w:p>
      <w:pPr>
        <w:pStyle w:val="Heading4"/>
        <w:ind w:left="1418" w:hanging="1418"/>
        <w:rPr/>
      </w:pPr>
      <w:bookmarkStart w:id="42" w:name="__RefHeading___Toc517445330"/>
      <w:bookmarkEnd w:id="42"/>
      <w:r>
        <w:rPr/>
        <w:t>6.1.3.0</w:t>
        <w:tab/>
        <w:t>General</w:t>
      </w:r>
    </w:p>
    <w:p>
      <w:pPr>
        <w:pStyle w:val="Normal"/>
        <w:rPr/>
      </w:pPr>
      <w:r>
        <w:rPr/>
        <w:t>The solutions from video coding point of view apply to both MMVC use cases in the same manner. Therefore, in the discussion of the solutions, no difference is made to which use case the solutions apply.</w:t>
      </w:r>
    </w:p>
    <w:p>
      <w:pPr>
        <w:pStyle w:val="Heading4"/>
        <w:ind w:left="1418" w:hanging="1418"/>
        <w:rPr/>
      </w:pPr>
      <w:bookmarkStart w:id="43" w:name="__RefHeading___Toc517445331"/>
      <w:bookmarkEnd w:id="43"/>
      <w:r>
        <w:rPr/>
        <w:t>6.1.3.1</w:t>
        <w:tab/>
        <w:t>HEVC simulcast</w:t>
      </w:r>
    </w:p>
    <w:p>
      <w:pPr>
        <w:pStyle w:val="Normal"/>
        <w:rPr/>
      </w:pPr>
      <w:r>
        <w:rPr/>
        <w:t>HEVC simulcast can be applied as a video coding solution to the MMVC use cases. In this solution, each full or thumbnail video as described in the signal flows is an independently coded HEVC single-layer bitstream.</w:t>
      </w:r>
    </w:p>
    <w:p>
      <w:pPr>
        <w:pStyle w:val="TH"/>
        <w:rPr/>
      </w:pPr>
      <w:r>
        <w:rPr/>
        <w:drawing>
          <wp:inline distT="0" distB="0" distL="0" distR="0">
            <wp:extent cx="4682490" cy="2537460"/>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4"/>
                    <a:srcRect l="-5" t="-9" r="-5" b="-9"/>
                    <a:stretch>
                      <a:fillRect/>
                    </a:stretch>
                  </pic:blipFill>
                  <pic:spPr bwMode="auto">
                    <a:xfrm>
                      <a:off x="0" y="0"/>
                      <a:ext cx="4682490" cy="2537460"/>
                    </a:xfrm>
                    <a:prstGeom prst="rect">
                      <a:avLst/>
                    </a:prstGeom>
                  </pic:spPr>
                </pic:pic>
              </a:graphicData>
            </a:graphic>
          </wp:inline>
        </w:drawing>
      </w:r>
    </w:p>
    <w:p>
      <w:pPr>
        <w:pStyle w:val="TF"/>
        <w:rPr/>
      </w:pPr>
      <w:r>
        <w:rPr/>
        <w:t>Figure 12: Use of HEVC simulcast in the MMVC use cases</w:t>
      </w:r>
    </w:p>
    <w:p>
      <w:pPr>
        <w:pStyle w:val="Normal"/>
        <w:rPr/>
      </w:pPr>
      <w:r>
        <w:rPr/>
        <w:t>Figure 12 shows the two independent HEVC single-layer bitstreams that are sent from participant A and received (through the MRFP) by other participants. Both bitstreams are sent to the MRFP, which forwards the high resolution bitstream to participant D and the medium resolution bitstream to participants B and C.</w:t>
      </w:r>
    </w:p>
    <w:p>
      <w:pPr>
        <w:pStyle w:val="Heading4"/>
        <w:ind w:left="1418" w:hanging="1418"/>
        <w:rPr/>
      </w:pPr>
      <w:bookmarkStart w:id="44" w:name="__RefHeading___Toc517445332"/>
      <w:bookmarkEnd w:id="44"/>
      <w:r>
        <w:rPr/>
        <w:t>6.1.3.2</w:t>
        <w:tab/>
        <w:t>SHVC</w:t>
      </w:r>
    </w:p>
    <w:p>
      <w:pPr>
        <w:pStyle w:val="Normal"/>
        <w:rPr/>
      </w:pPr>
      <w:r>
        <w:rPr/>
        <w:t>Another video coding solution for the MMVC use cases is to apply SHVC. Multiple spatial resolutions can be encoded into one SHVC bitstream. In this solution, for any participant, if both the high and medium resolutions need to be sent simultaneously (e.g. participant A), the participant UE encodes the two solutions into two layers of one SHVC bitstream and sends the bitstreams to the MRFP; otherwise each full or thumbnail video as described in the signal flows is an independently coded HEVC single-layer bitstream.</w:t>
      </w:r>
    </w:p>
    <w:p>
      <w:pPr>
        <w:pStyle w:val="TH"/>
        <w:rPr/>
      </w:pPr>
      <w:r>
        <w:rPr/>
        <w:drawing>
          <wp:inline distT="0" distB="0" distL="0" distR="0">
            <wp:extent cx="4682490" cy="247840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5"/>
                    <a:srcRect l="-5" t="-9" r="-5" b="-9"/>
                    <a:stretch>
                      <a:fillRect/>
                    </a:stretch>
                  </pic:blipFill>
                  <pic:spPr bwMode="auto">
                    <a:xfrm>
                      <a:off x="0" y="0"/>
                      <a:ext cx="4682490" cy="2478405"/>
                    </a:xfrm>
                    <a:prstGeom prst="rect">
                      <a:avLst/>
                    </a:prstGeom>
                  </pic:spPr>
                </pic:pic>
              </a:graphicData>
            </a:graphic>
          </wp:inline>
        </w:drawing>
      </w:r>
    </w:p>
    <w:p>
      <w:pPr>
        <w:pStyle w:val="TF"/>
        <w:rPr/>
      </w:pPr>
      <w:r>
        <w:rPr/>
        <w:t>Figure 13: Use of SHVC in the MMVC use cases</w:t>
      </w:r>
    </w:p>
    <w:p>
      <w:pPr>
        <w:pStyle w:val="Normal"/>
        <w:rPr/>
      </w:pPr>
      <w:r>
        <w:rPr/>
        <w:t>Figure 13 shows the two layers of the SHVC bitstream that are sent from participant A and received (through the MRFP) by other participants. Both layers of the bitstream are sent to the MRFP, which forwards the both layers to participant D but only the base layer to participants B and C.</w:t>
      </w:r>
    </w:p>
    <w:p>
      <w:pPr>
        <w:pStyle w:val="Heading3"/>
        <w:rPr/>
      </w:pPr>
      <w:bookmarkStart w:id="45" w:name="__RefHeading___Toc517445333"/>
      <w:bookmarkEnd w:id="45"/>
      <w:r>
        <w:rPr/>
        <w:t>6.1.4</w:t>
        <w:tab/>
        <w:t>Comparison of the solutions</w:t>
      </w:r>
    </w:p>
    <w:p>
      <w:pPr>
        <w:pStyle w:val="Heading4"/>
        <w:ind w:left="1418" w:hanging="1418"/>
        <w:rPr>
          <w:lang w:eastAsia="ko-KR"/>
        </w:rPr>
      </w:pPr>
      <w:bookmarkStart w:id="46" w:name="__RefHeading___Toc517445334"/>
      <w:bookmarkEnd w:id="46"/>
      <w:r>
        <w:rPr>
          <w:lang w:eastAsia="ko-KR"/>
        </w:rPr>
        <w:t>6.1.4.1</w:t>
        <w:tab/>
        <w:t>Uplink bandwidth</w:t>
      </w:r>
    </w:p>
    <w:p>
      <w:pPr>
        <w:pStyle w:val="Normal"/>
        <w:rPr>
          <w:lang w:eastAsia="ko-KR"/>
        </w:rPr>
      </w:pPr>
      <w:r>
        <w:rPr>
          <w:lang w:eastAsia="ko-KR"/>
        </w:rPr>
        <w:t>The uplink connection between UE A and MRFP includes one 1080p@30fps resolution video and one 720p@30fps resolution video.</w:t>
      </w:r>
    </w:p>
    <w:p>
      <w:pPr>
        <w:pStyle w:val="Normal"/>
        <w:rPr/>
      </w:pPr>
      <w:r>
        <w:rPr>
          <w:lang w:eastAsia="ko-KR"/>
        </w:rPr>
        <w:t>The uplink connection between UE B and MRFP includes one 720p@30fps resolution video and one 240p@15fps resolution video. Due to the resolution difference, UE B may deploy simulcast to transmit 720p@30fps and 240p@15fps video streams.</w:t>
      </w:r>
    </w:p>
    <w:p>
      <w:pPr>
        <w:pStyle w:val="Normal"/>
        <w:rPr>
          <w:lang w:eastAsia="ko-KR"/>
        </w:rPr>
      </w:pPr>
      <w:r>
        <w:rPr>
          <w:lang w:eastAsia="ko-KR"/>
        </w:rPr>
        <w:t>The uplink connection between UE C and MRFP includes one 240p@15fps video.</w:t>
      </w:r>
    </w:p>
    <w:p>
      <w:pPr>
        <w:pStyle w:val="Normal"/>
        <w:rPr/>
      </w:pPr>
      <w:r>
        <w:rPr>
          <w:lang w:eastAsia="ko-KR"/>
        </w:rPr>
        <w:t>The uplink connection between UE D and MRFP includes one 240p@15fps video.</w:t>
      </w:r>
    </w:p>
    <w:p>
      <w:pPr>
        <w:pStyle w:val="Normal"/>
        <w:rPr/>
      </w:pPr>
      <w:r>
        <w:rPr/>
        <w:t xml:space="preserve">Table 6 and Table 7 </w:t>
      </w:r>
      <w:r>
        <w:rPr>
          <w:lang w:eastAsia="ko-KR"/>
        </w:rPr>
        <w:t>show the uplink luma BD-rate comparison between HEVC simulcast and SHVC with different deltaQP values, based on the test conditions described in clause 7.</w:t>
      </w:r>
    </w:p>
    <w:p>
      <w:pPr>
        <w:pStyle w:val="TH"/>
        <w:rPr/>
      </w:pPr>
      <w:r>
        <w:rPr>
          <w:lang w:eastAsia="ko-KR"/>
        </w:rPr>
        <w:t>Table 6: Uplink BD-rate compa</w:t>
      </w:r>
      <w:r>
        <w:rPr/>
        <w:t>rison (SHVC vs. Simulcast, BL720p/EL1080p, DeltaQP=0)</w:t>
      </w:r>
    </w:p>
    <w:tbl>
      <w:tblPr>
        <w:tblW w:w="9571" w:type="dxa"/>
        <w:jc w:val="left"/>
        <w:tblInd w:w="-113" w:type="dxa"/>
        <w:tblLayout w:type="fixed"/>
        <w:tblCellMar>
          <w:top w:w="0" w:type="dxa"/>
          <w:left w:w="108" w:type="dxa"/>
          <w:bottom w:w="0" w:type="dxa"/>
          <w:right w:w="108" w:type="dxa"/>
        </w:tblCellMar>
      </w:tblPr>
      <w:tblGrid>
        <w:gridCol w:w="1914"/>
        <w:gridCol w:w="1914"/>
        <w:gridCol w:w="1914"/>
        <w:gridCol w:w="1914"/>
        <w:gridCol w:w="1915"/>
      </w:tblGrid>
      <w:tr>
        <w:trPr/>
        <w:tc>
          <w:tcPr>
            <w:tcW w:w="1914" w:type="dxa"/>
            <w:tcBorders>
              <w:top w:val="single" w:sz="4" w:space="0" w:color="000000"/>
              <w:left w:val="single" w:sz="4" w:space="0" w:color="000000"/>
              <w:bottom w:val="single" w:sz="4" w:space="0" w:color="000000"/>
              <w:right w:val="single" w:sz="4" w:space="0" w:color="000000"/>
            </w:tcBorders>
          </w:tcPr>
          <w:p>
            <w:pPr>
              <w:pStyle w:val="TAR"/>
              <w:snapToGrid w:val="false"/>
              <w:rPr>
                <w:lang w:eastAsia="ko-KR"/>
              </w:rPr>
            </w:pPr>
            <w:r>
              <w:rPr>
                <w:lang w:eastAsia="ko-KR"/>
              </w:rPr>
            </w:r>
          </w:p>
        </w:tc>
        <w:tc>
          <w:tcPr>
            <w:tcW w:w="1914" w:type="dxa"/>
            <w:tcBorders>
              <w:top w:val="single" w:sz="4" w:space="0" w:color="000000"/>
              <w:left w:val="single" w:sz="4" w:space="0" w:color="000000"/>
              <w:bottom w:val="single" w:sz="4" w:space="0" w:color="000000"/>
              <w:right w:val="single" w:sz="4" w:space="0" w:color="000000"/>
            </w:tcBorders>
          </w:tcPr>
          <w:p>
            <w:pPr>
              <w:pStyle w:val="TAR"/>
              <w:rPr>
                <w:lang w:eastAsia="ko-KR"/>
              </w:rPr>
            </w:pPr>
            <w:r>
              <w:rPr>
                <w:lang w:eastAsia="ko-KR"/>
              </w:rPr>
              <w:t>A</w:t>
            </w:r>
          </w:p>
        </w:tc>
        <w:tc>
          <w:tcPr>
            <w:tcW w:w="1914" w:type="dxa"/>
            <w:tcBorders>
              <w:top w:val="single" w:sz="4" w:space="0" w:color="000000"/>
              <w:left w:val="single" w:sz="4" w:space="0" w:color="000000"/>
              <w:bottom w:val="single" w:sz="4" w:space="0" w:color="000000"/>
              <w:right w:val="single" w:sz="4" w:space="0" w:color="000000"/>
            </w:tcBorders>
          </w:tcPr>
          <w:p>
            <w:pPr>
              <w:pStyle w:val="TAR"/>
              <w:rPr>
                <w:lang w:eastAsia="ko-KR"/>
              </w:rPr>
            </w:pPr>
            <w:r>
              <w:rPr>
                <w:lang w:eastAsia="ko-KR"/>
              </w:rPr>
              <w:t>B</w:t>
            </w:r>
          </w:p>
        </w:tc>
        <w:tc>
          <w:tcPr>
            <w:tcW w:w="1914" w:type="dxa"/>
            <w:tcBorders>
              <w:top w:val="single" w:sz="4" w:space="0" w:color="000000"/>
              <w:left w:val="single" w:sz="4" w:space="0" w:color="000000"/>
              <w:bottom w:val="single" w:sz="4" w:space="0" w:color="000000"/>
              <w:right w:val="single" w:sz="4" w:space="0" w:color="000000"/>
            </w:tcBorders>
          </w:tcPr>
          <w:p>
            <w:pPr>
              <w:pStyle w:val="TAR"/>
              <w:rPr>
                <w:lang w:eastAsia="ko-KR"/>
              </w:rPr>
            </w:pPr>
            <w:r>
              <w:rPr>
                <w:lang w:eastAsia="ko-KR"/>
              </w:rPr>
              <w:t>C</w:t>
            </w:r>
          </w:p>
        </w:tc>
        <w:tc>
          <w:tcPr>
            <w:tcW w:w="1915" w:type="dxa"/>
            <w:tcBorders>
              <w:top w:val="single" w:sz="4" w:space="0" w:color="000000"/>
              <w:left w:val="single" w:sz="4" w:space="0" w:color="000000"/>
              <w:bottom w:val="single" w:sz="4" w:space="0" w:color="000000"/>
              <w:right w:val="single" w:sz="4" w:space="0" w:color="000000"/>
            </w:tcBorders>
          </w:tcPr>
          <w:p>
            <w:pPr>
              <w:pStyle w:val="TAR"/>
              <w:rPr>
                <w:lang w:eastAsia="ko-KR"/>
              </w:rPr>
            </w:pPr>
            <w:r>
              <w:rPr>
                <w:lang w:eastAsia="ko-KR"/>
              </w:rPr>
              <w:t>D</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1914" w:type="dxa"/>
            <w:tcBorders>
              <w:top w:val="single" w:sz="4" w:space="0" w:color="000000"/>
              <w:left w:val="single" w:sz="4" w:space="0" w:color="000000"/>
              <w:bottom w:val="single" w:sz="4" w:space="0" w:color="000000"/>
              <w:right w:val="single" w:sz="4" w:space="0" w:color="000000"/>
            </w:tcBorders>
            <w:vAlign w:val="bottom"/>
          </w:tcPr>
          <w:p>
            <w:pPr>
              <w:pStyle w:val="TAL"/>
              <w:rPr/>
            </w:pPr>
            <w:r>
              <w:rPr/>
              <w:t>-21.5%</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-13.1%</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-18.8%</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-24.2%</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BQTerrace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-8.5%</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Average saving</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-17.22%</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bl>
    <w:p>
      <w:pPr>
        <w:pStyle w:val="Normal"/>
        <w:rPr>
          <w:lang w:eastAsia="ko-KR"/>
        </w:rPr>
      </w:pPr>
      <w:r>
        <w:rPr>
          <w:lang w:eastAsia="ko-KR"/>
        </w:rPr>
      </w:r>
    </w:p>
    <w:p>
      <w:pPr>
        <w:pStyle w:val="TH"/>
        <w:rPr/>
      </w:pPr>
      <w:r>
        <w:rPr>
          <w:lang w:eastAsia="ko-KR"/>
        </w:rPr>
        <w:t>Table 7: Uplink BD-</w:t>
      </w:r>
      <w:r>
        <w:rPr/>
        <w:t>rate comparison (SHVC vs. Simulcast, BL720p/EL1080p, DeltaQP=2)</w:t>
      </w:r>
    </w:p>
    <w:tbl>
      <w:tblPr>
        <w:tblW w:w="9571" w:type="dxa"/>
        <w:jc w:val="left"/>
        <w:tblInd w:w="-113" w:type="dxa"/>
        <w:tblLayout w:type="fixed"/>
        <w:tblCellMar>
          <w:top w:w="0" w:type="dxa"/>
          <w:left w:w="108" w:type="dxa"/>
          <w:bottom w:w="0" w:type="dxa"/>
          <w:right w:w="108" w:type="dxa"/>
        </w:tblCellMar>
      </w:tblPr>
      <w:tblGrid>
        <w:gridCol w:w="1914"/>
        <w:gridCol w:w="1914"/>
        <w:gridCol w:w="1914"/>
        <w:gridCol w:w="1914"/>
        <w:gridCol w:w="1915"/>
      </w:tblGrid>
      <w:tr>
        <w:trPr/>
        <w:tc>
          <w:tcPr>
            <w:tcW w:w="1914" w:type="dxa"/>
            <w:tcBorders>
              <w:top w:val="single" w:sz="4" w:space="0" w:color="000000"/>
              <w:left w:val="single" w:sz="4" w:space="0" w:color="000000"/>
              <w:bottom w:val="single" w:sz="4" w:space="0" w:color="000000"/>
              <w:right w:val="single" w:sz="4" w:space="0" w:color="000000"/>
            </w:tcBorders>
          </w:tcPr>
          <w:p>
            <w:pPr>
              <w:pStyle w:val="TAR"/>
              <w:snapToGrid w:val="false"/>
              <w:rPr>
                <w:lang w:eastAsia="ko-KR"/>
              </w:rPr>
            </w:pPr>
            <w:r>
              <w:rPr>
                <w:lang w:eastAsia="ko-KR"/>
              </w:rPr>
            </w:r>
          </w:p>
        </w:tc>
        <w:tc>
          <w:tcPr>
            <w:tcW w:w="1914" w:type="dxa"/>
            <w:tcBorders>
              <w:top w:val="single" w:sz="4" w:space="0" w:color="000000"/>
              <w:left w:val="single" w:sz="4" w:space="0" w:color="000000"/>
              <w:bottom w:val="single" w:sz="4" w:space="0" w:color="000000"/>
              <w:right w:val="single" w:sz="4" w:space="0" w:color="000000"/>
            </w:tcBorders>
          </w:tcPr>
          <w:p>
            <w:pPr>
              <w:pStyle w:val="TAR"/>
              <w:rPr>
                <w:lang w:eastAsia="ko-KR"/>
              </w:rPr>
            </w:pPr>
            <w:r>
              <w:rPr>
                <w:lang w:eastAsia="ko-KR"/>
              </w:rPr>
              <w:t>A</w:t>
            </w:r>
          </w:p>
        </w:tc>
        <w:tc>
          <w:tcPr>
            <w:tcW w:w="1914" w:type="dxa"/>
            <w:tcBorders>
              <w:top w:val="single" w:sz="4" w:space="0" w:color="000000"/>
              <w:left w:val="single" w:sz="4" w:space="0" w:color="000000"/>
              <w:bottom w:val="single" w:sz="4" w:space="0" w:color="000000"/>
              <w:right w:val="single" w:sz="4" w:space="0" w:color="000000"/>
            </w:tcBorders>
          </w:tcPr>
          <w:p>
            <w:pPr>
              <w:pStyle w:val="TAR"/>
              <w:rPr>
                <w:lang w:eastAsia="ko-KR"/>
              </w:rPr>
            </w:pPr>
            <w:r>
              <w:rPr>
                <w:lang w:eastAsia="ko-KR"/>
              </w:rPr>
              <w:t>B</w:t>
            </w:r>
          </w:p>
        </w:tc>
        <w:tc>
          <w:tcPr>
            <w:tcW w:w="1914" w:type="dxa"/>
            <w:tcBorders>
              <w:top w:val="single" w:sz="4" w:space="0" w:color="000000"/>
              <w:left w:val="single" w:sz="4" w:space="0" w:color="000000"/>
              <w:bottom w:val="single" w:sz="4" w:space="0" w:color="000000"/>
              <w:right w:val="single" w:sz="4" w:space="0" w:color="000000"/>
            </w:tcBorders>
          </w:tcPr>
          <w:p>
            <w:pPr>
              <w:pStyle w:val="TAR"/>
              <w:rPr>
                <w:lang w:eastAsia="ko-KR"/>
              </w:rPr>
            </w:pPr>
            <w:r>
              <w:rPr>
                <w:lang w:eastAsia="ko-KR"/>
              </w:rPr>
              <w:t>C</w:t>
            </w:r>
          </w:p>
        </w:tc>
        <w:tc>
          <w:tcPr>
            <w:tcW w:w="1915" w:type="dxa"/>
            <w:tcBorders>
              <w:top w:val="single" w:sz="4" w:space="0" w:color="000000"/>
              <w:left w:val="single" w:sz="4" w:space="0" w:color="000000"/>
              <w:bottom w:val="single" w:sz="4" w:space="0" w:color="000000"/>
              <w:right w:val="single" w:sz="4" w:space="0" w:color="000000"/>
            </w:tcBorders>
          </w:tcPr>
          <w:p>
            <w:pPr>
              <w:pStyle w:val="TAR"/>
              <w:rPr>
                <w:lang w:eastAsia="ko-KR"/>
              </w:rPr>
            </w:pPr>
            <w:r>
              <w:rPr>
                <w:lang w:eastAsia="ko-KR"/>
              </w:rPr>
              <w:t>D</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-35.5%</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-22.7%</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-29.7%</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-33.6%</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BQTerrace </w:t>
            </w:r>
          </w:p>
        </w:tc>
        <w:tc>
          <w:tcPr>
            <w:tcW w:w="1914" w:type="dxa"/>
            <w:tcBorders>
              <w:top w:val="single" w:sz="4" w:space="0" w:color="000000"/>
              <w:left w:val="single" w:sz="4" w:space="0" w:color="000000"/>
              <w:bottom w:val="single" w:sz="4" w:space="0" w:color="000000"/>
              <w:right w:val="single" w:sz="4" w:space="0" w:color="000000"/>
            </w:tcBorders>
          </w:tcPr>
          <w:p>
            <w:pPr>
              <w:pStyle w:val="TAL"/>
              <w:rPr/>
            </w:pPr>
            <w:r>
              <w:rPr/>
              <w:t>-15.2%</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Average saving</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-27.34%</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r>
    </w:tbl>
    <w:p>
      <w:pPr>
        <w:pStyle w:val="Normal"/>
        <w:rPr>
          <w:lang w:eastAsia="ko-KR"/>
        </w:rPr>
      </w:pPr>
      <w:r>
        <w:rPr>
          <w:lang w:eastAsia="ko-KR"/>
        </w:rPr>
      </w:r>
    </w:p>
    <w:p>
      <w:pPr>
        <w:pStyle w:val="Heading4"/>
        <w:ind w:left="1418" w:hanging="1418"/>
        <w:rPr>
          <w:lang w:eastAsia="ko-KR"/>
        </w:rPr>
      </w:pPr>
      <w:bookmarkStart w:id="47" w:name="__RefHeading___Toc517445335"/>
      <w:bookmarkEnd w:id="47"/>
      <w:r>
        <w:rPr>
          <w:lang w:eastAsia="ko-KR"/>
        </w:rPr>
        <w:t>6.1.4.2</w:t>
        <w:tab/>
        <w:t>Downlink bandwidth</w:t>
      </w:r>
    </w:p>
    <w:p>
      <w:pPr>
        <w:pStyle w:val="Normal"/>
        <w:rPr>
          <w:lang w:eastAsia="ko-KR"/>
        </w:rPr>
      </w:pPr>
      <w:r>
        <w:rPr>
          <w:lang w:eastAsia="ko-KR"/>
        </w:rPr>
        <w:t>The downlink connection between UE A and MRFP includes one 720P@30fps single layer stream and two 240p@15fps single layer stream.</w:t>
      </w:r>
    </w:p>
    <w:p>
      <w:pPr>
        <w:pStyle w:val="Normal"/>
        <w:rPr/>
      </w:pPr>
      <w:r>
        <w:rPr>
          <w:lang w:eastAsia="ko-KR"/>
        </w:rPr>
        <w:t>The downlink connection between UE B and MRFP includes one 720P@30fps single layer stream and two 240p@15fps single layer streams.</w:t>
      </w:r>
    </w:p>
    <w:p>
      <w:pPr>
        <w:pStyle w:val="Normal"/>
        <w:rPr>
          <w:lang w:eastAsia="ko-KR"/>
        </w:rPr>
      </w:pPr>
      <w:r>
        <w:rPr>
          <w:lang w:eastAsia="ko-KR"/>
        </w:rPr>
        <w:t>The downlink connection between UE C and MRFP includes one 720P@30fps single layer stream and two 240p@15fps single layer streams.</w:t>
      </w:r>
    </w:p>
    <w:p>
      <w:pPr>
        <w:pStyle w:val="Normal"/>
        <w:rPr/>
      </w:pPr>
      <w:r>
        <w:rPr>
          <w:lang w:eastAsia="ko-KR"/>
        </w:rPr>
        <w:t>For HEVC simulcast, the downlink connection between UE D and MRFP includes one 1080p@30fps single layer stream and two 240p@15fps single layer streams.</w:t>
      </w:r>
    </w:p>
    <w:p>
      <w:pPr>
        <w:pStyle w:val="Normal"/>
        <w:rPr>
          <w:lang w:eastAsia="ko-KR"/>
        </w:rPr>
      </w:pPr>
      <w:r>
        <w:rPr>
          <w:lang w:eastAsia="ko-KR"/>
        </w:rPr>
        <w:t>For SHVC, the downlink connection between UE D and MRFP includes one 1.5x spatial scalability SHVC stream (base layer 720p@30fps and enhancement layer 1080p@30fps) and two 240p@15fps single layer streams.</w:t>
      </w:r>
    </w:p>
    <w:p>
      <w:pPr>
        <w:pStyle w:val="Normal"/>
        <w:rPr/>
      </w:pPr>
      <w:r>
        <w:rPr/>
        <w:t xml:space="preserve">Table 8 and Table 9 </w:t>
      </w:r>
      <w:r>
        <w:rPr>
          <w:lang w:eastAsia="ko-KR"/>
        </w:rPr>
        <w:t>show the downlink luma BD-rate comparison between HEVC simulcast and SHVC with different deltaQP values, based on the test conditions described in clause 7 for MMVC for the IRAP-alignment scenarios.</w:t>
      </w:r>
    </w:p>
    <w:p>
      <w:pPr>
        <w:pStyle w:val="TH"/>
        <w:rPr/>
      </w:pPr>
      <w:r>
        <w:rPr>
          <w:lang w:eastAsia="ko-KR"/>
        </w:rPr>
        <w:t xml:space="preserve">Table 8: Downlink BD-rate comparison </w:t>
      </w:r>
      <w:r>
        <w:rPr/>
        <w:t>(SHVC vs. Simulcast, deltaQP = 0)</w:t>
      </w:r>
    </w:p>
    <w:tbl>
      <w:tblPr>
        <w:tblW w:w="9571" w:type="dxa"/>
        <w:jc w:val="left"/>
        <w:tblInd w:w="-113" w:type="dxa"/>
        <w:tblLayout w:type="fixed"/>
        <w:tblCellMar>
          <w:top w:w="0" w:type="dxa"/>
          <w:left w:w="108" w:type="dxa"/>
          <w:bottom w:w="0" w:type="dxa"/>
          <w:right w:w="108" w:type="dxa"/>
        </w:tblCellMar>
      </w:tblPr>
      <w:tblGrid>
        <w:gridCol w:w="1914"/>
        <w:gridCol w:w="1914"/>
        <w:gridCol w:w="1914"/>
        <w:gridCol w:w="1914"/>
        <w:gridCol w:w="1915"/>
      </w:tblGrid>
      <w:tr>
        <w:trPr/>
        <w:tc>
          <w:tcPr>
            <w:tcW w:w="1914"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914"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w:t>
            </w:r>
          </w:p>
        </w:tc>
        <w:tc>
          <w:tcPr>
            <w:tcW w:w="1914"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B</w:t>
            </w:r>
          </w:p>
        </w:tc>
        <w:tc>
          <w:tcPr>
            <w:tcW w:w="1914"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C</w:t>
            </w:r>
          </w:p>
        </w:tc>
        <w:tc>
          <w:tcPr>
            <w:tcW w:w="191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25.1%</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31.4%</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25.2%</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16.5%</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BQTerrace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21.1%</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Average cost</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23.86%</w:t>
            </w:r>
          </w:p>
        </w:tc>
      </w:tr>
    </w:tbl>
    <w:p>
      <w:pPr>
        <w:pStyle w:val="Normal"/>
        <w:rPr>
          <w:lang w:eastAsia="ko-KR"/>
        </w:rPr>
      </w:pPr>
      <w:r>
        <w:rPr>
          <w:lang w:eastAsia="ko-KR"/>
        </w:rPr>
      </w:r>
    </w:p>
    <w:p>
      <w:pPr>
        <w:pStyle w:val="TH"/>
        <w:rPr/>
      </w:pPr>
      <w:r>
        <w:rPr>
          <w:lang w:eastAsia="ko-KR"/>
        </w:rPr>
        <w:t>Table 9: Downlink BD-rate comparison (SHVC vs.</w:t>
      </w:r>
      <w:r>
        <w:rPr/>
        <w:t xml:space="preserve"> Simulcast, deltaQP = 2)</w:t>
      </w:r>
    </w:p>
    <w:tbl>
      <w:tblPr>
        <w:tblW w:w="9571" w:type="dxa"/>
        <w:jc w:val="left"/>
        <w:tblInd w:w="-113" w:type="dxa"/>
        <w:tblLayout w:type="fixed"/>
        <w:tblCellMar>
          <w:top w:w="0" w:type="dxa"/>
          <w:left w:w="108" w:type="dxa"/>
          <w:bottom w:w="0" w:type="dxa"/>
          <w:right w:w="108" w:type="dxa"/>
        </w:tblCellMar>
      </w:tblPr>
      <w:tblGrid>
        <w:gridCol w:w="1914"/>
        <w:gridCol w:w="1914"/>
        <w:gridCol w:w="1914"/>
        <w:gridCol w:w="1914"/>
        <w:gridCol w:w="1915"/>
      </w:tblGrid>
      <w:tr>
        <w:trPr/>
        <w:tc>
          <w:tcPr>
            <w:tcW w:w="1914"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914"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w:t>
            </w:r>
          </w:p>
        </w:tc>
        <w:tc>
          <w:tcPr>
            <w:tcW w:w="1914"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B</w:t>
            </w:r>
          </w:p>
        </w:tc>
        <w:tc>
          <w:tcPr>
            <w:tcW w:w="1914"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C</w:t>
            </w:r>
          </w:p>
        </w:tc>
        <w:tc>
          <w:tcPr>
            <w:tcW w:w="191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14.6%</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33.2%</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22.7%</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13.8%</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BQTerrace </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33.4%</w:t>
            </w:r>
          </w:p>
        </w:tc>
      </w:tr>
      <w:tr>
        <w:trPr/>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Average cost</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0%</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23.54%</w:t>
            </w:r>
          </w:p>
        </w:tc>
      </w:tr>
    </w:tbl>
    <w:p>
      <w:pPr>
        <w:pStyle w:val="Normal"/>
        <w:rPr>
          <w:lang w:eastAsia="ko-KR"/>
        </w:rPr>
      </w:pPr>
      <w:r>
        <w:rPr>
          <w:lang w:eastAsia="ko-KR"/>
        </w:rPr>
      </w:r>
    </w:p>
    <w:p>
      <w:pPr>
        <w:pStyle w:val="Heading4"/>
        <w:ind w:left="1418" w:hanging="1418"/>
        <w:jc w:val="both"/>
        <w:rPr/>
      </w:pPr>
      <w:bookmarkStart w:id="48" w:name="__RefHeading___Toc517445336"/>
      <w:bookmarkEnd w:id="48"/>
      <w:r>
        <w:rPr>
          <w:lang w:eastAsia="ko-KR"/>
        </w:rPr>
        <w:t>6.1.4.3</w:t>
        <w:tab/>
        <w:t>Decoding complexity</w:t>
      </w:r>
    </w:p>
    <w:p>
      <w:pPr>
        <w:pStyle w:val="Normal"/>
        <w:rPr/>
      </w:pPr>
      <w:r>
        <w:rPr>
          <w:lang w:eastAsia="ko-KR"/>
        </w:rPr>
        <w:t>The decoding complexity of UE A, B and C is the same for HEVC simulcast and SHVC since each UE decodes the same amount of single layer streams (one 720p@30fps and two 240p@15fps). For simulcast, UE D decodes one 1080p@30fps video streams and two 240p@15fps single layer video streams; while for SHVC, UE D decodes one 1.5x spatial scalability SHVC stream and two 240p@15fps single layer video streams. The SHVC decoding complexity of UE D increases around 40% comparing to HEVC simulcast because the base layer video (720p@30fps) has to be decoded in order to output enhancement layer video (1080p@30fps).</w:t>
      </w:r>
    </w:p>
    <w:p>
      <w:pPr>
        <w:pStyle w:val="Heading4"/>
        <w:ind w:left="1418" w:hanging="1418"/>
        <w:jc w:val="both"/>
        <w:rPr/>
      </w:pPr>
      <w:bookmarkStart w:id="49" w:name="__RefHeading___Toc517445337"/>
      <w:bookmarkEnd w:id="49"/>
      <w:r>
        <w:rPr>
          <w:lang w:eastAsia="ko-KR"/>
        </w:rPr>
        <w:t>6.1.4.4</w:t>
        <w:tab/>
        <w:t>Encoding complexity</w:t>
      </w:r>
    </w:p>
    <w:p>
      <w:pPr>
        <w:pStyle w:val="Normal"/>
        <w:rPr>
          <w:lang w:eastAsia="ko-KR"/>
        </w:rPr>
      </w:pPr>
      <w:r>
        <w:rPr>
          <w:lang w:eastAsia="ko-KR"/>
        </w:rPr>
        <w:t>The encoding complexity of UE B, C and D is the same for HEVC simulcast and SHVC since each UE encodes the same amount of single layer streams. For HEVC simulcast, UE A encodes one 1080p@30fps video streams and one 720p@30fps single layer video streams; while for SHVC, UE A encodes one 1.5x spatial scalability SHVC stream. Compared to simulcast, the complexity of SHVC encoding at UE A is typically less than that of simulcast encoding. This is because SHVC places zero motion constraint on the inter layer reference picture. When the inter layer reference picture provides sufficiently good prediction signal (without the need for motion estimation), early termination is typically applied at the encoder, and the need for motion estimation of the temporal reference pictures is avoided, leading to lower encoding complexity.</w:t>
      </w:r>
    </w:p>
    <w:p>
      <w:pPr>
        <w:pStyle w:val="Heading2"/>
        <w:rPr/>
      </w:pPr>
      <w:bookmarkStart w:id="50" w:name="__RefHeading___Toc517445338"/>
      <w:bookmarkEnd w:id="50"/>
      <w:r>
        <w:rPr/>
        <w:t>6.2</w:t>
        <w:tab/>
        <w:t>MBMS</w:t>
      </w:r>
    </w:p>
    <w:p>
      <w:pPr>
        <w:pStyle w:val="Heading3"/>
        <w:rPr/>
      </w:pPr>
      <w:bookmarkStart w:id="51" w:name="__RefHeading___Toc517445339"/>
      <w:bookmarkEnd w:id="51"/>
      <w:r>
        <w:rPr/>
        <w:t>6.2.1</w:t>
        <w:tab/>
        <w:t>The differentiated-service MBMS use case</w:t>
      </w:r>
    </w:p>
    <w:p>
      <w:pPr>
        <w:pStyle w:val="Normal"/>
        <w:rPr/>
      </w:pPr>
      <w:r>
        <w:rPr/>
        <w:t>This use case considers MBMS with subscription based differentiated video services. This use case is thus referred to as the differentiated-service MBMS use case. It should be reasonable to assume that two different classes of video services may be provided (as providing more classes would be heavy for any broadcast system), e.g. the normal video service of 720p@30fps and the premium video service of 1080p@30fps. UEs may subscribe to either of the two services because of its decoding and rendering capabilities, network access conditions, power saving strategies, price, and/or other considerations. UEs receiving the normal service receives and renders the lower quality video with lower resolution, and UEs receiving the premium service receives and renders the higher quality video with higher resolution.</w:t>
      </w:r>
    </w:p>
    <w:p>
      <w:pPr>
        <w:pStyle w:val="Normal"/>
        <w:rPr/>
      </w:pPr>
      <w:r>
        <w:rPr/>
        <w:t>Due to the use of the broadcast mode in eMBMS, all bits required for both services are assumed to be transmitted on all the network paths, from the content provider to the BM-SC, from the BM-SC to MBMS-GW, from MBMS-GW to eNodeB, as well as the air interface between eNodeB and UEs, as shown in Figure 14.</w:t>
      </w:r>
    </w:p>
    <w:p>
      <w:pPr>
        <w:pStyle w:val="TH"/>
        <w:rPr/>
      </w:pPr>
      <w:r>
        <w:rPr/>
        <w:drawing>
          <wp:inline distT="0" distB="0" distL="0" distR="0">
            <wp:extent cx="4627880" cy="2911475"/>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6"/>
                    <a:srcRect l="-7" t="-11" r="-7" b="-11"/>
                    <a:stretch>
                      <a:fillRect/>
                    </a:stretch>
                  </pic:blipFill>
                  <pic:spPr bwMode="auto">
                    <a:xfrm>
                      <a:off x="0" y="0"/>
                      <a:ext cx="4627880" cy="2911475"/>
                    </a:xfrm>
                    <a:prstGeom prst="rect">
                      <a:avLst/>
                    </a:prstGeom>
                  </pic:spPr>
                </pic:pic>
              </a:graphicData>
            </a:graphic>
          </wp:inline>
        </w:drawing>
      </w:r>
    </w:p>
    <w:p>
      <w:pPr>
        <w:pStyle w:val="TF"/>
        <w:rPr/>
      </w:pPr>
      <w:r>
        <w:rPr/>
        <w:t>Figure 14: An MBMS use case with premium and normal video services</w:t>
      </w:r>
    </w:p>
    <w:p>
      <w:pPr>
        <w:pStyle w:val="Normal"/>
        <w:rPr/>
      </w:pPr>
      <w:r>
        <w:rPr/>
        <w:t>The metrics for comparison of the potential solutions for this use case are:</w:t>
      </w:r>
    </w:p>
    <w:p>
      <w:pPr>
        <w:pStyle w:val="B1"/>
        <w:rPr/>
      </w:pPr>
      <w:r>
        <w:rPr/>
        <w:t>1)</w:t>
        <w:tab/>
        <w:t>Bandwidth used for transmission of the video data (in the network links from the content provider to the BM-SC, and all the way to the UEs)</w:t>
      </w:r>
    </w:p>
    <w:p>
      <w:pPr>
        <w:pStyle w:val="B1"/>
        <w:rPr/>
      </w:pPr>
      <w:r>
        <w:rPr/>
        <w:t>2)</w:t>
        <w:tab/>
        <w:t>Quality for normal-service UEs and premium-service UEs</w:t>
      </w:r>
    </w:p>
    <w:p>
      <w:pPr>
        <w:pStyle w:val="B1"/>
        <w:rPr/>
      </w:pPr>
      <w:r>
        <w:rPr/>
        <w:t>3)</w:t>
        <w:tab/>
        <w:t>Decoding complexity for normal-service UEs and premium-service UEs</w:t>
      </w:r>
    </w:p>
    <w:p>
      <w:pPr>
        <w:pStyle w:val="B1"/>
        <w:rPr/>
      </w:pPr>
      <w:r>
        <w:rPr/>
        <w:t>4)</w:t>
        <w:tab/>
        <w:t>Encoding complexity</w:t>
      </w:r>
    </w:p>
    <w:p>
      <w:pPr>
        <w:pStyle w:val="FP"/>
        <w:rPr/>
      </w:pPr>
      <w:r>
        <w:rPr/>
      </w:r>
    </w:p>
    <w:p>
      <w:pPr>
        <w:pStyle w:val="Heading3"/>
        <w:rPr/>
      </w:pPr>
      <w:bookmarkStart w:id="52" w:name="__RefHeading___Toc517445340"/>
      <w:bookmarkEnd w:id="52"/>
      <w:r>
        <w:rPr/>
        <w:t>6.2.2</w:t>
        <w:tab/>
        <w:t>Solutions for the MBMS use case</w:t>
      </w:r>
    </w:p>
    <w:p>
      <w:pPr>
        <w:pStyle w:val="Heading4"/>
        <w:ind w:left="1418" w:hanging="1418"/>
        <w:rPr/>
      </w:pPr>
      <w:bookmarkStart w:id="53" w:name="__RefHeading___Toc517445341"/>
      <w:bookmarkEnd w:id="53"/>
      <w:r>
        <w:rPr/>
        <w:t>6.2.2.1</w:t>
        <w:tab/>
        <w:t>HEVC simulcast</w:t>
      </w:r>
    </w:p>
    <w:p>
      <w:pPr>
        <w:pStyle w:val="Normal"/>
        <w:rPr/>
      </w:pPr>
      <w:r>
        <w:rPr/>
        <w:t>HEVC simulcast can be applied as a video coding solution to the MMVC use cases. In this solution, each full or thumbnail video as described in the signal flows is an independently coded HEVC single-layer bitstream.</w:t>
      </w:r>
    </w:p>
    <w:p>
      <w:pPr>
        <w:pStyle w:val="Normal"/>
        <w:rPr/>
      </w:pPr>
      <w:r>
        <w:rPr/>
        <w:t>One solution from video coding point of view for the MBMS use case with premium and normal video services is to use HEVC simulcast, where two independently encoded HEVC bitstreams representing the same video content, but with different spatial resolutions, are transmitted (from the content provider to the BM-SC, and all the way to the UEs), as shown in Figure 15. The two HEVC bitstreams are associated with two different FLUTE sessions of the same MBMS User Service. Each premium-service UE receives, decodes, and renders the video bitstream with the higher resolution only, while each normal-service UE receives, decodes, and renders the video bitstream with the lower resolution only.</w:t>
      </w:r>
    </w:p>
    <w:p>
      <w:pPr>
        <w:pStyle w:val="TH"/>
        <w:rPr/>
      </w:pPr>
      <w:r>
        <w:rPr/>
        <w:drawing>
          <wp:inline distT="0" distB="0" distL="0" distR="0">
            <wp:extent cx="5944870" cy="2793365"/>
            <wp:effectExtent l="0" t="0" r="0" b="0"/>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7"/>
                    <a:srcRect l="-6" t="-12" r="-6" b="-12"/>
                    <a:stretch>
                      <a:fillRect/>
                    </a:stretch>
                  </pic:blipFill>
                  <pic:spPr bwMode="auto">
                    <a:xfrm>
                      <a:off x="0" y="0"/>
                      <a:ext cx="5944870" cy="2793365"/>
                    </a:xfrm>
                    <a:prstGeom prst="rect">
                      <a:avLst/>
                    </a:prstGeom>
                  </pic:spPr>
                </pic:pic>
              </a:graphicData>
            </a:graphic>
          </wp:inline>
        </w:drawing>
      </w:r>
    </w:p>
    <w:p>
      <w:pPr>
        <w:pStyle w:val="TF"/>
        <w:rPr/>
      </w:pPr>
      <w:r>
        <w:rPr/>
        <w:t>Figure 15: Use of HEVC simulcast in the differentiated-service MBMS use case</w:t>
      </w:r>
    </w:p>
    <w:p>
      <w:pPr>
        <w:pStyle w:val="Heading4"/>
        <w:ind w:left="1418" w:hanging="1418"/>
        <w:rPr/>
      </w:pPr>
      <w:bookmarkStart w:id="54" w:name="__RefHeading___Toc517445342"/>
      <w:bookmarkEnd w:id="54"/>
      <w:r>
        <w:rPr/>
        <w:t>6.2.2.2</w:t>
        <w:tab/>
        <w:t>SHVC</w:t>
      </w:r>
    </w:p>
    <w:p>
      <w:pPr>
        <w:pStyle w:val="Normal"/>
        <w:rPr/>
      </w:pPr>
      <w:r>
        <w:rPr/>
        <w:t>Another solution from video coding point of view for the MBMS use case with premium and normal video services is to use SHVC, where one encoded SHVC bitstream with two layers of different spatial resolutions, is transmitted (from the content provider to the BM-SC, and all the way to the UEs), as shown in Figure 16. The sub-bitstreams of the two layers of the SHVC bitstream are associated with two different FLUTE sessions of the same MBMS User Service. Each premium-service UE receives and decodes both layers and renders the higher layer, while each normal-service UE receives, decodes, and renders the base layer only.</w:t>
      </w:r>
    </w:p>
    <w:p>
      <w:pPr>
        <w:pStyle w:val="TH"/>
        <w:rPr/>
      </w:pPr>
      <w:r>
        <w:rPr/>
        <w:drawing>
          <wp:inline distT="0" distB="0" distL="0" distR="0">
            <wp:extent cx="5944235" cy="2779395"/>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28"/>
                    <a:srcRect l="-5" t="-11" r="-5" b="-11"/>
                    <a:stretch>
                      <a:fillRect/>
                    </a:stretch>
                  </pic:blipFill>
                  <pic:spPr bwMode="auto">
                    <a:xfrm>
                      <a:off x="0" y="0"/>
                      <a:ext cx="5944235" cy="2779395"/>
                    </a:xfrm>
                    <a:prstGeom prst="rect">
                      <a:avLst/>
                    </a:prstGeom>
                  </pic:spPr>
                </pic:pic>
              </a:graphicData>
            </a:graphic>
          </wp:inline>
        </w:drawing>
      </w:r>
    </w:p>
    <w:p>
      <w:pPr>
        <w:pStyle w:val="TF"/>
        <w:rPr/>
      </w:pPr>
      <w:r>
        <w:rPr/>
        <w:t>Figure 16: Use of SHVC in the differentiated-service MBMS use case</w:t>
      </w:r>
    </w:p>
    <w:p>
      <w:pPr>
        <w:pStyle w:val="Heading3"/>
        <w:rPr/>
      </w:pPr>
      <w:bookmarkStart w:id="55" w:name="__RefHeading___Toc517445343"/>
      <w:bookmarkEnd w:id="55"/>
      <w:r>
        <w:rPr/>
        <w:t>6.2.3</w:t>
        <w:tab/>
        <w:t>Comparison of the solutions</w:t>
      </w:r>
    </w:p>
    <w:p>
      <w:pPr>
        <w:pStyle w:val="Heading4"/>
        <w:ind w:left="1418" w:hanging="1418"/>
        <w:rPr/>
      </w:pPr>
      <w:bookmarkStart w:id="56" w:name="__RefHeading___Toc517445344"/>
      <w:bookmarkEnd w:id="56"/>
      <w:r>
        <w:rPr>
          <w:lang w:eastAsia="ko-KR"/>
        </w:rPr>
        <w:t>6.2.3.1</w:t>
        <w:tab/>
        <w:t>Transmission bandwidth</w:t>
      </w:r>
    </w:p>
    <w:p>
      <w:pPr>
        <w:pStyle w:val="Normal"/>
        <w:rPr/>
      </w:pPr>
      <w:r>
        <w:rPr>
          <w:lang w:eastAsia="ko-KR"/>
        </w:rPr>
        <w:t xml:space="preserve">For solution with HEVC simulcast, the bandwidth for transmission </w:t>
      </w:r>
      <w:r>
        <w:rPr/>
        <w:t>from the content provider to the BM-SC, and all the way to the UEs</w:t>
      </w:r>
      <w:r>
        <w:rPr>
          <w:lang w:eastAsia="ko-KR"/>
        </w:rPr>
        <w:t xml:space="preserve"> </w:t>
      </w:r>
      <w:r>
        <w:rPr/>
        <w:t xml:space="preserve">is the bandwidth required for transmitting one HEVC coded 1080p@30fps stream and one HEVC coded 720p@30fps stream. For solution with SHVC, </w:t>
      </w:r>
      <w:r>
        <w:rPr>
          <w:lang w:eastAsia="ko-KR"/>
        </w:rPr>
        <w:t xml:space="preserve">the bandwidth for transmission from content provider to </w:t>
      </w:r>
      <w:r>
        <w:rPr/>
        <w:t>BM-SC is the bandwidth required for transmitting one SHVC stream containing two layers (</w:t>
      </w:r>
      <w:r>
        <w:rPr>
          <w:lang w:eastAsia="ko-KR"/>
        </w:rPr>
        <w:t>i.e., 720p@30fps for base layer and 1080p@30fps).</w:t>
      </w:r>
    </w:p>
    <w:p>
      <w:pPr>
        <w:pStyle w:val="Normal"/>
        <w:rPr/>
      </w:pPr>
      <w:r>
        <w:rPr>
          <w:lang w:eastAsia="ko-KR"/>
        </w:rPr>
        <w:t xml:space="preserve">The simulation results is reported in TR 26.948 [18] for MBMS are relevant. </w:t>
      </w:r>
      <w:r>
        <w:rPr/>
        <w:t>For the cross-layer RAP non-aligned case, the average bandwidth decrease (i.e. based on BD-rate decrease) for SHVC comparing to HEVC simulcast was around 32.9% for 1.5x spatial scalability and 20% for 2x spatial scalability, and the max gain was up to 40.6%. For the cross-layer RAP aligned case, the average bandwidth decrease was around 31.9% for 1.5x spatial scalability and 18.7% for 2x spatial scalability, and the max gain was up to 40.5%. The results are tabulated in the following tables:</w:t>
      </w:r>
    </w:p>
    <w:p>
      <w:pPr>
        <w:pStyle w:val="TH"/>
        <w:rPr/>
      </w:pPr>
      <w:r>
        <w:rPr/>
        <w:t>Table 10: Test results for IRAP aligned Class B (BL 720p – EL 1080p)</w:t>
      </w:r>
    </w:p>
    <w:tbl>
      <w:tblPr>
        <w:tblW w:w="6420" w:type="dxa"/>
        <w:jc w:val="center"/>
        <w:tblInd w:w="0" w:type="dxa"/>
        <w:tblLayout w:type="fixed"/>
        <w:tblCellMar>
          <w:top w:w="0" w:type="dxa"/>
          <w:left w:w="108" w:type="dxa"/>
          <w:bottom w:w="0" w:type="dxa"/>
          <w:right w:w="108" w:type="dxa"/>
        </w:tblCellMar>
      </w:tblPr>
      <w:tblGrid>
        <w:gridCol w:w="2240"/>
        <w:gridCol w:w="1219"/>
        <w:gridCol w:w="987"/>
        <w:gridCol w:w="987"/>
        <w:gridCol w:w="987"/>
      </w:tblGrid>
      <w:tr>
        <w:trPr>
          <w:trHeight w:val="300" w:hRule="atLeast"/>
        </w:trPr>
        <w:tc>
          <w:tcPr>
            <w:tcW w:w="22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Test Sequences</w:t>
            </w:r>
          </w:p>
        </w:tc>
        <w:tc>
          <w:tcPr>
            <w:tcW w:w="12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QP delta</w:t>
              <w:br/>
              <w:t>BL &amp; EL</w:t>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BD-Rate Comparison</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SHVC Vs. Simulcast</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987" w:type="dxa"/>
            <w:tcBorders>
              <w:bottom w:val="single" w:sz="4" w:space="0" w:color="000000"/>
              <w:right w:val="single" w:sz="4" w:space="0" w:color="000000"/>
            </w:tcBorders>
            <w:vAlign w:val="bottom"/>
          </w:tcPr>
          <w:p>
            <w:pPr>
              <w:pStyle w:val="TAH"/>
              <w:rPr/>
            </w:pPr>
            <w:r>
              <w:rPr/>
              <w:t>Y</w:t>
            </w:r>
          </w:p>
        </w:tc>
        <w:tc>
          <w:tcPr>
            <w:tcW w:w="987" w:type="dxa"/>
            <w:tcBorders>
              <w:bottom w:val="single" w:sz="4" w:space="0" w:color="000000"/>
              <w:right w:val="single" w:sz="4" w:space="0" w:color="000000"/>
            </w:tcBorders>
            <w:vAlign w:val="bottom"/>
          </w:tcPr>
          <w:p>
            <w:pPr>
              <w:pStyle w:val="TAH"/>
              <w:rPr/>
            </w:pPr>
            <w:r>
              <w:rPr/>
              <w:t>U</w:t>
            </w:r>
          </w:p>
        </w:tc>
        <w:tc>
          <w:tcPr>
            <w:tcW w:w="987" w:type="dxa"/>
            <w:tcBorders>
              <w:bottom w:val="single" w:sz="4" w:space="0" w:color="000000"/>
              <w:right w:val="single" w:sz="4" w:space="0" w:color="000000"/>
            </w:tcBorders>
            <w:vAlign w:val="bottom"/>
          </w:tcPr>
          <w:p>
            <w:pPr>
              <w:pStyle w:val="TAH"/>
              <w:rPr/>
            </w:pPr>
            <w:r>
              <w:rPr/>
              <w:t>V</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-28.4%</w:t>
            </w:r>
          </w:p>
        </w:tc>
        <w:tc>
          <w:tcPr>
            <w:tcW w:w="987" w:type="dxa"/>
            <w:tcBorders/>
            <w:vAlign w:val="bottom"/>
          </w:tcPr>
          <w:p>
            <w:pPr>
              <w:pStyle w:val="TAC"/>
              <w:rPr/>
            </w:pPr>
            <w:r>
              <w:rPr/>
              <w:t>-20.9%</w:t>
            </w:r>
          </w:p>
        </w:tc>
        <w:tc>
          <w:tcPr>
            <w:tcW w:w="987" w:type="dxa"/>
            <w:tcBorders>
              <w:right w:val="single" w:sz="4" w:space="0" w:color="000000"/>
            </w:tcBorders>
            <w:vAlign w:val="bottom"/>
          </w:tcPr>
          <w:p>
            <w:pPr>
              <w:pStyle w:val="TAC"/>
              <w:rPr/>
            </w:pPr>
            <w:r>
              <w:rPr/>
              <w:t>-18.7%</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-19.5%</w:t>
            </w:r>
          </w:p>
        </w:tc>
        <w:tc>
          <w:tcPr>
            <w:tcW w:w="987" w:type="dxa"/>
            <w:tcBorders/>
            <w:vAlign w:val="bottom"/>
          </w:tcPr>
          <w:p>
            <w:pPr>
              <w:pStyle w:val="TAC"/>
              <w:rPr/>
            </w:pPr>
            <w:r>
              <w:rPr/>
              <w:t>-15.3%</w:t>
            </w:r>
          </w:p>
        </w:tc>
        <w:tc>
          <w:tcPr>
            <w:tcW w:w="987" w:type="dxa"/>
            <w:tcBorders>
              <w:right w:val="single" w:sz="4" w:space="0" w:color="000000"/>
            </w:tcBorders>
            <w:vAlign w:val="bottom"/>
          </w:tcPr>
          <w:p>
            <w:pPr>
              <w:pStyle w:val="TAC"/>
              <w:rPr/>
            </w:pPr>
            <w:r>
              <w:rPr/>
              <w:t>-15.1%</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-23.4%</w:t>
            </w:r>
          </w:p>
        </w:tc>
        <w:tc>
          <w:tcPr>
            <w:tcW w:w="987" w:type="dxa"/>
            <w:tcBorders/>
            <w:vAlign w:val="bottom"/>
          </w:tcPr>
          <w:p>
            <w:pPr>
              <w:pStyle w:val="TAC"/>
              <w:rPr/>
            </w:pPr>
            <w:r>
              <w:rPr/>
              <w:t>-19.2%</w:t>
            </w:r>
          </w:p>
        </w:tc>
        <w:tc>
          <w:tcPr>
            <w:tcW w:w="987" w:type="dxa"/>
            <w:tcBorders>
              <w:right w:val="single" w:sz="4" w:space="0" w:color="000000"/>
            </w:tcBorders>
            <w:vAlign w:val="bottom"/>
          </w:tcPr>
          <w:p>
            <w:pPr>
              <w:pStyle w:val="TAC"/>
              <w:rPr/>
            </w:pPr>
            <w:r>
              <w:rPr/>
              <w:t>-12.5%</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-26.5%</w:t>
            </w:r>
          </w:p>
        </w:tc>
        <w:tc>
          <w:tcPr>
            <w:tcW w:w="987" w:type="dxa"/>
            <w:tcBorders/>
            <w:vAlign w:val="bottom"/>
          </w:tcPr>
          <w:p>
            <w:pPr>
              <w:pStyle w:val="TAC"/>
              <w:rPr/>
            </w:pPr>
            <w:r>
              <w:rPr/>
              <w:t>-15.5%</w:t>
            </w:r>
          </w:p>
        </w:tc>
        <w:tc>
          <w:tcPr>
            <w:tcW w:w="987" w:type="dxa"/>
            <w:tcBorders>
              <w:right w:val="single" w:sz="4" w:space="0" w:color="000000"/>
            </w:tcBorders>
            <w:vAlign w:val="bottom"/>
          </w:tcPr>
          <w:p>
            <w:pPr>
              <w:pStyle w:val="TAC"/>
              <w:rPr/>
            </w:pPr>
            <w:r>
              <w:rPr/>
              <w:t>-15.9%</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-14.9%</w:t>
            </w:r>
          </w:p>
        </w:tc>
        <w:tc>
          <w:tcPr>
            <w:tcW w:w="987" w:type="dxa"/>
            <w:tcBorders/>
            <w:vAlign w:val="bottom"/>
          </w:tcPr>
          <w:p>
            <w:pPr>
              <w:pStyle w:val="TAC"/>
              <w:rPr/>
            </w:pPr>
            <w:r>
              <w:rPr/>
              <w:t>4.9%</w:t>
            </w:r>
          </w:p>
        </w:tc>
        <w:tc>
          <w:tcPr>
            <w:tcW w:w="987" w:type="dxa"/>
            <w:tcBorders>
              <w:right w:val="single" w:sz="4" w:space="0" w:color="000000"/>
            </w:tcBorders>
            <w:vAlign w:val="bottom"/>
          </w:tcPr>
          <w:p>
            <w:pPr>
              <w:pStyle w:val="TAC"/>
              <w:rPr/>
            </w:pPr>
            <w:r>
              <w:rPr/>
              <w:t>10.4%</w:t>
            </w:r>
          </w:p>
        </w:tc>
      </w:tr>
      <w:tr>
        <w:trPr>
          <w:trHeight w:val="300" w:hRule="atLeast"/>
        </w:trPr>
        <w:tc>
          <w:tcPr>
            <w:tcW w:w="3459" w:type="dxa"/>
            <w:gridSpan w:val="2"/>
            <w:tcBorders>
              <w:top w:val="single" w:sz="4" w:space="0" w:color="000000"/>
              <w:left w:val="single" w:sz="4" w:space="0" w:color="000000"/>
              <w:right w:val="single" w:sz="4" w:space="0" w:color="000000"/>
            </w:tcBorders>
            <w:vAlign w:val="bottom"/>
          </w:tcPr>
          <w:p>
            <w:pPr>
              <w:pStyle w:val="TAL"/>
              <w:rPr/>
            </w:pPr>
            <w:r>
              <w:rPr/>
              <w:t>Average</w:t>
            </w:r>
          </w:p>
        </w:tc>
        <w:tc>
          <w:tcPr>
            <w:tcW w:w="987" w:type="dxa"/>
            <w:tcBorders>
              <w:top w:val="single" w:sz="4" w:space="0" w:color="000000"/>
            </w:tcBorders>
            <w:vAlign w:val="bottom"/>
          </w:tcPr>
          <w:p>
            <w:pPr>
              <w:pStyle w:val="TAC"/>
              <w:rPr/>
            </w:pPr>
            <w:r>
              <w:rPr/>
              <w:t>-22.5%</w:t>
            </w:r>
          </w:p>
        </w:tc>
        <w:tc>
          <w:tcPr>
            <w:tcW w:w="987" w:type="dxa"/>
            <w:tcBorders>
              <w:top w:val="single" w:sz="4" w:space="0" w:color="000000"/>
            </w:tcBorders>
            <w:vAlign w:val="bottom"/>
          </w:tcPr>
          <w:p>
            <w:pPr>
              <w:pStyle w:val="TAC"/>
              <w:rPr/>
            </w:pPr>
            <w:r>
              <w:rPr/>
              <w:t>-13.2%</w:t>
            </w:r>
          </w:p>
        </w:tc>
        <w:tc>
          <w:tcPr>
            <w:tcW w:w="987" w:type="dxa"/>
            <w:tcBorders>
              <w:top w:val="single" w:sz="4" w:space="0" w:color="000000"/>
              <w:right w:val="single" w:sz="4" w:space="0" w:color="000000"/>
            </w:tcBorders>
            <w:vAlign w:val="bottom"/>
          </w:tcPr>
          <w:p>
            <w:pPr>
              <w:pStyle w:val="TAC"/>
              <w:rPr/>
            </w:pPr>
            <w:r>
              <w:rPr/>
              <w:t>-10.4%</w:t>
            </w:r>
          </w:p>
        </w:tc>
      </w:tr>
      <w:tr>
        <w:trPr>
          <w:trHeight w:val="300" w:hRule="atLeast"/>
        </w:trPr>
        <w:tc>
          <w:tcPr>
            <w:tcW w:w="2240" w:type="dxa"/>
            <w:tcBorders>
              <w:top w:val="single" w:sz="4" w:space="0" w:color="000000"/>
              <w:left w:val="single" w:sz="4" w:space="0" w:color="000000"/>
              <w:right w:val="single" w:sz="4" w:space="0" w:color="000000"/>
            </w:tcBorders>
            <w:vAlign w:val="bottom"/>
          </w:tcPr>
          <w:p>
            <w:pPr>
              <w:pStyle w:val="TAL"/>
              <w:rPr/>
            </w:pPr>
            <w:r>
              <w:rPr/>
              <w:t>Kimono</w:t>
            </w:r>
          </w:p>
        </w:tc>
        <w:tc>
          <w:tcPr>
            <w:tcW w:w="1219" w:type="dxa"/>
            <w:tcBorders>
              <w:top w:val="single" w:sz="4" w:space="0" w:color="000000"/>
              <w:bottom w:val="single" w:sz="4" w:space="0" w:color="000000"/>
              <w:right w:val="single" w:sz="4" w:space="0" w:color="000000"/>
            </w:tcBorders>
            <w:vAlign w:val="bottom"/>
          </w:tcPr>
          <w:p>
            <w:pPr>
              <w:pStyle w:val="TAL"/>
              <w:rPr/>
            </w:pPr>
            <w:r>
              <w:rPr/>
              <w:t>2</w:t>
            </w:r>
          </w:p>
        </w:tc>
        <w:tc>
          <w:tcPr>
            <w:tcW w:w="987" w:type="dxa"/>
            <w:tcBorders>
              <w:top w:val="single" w:sz="4" w:space="0" w:color="000000"/>
              <w:bottom w:val="single" w:sz="4" w:space="0" w:color="000000"/>
            </w:tcBorders>
            <w:vAlign w:val="bottom"/>
          </w:tcPr>
          <w:p>
            <w:pPr>
              <w:pStyle w:val="TAC"/>
              <w:rPr/>
            </w:pPr>
            <w:r>
              <w:rPr/>
              <w:t>-40.5%</w:t>
            </w:r>
          </w:p>
        </w:tc>
        <w:tc>
          <w:tcPr>
            <w:tcW w:w="987" w:type="dxa"/>
            <w:tcBorders>
              <w:top w:val="single" w:sz="4" w:space="0" w:color="000000"/>
              <w:bottom w:val="single" w:sz="4" w:space="0" w:color="000000"/>
            </w:tcBorders>
            <w:vAlign w:val="bottom"/>
          </w:tcPr>
          <w:p>
            <w:pPr>
              <w:pStyle w:val="TAC"/>
              <w:rPr/>
            </w:pPr>
            <w:r>
              <w:rPr/>
              <w:t>-34.5%</w:t>
            </w:r>
          </w:p>
        </w:tc>
        <w:tc>
          <w:tcPr>
            <w:tcW w:w="987" w:type="dxa"/>
            <w:tcBorders>
              <w:top w:val="single" w:sz="4" w:space="0" w:color="000000"/>
              <w:bottom w:val="single" w:sz="4" w:space="0" w:color="000000"/>
              <w:right w:val="single" w:sz="4" w:space="0" w:color="000000"/>
            </w:tcBorders>
            <w:vAlign w:val="bottom"/>
          </w:tcPr>
          <w:p>
            <w:pPr>
              <w:pStyle w:val="TAC"/>
              <w:rPr/>
            </w:pPr>
            <w:r>
              <w:rPr/>
              <w:t>-33.3%</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-28.9%</w:t>
            </w:r>
          </w:p>
        </w:tc>
        <w:tc>
          <w:tcPr>
            <w:tcW w:w="987" w:type="dxa"/>
            <w:tcBorders>
              <w:bottom w:val="single" w:sz="4" w:space="0" w:color="000000"/>
            </w:tcBorders>
            <w:vAlign w:val="bottom"/>
          </w:tcPr>
          <w:p>
            <w:pPr>
              <w:pStyle w:val="TAC"/>
              <w:rPr/>
            </w:pPr>
            <w:r>
              <w:rPr/>
              <w:t>-24.6%</w:t>
            </w:r>
          </w:p>
        </w:tc>
        <w:tc>
          <w:tcPr>
            <w:tcW w:w="987" w:type="dxa"/>
            <w:tcBorders>
              <w:bottom w:val="single" w:sz="4" w:space="0" w:color="000000"/>
              <w:right w:val="single" w:sz="4" w:space="0" w:color="000000"/>
            </w:tcBorders>
            <w:vAlign w:val="bottom"/>
          </w:tcPr>
          <w:p>
            <w:pPr>
              <w:pStyle w:val="TAC"/>
              <w:rPr/>
            </w:pPr>
            <w:r>
              <w:rPr/>
              <w:t>-25.2%</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-32.7%</w:t>
            </w:r>
          </w:p>
        </w:tc>
        <w:tc>
          <w:tcPr>
            <w:tcW w:w="987" w:type="dxa"/>
            <w:tcBorders>
              <w:bottom w:val="single" w:sz="4" w:space="0" w:color="000000"/>
            </w:tcBorders>
            <w:vAlign w:val="bottom"/>
          </w:tcPr>
          <w:p>
            <w:pPr>
              <w:pStyle w:val="TAC"/>
              <w:rPr/>
            </w:pPr>
            <w:r>
              <w:rPr/>
              <w:t>-30.5%</w:t>
            </w:r>
          </w:p>
        </w:tc>
        <w:tc>
          <w:tcPr>
            <w:tcW w:w="987" w:type="dxa"/>
            <w:tcBorders>
              <w:bottom w:val="single" w:sz="4" w:space="0" w:color="000000"/>
              <w:right w:val="single" w:sz="4" w:space="0" w:color="000000"/>
            </w:tcBorders>
            <w:vAlign w:val="bottom"/>
          </w:tcPr>
          <w:p>
            <w:pPr>
              <w:pStyle w:val="TAC"/>
              <w:rPr/>
            </w:pPr>
            <w:r>
              <w:rPr/>
              <w:t>-27.5%</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-36.1%</w:t>
            </w:r>
          </w:p>
        </w:tc>
        <w:tc>
          <w:tcPr>
            <w:tcW w:w="987" w:type="dxa"/>
            <w:tcBorders>
              <w:bottom w:val="single" w:sz="4" w:space="0" w:color="000000"/>
            </w:tcBorders>
            <w:vAlign w:val="bottom"/>
          </w:tcPr>
          <w:p>
            <w:pPr>
              <w:pStyle w:val="TAC"/>
              <w:rPr/>
            </w:pPr>
            <w:r>
              <w:rPr/>
              <w:t>-30.3%</w:t>
            </w:r>
          </w:p>
        </w:tc>
        <w:tc>
          <w:tcPr>
            <w:tcW w:w="987" w:type="dxa"/>
            <w:tcBorders>
              <w:bottom w:val="single" w:sz="4" w:space="0" w:color="000000"/>
              <w:right w:val="single" w:sz="4" w:space="0" w:color="000000"/>
            </w:tcBorders>
            <w:vAlign w:val="bottom"/>
          </w:tcPr>
          <w:p>
            <w:pPr>
              <w:pStyle w:val="TAC"/>
              <w:rPr/>
            </w:pPr>
            <w:r>
              <w:rPr/>
              <w:t>-29.8%</w:t>
            </w:r>
          </w:p>
        </w:tc>
      </w:tr>
      <w:tr>
        <w:trPr>
          <w:trHeight w:val="300" w:hRule="atLeast"/>
        </w:trPr>
        <w:tc>
          <w:tcPr>
            <w:tcW w:w="2240" w:type="dxa"/>
            <w:tcBorders>
              <w:left w:val="single" w:sz="4" w:space="0" w:color="000000"/>
              <w:bottom w:val="single" w:sz="4" w:space="0" w:color="000000"/>
              <w:right w:val="single" w:sz="4" w:space="0" w:color="000000"/>
            </w:tcBorders>
            <w:vAlign w:val="bottom"/>
          </w:tcPr>
          <w:p>
            <w:pPr>
              <w:pStyle w:val="TAL"/>
              <w:rPr/>
            </w:pPr>
            <w:r>
              <w:rPr/>
              <w:t>BQTerrace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-21.5%</w:t>
            </w:r>
          </w:p>
        </w:tc>
        <w:tc>
          <w:tcPr>
            <w:tcW w:w="987" w:type="dxa"/>
            <w:tcBorders>
              <w:bottom w:val="single" w:sz="4" w:space="0" w:color="000000"/>
            </w:tcBorders>
            <w:vAlign w:val="bottom"/>
          </w:tcPr>
          <w:p>
            <w:pPr>
              <w:pStyle w:val="TAC"/>
              <w:rPr/>
            </w:pPr>
            <w:r>
              <w:rPr/>
              <w:t>-11.2%</w:t>
            </w:r>
          </w:p>
        </w:tc>
        <w:tc>
          <w:tcPr>
            <w:tcW w:w="987" w:type="dxa"/>
            <w:tcBorders>
              <w:bottom w:val="single" w:sz="4" w:space="0" w:color="000000"/>
              <w:right w:val="single" w:sz="4" w:space="0" w:color="000000"/>
            </w:tcBorders>
            <w:vAlign w:val="bottom"/>
          </w:tcPr>
          <w:p>
            <w:pPr>
              <w:pStyle w:val="TAC"/>
              <w:rPr/>
            </w:pPr>
            <w:r>
              <w:rPr/>
              <w:t>-10.5%</w:t>
            </w:r>
          </w:p>
        </w:tc>
      </w:tr>
      <w:tr>
        <w:trPr>
          <w:trHeight w:val="300" w:hRule="atLeast"/>
        </w:trPr>
        <w:tc>
          <w:tcPr>
            <w:tcW w:w="3459" w:type="dxa"/>
            <w:gridSpan w:val="2"/>
            <w:tcBorders>
              <w:left w:val="single" w:sz="4" w:space="0" w:color="000000"/>
              <w:bottom w:val="single" w:sz="4" w:space="0" w:color="000000"/>
              <w:right w:val="single" w:sz="4" w:space="0" w:color="000000"/>
            </w:tcBorders>
            <w:vAlign w:val="bottom"/>
          </w:tcPr>
          <w:p>
            <w:pPr>
              <w:pStyle w:val="TAL"/>
              <w:rPr/>
            </w:pPr>
            <w:r>
              <w:rPr/>
              <w:t>Average</w:t>
            </w:r>
          </w:p>
        </w:tc>
        <w:tc>
          <w:tcPr>
            <w:tcW w:w="987" w:type="dxa"/>
            <w:tcBorders>
              <w:bottom w:val="single" w:sz="4" w:space="0" w:color="000000"/>
            </w:tcBorders>
            <w:vAlign w:val="bottom"/>
          </w:tcPr>
          <w:p>
            <w:pPr>
              <w:pStyle w:val="TAC"/>
              <w:rPr/>
            </w:pPr>
            <w:r>
              <w:rPr/>
              <w:t>-31.9%</w:t>
            </w:r>
          </w:p>
        </w:tc>
        <w:tc>
          <w:tcPr>
            <w:tcW w:w="987" w:type="dxa"/>
            <w:tcBorders>
              <w:bottom w:val="single" w:sz="4" w:space="0" w:color="000000"/>
            </w:tcBorders>
            <w:vAlign w:val="bottom"/>
          </w:tcPr>
          <w:p>
            <w:pPr>
              <w:pStyle w:val="TAC"/>
              <w:rPr/>
            </w:pPr>
            <w:r>
              <w:rPr/>
              <w:t>-26.2%</w:t>
            </w:r>
          </w:p>
        </w:tc>
        <w:tc>
          <w:tcPr>
            <w:tcW w:w="987" w:type="dxa"/>
            <w:tcBorders>
              <w:bottom w:val="single" w:sz="4" w:space="0" w:color="000000"/>
              <w:right w:val="single" w:sz="4" w:space="0" w:color="000000"/>
            </w:tcBorders>
            <w:vAlign w:val="bottom"/>
          </w:tcPr>
          <w:p>
            <w:pPr>
              <w:pStyle w:val="TAC"/>
              <w:rPr/>
            </w:pPr>
            <w:r>
              <w:rPr/>
              <w:t>-25.3%</w:t>
            </w:r>
          </w:p>
        </w:tc>
      </w:tr>
    </w:tbl>
    <w:p>
      <w:pPr>
        <w:pStyle w:val="Normal"/>
        <w:rPr/>
      </w:pPr>
      <w:r>
        <w:rPr/>
      </w:r>
    </w:p>
    <w:p>
      <w:pPr>
        <w:pStyle w:val="TH"/>
        <w:rPr/>
      </w:pPr>
      <w:r>
        <w:rPr/>
        <w:t>Table 11: Test results for IRAP aligned Class B (BL 540p – EL 1080p)</w:t>
      </w:r>
    </w:p>
    <w:tbl>
      <w:tblPr>
        <w:tblW w:w="6420" w:type="dxa"/>
        <w:jc w:val="center"/>
        <w:tblInd w:w="0" w:type="dxa"/>
        <w:tblLayout w:type="fixed"/>
        <w:tblCellMar>
          <w:top w:w="0" w:type="dxa"/>
          <w:left w:w="108" w:type="dxa"/>
          <w:bottom w:w="0" w:type="dxa"/>
          <w:right w:w="108" w:type="dxa"/>
        </w:tblCellMar>
      </w:tblPr>
      <w:tblGrid>
        <w:gridCol w:w="2240"/>
        <w:gridCol w:w="1219"/>
        <w:gridCol w:w="987"/>
        <w:gridCol w:w="987"/>
        <w:gridCol w:w="987"/>
      </w:tblGrid>
      <w:tr>
        <w:trPr>
          <w:trHeight w:val="300" w:hRule="atLeast"/>
        </w:trPr>
        <w:tc>
          <w:tcPr>
            <w:tcW w:w="22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Test Sequences</w:t>
            </w:r>
          </w:p>
        </w:tc>
        <w:tc>
          <w:tcPr>
            <w:tcW w:w="12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QP Delta</w:t>
              <w:br/>
              <w:t>BL &amp; EL</w:t>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BD-Rate Comparison</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SHVC Vs. Simulcast</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987" w:type="dxa"/>
            <w:tcBorders>
              <w:bottom w:val="single" w:sz="4" w:space="0" w:color="000000"/>
              <w:right w:val="single" w:sz="4" w:space="0" w:color="000000"/>
            </w:tcBorders>
            <w:vAlign w:val="bottom"/>
          </w:tcPr>
          <w:p>
            <w:pPr>
              <w:pStyle w:val="TAH"/>
              <w:rPr/>
            </w:pPr>
            <w:r>
              <w:rPr/>
              <w:t>Y</w:t>
            </w:r>
          </w:p>
        </w:tc>
        <w:tc>
          <w:tcPr>
            <w:tcW w:w="987" w:type="dxa"/>
            <w:tcBorders>
              <w:bottom w:val="single" w:sz="4" w:space="0" w:color="000000"/>
              <w:right w:val="single" w:sz="4" w:space="0" w:color="000000"/>
            </w:tcBorders>
            <w:vAlign w:val="bottom"/>
          </w:tcPr>
          <w:p>
            <w:pPr>
              <w:pStyle w:val="TAH"/>
              <w:rPr/>
            </w:pPr>
            <w:r>
              <w:rPr/>
              <w:t>U</w:t>
            </w:r>
          </w:p>
        </w:tc>
        <w:tc>
          <w:tcPr>
            <w:tcW w:w="987" w:type="dxa"/>
            <w:tcBorders>
              <w:bottom w:val="single" w:sz="4" w:space="0" w:color="000000"/>
              <w:right w:val="single" w:sz="4" w:space="0" w:color="000000"/>
            </w:tcBorders>
            <w:vAlign w:val="bottom"/>
          </w:tcPr>
          <w:p>
            <w:pPr>
              <w:pStyle w:val="TAH"/>
              <w:rPr/>
            </w:pPr>
            <w:r>
              <w:rPr/>
              <w:t>V</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-19.2%</w:t>
            </w:r>
          </w:p>
        </w:tc>
        <w:tc>
          <w:tcPr>
            <w:tcW w:w="987" w:type="dxa"/>
            <w:tcBorders/>
            <w:vAlign w:val="bottom"/>
          </w:tcPr>
          <w:p>
            <w:pPr>
              <w:pStyle w:val="TAC"/>
              <w:rPr/>
            </w:pPr>
            <w:r>
              <w:rPr/>
              <w:t>-11.9%</w:t>
            </w:r>
          </w:p>
        </w:tc>
        <w:tc>
          <w:tcPr>
            <w:tcW w:w="987" w:type="dxa"/>
            <w:tcBorders>
              <w:right w:val="single" w:sz="4" w:space="0" w:color="000000"/>
            </w:tcBorders>
            <w:vAlign w:val="bottom"/>
          </w:tcPr>
          <w:p>
            <w:pPr>
              <w:pStyle w:val="TAC"/>
              <w:rPr/>
            </w:pPr>
            <w:r>
              <w:rPr/>
              <w:t>-9.5%</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-10.2%</w:t>
            </w:r>
          </w:p>
        </w:tc>
        <w:tc>
          <w:tcPr>
            <w:tcW w:w="987" w:type="dxa"/>
            <w:tcBorders/>
            <w:vAlign w:val="bottom"/>
          </w:tcPr>
          <w:p>
            <w:pPr>
              <w:pStyle w:val="TAC"/>
              <w:rPr/>
            </w:pPr>
            <w:r>
              <w:rPr/>
              <w:t>-8.5%</w:t>
            </w:r>
          </w:p>
        </w:tc>
        <w:tc>
          <w:tcPr>
            <w:tcW w:w="987" w:type="dxa"/>
            <w:tcBorders>
              <w:right w:val="single" w:sz="4" w:space="0" w:color="000000"/>
            </w:tcBorders>
            <w:vAlign w:val="bottom"/>
          </w:tcPr>
          <w:p>
            <w:pPr>
              <w:pStyle w:val="TAC"/>
              <w:rPr/>
            </w:pPr>
            <w:r>
              <w:rPr/>
              <w:t>-8.7%</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-13.7%</w:t>
            </w:r>
          </w:p>
        </w:tc>
        <w:tc>
          <w:tcPr>
            <w:tcW w:w="987" w:type="dxa"/>
            <w:tcBorders/>
            <w:vAlign w:val="bottom"/>
          </w:tcPr>
          <w:p>
            <w:pPr>
              <w:pStyle w:val="TAC"/>
              <w:rPr/>
            </w:pPr>
            <w:r>
              <w:rPr/>
              <w:t>-9.7%</w:t>
            </w:r>
          </w:p>
        </w:tc>
        <w:tc>
          <w:tcPr>
            <w:tcW w:w="987" w:type="dxa"/>
            <w:tcBorders>
              <w:right w:val="single" w:sz="4" w:space="0" w:color="000000"/>
            </w:tcBorders>
            <w:vAlign w:val="bottom"/>
          </w:tcPr>
          <w:p>
            <w:pPr>
              <w:pStyle w:val="TAC"/>
              <w:rPr/>
            </w:pPr>
            <w:r>
              <w:rPr/>
              <w:t>-3.9%</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-16.6%</w:t>
            </w:r>
          </w:p>
        </w:tc>
        <w:tc>
          <w:tcPr>
            <w:tcW w:w="987" w:type="dxa"/>
            <w:tcBorders/>
            <w:vAlign w:val="bottom"/>
          </w:tcPr>
          <w:p>
            <w:pPr>
              <w:pStyle w:val="TAC"/>
              <w:rPr/>
            </w:pPr>
            <w:r>
              <w:rPr/>
              <w:t>-4.9%</w:t>
            </w:r>
          </w:p>
        </w:tc>
        <w:tc>
          <w:tcPr>
            <w:tcW w:w="987" w:type="dxa"/>
            <w:tcBorders>
              <w:right w:val="single" w:sz="4" w:space="0" w:color="000000"/>
            </w:tcBorders>
            <w:vAlign w:val="bottom"/>
          </w:tcPr>
          <w:p>
            <w:pPr>
              <w:pStyle w:val="TAC"/>
              <w:rPr/>
            </w:pPr>
            <w:r>
              <w:rPr/>
              <w:t>-6.1%</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-7.7%</w:t>
            </w:r>
          </w:p>
        </w:tc>
        <w:tc>
          <w:tcPr>
            <w:tcW w:w="987" w:type="dxa"/>
            <w:tcBorders/>
            <w:vAlign w:val="bottom"/>
          </w:tcPr>
          <w:p>
            <w:pPr>
              <w:pStyle w:val="TAC"/>
              <w:rPr/>
            </w:pPr>
            <w:r>
              <w:rPr/>
              <w:t>1.7%</w:t>
            </w:r>
          </w:p>
        </w:tc>
        <w:tc>
          <w:tcPr>
            <w:tcW w:w="987" w:type="dxa"/>
            <w:tcBorders>
              <w:right w:val="single" w:sz="4" w:space="0" w:color="000000"/>
            </w:tcBorders>
            <w:vAlign w:val="bottom"/>
          </w:tcPr>
          <w:p>
            <w:pPr>
              <w:pStyle w:val="TAC"/>
              <w:rPr/>
            </w:pPr>
            <w:r>
              <w:rPr/>
              <w:t>6.2%</w:t>
            </w:r>
          </w:p>
        </w:tc>
      </w:tr>
      <w:tr>
        <w:trPr>
          <w:trHeight w:val="300" w:hRule="atLeast"/>
        </w:trPr>
        <w:tc>
          <w:tcPr>
            <w:tcW w:w="3459" w:type="dxa"/>
            <w:gridSpan w:val="2"/>
            <w:tcBorders>
              <w:top w:val="single" w:sz="4" w:space="0" w:color="000000"/>
              <w:left w:val="single" w:sz="4" w:space="0" w:color="000000"/>
              <w:right w:val="single" w:sz="4" w:space="0" w:color="000000"/>
            </w:tcBorders>
            <w:vAlign w:val="bottom"/>
          </w:tcPr>
          <w:p>
            <w:pPr>
              <w:pStyle w:val="TAL"/>
              <w:rPr/>
            </w:pPr>
            <w:r>
              <w:rPr/>
              <w:t>Average</w:t>
            </w:r>
          </w:p>
        </w:tc>
        <w:tc>
          <w:tcPr>
            <w:tcW w:w="987" w:type="dxa"/>
            <w:tcBorders>
              <w:top w:val="single" w:sz="4" w:space="0" w:color="000000"/>
            </w:tcBorders>
            <w:vAlign w:val="bottom"/>
          </w:tcPr>
          <w:p>
            <w:pPr>
              <w:pStyle w:val="TAC"/>
              <w:rPr/>
            </w:pPr>
            <w:r>
              <w:rPr/>
              <w:t>-13.5%</w:t>
            </w:r>
          </w:p>
        </w:tc>
        <w:tc>
          <w:tcPr>
            <w:tcW w:w="987" w:type="dxa"/>
            <w:tcBorders>
              <w:top w:val="single" w:sz="4" w:space="0" w:color="000000"/>
            </w:tcBorders>
            <w:vAlign w:val="bottom"/>
          </w:tcPr>
          <w:p>
            <w:pPr>
              <w:pStyle w:val="TAC"/>
              <w:rPr/>
            </w:pPr>
            <w:r>
              <w:rPr/>
              <w:t>-6.7%</w:t>
            </w:r>
          </w:p>
        </w:tc>
        <w:tc>
          <w:tcPr>
            <w:tcW w:w="987" w:type="dxa"/>
            <w:tcBorders>
              <w:top w:val="single" w:sz="4" w:space="0" w:color="000000"/>
              <w:right w:val="single" w:sz="4" w:space="0" w:color="000000"/>
            </w:tcBorders>
            <w:vAlign w:val="bottom"/>
          </w:tcPr>
          <w:p>
            <w:pPr>
              <w:pStyle w:val="TAC"/>
              <w:rPr/>
            </w:pPr>
            <w:r>
              <w:rPr/>
              <w:t>-4.4%</w:t>
            </w:r>
          </w:p>
        </w:tc>
      </w:tr>
      <w:tr>
        <w:trPr>
          <w:trHeight w:val="300" w:hRule="atLeast"/>
        </w:trPr>
        <w:tc>
          <w:tcPr>
            <w:tcW w:w="2240" w:type="dxa"/>
            <w:tcBorders>
              <w:top w:val="single" w:sz="4" w:space="0" w:color="000000"/>
              <w:left w:val="single" w:sz="4" w:space="0" w:color="000000"/>
              <w:right w:val="single" w:sz="4" w:space="0" w:color="000000"/>
            </w:tcBorders>
            <w:vAlign w:val="bottom"/>
          </w:tcPr>
          <w:p>
            <w:pPr>
              <w:pStyle w:val="TAL"/>
              <w:rPr/>
            </w:pPr>
            <w:r>
              <w:rPr/>
              <w:t>Kimono</w:t>
            </w:r>
          </w:p>
        </w:tc>
        <w:tc>
          <w:tcPr>
            <w:tcW w:w="1219" w:type="dxa"/>
            <w:tcBorders>
              <w:top w:val="single" w:sz="4" w:space="0" w:color="000000"/>
              <w:bottom w:val="single" w:sz="4" w:space="0" w:color="000000"/>
              <w:right w:val="single" w:sz="4" w:space="0" w:color="000000"/>
            </w:tcBorders>
            <w:vAlign w:val="bottom"/>
          </w:tcPr>
          <w:p>
            <w:pPr>
              <w:pStyle w:val="TAL"/>
              <w:rPr/>
            </w:pPr>
            <w:r>
              <w:rPr/>
              <w:t>2</w:t>
            </w:r>
          </w:p>
        </w:tc>
        <w:tc>
          <w:tcPr>
            <w:tcW w:w="987" w:type="dxa"/>
            <w:tcBorders>
              <w:top w:val="single" w:sz="4" w:space="0" w:color="000000"/>
              <w:bottom w:val="single" w:sz="4" w:space="0" w:color="000000"/>
            </w:tcBorders>
            <w:vAlign w:val="bottom"/>
          </w:tcPr>
          <w:p>
            <w:pPr>
              <w:pStyle w:val="TAC"/>
              <w:rPr/>
            </w:pPr>
            <w:r>
              <w:rPr/>
              <w:t>-27.0%</w:t>
            </w:r>
          </w:p>
        </w:tc>
        <w:tc>
          <w:tcPr>
            <w:tcW w:w="987" w:type="dxa"/>
            <w:tcBorders>
              <w:top w:val="single" w:sz="4" w:space="0" w:color="000000"/>
              <w:bottom w:val="single" w:sz="4" w:space="0" w:color="000000"/>
            </w:tcBorders>
            <w:vAlign w:val="bottom"/>
          </w:tcPr>
          <w:p>
            <w:pPr>
              <w:pStyle w:val="TAC"/>
              <w:rPr/>
            </w:pPr>
            <w:r>
              <w:rPr/>
              <w:t>-18.9%</w:t>
            </w:r>
          </w:p>
        </w:tc>
        <w:tc>
          <w:tcPr>
            <w:tcW w:w="987" w:type="dxa"/>
            <w:tcBorders>
              <w:top w:val="single" w:sz="4" w:space="0" w:color="000000"/>
              <w:bottom w:val="single" w:sz="4" w:space="0" w:color="000000"/>
              <w:right w:val="single" w:sz="4" w:space="0" w:color="000000"/>
            </w:tcBorders>
            <w:vAlign w:val="bottom"/>
          </w:tcPr>
          <w:p>
            <w:pPr>
              <w:pStyle w:val="TAC"/>
              <w:rPr/>
            </w:pPr>
            <w:r>
              <w:rPr/>
              <w:t>-16.8%</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-14.8%</w:t>
            </w:r>
          </w:p>
        </w:tc>
        <w:tc>
          <w:tcPr>
            <w:tcW w:w="987" w:type="dxa"/>
            <w:tcBorders>
              <w:bottom w:val="single" w:sz="4" w:space="0" w:color="000000"/>
            </w:tcBorders>
            <w:vAlign w:val="bottom"/>
          </w:tcPr>
          <w:p>
            <w:pPr>
              <w:pStyle w:val="TAC"/>
              <w:rPr/>
            </w:pPr>
            <w:r>
              <w:rPr/>
              <w:t>-12.0%</w:t>
            </w:r>
          </w:p>
        </w:tc>
        <w:tc>
          <w:tcPr>
            <w:tcW w:w="987" w:type="dxa"/>
            <w:tcBorders>
              <w:bottom w:val="single" w:sz="4" w:space="0" w:color="000000"/>
              <w:right w:val="single" w:sz="4" w:space="0" w:color="000000"/>
            </w:tcBorders>
            <w:vAlign w:val="bottom"/>
          </w:tcPr>
          <w:p>
            <w:pPr>
              <w:pStyle w:val="TAC"/>
              <w:rPr/>
            </w:pPr>
            <w:r>
              <w:rPr/>
              <w:t>-12.1%</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-18.4%</w:t>
            </w:r>
          </w:p>
        </w:tc>
        <w:tc>
          <w:tcPr>
            <w:tcW w:w="987" w:type="dxa"/>
            <w:tcBorders>
              <w:bottom w:val="single" w:sz="4" w:space="0" w:color="000000"/>
            </w:tcBorders>
            <w:vAlign w:val="bottom"/>
          </w:tcPr>
          <w:p>
            <w:pPr>
              <w:pStyle w:val="TAC"/>
              <w:rPr/>
            </w:pPr>
            <w:r>
              <w:rPr/>
              <w:t>-14.4%</w:t>
            </w:r>
          </w:p>
        </w:tc>
        <w:tc>
          <w:tcPr>
            <w:tcW w:w="987" w:type="dxa"/>
            <w:tcBorders>
              <w:bottom w:val="single" w:sz="4" w:space="0" w:color="000000"/>
              <w:right w:val="single" w:sz="4" w:space="0" w:color="000000"/>
            </w:tcBorders>
            <w:vAlign w:val="bottom"/>
          </w:tcPr>
          <w:p>
            <w:pPr>
              <w:pStyle w:val="TAC"/>
              <w:rPr/>
            </w:pPr>
            <w:r>
              <w:rPr/>
              <w:t>-10.3%</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-23.0%</w:t>
            </w:r>
          </w:p>
        </w:tc>
        <w:tc>
          <w:tcPr>
            <w:tcW w:w="987" w:type="dxa"/>
            <w:tcBorders>
              <w:bottom w:val="single" w:sz="4" w:space="0" w:color="000000"/>
            </w:tcBorders>
            <w:vAlign w:val="bottom"/>
          </w:tcPr>
          <w:p>
            <w:pPr>
              <w:pStyle w:val="TAC"/>
              <w:rPr/>
            </w:pPr>
            <w:r>
              <w:rPr/>
              <w:t>-12.5%</w:t>
            </w:r>
          </w:p>
        </w:tc>
        <w:tc>
          <w:tcPr>
            <w:tcW w:w="987" w:type="dxa"/>
            <w:tcBorders>
              <w:bottom w:val="single" w:sz="4" w:space="0" w:color="000000"/>
              <w:right w:val="single" w:sz="4" w:space="0" w:color="000000"/>
            </w:tcBorders>
            <w:vAlign w:val="bottom"/>
          </w:tcPr>
          <w:p>
            <w:pPr>
              <w:pStyle w:val="TAC"/>
              <w:rPr/>
            </w:pPr>
            <w:r>
              <w:rPr/>
              <w:t>-13.0%</w:t>
            </w:r>
          </w:p>
        </w:tc>
      </w:tr>
      <w:tr>
        <w:trPr>
          <w:trHeight w:val="300" w:hRule="atLeast"/>
        </w:trPr>
        <w:tc>
          <w:tcPr>
            <w:tcW w:w="2240" w:type="dxa"/>
            <w:tcBorders>
              <w:left w:val="single" w:sz="4" w:space="0" w:color="000000"/>
              <w:bottom w:val="single" w:sz="4" w:space="0" w:color="000000"/>
              <w:right w:val="single" w:sz="4" w:space="0" w:color="000000"/>
            </w:tcBorders>
            <w:vAlign w:val="bottom"/>
          </w:tcPr>
          <w:p>
            <w:pPr>
              <w:pStyle w:val="TAL"/>
              <w:rPr/>
            </w:pPr>
            <w:r>
              <w:rPr/>
              <w:t>BQTerrace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-10.2%</w:t>
            </w:r>
          </w:p>
        </w:tc>
        <w:tc>
          <w:tcPr>
            <w:tcW w:w="987" w:type="dxa"/>
            <w:tcBorders>
              <w:bottom w:val="single" w:sz="4" w:space="0" w:color="000000"/>
            </w:tcBorders>
            <w:vAlign w:val="bottom"/>
          </w:tcPr>
          <w:p>
            <w:pPr>
              <w:pStyle w:val="TAC"/>
              <w:rPr/>
            </w:pPr>
            <w:r>
              <w:rPr/>
              <w:t>-2.1%</w:t>
            </w:r>
          </w:p>
        </w:tc>
        <w:tc>
          <w:tcPr>
            <w:tcW w:w="987" w:type="dxa"/>
            <w:tcBorders>
              <w:bottom w:val="single" w:sz="4" w:space="0" w:color="000000"/>
              <w:right w:val="single" w:sz="4" w:space="0" w:color="000000"/>
            </w:tcBorders>
            <w:vAlign w:val="bottom"/>
          </w:tcPr>
          <w:p>
            <w:pPr>
              <w:pStyle w:val="TAC"/>
              <w:rPr/>
            </w:pPr>
            <w:r>
              <w:rPr/>
              <w:t>0.1%</w:t>
            </w:r>
          </w:p>
        </w:tc>
      </w:tr>
      <w:tr>
        <w:trPr>
          <w:trHeight w:val="300" w:hRule="atLeast"/>
        </w:trPr>
        <w:tc>
          <w:tcPr>
            <w:tcW w:w="3459" w:type="dxa"/>
            <w:gridSpan w:val="2"/>
            <w:tcBorders>
              <w:left w:val="single" w:sz="4" w:space="0" w:color="000000"/>
              <w:bottom w:val="single" w:sz="4" w:space="0" w:color="000000"/>
              <w:right w:val="single" w:sz="4" w:space="0" w:color="000000"/>
            </w:tcBorders>
            <w:vAlign w:val="bottom"/>
          </w:tcPr>
          <w:p>
            <w:pPr>
              <w:pStyle w:val="TAL"/>
              <w:rPr/>
            </w:pPr>
            <w:r>
              <w:rPr/>
              <w:t>Average</w:t>
            </w:r>
          </w:p>
        </w:tc>
        <w:tc>
          <w:tcPr>
            <w:tcW w:w="987" w:type="dxa"/>
            <w:tcBorders>
              <w:top w:val="single" w:sz="4" w:space="0" w:color="000000"/>
              <w:left w:val="single" w:sz="4" w:space="0" w:color="000000"/>
              <w:bottom w:val="single" w:sz="4" w:space="0" w:color="000000"/>
            </w:tcBorders>
            <w:vAlign w:val="bottom"/>
          </w:tcPr>
          <w:p>
            <w:pPr>
              <w:pStyle w:val="TAC"/>
              <w:rPr/>
            </w:pPr>
            <w:r>
              <w:rPr/>
              <w:t>-18.7%</w:t>
            </w:r>
          </w:p>
        </w:tc>
        <w:tc>
          <w:tcPr>
            <w:tcW w:w="987" w:type="dxa"/>
            <w:tcBorders>
              <w:top w:val="single" w:sz="4" w:space="0" w:color="000000"/>
              <w:bottom w:val="single" w:sz="4" w:space="0" w:color="000000"/>
            </w:tcBorders>
            <w:vAlign w:val="bottom"/>
          </w:tcPr>
          <w:p>
            <w:pPr>
              <w:pStyle w:val="TAC"/>
              <w:rPr/>
            </w:pPr>
            <w:r>
              <w:rPr/>
              <w:t>-12.0%</w:t>
            </w:r>
          </w:p>
        </w:tc>
        <w:tc>
          <w:tcPr>
            <w:tcW w:w="987" w:type="dxa"/>
            <w:tcBorders>
              <w:top w:val="single" w:sz="4" w:space="0" w:color="000000"/>
              <w:bottom w:val="single" w:sz="4" w:space="0" w:color="000000"/>
              <w:right w:val="single" w:sz="4" w:space="0" w:color="000000"/>
            </w:tcBorders>
            <w:vAlign w:val="bottom"/>
          </w:tcPr>
          <w:p>
            <w:pPr>
              <w:pStyle w:val="TAC"/>
              <w:rPr/>
            </w:pPr>
            <w:r>
              <w:rPr/>
              <w:t>-10.4%</w:t>
            </w:r>
          </w:p>
        </w:tc>
      </w:tr>
    </w:tbl>
    <w:p>
      <w:pPr>
        <w:pStyle w:val="Normal"/>
        <w:rPr/>
      </w:pPr>
      <w:r>
        <w:rPr/>
      </w:r>
    </w:p>
    <w:p>
      <w:pPr>
        <w:pStyle w:val="TH"/>
        <w:rPr/>
      </w:pPr>
      <w:r>
        <w:rPr/>
        <w:t>Table 12: Test results for IRAP non-aligned Class B (BL 720p – EL 1080p)</w:t>
      </w:r>
    </w:p>
    <w:tbl>
      <w:tblPr>
        <w:tblW w:w="6420" w:type="dxa"/>
        <w:jc w:val="center"/>
        <w:tblInd w:w="0" w:type="dxa"/>
        <w:tblLayout w:type="fixed"/>
        <w:tblCellMar>
          <w:top w:w="0" w:type="dxa"/>
          <w:left w:w="108" w:type="dxa"/>
          <w:bottom w:w="0" w:type="dxa"/>
          <w:right w:w="108" w:type="dxa"/>
        </w:tblCellMar>
      </w:tblPr>
      <w:tblGrid>
        <w:gridCol w:w="2240"/>
        <w:gridCol w:w="1219"/>
        <w:gridCol w:w="987"/>
        <w:gridCol w:w="987"/>
        <w:gridCol w:w="987"/>
      </w:tblGrid>
      <w:tr>
        <w:trPr>
          <w:trHeight w:val="300" w:hRule="atLeast"/>
        </w:trPr>
        <w:tc>
          <w:tcPr>
            <w:tcW w:w="22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Test Sequences</w:t>
            </w:r>
          </w:p>
        </w:tc>
        <w:tc>
          <w:tcPr>
            <w:tcW w:w="12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QP Diff of BL &amp; EL</w:t>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BD-Rate Comparison</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SHVC Vs. Simulcast</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987" w:type="dxa"/>
            <w:tcBorders>
              <w:bottom w:val="single" w:sz="4" w:space="0" w:color="000000"/>
              <w:right w:val="single" w:sz="4" w:space="0" w:color="000000"/>
            </w:tcBorders>
            <w:vAlign w:val="bottom"/>
          </w:tcPr>
          <w:p>
            <w:pPr>
              <w:pStyle w:val="TAH"/>
              <w:rPr/>
            </w:pPr>
            <w:r>
              <w:rPr/>
              <w:t>Y</w:t>
            </w:r>
          </w:p>
        </w:tc>
        <w:tc>
          <w:tcPr>
            <w:tcW w:w="987" w:type="dxa"/>
            <w:tcBorders>
              <w:bottom w:val="single" w:sz="4" w:space="0" w:color="000000"/>
              <w:right w:val="single" w:sz="4" w:space="0" w:color="000000"/>
            </w:tcBorders>
            <w:vAlign w:val="bottom"/>
          </w:tcPr>
          <w:p>
            <w:pPr>
              <w:pStyle w:val="TAH"/>
              <w:rPr/>
            </w:pPr>
            <w:r>
              <w:rPr/>
              <w:t>U</w:t>
            </w:r>
          </w:p>
        </w:tc>
        <w:tc>
          <w:tcPr>
            <w:tcW w:w="987" w:type="dxa"/>
            <w:tcBorders>
              <w:bottom w:val="single" w:sz="4" w:space="0" w:color="000000"/>
              <w:right w:val="single" w:sz="4" w:space="0" w:color="000000"/>
            </w:tcBorders>
            <w:vAlign w:val="bottom"/>
          </w:tcPr>
          <w:p>
            <w:pPr>
              <w:pStyle w:val="TAH"/>
              <w:rPr/>
            </w:pPr>
            <w:r>
              <w:rPr/>
              <w:t>V</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-28.4%</w:t>
            </w:r>
          </w:p>
        </w:tc>
        <w:tc>
          <w:tcPr>
            <w:tcW w:w="987" w:type="dxa"/>
            <w:tcBorders/>
            <w:vAlign w:val="bottom"/>
          </w:tcPr>
          <w:p>
            <w:pPr>
              <w:pStyle w:val="TAC"/>
              <w:rPr/>
            </w:pPr>
            <w:r>
              <w:rPr/>
              <w:t>-20.7%</w:t>
            </w:r>
          </w:p>
        </w:tc>
        <w:tc>
          <w:tcPr>
            <w:tcW w:w="987" w:type="dxa"/>
            <w:tcBorders>
              <w:right w:val="single" w:sz="4" w:space="0" w:color="000000"/>
            </w:tcBorders>
            <w:vAlign w:val="bottom"/>
          </w:tcPr>
          <w:p>
            <w:pPr>
              <w:pStyle w:val="TAC"/>
              <w:rPr/>
            </w:pPr>
            <w:r>
              <w:rPr/>
              <w:t>-18.3%</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-20.2%</w:t>
            </w:r>
          </w:p>
        </w:tc>
        <w:tc>
          <w:tcPr>
            <w:tcW w:w="987" w:type="dxa"/>
            <w:tcBorders/>
            <w:vAlign w:val="bottom"/>
          </w:tcPr>
          <w:p>
            <w:pPr>
              <w:pStyle w:val="TAC"/>
              <w:rPr/>
            </w:pPr>
            <w:r>
              <w:rPr/>
              <w:t>-15.9%</w:t>
            </w:r>
          </w:p>
        </w:tc>
        <w:tc>
          <w:tcPr>
            <w:tcW w:w="987" w:type="dxa"/>
            <w:tcBorders>
              <w:right w:val="single" w:sz="4" w:space="0" w:color="000000"/>
            </w:tcBorders>
            <w:vAlign w:val="bottom"/>
          </w:tcPr>
          <w:p>
            <w:pPr>
              <w:pStyle w:val="TAC"/>
              <w:rPr/>
            </w:pPr>
            <w:r>
              <w:rPr/>
              <w:t>-15.2%</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-25.4%</w:t>
            </w:r>
          </w:p>
        </w:tc>
        <w:tc>
          <w:tcPr>
            <w:tcW w:w="987" w:type="dxa"/>
            <w:tcBorders/>
            <w:vAlign w:val="bottom"/>
          </w:tcPr>
          <w:p>
            <w:pPr>
              <w:pStyle w:val="TAC"/>
              <w:rPr/>
            </w:pPr>
            <w:r>
              <w:rPr/>
              <w:t>-21.4%</w:t>
            </w:r>
          </w:p>
        </w:tc>
        <w:tc>
          <w:tcPr>
            <w:tcW w:w="987" w:type="dxa"/>
            <w:tcBorders>
              <w:right w:val="single" w:sz="4" w:space="0" w:color="000000"/>
            </w:tcBorders>
            <w:vAlign w:val="bottom"/>
          </w:tcPr>
          <w:p>
            <w:pPr>
              <w:pStyle w:val="TAC"/>
              <w:rPr/>
            </w:pPr>
            <w:r>
              <w:rPr/>
              <w:t>-14.5%</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-26.8%</w:t>
            </w:r>
          </w:p>
        </w:tc>
        <w:tc>
          <w:tcPr>
            <w:tcW w:w="987" w:type="dxa"/>
            <w:tcBorders/>
            <w:vAlign w:val="bottom"/>
          </w:tcPr>
          <w:p>
            <w:pPr>
              <w:pStyle w:val="TAC"/>
              <w:rPr/>
            </w:pPr>
            <w:r>
              <w:rPr/>
              <w:t>-15.8%</w:t>
            </w:r>
          </w:p>
        </w:tc>
        <w:tc>
          <w:tcPr>
            <w:tcW w:w="987" w:type="dxa"/>
            <w:tcBorders>
              <w:right w:val="single" w:sz="4" w:space="0" w:color="000000"/>
            </w:tcBorders>
            <w:vAlign w:val="bottom"/>
          </w:tcPr>
          <w:p>
            <w:pPr>
              <w:pStyle w:val="TAC"/>
              <w:rPr/>
            </w:pPr>
            <w:r>
              <w:rPr/>
              <w:t>-16.2%</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-16.6%</w:t>
            </w:r>
          </w:p>
        </w:tc>
        <w:tc>
          <w:tcPr>
            <w:tcW w:w="987" w:type="dxa"/>
            <w:tcBorders/>
            <w:vAlign w:val="bottom"/>
          </w:tcPr>
          <w:p>
            <w:pPr>
              <w:pStyle w:val="TAC"/>
              <w:rPr/>
            </w:pPr>
            <w:r>
              <w:rPr/>
              <w:t>3.0%</w:t>
            </w:r>
          </w:p>
        </w:tc>
        <w:tc>
          <w:tcPr>
            <w:tcW w:w="987" w:type="dxa"/>
            <w:tcBorders>
              <w:right w:val="single" w:sz="4" w:space="0" w:color="000000"/>
            </w:tcBorders>
            <w:vAlign w:val="bottom"/>
          </w:tcPr>
          <w:p>
            <w:pPr>
              <w:pStyle w:val="TAC"/>
              <w:rPr/>
            </w:pPr>
            <w:r>
              <w:rPr/>
              <w:t>7.5%</w:t>
            </w:r>
          </w:p>
        </w:tc>
      </w:tr>
      <w:tr>
        <w:trPr>
          <w:trHeight w:val="300" w:hRule="atLeast"/>
        </w:trPr>
        <w:tc>
          <w:tcPr>
            <w:tcW w:w="3459" w:type="dxa"/>
            <w:gridSpan w:val="2"/>
            <w:tcBorders>
              <w:top w:val="single" w:sz="4" w:space="0" w:color="000000"/>
              <w:left w:val="single" w:sz="4" w:space="0" w:color="000000"/>
              <w:right w:val="single" w:sz="4" w:space="0" w:color="000000"/>
            </w:tcBorders>
            <w:vAlign w:val="bottom"/>
          </w:tcPr>
          <w:p>
            <w:pPr>
              <w:pStyle w:val="TAL"/>
              <w:rPr/>
            </w:pPr>
            <w:r>
              <w:rPr/>
              <w:t>Average</w:t>
            </w:r>
          </w:p>
        </w:tc>
        <w:tc>
          <w:tcPr>
            <w:tcW w:w="987" w:type="dxa"/>
            <w:tcBorders>
              <w:top w:val="single" w:sz="4" w:space="0" w:color="000000"/>
            </w:tcBorders>
            <w:vAlign w:val="bottom"/>
          </w:tcPr>
          <w:p>
            <w:pPr>
              <w:pStyle w:val="TAC"/>
              <w:rPr/>
            </w:pPr>
            <w:r>
              <w:rPr/>
              <w:t>-23.5%</w:t>
            </w:r>
          </w:p>
        </w:tc>
        <w:tc>
          <w:tcPr>
            <w:tcW w:w="987" w:type="dxa"/>
            <w:tcBorders>
              <w:top w:val="single" w:sz="4" w:space="0" w:color="000000"/>
            </w:tcBorders>
            <w:vAlign w:val="bottom"/>
          </w:tcPr>
          <w:p>
            <w:pPr>
              <w:pStyle w:val="TAC"/>
              <w:rPr/>
            </w:pPr>
            <w:r>
              <w:rPr/>
              <w:t>-14.2%</w:t>
            </w:r>
          </w:p>
        </w:tc>
        <w:tc>
          <w:tcPr>
            <w:tcW w:w="987" w:type="dxa"/>
            <w:tcBorders>
              <w:top w:val="single" w:sz="4" w:space="0" w:color="000000"/>
              <w:right w:val="single" w:sz="4" w:space="0" w:color="000000"/>
            </w:tcBorders>
            <w:vAlign w:val="bottom"/>
          </w:tcPr>
          <w:p>
            <w:pPr>
              <w:pStyle w:val="TAC"/>
              <w:rPr/>
            </w:pPr>
            <w:r>
              <w:rPr/>
              <w:t>-11.3%</w:t>
            </w:r>
          </w:p>
        </w:tc>
      </w:tr>
      <w:tr>
        <w:trPr>
          <w:trHeight w:val="300" w:hRule="atLeast"/>
        </w:trPr>
        <w:tc>
          <w:tcPr>
            <w:tcW w:w="2240" w:type="dxa"/>
            <w:tcBorders>
              <w:top w:val="single" w:sz="4" w:space="0" w:color="000000"/>
              <w:left w:val="single" w:sz="4" w:space="0" w:color="000000"/>
              <w:right w:val="single" w:sz="4" w:space="0" w:color="000000"/>
            </w:tcBorders>
            <w:vAlign w:val="bottom"/>
          </w:tcPr>
          <w:p>
            <w:pPr>
              <w:pStyle w:val="TAL"/>
              <w:rPr/>
            </w:pPr>
            <w:r>
              <w:rPr/>
              <w:t>Kimono</w:t>
            </w:r>
          </w:p>
        </w:tc>
        <w:tc>
          <w:tcPr>
            <w:tcW w:w="1219" w:type="dxa"/>
            <w:tcBorders>
              <w:top w:val="single" w:sz="4" w:space="0" w:color="000000"/>
              <w:bottom w:val="single" w:sz="4" w:space="0" w:color="000000"/>
              <w:right w:val="single" w:sz="4" w:space="0" w:color="000000"/>
            </w:tcBorders>
            <w:vAlign w:val="bottom"/>
          </w:tcPr>
          <w:p>
            <w:pPr>
              <w:pStyle w:val="TAL"/>
              <w:rPr/>
            </w:pPr>
            <w:r>
              <w:rPr/>
              <w:t>2</w:t>
            </w:r>
          </w:p>
        </w:tc>
        <w:tc>
          <w:tcPr>
            <w:tcW w:w="987" w:type="dxa"/>
            <w:tcBorders>
              <w:top w:val="single" w:sz="4" w:space="0" w:color="000000"/>
              <w:bottom w:val="single" w:sz="4" w:space="0" w:color="000000"/>
            </w:tcBorders>
            <w:vAlign w:val="bottom"/>
          </w:tcPr>
          <w:p>
            <w:pPr>
              <w:pStyle w:val="TAC"/>
              <w:rPr/>
            </w:pPr>
            <w:r>
              <w:rPr/>
              <w:t>-40.6%</w:t>
            </w:r>
          </w:p>
        </w:tc>
        <w:tc>
          <w:tcPr>
            <w:tcW w:w="987" w:type="dxa"/>
            <w:tcBorders>
              <w:top w:val="single" w:sz="4" w:space="0" w:color="000000"/>
              <w:bottom w:val="single" w:sz="4" w:space="0" w:color="000000"/>
            </w:tcBorders>
            <w:vAlign w:val="bottom"/>
          </w:tcPr>
          <w:p>
            <w:pPr>
              <w:pStyle w:val="TAC"/>
              <w:rPr/>
            </w:pPr>
            <w:r>
              <w:rPr/>
              <w:t>-34.5%</w:t>
            </w:r>
          </w:p>
        </w:tc>
        <w:tc>
          <w:tcPr>
            <w:tcW w:w="987" w:type="dxa"/>
            <w:tcBorders>
              <w:top w:val="single" w:sz="4" w:space="0" w:color="000000"/>
              <w:bottom w:val="single" w:sz="4" w:space="0" w:color="000000"/>
              <w:right w:val="single" w:sz="4" w:space="0" w:color="000000"/>
            </w:tcBorders>
            <w:vAlign w:val="bottom"/>
          </w:tcPr>
          <w:p>
            <w:pPr>
              <w:pStyle w:val="TAC"/>
              <w:rPr/>
            </w:pPr>
            <w:r>
              <w:rPr/>
              <w:t>-33.1%</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-29.6%</w:t>
            </w:r>
          </w:p>
        </w:tc>
        <w:tc>
          <w:tcPr>
            <w:tcW w:w="987" w:type="dxa"/>
            <w:tcBorders>
              <w:bottom w:val="single" w:sz="4" w:space="0" w:color="000000"/>
            </w:tcBorders>
            <w:vAlign w:val="bottom"/>
          </w:tcPr>
          <w:p>
            <w:pPr>
              <w:pStyle w:val="TAC"/>
              <w:rPr/>
            </w:pPr>
            <w:r>
              <w:rPr/>
              <w:t>-25.2%</w:t>
            </w:r>
          </w:p>
        </w:tc>
        <w:tc>
          <w:tcPr>
            <w:tcW w:w="987" w:type="dxa"/>
            <w:tcBorders>
              <w:bottom w:val="single" w:sz="4" w:space="0" w:color="000000"/>
              <w:right w:val="single" w:sz="4" w:space="0" w:color="000000"/>
            </w:tcBorders>
            <w:vAlign w:val="bottom"/>
          </w:tcPr>
          <w:p>
            <w:pPr>
              <w:pStyle w:val="TAC"/>
              <w:rPr/>
            </w:pPr>
            <w:r>
              <w:rPr/>
              <w:t>-25.4%</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-34.3%</w:t>
            </w:r>
          </w:p>
        </w:tc>
        <w:tc>
          <w:tcPr>
            <w:tcW w:w="987" w:type="dxa"/>
            <w:tcBorders>
              <w:bottom w:val="single" w:sz="4" w:space="0" w:color="000000"/>
            </w:tcBorders>
            <w:vAlign w:val="bottom"/>
          </w:tcPr>
          <w:p>
            <w:pPr>
              <w:pStyle w:val="TAC"/>
              <w:rPr/>
            </w:pPr>
            <w:r>
              <w:rPr/>
              <w:t>-32.2%</w:t>
            </w:r>
          </w:p>
        </w:tc>
        <w:tc>
          <w:tcPr>
            <w:tcW w:w="987" w:type="dxa"/>
            <w:tcBorders>
              <w:bottom w:val="single" w:sz="4" w:space="0" w:color="000000"/>
              <w:right w:val="single" w:sz="4" w:space="0" w:color="000000"/>
            </w:tcBorders>
            <w:vAlign w:val="bottom"/>
          </w:tcPr>
          <w:p>
            <w:pPr>
              <w:pStyle w:val="TAC"/>
              <w:rPr/>
            </w:pPr>
            <w:r>
              <w:rPr/>
              <w:t>-29.0%</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-36.4%</w:t>
            </w:r>
          </w:p>
        </w:tc>
        <w:tc>
          <w:tcPr>
            <w:tcW w:w="987" w:type="dxa"/>
            <w:tcBorders>
              <w:bottom w:val="single" w:sz="4" w:space="0" w:color="000000"/>
            </w:tcBorders>
            <w:vAlign w:val="bottom"/>
          </w:tcPr>
          <w:p>
            <w:pPr>
              <w:pStyle w:val="TAC"/>
              <w:rPr/>
            </w:pPr>
            <w:r>
              <w:rPr/>
              <w:t>-30.5%</w:t>
            </w:r>
          </w:p>
        </w:tc>
        <w:tc>
          <w:tcPr>
            <w:tcW w:w="987" w:type="dxa"/>
            <w:tcBorders>
              <w:bottom w:val="single" w:sz="4" w:space="0" w:color="000000"/>
              <w:right w:val="single" w:sz="4" w:space="0" w:color="000000"/>
            </w:tcBorders>
            <w:vAlign w:val="bottom"/>
          </w:tcPr>
          <w:p>
            <w:pPr>
              <w:pStyle w:val="TAC"/>
              <w:rPr/>
            </w:pPr>
            <w:r>
              <w:rPr/>
              <w:t>-30.1%</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-23.4%</w:t>
            </w:r>
          </w:p>
        </w:tc>
        <w:tc>
          <w:tcPr>
            <w:tcW w:w="987" w:type="dxa"/>
            <w:tcBorders>
              <w:bottom w:val="single" w:sz="4" w:space="0" w:color="000000"/>
            </w:tcBorders>
            <w:vAlign w:val="bottom"/>
          </w:tcPr>
          <w:p>
            <w:pPr>
              <w:pStyle w:val="TAC"/>
              <w:rPr/>
            </w:pPr>
            <w:r>
              <w:rPr/>
              <w:t>-13.1%</w:t>
            </w:r>
          </w:p>
        </w:tc>
        <w:tc>
          <w:tcPr>
            <w:tcW w:w="987" w:type="dxa"/>
            <w:tcBorders>
              <w:bottom w:val="single" w:sz="4" w:space="0" w:color="000000"/>
              <w:right w:val="single" w:sz="4" w:space="0" w:color="000000"/>
            </w:tcBorders>
            <w:vAlign w:val="bottom"/>
          </w:tcPr>
          <w:p>
            <w:pPr>
              <w:pStyle w:val="TAC"/>
              <w:rPr/>
            </w:pPr>
            <w:r>
              <w:rPr/>
              <w:t>-13.5%</w:t>
            </w:r>
          </w:p>
        </w:tc>
      </w:tr>
      <w:tr>
        <w:trPr>
          <w:trHeight w:val="300" w:hRule="atLeast"/>
        </w:trPr>
        <w:tc>
          <w:tcPr>
            <w:tcW w:w="3459" w:type="dxa"/>
            <w:gridSpan w:val="2"/>
            <w:tcBorders>
              <w:top w:val="single" w:sz="4" w:space="0" w:color="000000"/>
              <w:left w:val="single" w:sz="4" w:space="0" w:color="000000"/>
              <w:bottom w:val="single" w:sz="4" w:space="0" w:color="000000"/>
              <w:right w:val="single" w:sz="4" w:space="0" w:color="000000"/>
            </w:tcBorders>
            <w:vAlign w:val="bottom"/>
          </w:tcPr>
          <w:p>
            <w:pPr>
              <w:pStyle w:val="TAL"/>
              <w:rPr/>
            </w:pPr>
            <w:r>
              <w:rPr/>
              <w:t>Average</w:t>
            </w:r>
          </w:p>
        </w:tc>
        <w:tc>
          <w:tcPr>
            <w:tcW w:w="987" w:type="dxa"/>
            <w:tcBorders>
              <w:top w:val="single" w:sz="4" w:space="0" w:color="000000"/>
              <w:left w:val="single" w:sz="4" w:space="0" w:color="000000"/>
              <w:bottom w:val="single" w:sz="4" w:space="0" w:color="000000"/>
            </w:tcBorders>
            <w:vAlign w:val="bottom"/>
          </w:tcPr>
          <w:p>
            <w:pPr>
              <w:pStyle w:val="TAC"/>
              <w:rPr/>
            </w:pPr>
            <w:r>
              <w:rPr/>
              <w:t>-32.9%</w:t>
            </w:r>
          </w:p>
        </w:tc>
        <w:tc>
          <w:tcPr>
            <w:tcW w:w="987" w:type="dxa"/>
            <w:tcBorders>
              <w:top w:val="single" w:sz="4" w:space="0" w:color="000000"/>
              <w:bottom w:val="single" w:sz="4" w:space="0" w:color="000000"/>
            </w:tcBorders>
            <w:vAlign w:val="bottom"/>
          </w:tcPr>
          <w:p>
            <w:pPr>
              <w:pStyle w:val="TAC"/>
              <w:rPr/>
            </w:pPr>
            <w:r>
              <w:rPr/>
              <w:t>-27.1%</w:t>
            </w:r>
          </w:p>
        </w:tc>
        <w:tc>
          <w:tcPr>
            <w:tcW w:w="987" w:type="dxa"/>
            <w:tcBorders>
              <w:top w:val="single" w:sz="4" w:space="0" w:color="000000"/>
              <w:bottom w:val="single" w:sz="4" w:space="0" w:color="000000"/>
              <w:right w:val="single" w:sz="4" w:space="0" w:color="000000"/>
            </w:tcBorders>
            <w:vAlign w:val="bottom"/>
          </w:tcPr>
          <w:p>
            <w:pPr>
              <w:pStyle w:val="TAC"/>
              <w:rPr/>
            </w:pPr>
            <w:r>
              <w:rPr/>
              <w:t>-26.2%</w:t>
            </w:r>
          </w:p>
        </w:tc>
      </w:tr>
    </w:tbl>
    <w:p>
      <w:pPr>
        <w:pStyle w:val="Normal"/>
        <w:rPr>
          <w:lang w:eastAsia="ko-KR"/>
        </w:rPr>
      </w:pPr>
      <w:r>
        <w:rPr>
          <w:lang w:eastAsia="ko-KR"/>
        </w:rPr>
      </w:r>
    </w:p>
    <w:p>
      <w:pPr>
        <w:pStyle w:val="TH"/>
        <w:rPr/>
      </w:pPr>
      <w:r>
        <w:rPr/>
        <w:t>Table 13: Test results for IRAP non-aligned Class B (BL 540p – EL 1080p)</w:t>
      </w:r>
    </w:p>
    <w:tbl>
      <w:tblPr>
        <w:tblW w:w="6420" w:type="dxa"/>
        <w:jc w:val="center"/>
        <w:tblInd w:w="0" w:type="dxa"/>
        <w:tblLayout w:type="fixed"/>
        <w:tblCellMar>
          <w:top w:w="0" w:type="dxa"/>
          <w:left w:w="108" w:type="dxa"/>
          <w:bottom w:w="0" w:type="dxa"/>
          <w:right w:w="108" w:type="dxa"/>
        </w:tblCellMar>
      </w:tblPr>
      <w:tblGrid>
        <w:gridCol w:w="2240"/>
        <w:gridCol w:w="1219"/>
        <w:gridCol w:w="987"/>
        <w:gridCol w:w="987"/>
        <w:gridCol w:w="987"/>
      </w:tblGrid>
      <w:tr>
        <w:trPr>
          <w:trHeight w:val="300" w:hRule="atLeast"/>
        </w:trPr>
        <w:tc>
          <w:tcPr>
            <w:tcW w:w="22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Test Sequences</w:t>
            </w:r>
          </w:p>
        </w:tc>
        <w:tc>
          <w:tcPr>
            <w:tcW w:w="12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QP Diff of BL &amp; EL</w:t>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BD-Rate Comparison</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SHVC Vs. Simulcast</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987" w:type="dxa"/>
            <w:tcBorders>
              <w:bottom w:val="single" w:sz="4" w:space="0" w:color="000000"/>
              <w:right w:val="single" w:sz="4" w:space="0" w:color="000000"/>
            </w:tcBorders>
            <w:vAlign w:val="bottom"/>
          </w:tcPr>
          <w:p>
            <w:pPr>
              <w:pStyle w:val="TAH"/>
              <w:rPr/>
            </w:pPr>
            <w:r>
              <w:rPr/>
              <w:t>Y</w:t>
            </w:r>
          </w:p>
        </w:tc>
        <w:tc>
          <w:tcPr>
            <w:tcW w:w="987" w:type="dxa"/>
            <w:tcBorders>
              <w:bottom w:val="single" w:sz="4" w:space="0" w:color="000000"/>
              <w:right w:val="single" w:sz="4" w:space="0" w:color="000000"/>
            </w:tcBorders>
            <w:vAlign w:val="bottom"/>
          </w:tcPr>
          <w:p>
            <w:pPr>
              <w:pStyle w:val="TAH"/>
              <w:rPr/>
            </w:pPr>
            <w:r>
              <w:rPr/>
              <w:t>U</w:t>
            </w:r>
          </w:p>
        </w:tc>
        <w:tc>
          <w:tcPr>
            <w:tcW w:w="987" w:type="dxa"/>
            <w:tcBorders>
              <w:bottom w:val="single" w:sz="4" w:space="0" w:color="000000"/>
              <w:right w:val="single" w:sz="4" w:space="0" w:color="000000"/>
            </w:tcBorders>
            <w:vAlign w:val="bottom"/>
          </w:tcPr>
          <w:p>
            <w:pPr>
              <w:pStyle w:val="TAH"/>
              <w:rPr/>
            </w:pPr>
            <w:r>
              <w:rPr/>
              <w:t>V</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-18.9%</w:t>
            </w:r>
          </w:p>
        </w:tc>
        <w:tc>
          <w:tcPr>
            <w:tcW w:w="987" w:type="dxa"/>
            <w:tcBorders/>
            <w:vAlign w:val="bottom"/>
          </w:tcPr>
          <w:p>
            <w:pPr>
              <w:pStyle w:val="TAC"/>
              <w:rPr/>
            </w:pPr>
            <w:r>
              <w:rPr/>
              <w:t>-11.0%</w:t>
            </w:r>
          </w:p>
        </w:tc>
        <w:tc>
          <w:tcPr>
            <w:tcW w:w="987" w:type="dxa"/>
            <w:tcBorders>
              <w:right w:val="single" w:sz="4" w:space="0" w:color="000000"/>
            </w:tcBorders>
            <w:vAlign w:val="bottom"/>
          </w:tcPr>
          <w:p>
            <w:pPr>
              <w:pStyle w:val="TAC"/>
              <w:rPr/>
            </w:pPr>
            <w:r>
              <w:rPr/>
              <w:t>-8.5%</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-11.7%</w:t>
            </w:r>
          </w:p>
        </w:tc>
        <w:tc>
          <w:tcPr>
            <w:tcW w:w="987" w:type="dxa"/>
            <w:tcBorders/>
            <w:vAlign w:val="bottom"/>
          </w:tcPr>
          <w:p>
            <w:pPr>
              <w:pStyle w:val="TAC"/>
              <w:rPr/>
            </w:pPr>
            <w:r>
              <w:rPr/>
              <w:t>-9.6%</w:t>
            </w:r>
          </w:p>
        </w:tc>
        <w:tc>
          <w:tcPr>
            <w:tcW w:w="987" w:type="dxa"/>
            <w:tcBorders>
              <w:right w:val="single" w:sz="4" w:space="0" w:color="000000"/>
            </w:tcBorders>
            <w:vAlign w:val="bottom"/>
          </w:tcPr>
          <w:p>
            <w:pPr>
              <w:pStyle w:val="TAC"/>
              <w:rPr/>
            </w:pPr>
            <w:r>
              <w:rPr/>
              <w:t>-9.0%</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-16.3%</w:t>
            </w:r>
          </w:p>
        </w:tc>
        <w:tc>
          <w:tcPr>
            <w:tcW w:w="987" w:type="dxa"/>
            <w:tcBorders/>
            <w:vAlign w:val="bottom"/>
          </w:tcPr>
          <w:p>
            <w:pPr>
              <w:pStyle w:val="TAC"/>
              <w:rPr/>
            </w:pPr>
            <w:r>
              <w:rPr/>
              <w:t>-12.8%</w:t>
            </w:r>
          </w:p>
        </w:tc>
        <w:tc>
          <w:tcPr>
            <w:tcW w:w="987" w:type="dxa"/>
            <w:tcBorders>
              <w:right w:val="single" w:sz="4" w:space="0" w:color="000000"/>
            </w:tcBorders>
            <w:vAlign w:val="bottom"/>
          </w:tcPr>
          <w:p>
            <w:pPr>
              <w:pStyle w:val="TAC"/>
              <w:rPr/>
            </w:pPr>
            <w:r>
              <w:rPr/>
              <w:t>-6.4%</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-17.0%</w:t>
            </w:r>
          </w:p>
        </w:tc>
        <w:tc>
          <w:tcPr>
            <w:tcW w:w="987" w:type="dxa"/>
            <w:tcBorders/>
            <w:vAlign w:val="bottom"/>
          </w:tcPr>
          <w:p>
            <w:pPr>
              <w:pStyle w:val="TAC"/>
              <w:rPr/>
            </w:pPr>
            <w:r>
              <w:rPr/>
              <w:t>-5.0%</w:t>
            </w:r>
          </w:p>
        </w:tc>
        <w:tc>
          <w:tcPr>
            <w:tcW w:w="987" w:type="dxa"/>
            <w:tcBorders>
              <w:right w:val="single" w:sz="4" w:space="0" w:color="000000"/>
            </w:tcBorders>
            <w:vAlign w:val="bottom"/>
          </w:tcPr>
          <w:p>
            <w:pPr>
              <w:pStyle w:val="TAC"/>
              <w:rPr/>
            </w:pPr>
            <w:r>
              <w:rPr/>
              <w:t>-6.5%</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C"/>
              <w:rPr/>
            </w:pPr>
            <w:r>
              <w:rPr/>
              <w:t>-10.1%</w:t>
            </w:r>
          </w:p>
        </w:tc>
        <w:tc>
          <w:tcPr>
            <w:tcW w:w="987" w:type="dxa"/>
            <w:tcBorders/>
            <w:vAlign w:val="bottom"/>
          </w:tcPr>
          <w:p>
            <w:pPr>
              <w:pStyle w:val="TAC"/>
              <w:rPr/>
            </w:pPr>
            <w:r>
              <w:rPr/>
              <w:t>-0.1%</w:t>
            </w:r>
          </w:p>
        </w:tc>
        <w:tc>
          <w:tcPr>
            <w:tcW w:w="987" w:type="dxa"/>
            <w:tcBorders>
              <w:right w:val="single" w:sz="4" w:space="0" w:color="000000"/>
            </w:tcBorders>
            <w:vAlign w:val="bottom"/>
          </w:tcPr>
          <w:p>
            <w:pPr>
              <w:pStyle w:val="TAC"/>
              <w:rPr/>
            </w:pPr>
            <w:r>
              <w:rPr/>
              <w:t>3.4%</w:t>
            </w:r>
          </w:p>
        </w:tc>
      </w:tr>
      <w:tr>
        <w:trPr>
          <w:trHeight w:val="300" w:hRule="atLeast"/>
        </w:trPr>
        <w:tc>
          <w:tcPr>
            <w:tcW w:w="3459" w:type="dxa"/>
            <w:gridSpan w:val="2"/>
            <w:tcBorders>
              <w:top w:val="single" w:sz="4" w:space="0" w:color="000000"/>
              <w:left w:val="single" w:sz="4" w:space="0" w:color="000000"/>
              <w:bottom w:val="single" w:sz="4" w:space="0" w:color="000000"/>
              <w:right w:val="single" w:sz="4" w:space="0" w:color="000000"/>
            </w:tcBorders>
            <w:vAlign w:val="bottom"/>
          </w:tcPr>
          <w:p>
            <w:pPr>
              <w:pStyle w:val="TAL"/>
              <w:rPr/>
            </w:pPr>
            <w:r>
              <w:rPr/>
              <w:t>Average</w:t>
            </w:r>
          </w:p>
        </w:tc>
        <w:tc>
          <w:tcPr>
            <w:tcW w:w="987" w:type="dxa"/>
            <w:tcBorders>
              <w:top w:val="single" w:sz="4" w:space="0" w:color="000000"/>
            </w:tcBorders>
            <w:vAlign w:val="bottom"/>
          </w:tcPr>
          <w:p>
            <w:pPr>
              <w:pStyle w:val="TAC"/>
              <w:rPr/>
            </w:pPr>
            <w:r>
              <w:rPr/>
              <w:t>-14.8%</w:t>
            </w:r>
          </w:p>
        </w:tc>
        <w:tc>
          <w:tcPr>
            <w:tcW w:w="987" w:type="dxa"/>
            <w:tcBorders>
              <w:top w:val="single" w:sz="4" w:space="0" w:color="000000"/>
            </w:tcBorders>
            <w:vAlign w:val="bottom"/>
          </w:tcPr>
          <w:p>
            <w:pPr>
              <w:pStyle w:val="TAC"/>
              <w:rPr/>
            </w:pPr>
            <w:r>
              <w:rPr/>
              <w:t>-7.7%</w:t>
            </w:r>
          </w:p>
        </w:tc>
        <w:tc>
          <w:tcPr>
            <w:tcW w:w="987" w:type="dxa"/>
            <w:tcBorders>
              <w:top w:val="single" w:sz="4" w:space="0" w:color="000000"/>
              <w:right w:val="single" w:sz="4" w:space="0" w:color="000000"/>
            </w:tcBorders>
            <w:vAlign w:val="bottom"/>
          </w:tcPr>
          <w:p>
            <w:pPr>
              <w:pStyle w:val="TAC"/>
              <w:rPr/>
            </w:pPr>
            <w:r>
              <w:rPr/>
              <w:t>-5.4%</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top w:val="single" w:sz="4" w:space="0" w:color="000000"/>
              <w:bottom w:val="single" w:sz="4" w:space="0" w:color="000000"/>
            </w:tcBorders>
            <w:vAlign w:val="bottom"/>
          </w:tcPr>
          <w:p>
            <w:pPr>
              <w:pStyle w:val="TAC"/>
              <w:rPr/>
            </w:pPr>
            <w:r>
              <w:rPr/>
              <w:t>-26.8%</w:t>
            </w:r>
          </w:p>
        </w:tc>
        <w:tc>
          <w:tcPr>
            <w:tcW w:w="987" w:type="dxa"/>
            <w:tcBorders>
              <w:top w:val="single" w:sz="4" w:space="0" w:color="000000"/>
              <w:bottom w:val="single" w:sz="4" w:space="0" w:color="000000"/>
            </w:tcBorders>
            <w:vAlign w:val="bottom"/>
          </w:tcPr>
          <w:p>
            <w:pPr>
              <w:pStyle w:val="TAC"/>
              <w:rPr/>
            </w:pPr>
            <w:r>
              <w:rPr/>
              <w:t>-18.3%</w:t>
            </w:r>
          </w:p>
        </w:tc>
        <w:tc>
          <w:tcPr>
            <w:tcW w:w="987" w:type="dxa"/>
            <w:tcBorders>
              <w:top w:val="single" w:sz="4" w:space="0" w:color="000000"/>
              <w:bottom w:val="single" w:sz="4" w:space="0" w:color="000000"/>
              <w:right w:val="single" w:sz="4" w:space="0" w:color="000000"/>
            </w:tcBorders>
            <w:vAlign w:val="bottom"/>
          </w:tcPr>
          <w:p>
            <w:pPr>
              <w:pStyle w:val="TAC"/>
              <w:rPr/>
            </w:pPr>
            <w:r>
              <w:rPr/>
              <w:t>-16.0%</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-15.9%</w:t>
            </w:r>
          </w:p>
        </w:tc>
        <w:tc>
          <w:tcPr>
            <w:tcW w:w="987" w:type="dxa"/>
            <w:tcBorders>
              <w:bottom w:val="single" w:sz="4" w:space="0" w:color="000000"/>
            </w:tcBorders>
            <w:vAlign w:val="bottom"/>
          </w:tcPr>
          <w:p>
            <w:pPr>
              <w:pStyle w:val="TAC"/>
              <w:rPr/>
            </w:pPr>
            <w:r>
              <w:rPr/>
              <w:t>-13.1%</w:t>
            </w:r>
          </w:p>
        </w:tc>
        <w:tc>
          <w:tcPr>
            <w:tcW w:w="987" w:type="dxa"/>
            <w:tcBorders>
              <w:bottom w:val="single" w:sz="4" w:space="0" w:color="000000"/>
              <w:right w:val="single" w:sz="4" w:space="0" w:color="000000"/>
            </w:tcBorders>
            <w:vAlign w:val="bottom"/>
          </w:tcPr>
          <w:p>
            <w:pPr>
              <w:pStyle w:val="TAC"/>
              <w:rPr/>
            </w:pPr>
            <w:r>
              <w:rPr/>
              <w:t>-12.7%</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-20.6%</w:t>
            </w:r>
          </w:p>
        </w:tc>
        <w:tc>
          <w:tcPr>
            <w:tcW w:w="987" w:type="dxa"/>
            <w:tcBorders>
              <w:bottom w:val="single" w:sz="4" w:space="0" w:color="000000"/>
            </w:tcBorders>
            <w:vAlign w:val="bottom"/>
          </w:tcPr>
          <w:p>
            <w:pPr>
              <w:pStyle w:val="TAC"/>
              <w:rPr/>
            </w:pPr>
            <w:r>
              <w:rPr/>
              <w:t>-17.0%</w:t>
            </w:r>
          </w:p>
        </w:tc>
        <w:tc>
          <w:tcPr>
            <w:tcW w:w="987" w:type="dxa"/>
            <w:tcBorders>
              <w:bottom w:val="single" w:sz="4" w:space="0" w:color="000000"/>
              <w:right w:val="single" w:sz="4" w:space="0" w:color="000000"/>
            </w:tcBorders>
            <w:vAlign w:val="bottom"/>
          </w:tcPr>
          <w:p>
            <w:pPr>
              <w:pStyle w:val="TAC"/>
              <w:rPr/>
            </w:pPr>
            <w:r>
              <w:rPr/>
              <w:t>-12.5%</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C"/>
              <w:rPr/>
            </w:pPr>
            <w:r>
              <w:rPr/>
              <w:t>-23.4%</w:t>
            </w:r>
          </w:p>
        </w:tc>
        <w:tc>
          <w:tcPr>
            <w:tcW w:w="987" w:type="dxa"/>
            <w:tcBorders>
              <w:bottom w:val="single" w:sz="4" w:space="0" w:color="000000"/>
            </w:tcBorders>
            <w:vAlign w:val="bottom"/>
          </w:tcPr>
          <w:p>
            <w:pPr>
              <w:pStyle w:val="TAC"/>
              <w:rPr/>
            </w:pPr>
            <w:r>
              <w:rPr/>
              <w:t>-12.7%</w:t>
            </w:r>
          </w:p>
        </w:tc>
        <w:tc>
          <w:tcPr>
            <w:tcW w:w="987" w:type="dxa"/>
            <w:tcBorders>
              <w:bottom w:val="single" w:sz="4" w:space="0" w:color="000000"/>
              <w:right w:val="single" w:sz="4" w:space="0" w:color="000000"/>
            </w:tcBorders>
            <w:vAlign w:val="bottom"/>
          </w:tcPr>
          <w:p>
            <w:pPr>
              <w:pStyle w:val="TAC"/>
              <w:rPr/>
            </w:pPr>
            <w:r>
              <w:rPr/>
              <w:t>-13.3%</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C"/>
              <w:rPr/>
            </w:pPr>
            <w:r>
              <w:rPr/>
              <w:t>-13.2%</w:t>
            </w:r>
          </w:p>
        </w:tc>
        <w:tc>
          <w:tcPr>
            <w:tcW w:w="987" w:type="dxa"/>
            <w:tcBorders/>
            <w:vAlign w:val="bottom"/>
          </w:tcPr>
          <w:p>
            <w:pPr>
              <w:pStyle w:val="TAC"/>
              <w:rPr/>
            </w:pPr>
            <w:r>
              <w:rPr/>
              <w:t>-4.8%</w:t>
            </w:r>
          </w:p>
        </w:tc>
        <w:tc>
          <w:tcPr>
            <w:tcW w:w="987" w:type="dxa"/>
            <w:tcBorders>
              <w:right w:val="single" w:sz="4" w:space="0" w:color="000000"/>
            </w:tcBorders>
            <w:vAlign w:val="bottom"/>
          </w:tcPr>
          <w:p>
            <w:pPr>
              <w:pStyle w:val="TAC"/>
              <w:rPr/>
            </w:pPr>
            <w:r>
              <w:rPr/>
              <w:t>-3.5%</w:t>
            </w:r>
          </w:p>
        </w:tc>
      </w:tr>
      <w:tr>
        <w:trPr>
          <w:trHeight w:val="300" w:hRule="atLeast"/>
        </w:trPr>
        <w:tc>
          <w:tcPr>
            <w:tcW w:w="3459" w:type="dxa"/>
            <w:gridSpan w:val="2"/>
            <w:tcBorders>
              <w:top w:val="single" w:sz="4" w:space="0" w:color="000000"/>
              <w:left w:val="single" w:sz="4" w:space="0" w:color="000000"/>
              <w:bottom w:val="single" w:sz="4" w:space="0" w:color="000000"/>
              <w:right w:val="single" w:sz="4" w:space="0" w:color="000000"/>
            </w:tcBorders>
            <w:vAlign w:val="bottom"/>
          </w:tcPr>
          <w:p>
            <w:pPr>
              <w:pStyle w:val="TAL"/>
              <w:rPr/>
            </w:pPr>
            <w:r>
              <w:rPr/>
              <w:t>Average</w:t>
            </w:r>
          </w:p>
        </w:tc>
        <w:tc>
          <w:tcPr>
            <w:tcW w:w="987" w:type="dxa"/>
            <w:tcBorders>
              <w:top w:val="single" w:sz="4" w:space="0" w:color="000000"/>
              <w:bottom w:val="single" w:sz="4" w:space="0" w:color="000000"/>
            </w:tcBorders>
            <w:vAlign w:val="bottom"/>
          </w:tcPr>
          <w:p>
            <w:pPr>
              <w:pStyle w:val="TAC"/>
              <w:rPr/>
            </w:pPr>
            <w:r>
              <w:rPr/>
              <w:t>-20.0%</w:t>
            </w:r>
          </w:p>
        </w:tc>
        <w:tc>
          <w:tcPr>
            <w:tcW w:w="987" w:type="dxa"/>
            <w:tcBorders>
              <w:top w:val="single" w:sz="4" w:space="0" w:color="000000"/>
              <w:bottom w:val="single" w:sz="4" w:space="0" w:color="000000"/>
            </w:tcBorders>
            <w:vAlign w:val="bottom"/>
          </w:tcPr>
          <w:p>
            <w:pPr>
              <w:pStyle w:val="TAC"/>
              <w:rPr/>
            </w:pPr>
            <w:r>
              <w:rPr/>
              <w:t>-13.2%</w:t>
            </w:r>
          </w:p>
        </w:tc>
        <w:tc>
          <w:tcPr>
            <w:tcW w:w="987" w:type="dxa"/>
            <w:tcBorders>
              <w:top w:val="single" w:sz="4" w:space="0" w:color="000000"/>
              <w:bottom w:val="single" w:sz="4" w:space="0" w:color="000000"/>
              <w:right w:val="single" w:sz="4" w:space="0" w:color="000000"/>
            </w:tcBorders>
            <w:vAlign w:val="bottom"/>
          </w:tcPr>
          <w:p>
            <w:pPr>
              <w:pStyle w:val="TAC"/>
              <w:rPr/>
            </w:pPr>
            <w:r>
              <w:rPr/>
              <w:t>-11.6%</w:t>
            </w:r>
          </w:p>
        </w:tc>
      </w:tr>
    </w:tbl>
    <w:p>
      <w:pPr>
        <w:pStyle w:val="Normal"/>
        <w:rPr/>
      </w:pPr>
      <w:r>
        <w:rPr/>
      </w:r>
    </w:p>
    <w:p>
      <w:pPr>
        <w:pStyle w:val="Heading4"/>
        <w:ind w:left="1418" w:hanging="1418"/>
        <w:jc w:val="both"/>
        <w:rPr/>
      </w:pPr>
      <w:bookmarkStart w:id="57" w:name="__RefHeading___Toc517445345"/>
      <w:bookmarkEnd w:id="57"/>
      <w:r>
        <w:rPr>
          <w:lang w:eastAsia="ko-KR"/>
        </w:rPr>
        <w:t>6.2.3.2</w:t>
        <w:tab/>
        <w:t>Decoding complexity</w:t>
      </w:r>
    </w:p>
    <w:p>
      <w:pPr>
        <w:pStyle w:val="Normal"/>
        <w:rPr/>
      </w:pPr>
      <w:r>
        <w:rPr>
          <w:lang w:eastAsia="ko-KR"/>
        </w:rPr>
        <w:t>Decoding complexity or overhead at UEs depends on how many layers an UE needs to decode. For solution with HEVC simulcast, an UE needs to decode one layer stream, i.e. either stream of 720p@30fps or stream of 1080p@30fps. Decoding complexity for UEs receiving normal-service when the solution with SHVC is used can be assumed the same as when solution with HEVC simulcast is used because UEs receiving normal-service can ignore coded data for enhancement layer.</w:t>
      </w:r>
    </w:p>
    <w:p>
      <w:pPr>
        <w:pStyle w:val="Normal"/>
        <w:rPr/>
      </w:pPr>
      <w:r>
        <w:rPr>
          <w:lang w:eastAsia="ko-KR"/>
        </w:rPr>
        <w:t xml:space="preserve">The decoding complexity overhead for UEs receiving premium-service when the SHVC solution is used </w:t>
      </w:r>
      <w:r>
        <w:rPr/>
        <w:t>is roughly the percentage of the number of samples in the lower resolution video relative to that in the higher resolution video</w:t>
      </w:r>
      <w:r>
        <w:rPr>
          <w:lang w:eastAsia="ko-KR"/>
        </w:rPr>
        <w:t>.</w:t>
      </w:r>
    </w:p>
    <w:p>
      <w:pPr>
        <w:pStyle w:val="Heading4"/>
        <w:ind w:left="1418" w:hanging="1418"/>
        <w:jc w:val="both"/>
        <w:rPr/>
      </w:pPr>
      <w:bookmarkStart w:id="58" w:name="__RefHeading___Toc517445346"/>
      <w:bookmarkEnd w:id="58"/>
      <w:r>
        <w:rPr>
          <w:lang w:eastAsia="ko-KR"/>
        </w:rPr>
        <w:t>6.2.3.3</w:t>
        <w:tab/>
        <w:t>Encoding complexity</w:t>
      </w:r>
    </w:p>
    <w:p>
      <w:pPr>
        <w:pStyle w:val="Normal"/>
        <w:rPr>
          <w:lang w:eastAsia="ko-KR"/>
        </w:rPr>
      </w:pPr>
      <w:r>
        <w:rPr>
          <w:lang w:eastAsia="ko-KR"/>
        </w:rPr>
        <w:t>For the solution with HEVC simulcast, the content provider has to encode one 1080p@30fps video stream and one 720p@30fps video stream; on the other hand, for the solution with SHVC, the content provider has to encode one stream with two layers (i.e., 720p@30fps for base layer and 1080p@30fps). Compared to simulcast, the complexity of SHVC encoding at UE A is typically less than that of simulcast encoding. This is because SHVC places zero motion constraint on the inter layer reference picture. When the inter layer reference picture provides sufficiently good prediction signal (without the need for motion estimation), early termination is typically applied at the encoder, and the need for motion estimation of the temporal reference pictures is avoided, leading to lower encoding complexity.</w:t>
      </w:r>
    </w:p>
    <w:p>
      <w:pPr>
        <w:pStyle w:val="Heading2"/>
        <w:rPr/>
      </w:pPr>
      <w:bookmarkStart w:id="59" w:name="__RefHeading___Toc517445347"/>
      <w:bookmarkEnd w:id="59"/>
      <w:r>
        <w:rPr/>
        <w:t>6.3</w:t>
        <w:tab/>
        <w:t>3GP-DASH</w:t>
      </w:r>
    </w:p>
    <w:p>
      <w:pPr>
        <w:pStyle w:val="Heading3"/>
        <w:rPr/>
      </w:pPr>
      <w:bookmarkStart w:id="60" w:name="__RefHeading___Toc517445348"/>
      <w:bookmarkEnd w:id="60"/>
      <w:r>
        <w:rPr/>
        <w:t>6.3.1</w:t>
        <w:tab/>
        <w:t>The 3GP-DASH use case</w:t>
      </w:r>
    </w:p>
    <w:p>
      <w:pPr>
        <w:pStyle w:val="Normal"/>
        <w:rPr/>
      </w:pPr>
      <w:r>
        <w:rPr/>
        <w:t>This use case considers providing 3GP-DASH video streaming services to multiple end user devices. A diverse of end user devices could be with different display capabilities and network access conditions. Each end user device may prefer receiving a different quality of a content, possibly with a different resolution, and request the chosen video content from the origin server, involving caches between the origin server and the UEs. During a session, a UE may also adaptive switch to segments of different representations of different bitrates and qualities, and possibly also different spatial resolutions, to adapt to the dynamic network conditions. As shown in Figure 17, a video content is encoded into multiple video streams in different representations providing different levels of resolutions or qualities, e.g. as 4 Representations of resolutions 360p@30fps, 720p@30fps, 1080p@30fps and 1080p@60fps in an Adaptation Set. Copies of the streams may be stored in the caches and directly served to the UEs.</w:t>
      </w:r>
    </w:p>
    <w:p>
      <w:pPr>
        <w:pStyle w:val="TH"/>
        <w:rPr/>
      </w:pPr>
      <w:r>
        <w:rPr/>
        <w:drawing>
          <wp:inline distT="0" distB="0" distL="0" distR="0">
            <wp:extent cx="6124575" cy="2052955"/>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29"/>
                    <a:srcRect l="-5" t="-15" r="-5" b="-15"/>
                    <a:stretch>
                      <a:fillRect/>
                    </a:stretch>
                  </pic:blipFill>
                  <pic:spPr bwMode="auto">
                    <a:xfrm>
                      <a:off x="0" y="0"/>
                      <a:ext cx="6124575" cy="2052955"/>
                    </a:xfrm>
                    <a:prstGeom prst="rect">
                      <a:avLst/>
                    </a:prstGeom>
                  </pic:spPr>
                </pic:pic>
              </a:graphicData>
            </a:graphic>
          </wp:inline>
        </w:drawing>
      </w:r>
    </w:p>
    <w:p>
      <w:pPr>
        <w:pStyle w:val="TF"/>
        <w:rPr/>
      </w:pPr>
      <w:r>
        <w:rPr/>
        <w:t>Figure 17: 3GP-DASH use case</w:t>
      </w:r>
    </w:p>
    <w:p>
      <w:pPr>
        <w:pStyle w:val="Normal"/>
        <w:rPr/>
      </w:pPr>
      <w:r>
        <w:rPr/>
        <w:t>The metrics for comparison of the potential solutions for this use case are:</w:t>
      </w:r>
    </w:p>
    <w:p>
      <w:pPr>
        <w:pStyle w:val="B1"/>
        <w:rPr/>
      </w:pPr>
      <w:r>
        <w:rPr/>
        <w:t>1)</w:t>
        <w:tab/>
        <w:t>Bandwidth used for outgoing video transmission from the origin server to (the first level) caches</w:t>
      </w:r>
    </w:p>
    <w:p>
      <w:pPr>
        <w:pStyle w:val="B1"/>
        <w:rPr/>
      </w:pPr>
      <w:r>
        <w:rPr/>
        <w:t>2)</w:t>
        <w:tab/>
        <w:t>Bandwidth used for incoming video transmission to the UEs</w:t>
      </w:r>
    </w:p>
    <w:p>
      <w:pPr>
        <w:pStyle w:val="B1"/>
        <w:rPr/>
      </w:pPr>
      <w:r>
        <w:rPr/>
        <w:t>3)</w:t>
        <w:tab/>
        <w:t>Video quality received by the UEs</w:t>
      </w:r>
    </w:p>
    <w:p>
      <w:pPr>
        <w:pStyle w:val="B1"/>
        <w:rPr/>
      </w:pPr>
      <w:r>
        <w:rPr/>
        <w:t>4)</w:t>
        <w:tab/>
        <w:t>Decoding complexity of UEs</w:t>
      </w:r>
    </w:p>
    <w:p>
      <w:pPr>
        <w:pStyle w:val="B1"/>
        <w:rPr/>
      </w:pPr>
      <w:r>
        <w:rPr/>
        <w:t>5)</w:t>
        <w:tab/>
        <w:t>Encoding complexity</w:t>
      </w:r>
    </w:p>
    <w:p>
      <w:pPr>
        <w:pStyle w:val="Heading3"/>
        <w:rPr/>
      </w:pPr>
      <w:bookmarkStart w:id="61" w:name="__RefHeading___Toc517445349"/>
      <w:bookmarkEnd w:id="61"/>
      <w:r>
        <w:rPr/>
        <w:t>6.3.2</w:t>
        <w:tab/>
        <w:t>Solutions for the 3GP-DASH use case</w:t>
      </w:r>
    </w:p>
    <w:p>
      <w:pPr>
        <w:pStyle w:val="Heading4"/>
        <w:ind w:left="1418" w:hanging="1418"/>
        <w:rPr/>
      </w:pPr>
      <w:bookmarkStart w:id="62" w:name="__RefHeading___Toc517445350"/>
      <w:bookmarkEnd w:id="62"/>
      <w:r>
        <w:rPr/>
        <w:t>6.3.2.1</w:t>
        <w:tab/>
        <w:t>HEVC simulcast</w:t>
      </w:r>
    </w:p>
    <w:p>
      <w:pPr>
        <w:pStyle w:val="Normal"/>
        <w:rPr/>
      </w:pPr>
      <w:r>
        <w:rPr/>
        <w:t>One solution from video coding point of view for the 3GP-DASH use case is to use HEVC simulcast, where each resolution or quality representation can be encoded into an independent HEVC single-layer bitstream and stored on the origin server and probably also caches in 3GP-DASH segments. Based on the client requests, the corresponding representation segments are delivered to the client. Each end user device needs to decode an HEVC single-layer bitstream.</w:t>
      </w:r>
    </w:p>
    <w:p>
      <w:pPr>
        <w:pStyle w:val="TH"/>
        <w:rPr/>
      </w:pPr>
      <w:r>
        <w:rPr/>
        <w:drawing>
          <wp:inline distT="0" distB="0" distL="0" distR="0">
            <wp:extent cx="5944235" cy="204533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30"/>
                    <a:srcRect l="-5" t="-13" r="-5" b="-13"/>
                    <a:stretch>
                      <a:fillRect/>
                    </a:stretch>
                  </pic:blipFill>
                  <pic:spPr bwMode="auto">
                    <a:xfrm>
                      <a:off x="0" y="0"/>
                      <a:ext cx="5944235" cy="2045335"/>
                    </a:xfrm>
                    <a:prstGeom prst="rect">
                      <a:avLst/>
                    </a:prstGeom>
                  </pic:spPr>
                </pic:pic>
              </a:graphicData>
            </a:graphic>
          </wp:inline>
        </w:drawing>
      </w:r>
    </w:p>
    <w:p>
      <w:pPr>
        <w:pStyle w:val="TF"/>
        <w:rPr/>
      </w:pPr>
      <w:r>
        <w:rPr/>
        <w:t>Figure 18: HEVC simulcast in 3GP-DASH use case</w:t>
      </w:r>
    </w:p>
    <w:p>
      <w:pPr>
        <w:pStyle w:val="Normal"/>
        <w:rPr/>
      </w:pPr>
      <w:r>
        <w:rPr/>
        <w:t>Figure 18 shows such HEVC simulcast example, 3 representation resolutions are encoded into 3 bitstreams and stored in the origin server. The medium and low resolution stream copies can be replicated on the cache, but not the high resolution stream due to a storage size limit of the cache. The server or the cache may stream the corresponding representation segment to the client based on the client's streaming request.</w:t>
      </w:r>
    </w:p>
    <w:p>
      <w:pPr>
        <w:pStyle w:val="Heading4"/>
        <w:ind w:left="1418" w:hanging="1418"/>
        <w:rPr/>
      </w:pPr>
      <w:bookmarkStart w:id="63" w:name="__RefHeading___Toc517445351"/>
      <w:bookmarkEnd w:id="63"/>
      <w:r>
        <w:rPr/>
        <w:t>6.3.2.2</w:t>
        <w:tab/>
        <w:t>SHVC</w:t>
      </w:r>
    </w:p>
    <w:p>
      <w:pPr>
        <w:pStyle w:val="Normal"/>
        <w:rPr/>
      </w:pPr>
      <w:r>
        <w:rPr/>
        <w:t>Another solution from video coding point of view for the 3GP-DASH use case is to use SHVC, where multiple resolutions or quality representations can be encoded into multi-layer SHVC bitstreams. Herein each layer can be encapsulated as one 3GP-DASH Representation. A client wanting a particular resolution or quality can request segments of that Representation and all other Representations it depends on (i.e. request the desired layer and all layers the desired layer depends on). The request layer and all its dependent layers will then be sent to the client and the client can decode the bitstream and output the desired layer.</w:t>
      </w:r>
    </w:p>
    <w:p>
      <w:pPr>
        <w:pStyle w:val="TH"/>
        <w:rPr/>
      </w:pPr>
      <w:r>
        <w:rPr/>
        <w:drawing>
          <wp:inline distT="0" distB="0" distL="0" distR="0">
            <wp:extent cx="5939790" cy="2174240"/>
            <wp:effectExtent l="0" t="0" r="0" b="0"/>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31"/>
                    <a:srcRect l="-5" t="-12" r="-5" b="-12"/>
                    <a:stretch>
                      <a:fillRect/>
                    </a:stretch>
                  </pic:blipFill>
                  <pic:spPr bwMode="auto">
                    <a:xfrm>
                      <a:off x="0" y="0"/>
                      <a:ext cx="5939790" cy="2174240"/>
                    </a:xfrm>
                    <a:prstGeom prst="rect">
                      <a:avLst/>
                    </a:prstGeom>
                  </pic:spPr>
                </pic:pic>
              </a:graphicData>
            </a:graphic>
          </wp:inline>
        </w:drawing>
      </w:r>
    </w:p>
    <w:p>
      <w:pPr>
        <w:pStyle w:val="TF"/>
        <w:rPr/>
      </w:pPr>
      <w:r>
        <w:rPr/>
        <w:t>Figure 19: SHVC in 3GP-DASH</w:t>
      </w:r>
    </w:p>
    <w:p>
      <w:pPr>
        <w:pStyle w:val="Normal"/>
        <w:rPr/>
      </w:pPr>
      <w:r>
        <w:rPr/>
        <w:t>Figure 19 shows an example of using SHVC in the 3GP-DASH use case. A single SHVC stream is stored in the origin server and replicated in the edge cache supporting 3 spatial resolution representations. Each client may request the base layer representation for phone device, medium layer representation on laptop and high representation for TV display from the edge cache.</w:t>
      </w:r>
    </w:p>
    <w:p>
      <w:pPr>
        <w:pStyle w:val="Heading3"/>
        <w:rPr/>
      </w:pPr>
      <w:bookmarkStart w:id="64" w:name="__RefHeading___Toc517445352"/>
      <w:bookmarkEnd w:id="64"/>
      <w:r>
        <w:rPr>
          <w:lang w:eastAsia="ko-KR"/>
        </w:rPr>
        <w:t>6.3.3</w:t>
        <w:tab/>
        <w:t>Comparison of the solutions</w:t>
      </w:r>
    </w:p>
    <w:p>
      <w:pPr>
        <w:pStyle w:val="Heading4"/>
        <w:ind w:left="1418" w:hanging="1418"/>
        <w:jc w:val="both"/>
        <w:rPr>
          <w:lang w:eastAsia="ko-KR"/>
        </w:rPr>
      </w:pPr>
      <w:bookmarkStart w:id="65" w:name="__RefHeading___Toc517445353"/>
      <w:bookmarkEnd w:id="65"/>
      <w:r>
        <w:rPr>
          <w:lang w:eastAsia="ko-KR"/>
        </w:rPr>
        <w:t>6.3.3.0</w:t>
        <w:tab/>
        <w:t>General</w:t>
      </w:r>
    </w:p>
    <w:p>
      <w:pPr>
        <w:pStyle w:val="Normal"/>
        <w:rPr/>
      </w:pPr>
      <w:r>
        <w:rPr/>
        <w:t>For comparison of solutions with HEVC simulcast and SHVC, simulations with three representation of spatial resolution 360p, 720p and 1080p have been conducted.</w:t>
      </w:r>
    </w:p>
    <w:p>
      <w:pPr>
        <w:pStyle w:val="Normal"/>
        <w:rPr/>
      </w:pPr>
      <w:r>
        <w:rPr/>
        <w:t>For outgoing transmission bandwidth, SHVC solution requires less bandwidth for transmitting the encoded streams from origin server to cache and to UEs. The bandwidth reduction varies from 9.22% to 10.52% for transmitting both 360p and 720p resolution streams and from 23.34% to 23.62% for transmitting 360p, 720p and 1080p resolution streams.</w:t>
      </w:r>
    </w:p>
    <w:p>
      <w:pPr>
        <w:pStyle w:val="Normal"/>
        <w:rPr/>
      </w:pPr>
      <w:r>
        <w:rPr/>
        <w:t>For incoming transmission bandwidth, SHVC solution has data overhead for UEs when receiving medium to high resolution representation. The overhead varies from 20.4% to 22.1% when receiving representation with highest resolution 720p and from 24.9% to 26.88% when receiving representation with highest resolution 1080p.</w:t>
      </w:r>
    </w:p>
    <w:p>
      <w:pPr>
        <w:pStyle w:val="Heading4"/>
        <w:ind w:left="1418" w:hanging="1418"/>
        <w:jc w:val="both"/>
        <w:rPr/>
      </w:pPr>
      <w:bookmarkStart w:id="66" w:name="__RefHeading___Toc517445354"/>
      <w:bookmarkEnd w:id="66"/>
      <w:r>
        <w:rPr>
          <w:lang w:eastAsia="ko-KR"/>
        </w:rPr>
        <w:t>6.3.3.1</w:t>
        <w:tab/>
        <w:t>Outgoing transmission bandwidth</w:t>
      </w:r>
    </w:p>
    <w:p>
      <w:pPr>
        <w:pStyle w:val="Heading5"/>
        <w:ind w:left="1701" w:hanging="1701"/>
        <w:jc w:val="both"/>
        <w:rPr>
          <w:lang w:eastAsia="ko-KR"/>
        </w:rPr>
      </w:pPr>
      <w:bookmarkStart w:id="67" w:name="__RefHeading___Toc517445355"/>
      <w:bookmarkEnd w:id="67"/>
      <w:r>
        <w:rPr>
          <w:lang w:eastAsia="ko-KR"/>
        </w:rPr>
        <w:t>6.3.3.1.0</w:t>
        <w:tab/>
        <w:t>General</w:t>
      </w:r>
    </w:p>
    <w:p>
      <w:pPr>
        <w:pStyle w:val="Normal"/>
        <w:rPr/>
      </w:pPr>
      <w:r>
        <w:rPr>
          <w:lang w:eastAsia="ko-KR"/>
        </w:rPr>
        <w:t>Comparison of bandwidth used for transmission for solution with HEVC simulcast and SHVC can be analysed based on BD-rate difference between the two solutions. As described in the use-case, there are two outgoing transmissions, that is, from origin server to cache and from origin server to UEs.</w:t>
      </w:r>
    </w:p>
    <w:p>
      <w:pPr>
        <w:pStyle w:val="Heading5"/>
        <w:ind w:left="1701" w:hanging="1701"/>
        <w:jc w:val="both"/>
        <w:rPr/>
      </w:pPr>
      <w:bookmarkStart w:id="68" w:name="__RefHeading___Toc517445356"/>
      <w:bookmarkEnd w:id="68"/>
      <w:r>
        <w:rPr>
          <w:lang w:eastAsia="ko-KR"/>
        </w:rPr>
        <w:t>6.3.3.1.1</w:t>
        <w:tab/>
        <w:t>From origin server to caches</w:t>
      </w:r>
    </w:p>
    <w:p>
      <w:pPr>
        <w:pStyle w:val="Normal"/>
        <w:rPr/>
      </w:pPr>
      <w:r>
        <w:rPr>
          <w:lang w:eastAsia="ko-KR"/>
        </w:rPr>
        <w:t xml:space="preserve">For transmission from origin server to the caches, the transmission only involve low and medium resolution representation. </w:t>
      </w:r>
      <w:r>
        <w:rPr/>
        <w:t>Table 14</w:t>
      </w:r>
      <w:r>
        <w:rPr>
          <w:lang w:eastAsia="ko-KR"/>
        </w:rPr>
        <w:t xml:space="preserve"> and </w:t>
      </w:r>
      <w:r>
        <w:rPr/>
        <w:t>Table 15</w:t>
      </w:r>
      <w:r>
        <w:rPr>
          <w:lang w:eastAsia="ko-KR"/>
        </w:rPr>
        <w:t xml:space="preserve"> tabulate BD-rate reduction for coding of 720p resolution that SHVC can achieved when compared to HEVC simulcast.</w:t>
      </w:r>
    </w:p>
    <w:p>
      <w:pPr>
        <w:pStyle w:val="TH"/>
        <w:rPr/>
      </w:pPr>
      <w:r>
        <w:rPr>
          <w:lang w:eastAsia="ko-KR"/>
        </w:rPr>
        <w:t xml:space="preserve">Table 14: </w:t>
      </w:r>
      <w:r>
        <w:rPr/>
        <w:t>BD-rate decrease for coding of 720p given by SHVC over HEVC simulcast for case of IRAP aligned.</w:t>
      </w:r>
    </w:p>
    <w:tbl>
      <w:tblPr>
        <w:tblW w:w="8380" w:type="dxa"/>
        <w:jc w:val="center"/>
        <w:tblInd w:w="0" w:type="dxa"/>
        <w:tblLayout w:type="fixed"/>
        <w:tblCellMar>
          <w:top w:w="0" w:type="dxa"/>
          <w:left w:w="0" w:type="dxa"/>
          <w:bottom w:w="0" w:type="dxa"/>
          <w:right w:w="0" w:type="dxa"/>
        </w:tblCellMar>
      </w:tblPr>
      <w:tblGrid>
        <w:gridCol w:w="2621"/>
        <w:gridCol w:w="1535"/>
        <w:gridCol w:w="804"/>
        <w:gridCol w:w="1831"/>
        <w:gridCol w:w="1589"/>
      </w:tblGrid>
      <w:tr>
        <w:trPr/>
        <w:tc>
          <w:tcPr>
            <w:tcW w:w="262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Aligned</w:t>
            </w:r>
          </w:p>
        </w:tc>
        <w:tc>
          <w:tcPr>
            <w:tcW w:w="5759"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HEVC Simulcast</w:t>
            </w:r>
          </w:p>
        </w:tc>
      </w:tr>
      <w:tr>
        <w:trPr/>
        <w:tc>
          <w:tcPr>
            <w:tcW w:w="2621"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339" w:type="dxa"/>
            <w:gridSpan w:val="2"/>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831"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589"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62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2339" w:type="dxa"/>
            <w:gridSpan w:val="2"/>
            <w:tcBorders>
              <w:top w:val="single" w:sz="4" w:space="0" w:color="000000"/>
              <w:left w:val="single" w:sz="4" w:space="0" w:color="000000"/>
              <w:bottom w:val="single" w:sz="4" w:space="0" w:color="000000"/>
              <w:right w:val="single" w:sz="4" w:space="0" w:color="000000"/>
            </w:tcBorders>
          </w:tcPr>
          <w:p>
            <w:pPr>
              <w:pStyle w:val="TAL"/>
              <w:rPr/>
            </w:pPr>
            <w:r>
              <w:rPr/>
              <w:t>-17.3%</w:t>
            </w:r>
          </w:p>
        </w:tc>
        <w:tc>
          <w:tcPr>
            <w:tcW w:w="1831" w:type="dxa"/>
            <w:tcBorders>
              <w:top w:val="single" w:sz="4" w:space="0" w:color="000000"/>
              <w:left w:val="single" w:sz="4" w:space="0" w:color="000000"/>
              <w:bottom w:val="single" w:sz="4" w:space="0" w:color="000000"/>
              <w:right w:val="single" w:sz="4" w:space="0" w:color="000000"/>
            </w:tcBorders>
          </w:tcPr>
          <w:p>
            <w:pPr>
              <w:pStyle w:val="TAL"/>
              <w:rPr/>
            </w:pPr>
            <w:r>
              <w:rPr/>
              <w:t>-11.9%</w:t>
            </w:r>
          </w:p>
        </w:tc>
        <w:tc>
          <w:tcPr>
            <w:tcW w:w="1589" w:type="dxa"/>
            <w:tcBorders>
              <w:top w:val="single" w:sz="4" w:space="0" w:color="000000"/>
              <w:left w:val="single" w:sz="4" w:space="0" w:color="000000"/>
              <w:bottom w:val="single" w:sz="4" w:space="0" w:color="000000"/>
              <w:right w:val="single" w:sz="4" w:space="0" w:color="000000"/>
            </w:tcBorders>
          </w:tcPr>
          <w:p>
            <w:pPr>
              <w:pStyle w:val="TAL"/>
              <w:rPr/>
            </w:pPr>
            <w:r>
              <w:rPr/>
              <w:t>-10.1%</w:t>
            </w:r>
          </w:p>
        </w:tc>
      </w:tr>
      <w:tr>
        <w:trPr/>
        <w:tc>
          <w:tcPr>
            <w:tcW w:w="262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2339" w:type="dxa"/>
            <w:gridSpan w:val="2"/>
            <w:tcBorders>
              <w:top w:val="single" w:sz="4" w:space="0" w:color="000000"/>
              <w:left w:val="single" w:sz="4" w:space="0" w:color="000000"/>
              <w:bottom w:val="single" w:sz="4" w:space="0" w:color="000000"/>
              <w:right w:val="single" w:sz="4" w:space="0" w:color="000000"/>
            </w:tcBorders>
          </w:tcPr>
          <w:p>
            <w:pPr>
              <w:pStyle w:val="TAL"/>
              <w:rPr/>
            </w:pPr>
            <w:r>
              <w:rPr/>
              <w:t>-5.6%</w:t>
            </w:r>
          </w:p>
        </w:tc>
        <w:tc>
          <w:tcPr>
            <w:tcW w:w="1831"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1589" w:type="dxa"/>
            <w:tcBorders>
              <w:top w:val="single" w:sz="4" w:space="0" w:color="000000"/>
              <w:left w:val="single" w:sz="4" w:space="0" w:color="000000"/>
              <w:bottom w:val="single" w:sz="4" w:space="0" w:color="000000"/>
              <w:right w:val="single" w:sz="4" w:space="0" w:color="000000"/>
            </w:tcBorders>
          </w:tcPr>
          <w:p>
            <w:pPr>
              <w:pStyle w:val="TAL"/>
              <w:rPr/>
            </w:pPr>
            <w:r>
              <w:rPr/>
              <w:t>-4.7%</w:t>
            </w:r>
          </w:p>
        </w:tc>
      </w:tr>
      <w:tr>
        <w:trPr/>
        <w:tc>
          <w:tcPr>
            <w:tcW w:w="262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2339" w:type="dxa"/>
            <w:gridSpan w:val="2"/>
            <w:tcBorders>
              <w:top w:val="single" w:sz="4" w:space="0" w:color="000000"/>
              <w:left w:val="single" w:sz="4" w:space="0" w:color="000000"/>
              <w:bottom w:val="single" w:sz="4" w:space="0" w:color="000000"/>
              <w:right w:val="single" w:sz="4" w:space="0" w:color="000000"/>
            </w:tcBorders>
          </w:tcPr>
          <w:p>
            <w:pPr>
              <w:pStyle w:val="TAL"/>
              <w:rPr/>
            </w:pPr>
            <w:r>
              <w:rPr/>
              <w:t>-8.5%</w:t>
            </w:r>
          </w:p>
        </w:tc>
        <w:tc>
          <w:tcPr>
            <w:tcW w:w="1831"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1589" w:type="dxa"/>
            <w:tcBorders>
              <w:top w:val="single" w:sz="4" w:space="0" w:color="000000"/>
              <w:left w:val="single" w:sz="4" w:space="0" w:color="000000"/>
              <w:bottom w:val="single" w:sz="4" w:space="0" w:color="000000"/>
              <w:right w:val="single" w:sz="4" w:space="0" w:color="000000"/>
            </w:tcBorders>
          </w:tcPr>
          <w:p>
            <w:pPr>
              <w:pStyle w:val="TAL"/>
              <w:rPr/>
            </w:pPr>
            <w:r>
              <w:rPr/>
              <w:t>-3.0%</w:t>
            </w:r>
          </w:p>
        </w:tc>
      </w:tr>
      <w:tr>
        <w:trPr/>
        <w:tc>
          <w:tcPr>
            <w:tcW w:w="262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2339" w:type="dxa"/>
            <w:gridSpan w:val="2"/>
            <w:tcBorders>
              <w:top w:val="single" w:sz="4" w:space="0" w:color="000000"/>
              <w:left w:val="single" w:sz="4" w:space="0" w:color="000000"/>
              <w:bottom w:val="single" w:sz="4" w:space="0" w:color="000000"/>
              <w:right w:val="single" w:sz="4" w:space="0" w:color="000000"/>
            </w:tcBorders>
          </w:tcPr>
          <w:p>
            <w:pPr>
              <w:pStyle w:val="TAL"/>
              <w:rPr/>
            </w:pPr>
            <w:r>
              <w:rPr/>
              <w:t>-13.7%</w:t>
            </w:r>
          </w:p>
        </w:tc>
        <w:tc>
          <w:tcPr>
            <w:tcW w:w="1831"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1589" w:type="dxa"/>
            <w:tcBorders>
              <w:top w:val="single" w:sz="4" w:space="0" w:color="000000"/>
              <w:left w:val="single" w:sz="4" w:space="0" w:color="000000"/>
              <w:bottom w:val="single" w:sz="4" w:space="0" w:color="000000"/>
              <w:right w:val="single" w:sz="4" w:space="0" w:color="000000"/>
            </w:tcBorders>
          </w:tcPr>
          <w:p>
            <w:pPr>
              <w:pStyle w:val="TAL"/>
              <w:rPr/>
            </w:pPr>
            <w:r>
              <w:rPr/>
              <w:t>-6.3%</w:t>
            </w:r>
          </w:p>
        </w:tc>
      </w:tr>
      <w:tr>
        <w:trPr/>
        <w:tc>
          <w:tcPr>
            <w:tcW w:w="2621"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 xml:space="preserve">BQTerrace </w:t>
            </w:r>
          </w:p>
        </w:tc>
        <w:tc>
          <w:tcPr>
            <w:tcW w:w="2339" w:type="dxa"/>
            <w:gridSpan w:val="2"/>
            <w:tcBorders>
              <w:top w:val="single" w:sz="4" w:space="0" w:color="000000"/>
              <w:left w:val="single" w:sz="4" w:space="0" w:color="000000"/>
              <w:bottom w:val="single" w:sz="12" w:space="0" w:color="000000"/>
              <w:right w:val="single" w:sz="4" w:space="0" w:color="000000"/>
            </w:tcBorders>
          </w:tcPr>
          <w:p>
            <w:pPr>
              <w:pStyle w:val="TAL"/>
              <w:rPr/>
            </w:pPr>
            <w:r>
              <w:rPr/>
              <w:t>-1.0%</w:t>
            </w:r>
          </w:p>
        </w:tc>
        <w:tc>
          <w:tcPr>
            <w:tcW w:w="1831" w:type="dxa"/>
            <w:tcBorders>
              <w:top w:val="single" w:sz="4" w:space="0" w:color="000000"/>
              <w:left w:val="single" w:sz="4" w:space="0" w:color="000000"/>
              <w:bottom w:val="single" w:sz="12" w:space="0" w:color="000000"/>
              <w:right w:val="single" w:sz="4" w:space="0" w:color="000000"/>
            </w:tcBorders>
          </w:tcPr>
          <w:p>
            <w:pPr>
              <w:pStyle w:val="TAL"/>
              <w:rPr/>
            </w:pPr>
            <w:r>
              <w:rPr/>
              <w:t>-0.7%</w:t>
            </w:r>
          </w:p>
        </w:tc>
        <w:tc>
          <w:tcPr>
            <w:tcW w:w="1589" w:type="dxa"/>
            <w:tcBorders>
              <w:top w:val="single" w:sz="4" w:space="0" w:color="000000"/>
              <w:left w:val="single" w:sz="4" w:space="0" w:color="000000"/>
              <w:bottom w:val="single" w:sz="12" w:space="0" w:color="000000"/>
              <w:right w:val="single" w:sz="4" w:space="0" w:color="000000"/>
            </w:tcBorders>
          </w:tcPr>
          <w:p>
            <w:pPr>
              <w:pStyle w:val="TAL"/>
              <w:rPr/>
            </w:pPr>
            <w:r>
              <w:rPr/>
              <w:t>1.9%</w:t>
            </w:r>
          </w:p>
        </w:tc>
      </w:tr>
      <w:tr>
        <w:trPr/>
        <w:tc>
          <w:tcPr>
            <w:tcW w:w="4156"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804" w:type="dxa"/>
            <w:tcBorders>
              <w:top w:val="single" w:sz="12" w:space="0" w:color="000000"/>
              <w:bottom w:val="single" w:sz="12" w:space="0" w:color="000000"/>
            </w:tcBorders>
          </w:tcPr>
          <w:p>
            <w:pPr>
              <w:pStyle w:val="TAL"/>
              <w:rPr/>
            </w:pPr>
            <w:r>
              <w:rPr/>
              <w:t>-9.22%</w:t>
            </w:r>
          </w:p>
        </w:tc>
        <w:tc>
          <w:tcPr>
            <w:tcW w:w="1831" w:type="dxa"/>
            <w:tcBorders>
              <w:top w:val="single" w:sz="12" w:space="0" w:color="000000"/>
              <w:bottom w:val="single" w:sz="12" w:space="0" w:color="000000"/>
            </w:tcBorders>
          </w:tcPr>
          <w:p>
            <w:pPr>
              <w:pStyle w:val="TAL"/>
              <w:rPr/>
            </w:pPr>
            <w:r>
              <w:rPr/>
              <w:t>-5.46%</w:t>
            </w:r>
          </w:p>
        </w:tc>
        <w:tc>
          <w:tcPr>
            <w:tcW w:w="1589" w:type="dxa"/>
            <w:tcBorders>
              <w:top w:val="single" w:sz="12" w:space="0" w:color="000000"/>
              <w:bottom w:val="single" w:sz="12" w:space="0" w:color="000000"/>
              <w:right w:val="single" w:sz="12" w:space="0" w:color="000000"/>
            </w:tcBorders>
          </w:tcPr>
          <w:p>
            <w:pPr>
              <w:pStyle w:val="TAL"/>
              <w:rPr/>
            </w:pPr>
            <w:r>
              <w:rPr/>
              <w:t>-4.44%</w:t>
            </w:r>
          </w:p>
        </w:tc>
      </w:tr>
    </w:tbl>
    <w:p>
      <w:pPr>
        <w:pStyle w:val="Normal"/>
        <w:rPr>
          <w:lang w:eastAsia="ko-KR"/>
        </w:rPr>
      </w:pPr>
      <w:r>
        <w:rPr>
          <w:lang w:eastAsia="ko-KR"/>
        </w:rPr>
      </w:r>
    </w:p>
    <w:p>
      <w:pPr>
        <w:pStyle w:val="TH"/>
        <w:rPr/>
      </w:pPr>
      <w:r>
        <w:rPr>
          <w:lang w:eastAsia="ko-KR"/>
        </w:rPr>
        <w:t xml:space="preserve">Table 15: </w:t>
      </w:r>
      <w:r>
        <w:rPr/>
        <w:t>BD-rate decrease for coding of 720p given by SHVC over HEVC simulcast for case of IRAP non-aligned</w:t>
      </w:r>
    </w:p>
    <w:tbl>
      <w:tblPr>
        <w:tblW w:w="8282" w:type="dxa"/>
        <w:jc w:val="center"/>
        <w:tblInd w:w="0" w:type="dxa"/>
        <w:tblLayout w:type="fixed"/>
        <w:tblCellMar>
          <w:top w:w="0" w:type="dxa"/>
          <w:left w:w="108" w:type="dxa"/>
          <w:bottom w:w="0" w:type="dxa"/>
          <w:right w:w="108" w:type="dxa"/>
        </w:tblCellMar>
      </w:tblPr>
      <w:tblGrid>
        <w:gridCol w:w="2463"/>
        <w:gridCol w:w="1355"/>
        <w:gridCol w:w="1077"/>
        <w:gridCol w:w="1845"/>
        <w:gridCol w:w="1542"/>
      </w:tblGrid>
      <w:tr>
        <w:trPr/>
        <w:tc>
          <w:tcPr>
            <w:tcW w:w="246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Non-Aligned</w:t>
            </w:r>
          </w:p>
        </w:tc>
        <w:tc>
          <w:tcPr>
            <w:tcW w:w="5819"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HEVC Simulcast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432" w:type="dxa"/>
            <w:gridSpan w:val="2"/>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84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542"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2432" w:type="dxa"/>
            <w:gridSpan w:val="2"/>
            <w:tcBorders>
              <w:top w:val="single" w:sz="4" w:space="0" w:color="000000"/>
              <w:left w:val="single" w:sz="4" w:space="0" w:color="000000"/>
              <w:bottom w:val="single" w:sz="4" w:space="0" w:color="000000"/>
              <w:right w:val="single" w:sz="4" w:space="0" w:color="000000"/>
            </w:tcBorders>
          </w:tcPr>
          <w:p>
            <w:pPr>
              <w:pStyle w:val="TAL"/>
              <w:rPr/>
            </w:pPr>
            <w:r>
              <w:rPr/>
              <w:t>-16.8%</w:t>
            </w:r>
          </w:p>
        </w:tc>
        <w:tc>
          <w:tcPr>
            <w:tcW w:w="1845" w:type="dxa"/>
            <w:tcBorders>
              <w:top w:val="single" w:sz="4" w:space="0" w:color="000000"/>
              <w:left w:val="single" w:sz="4" w:space="0" w:color="000000"/>
              <w:bottom w:val="single" w:sz="4" w:space="0" w:color="000000"/>
              <w:right w:val="single" w:sz="4" w:space="0" w:color="000000"/>
            </w:tcBorders>
          </w:tcPr>
          <w:p>
            <w:pPr>
              <w:pStyle w:val="TAL"/>
              <w:rPr/>
            </w:pPr>
            <w:r>
              <w:rPr/>
              <w:t>-10.7%</w:t>
            </w:r>
          </w:p>
        </w:tc>
        <w:tc>
          <w:tcPr>
            <w:tcW w:w="1542" w:type="dxa"/>
            <w:tcBorders>
              <w:top w:val="single" w:sz="4" w:space="0" w:color="000000"/>
              <w:left w:val="single" w:sz="4" w:space="0" w:color="000000"/>
              <w:bottom w:val="single" w:sz="4" w:space="0" w:color="000000"/>
              <w:right w:val="single" w:sz="4" w:space="0" w:color="000000"/>
            </w:tcBorders>
          </w:tcPr>
          <w:p>
            <w:pPr>
              <w:pStyle w:val="TAL"/>
              <w:rPr/>
            </w:pPr>
            <w:r>
              <w:rPr/>
              <w:t>-8.8%</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2432" w:type="dxa"/>
            <w:gridSpan w:val="2"/>
            <w:tcBorders>
              <w:top w:val="single" w:sz="4" w:space="0" w:color="000000"/>
              <w:left w:val="single" w:sz="4" w:space="0" w:color="000000"/>
              <w:bottom w:val="single" w:sz="4" w:space="0" w:color="000000"/>
              <w:right w:val="single" w:sz="4" w:space="0" w:color="000000"/>
            </w:tcBorders>
          </w:tcPr>
          <w:p>
            <w:pPr>
              <w:pStyle w:val="TAL"/>
              <w:rPr/>
            </w:pPr>
            <w:r>
              <w:rPr/>
              <w:t>-7.2%</w:t>
            </w:r>
          </w:p>
        </w:tc>
        <w:tc>
          <w:tcPr>
            <w:tcW w:w="1845" w:type="dxa"/>
            <w:tcBorders>
              <w:top w:val="single" w:sz="4" w:space="0" w:color="000000"/>
              <w:left w:val="single" w:sz="4" w:space="0" w:color="000000"/>
              <w:bottom w:val="single" w:sz="4" w:space="0" w:color="000000"/>
              <w:right w:val="single" w:sz="4" w:space="0" w:color="000000"/>
            </w:tcBorders>
          </w:tcPr>
          <w:p>
            <w:pPr>
              <w:pStyle w:val="TAL"/>
              <w:rPr/>
            </w:pPr>
            <w:r>
              <w:rPr/>
              <w:t>-7.5%</w:t>
            </w:r>
          </w:p>
        </w:tc>
        <w:tc>
          <w:tcPr>
            <w:tcW w:w="1542" w:type="dxa"/>
            <w:tcBorders>
              <w:top w:val="single" w:sz="4" w:space="0" w:color="000000"/>
              <w:left w:val="single" w:sz="4" w:space="0" w:color="000000"/>
              <w:bottom w:val="single" w:sz="4" w:space="0" w:color="000000"/>
              <w:right w:val="single" w:sz="4" w:space="0" w:color="000000"/>
            </w:tcBorders>
          </w:tcPr>
          <w:p>
            <w:pPr>
              <w:pStyle w:val="TAL"/>
              <w:rPr/>
            </w:pPr>
            <w:r>
              <w:rPr/>
              <w:t>-6.0%</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2432" w:type="dxa"/>
            <w:gridSpan w:val="2"/>
            <w:tcBorders>
              <w:top w:val="single" w:sz="4" w:space="0" w:color="000000"/>
              <w:left w:val="single" w:sz="4" w:space="0" w:color="000000"/>
              <w:bottom w:val="single" w:sz="4" w:space="0" w:color="000000"/>
              <w:right w:val="single" w:sz="4" w:space="0" w:color="000000"/>
            </w:tcBorders>
          </w:tcPr>
          <w:p>
            <w:pPr>
              <w:pStyle w:val="TAL"/>
              <w:rPr/>
            </w:pPr>
            <w:r>
              <w:rPr/>
              <w:t>-10.2%</w:t>
            </w:r>
          </w:p>
        </w:tc>
        <w:tc>
          <w:tcPr>
            <w:tcW w:w="1845" w:type="dxa"/>
            <w:tcBorders>
              <w:top w:val="single" w:sz="4" w:space="0" w:color="000000"/>
              <w:left w:val="single" w:sz="4" w:space="0" w:color="000000"/>
              <w:bottom w:val="single" w:sz="4" w:space="0" w:color="000000"/>
              <w:right w:val="single" w:sz="4" w:space="0" w:color="000000"/>
            </w:tcBorders>
          </w:tcPr>
          <w:p>
            <w:pPr>
              <w:pStyle w:val="TAL"/>
              <w:rPr/>
            </w:pPr>
            <w:r>
              <w:rPr/>
              <w:t>-6.3%</w:t>
            </w:r>
          </w:p>
        </w:tc>
        <w:tc>
          <w:tcPr>
            <w:tcW w:w="1542" w:type="dxa"/>
            <w:tcBorders>
              <w:top w:val="single" w:sz="4" w:space="0" w:color="000000"/>
              <w:left w:val="single" w:sz="4" w:space="0" w:color="000000"/>
              <w:bottom w:val="single" w:sz="4" w:space="0" w:color="000000"/>
              <w:right w:val="single" w:sz="4" w:space="0" w:color="000000"/>
            </w:tcBorders>
          </w:tcPr>
          <w:p>
            <w:pPr>
              <w:pStyle w:val="TAL"/>
              <w:rPr/>
            </w:pPr>
            <w:r>
              <w:rPr/>
              <w:t>-4.7%</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2432" w:type="dxa"/>
            <w:gridSpan w:val="2"/>
            <w:tcBorders>
              <w:top w:val="single" w:sz="4" w:space="0" w:color="000000"/>
              <w:left w:val="single" w:sz="4" w:space="0" w:color="000000"/>
              <w:bottom w:val="single" w:sz="4" w:space="0" w:color="000000"/>
              <w:right w:val="single" w:sz="4" w:space="0" w:color="000000"/>
            </w:tcBorders>
          </w:tcPr>
          <w:p>
            <w:pPr>
              <w:pStyle w:val="TAL"/>
              <w:rPr/>
            </w:pPr>
            <w:r>
              <w:rPr/>
              <w:t>-13.9%</w:t>
            </w:r>
          </w:p>
        </w:tc>
        <w:tc>
          <w:tcPr>
            <w:tcW w:w="1845"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542" w:type="dxa"/>
            <w:tcBorders>
              <w:top w:val="single" w:sz="4" w:space="0" w:color="000000"/>
              <w:left w:val="single" w:sz="4" w:space="0" w:color="000000"/>
              <w:bottom w:val="single" w:sz="4" w:space="0" w:color="000000"/>
              <w:right w:val="single" w:sz="4" w:space="0" w:color="000000"/>
            </w:tcBorders>
          </w:tcPr>
          <w:p>
            <w:pPr>
              <w:pStyle w:val="TAL"/>
              <w:rPr/>
            </w:pPr>
            <w:r>
              <w:rPr/>
              <w:t>-6.2%</w:t>
            </w:r>
          </w:p>
        </w:tc>
      </w:tr>
      <w:tr>
        <w:trPr/>
        <w:tc>
          <w:tcPr>
            <w:tcW w:w="246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 xml:space="preserve">BQTerrace </w:t>
            </w:r>
          </w:p>
        </w:tc>
        <w:tc>
          <w:tcPr>
            <w:tcW w:w="2432" w:type="dxa"/>
            <w:gridSpan w:val="2"/>
            <w:tcBorders>
              <w:top w:val="single" w:sz="4" w:space="0" w:color="000000"/>
              <w:left w:val="single" w:sz="4" w:space="0" w:color="000000"/>
              <w:bottom w:val="single" w:sz="12" w:space="0" w:color="000000"/>
              <w:right w:val="single" w:sz="4" w:space="0" w:color="000000"/>
            </w:tcBorders>
          </w:tcPr>
          <w:p>
            <w:pPr>
              <w:pStyle w:val="TAL"/>
              <w:rPr/>
            </w:pPr>
            <w:r>
              <w:rPr/>
              <w:t>-4.5%</w:t>
            </w:r>
          </w:p>
        </w:tc>
        <w:tc>
          <w:tcPr>
            <w:tcW w:w="1845" w:type="dxa"/>
            <w:tcBorders>
              <w:top w:val="single" w:sz="4" w:space="0" w:color="000000"/>
              <w:left w:val="single" w:sz="4" w:space="0" w:color="000000"/>
              <w:bottom w:val="single" w:sz="12" w:space="0" w:color="000000"/>
              <w:right w:val="single" w:sz="4" w:space="0" w:color="000000"/>
            </w:tcBorders>
          </w:tcPr>
          <w:p>
            <w:pPr>
              <w:pStyle w:val="TAL"/>
              <w:rPr/>
            </w:pPr>
            <w:r>
              <w:rPr/>
              <w:t>-3.3%</w:t>
            </w:r>
          </w:p>
        </w:tc>
        <w:tc>
          <w:tcPr>
            <w:tcW w:w="1542" w:type="dxa"/>
            <w:tcBorders>
              <w:top w:val="single" w:sz="4" w:space="0" w:color="000000"/>
              <w:left w:val="single" w:sz="4" w:space="0" w:color="000000"/>
              <w:bottom w:val="single" w:sz="12" w:space="0" w:color="000000"/>
              <w:right w:val="single" w:sz="4" w:space="0" w:color="000000"/>
            </w:tcBorders>
          </w:tcPr>
          <w:p>
            <w:pPr>
              <w:pStyle w:val="TAL"/>
              <w:rPr/>
            </w:pPr>
            <w:r>
              <w:rPr/>
              <w:t>-1.2%</w:t>
            </w:r>
          </w:p>
        </w:tc>
      </w:tr>
      <w:tr>
        <w:trPr/>
        <w:tc>
          <w:tcPr>
            <w:tcW w:w="381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 xml:space="preserve">Average </w:t>
            </w:r>
          </w:p>
        </w:tc>
        <w:tc>
          <w:tcPr>
            <w:tcW w:w="1077" w:type="dxa"/>
            <w:tcBorders>
              <w:top w:val="single" w:sz="12" w:space="0" w:color="000000"/>
              <w:bottom w:val="single" w:sz="12" w:space="0" w:color="000000"/>
            </w:tcBorders>
          </w:tcPr>
          <w:p>
            <w:pPr>
              <w:pStyle w:val="TAL"/>
              <w:rPr/>
            </w:pPr>
            <w:r>
              <w:rPr/>
              <w:t>-10.52%</w:t>
            </w:r>
          </w:p>
        </w:tc>
        <w:tc>
          <w:tcPr>
            <w:tcW w:w="1845" w:type="dxa"/>
            <w:tcBorders>
              <w:top w:val="single" w:sz="12" w:space="0" w:color="000000"/>
              <w:bottom w:val="single" w:sz="12" w:space="0" w:color="000000"/>
            </w:tcBorders>
          </w:tcPr>
          <w:p>
            <w:pPr>
              <w:pStyle w:val="TAL"/>
              <w:rPr/>
            </w:pPr>
            <w:r>
              <w:rPr/>
              <w:t>-6.24%</w:t>
            </w:r>
          </w:p>
        </w:tc>
        <w:tc>
          <w:tcPr>
            <w:tcW w:w="1542" w:type="dxa"/>
            <w:tcBorders>
              <w:top w:val="single" w:sz="12" w:space="0" w:color="000000"/>
              <w:bottom w:val="single" w:sz="12" w:space="0" w:color="000000"/>
              <w:right w:val="single" w:sz="12" w:space="0" w:color="000000"/>
            </w:tcBorders>
          </w:tcPr>
          <w:p>
            <w:pPr>
              <w:pStyle w:val="TAL"/>
              <w:rPr/>
            </w:pPr>
            <w:r>
              <w:rPr/>
              <w:t>-5.38%</w:t>
            </w:r>
          </w:p>
        </w:tc>
      </w:tr>
    </w:tbl>
    <w:p>
      <w:pPr>
        <w:pStyle w:val="Normal"/>
        <w:rPr>
          <w:lang w:eastAsia="ko-KR"/>
        </w:rPr>
      </w:pPr>
      <w:r>
        <w:rPr>
          <w:lang w:eastAsia="ko-KR"/>
        </w:rPr>
      </w:r>
    </w:p>
    <w:p>
      <w:pPr>
        <w:pStyle w:val="Heading5"/>
        <w:ind w:left="1701" w:hanging="1701"/>
        <w:jc w:val="both"/>
        <w:rPr/>
      </w:pPr>
      <w:bookmarkStart w:id="69" w:name="__RefHeading___Toc517445357"/>
      <w:bookmarkEnd w:id="69"/>
      <w:r>
        <w:rPr>
          <w:lang w:eastAsia="ko-KR"/>
        </w:rPr>
        <w:t>6.3.3.1.2</w:t>
        <w:tab/>
        <w:t>From origin server to UEs</w:t>
      </w:r>
    </w:p>
    <w:p>
      <w:pPr>
        <w:pStyle w:val="Normal"/>
        <w:rPr/>
      </w:pPr>
      <w:r>
        <w:rPr>
          <w:lang w:eastAsia="ko-KR"/>
        </w:rPr>
        <w:t xml:space="preserve">For transmission from origin server to the UEs, the transmission only involves high resolution representation. </w:t>
      </w:r>
      <w:r>
        <w:rPr/>
        <w:t>Table 16</w:t>
      </w:r>
      <w:r>
        <w:rPr>
          <w:lang w:eastAsia="ko-KR"/>
        </w:rPr>
        <w:t xml:space="preserve"> and </w:t>
      </w:r>
      <w:r>
        <w:rPr/>
        <w:t>Table 17</w:t>
      </w:r>
      <w:r>
        <w:rPr>
          <w:lang w:eastAsia="ko-KR"/>
        </w:rPr>
        <w:t xml:space="preserve"> tabulate BD-rate reduction that SHVC can achieve when compared to HEVC simulcast.</w:t>
      </w:r>
    </w:p>
    <w:p>
      <w:pPr>
        <w:pStyle w:val="TH"/>
        <w:rPr/>
      </w:pPr>
      <w:r>
        <w:rPr>
          <w:lang w:eastAsia="ko-KR"/>
        </w:rPr>
        <w:t>Table 16: BD-rate decrease for coding of 1080p given by SHVC over HEVC</w:t>
      </w:r>
      <w:r>
        <w:rPr/>
        <w:t xml:space="preserve"> simulcast for case of IRAP aligned.</w:t>
      </w:r>
    </w:p>
    <w:tbl>
      <w:tblPr>
        <w:tblW w:w="8773" w:type="dxa"/>
        <w:jc w:val="center"/>
        <w:tblInd w:w="0" w:type="dxa"/>
        <w:tblLayout w:type="fixed"/>
        <w:tblCellMar>
          <w:top w:w="0" w:type="dxa"/>
          <w:left w:w="108" w:type="dxa"/>
          <w:bottom w:w="0" w:type="dxa"/>
          <w:right w:w="108" w:type="dxa"/>
        </w:tblCellMar>
      </w:tblPr>
      <w:tblGrid>
        <w:gridCol w:w="2803"/>
        <w:gridCol w:w="236"/>
        <w:gridCol w:w="2134"/>
        <w:gridCol w:w="1980"/>
        <w:gridCol w:w="162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Aligned</w:t>
            </w:r>
          </w:p>
        </w:tc>
        <w:tc>
          <w:tcPr>
            <w:tcW w:w="597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HEVC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98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62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-30.0%</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-21.4%</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-18.7%</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-19.5%</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-14.7%</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-14.0%</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-23.8%</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-18.1%</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-9.7%</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-27.5%</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-11.4%</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-13.7%</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 xml:space="preserve">BQTerrace </w:t>
            </w:r>
          </w:p>
        </w:tc>
        <w:tc>
          <w:tcPr>
            <w:tcW w:w="2370" w:type="dxa"/>
            <w:gridSpan w:val="2"/>
            <w:tcBorders>
              <w:top w:val="single" w:sz="4" w:space="0" w:color="000000"/>
              <w:left w:val="single" w:sz="4" w:space="0" w:color="000000"/>
              <w:bottom w:val="single" w:sz="12" w:space="0" w:color="000000"/>
              <w:right w:val="single" w:sz="4" w:space="0" w:color="000000"/>
            </w:tcBorders>
          </w:tcPr>
          <w:p>
            <w:pPr>
              <w:pStyle w:val="TAL"/>
              <w:rPr/>
            </w:pPr>
            <w:r>
              <w:rPr/>
              <w:t>-15.9%</w:t>
            </w:r>
          </w:p>
        </w:tc>
        <w:tc>
          <w:tcPr>
            <w:tcW w:w="1980" w:type="dxa"/>
            <w:tcBorders>
              <w:top w:val="single" w:sz="4" w:space="0" w:color="000000"/>
              <w:left w:val="single" w:sz="4" w:space="0" w:color="000000"/>
              <w:bottom w:val="single" w:sz="12" w:space="0" w:color="000000"/>
              <w:right w:val="single" w:sz="4" w:space="0" w:color="000000"/>
            </w:tcBorders>
          </w:tcPr>
          <w:p>
            <w:pPr>
              <w:pStyle w:val="TAL"/>
              <w:rPr/>
            </w:pPr>
            <w:r>
              <w:rPr/>
              <w:t>8.4%</w:t>
            </w:r>
          </w:p>
        </w:tc>
        <w:tc>
          <w:tcPr>
            <w:tcW w:w="1620" w:type="dxa"/>
            <w:tcBorders>
              <w:top w:val="single" w:sz="4" w:space="0" w:color="000000"/>
              <w:left w:val="single" w:sz="4" w:space="0" w:color="000000"/>
              <w:bottom w:val="single" w:sz="12" w:space="0" w:color="000000"/>
              <w:right w:val="single" w:sz="4" w:space="0" w:color="000000"/>
            </w:tcBorders>
          </w:tcPr>
          <w:p>
            <w:pPr>
              <w:pStyle w:val="TAL"/>
              <w:rPr/>
            </w:pPr>
            <w:r>
              <w:rPr/>
              <w:t>17.1%</w:t>
            </w:r>
          </w:p>
        </w:tc>
      </w:tr>
      <w:tr>
        <w:trPr/>
        <w:tc>
          <w:tcPr>
            <w:tcW w:w="3039"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2134" w:type="dxa"/>
            <w:tcBorders>
              <w:top w:val="single" w:sz="12" w:space="0" w:color="000000"/>
              <w:bottom w:val="single" w:sz="12" w:space="0" w:color="000000"/>
            </w:tcBorders>
          </w:tcPr>
          <w:p>
            <w:pPr>
              <w:pStyle w:val="TAL"/>
              <w:rPr/>
            </w:pPr>
            <w:r>
              <w:rPr/>
              <w:t>-23.34%</w:t>
            </w:r>
          </w:p>
        </w:tc>
        <w:tc>
          <w:tcPr>
            <w:tcW w:w="1980" w:type="dxa"/>
            <w:tcBorders>
              <w:top w:val="single" w:sz="12" w:space="0" w:color="000000"/>
              <w:bottom w:val="single" w:sz="12" w:space="0" w:color="000000"/>
            </w:tcBorders>
          </w:tcPr>
          <w:p>
            <w:pPr>
              <w:pStyle w:val="TAL"/>
              <w:rPr/>
            </w:pPr>
            <w:r>
              <w:rPr/>
              <w:t>-11.44%</w:t>
            </w:r>
          </w:p>
        </w:tc>
        <w:tc>
          <w:tcPr>
            <w:tcW w:w="1620" w:type="dxa"/>
            <w:tcBorders>
              <w:top w:val="single" w:sz="12" w:space="0" w:color="000000"/>
              <w:bottom w:val="single" w:sz="12" w:space="0" w:color="000000"/>
              <w:right w:val="single" w:sz="12" w:space="0" w:color="000000"/>
            </w:tcBorders>
          </w:tcPr>
          <w:p>
            <w:pPr>
              <w:pStyle w:val="TAL"/>
              <w:rPr/>
            </w:pPr>
            <w:r>
              <w:rPr/>
              <w:t>-7.80%</w:t>
            </w:r>
          </w:p>
        </w:tc>
      </w:tr>
    </w:tbl>
    <w:p>
      <w:pPr>
        <w:pStyle w:val="Normal"/>
        <w:rPr>
          <w:lang w:eastAsia="ko-KR"/>
        </w:rPr>
      </w:pPr>
      <w:r>
        <w:rPr>
          <w:lang w:eastAsia="ko-KR"/>
        </w:rPr>
      </w:r>
    </w:p>
    <w:p>
      <w:pPr>
        <w:pStyle w:val="TH"/>
        <w:rPr/>
      </w:pPr>
      <w:r>
        <w:rPr>
          <w:lang w:eastAsia="ko-KR"/>
        </w:rPr>
        <w:t xml:space="preserve">Table 17: </w:t>
      </w:r>
      <w:r>
        <w:rPr/>
        <w:t>BD-rate decrease for coding of 1080p given by SHVC over HEVC simulcast for case of IRAP non-aligned</w:t>
      </w:r>
    </w:p>
    <w:tbl>
      <w:tblPr>
        <w:tblW w:w="8836" w:type="dxa"/>
        <w:jc w:val="center"/>
        <w:tblInd w:w="0" w:type="dxa"/>
        <w:tblLayout w:type="fixed"/>
        <w:tblCellMar>
          <w:top w:w="0" w:type="dxa"/>
          <w:left w:w="108" w:type="dxa"/>
          <w:bottom w:w="0" w:type="dxa"/>
          <w:right w:w="108" w:type="dxa"/>
        </w:tblCellMar>
      </w:tblPr>
      <w:tblGrid>
        <w:gridCol w:w="2716"/>
        <w:gridCol w:w="1512"/>
        <w:gridCol w:w="1079"/>
        <w:gridCol w:w="1890"/>
        <w:gridCol w:w="1639"/>
      </w:tblGrid>
      <w:tr>
        <w:trPr/>
        <w:tc>
          <w:tcPr>
            <w:tcW w:w="2716"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Non-Aligned</w:t>
            </w:r>
          </w:p>
        </w:tc>
        <w:tc>
          <w:tcPr>
            <w:tcW w:w="612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HEVC Simulcast</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89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639"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-30.0%</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-20.7%</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-17.9%</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-20.3%</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-15.1%</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-14.4%</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-24.1%</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-18.3%</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-9.7%</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-27.3%</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-10.7%</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-12.9%</w:t>
            </w:r>
          </w:p>
        </w:tc>
      </w:tr>
      <w:tr>
        <w:trPr/>
        <w:tc>
          <w:tcPr>
            <w:tcW w:w="2716"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 xml:space="preserve">BQTerrace </w:t>
            </w:r>
          </w:p>
        </w:tc>
        <w:tc>
          <w:tcPr>
            <w:tcW w:w="2591" w:type="dxa"/>
            <w:gridSpan w:val="2"/>
            <w:tcBorders>
              <w:top w:val="single" w:sz="4" w:space="0" w:color="000000"/>
              <w:left w:val="single" w:sz="4" w:space="0" w:color="000000"/>
              <w:bottom w:val="single" w:sz="12" w:space="0" w:color="000000"/>
              <w:right w:val="single" w:sz="4" w:space="0" w:color="000000"/>
            </w:tcBorders>
          </w:tcPr>
          <w:p>
            <w:pPr>
              <w:pStyle w:val="TAL"/>
              <w:rPr/>
            </w:pPr>
            <w:r>
              <w:rPr/>
              <w:t>-16.4%</w:t>
            </w:r>
          </w:p>
        </w:tc>
        <w:tc>
          <w:tcPr>
            <w:tcW w:w="1890" w:type="dxa"/>
            <w:tcBorders>
              <w:top w:val="single" w:sz="4" w:space="0" w:color="000000"/>
              <w:left w:val="single" w:sz="4" w:space="0" w:color="000000"/>
              <w:bottom w:val="single" w:sz="12" w:space="0" w:color="000000"/>
              <w:right w:val="single" w:sz="4" w:space="0" w:color="000000"/>
            </w:tcBorders>
          </w:tcPr>
          <w:p>
            <w:pPr>
              <w:pStyle w:val="TAL"/>
              <w:rPr/>
            </w:pPr>
            <w:r>
              <w:rPr/>
              <w:t>8.2%</w:t>
            </w:r>
          </w:p>
        </w:tc>
        <w:tc>
          <w:tcPr>
            <w:tcW w:w="1639" w:type="dxa"/>
            <w:tcBorders>
              <w:top w:val="single" w:sz="4" w:space="0" w:color="000000"/>
              <w:left w:val="single" w:sz="4" w:space="0" w:color="000000"/>
              <w:bottom w:val="single" w:sz="12" w:space="0" w:color="000000"/>
              <w:right w:val="single" w:sz="4" w:space="0" w:color="000000"/>
            </w:tcBorders>
          </w:tcPr>
          <w:p>
            <w:pPr>
              <w:pStyle w:val="TAL"/>
              <w:rPr/>
            </w:pPr>
            <w:r>
              <w:rPr/>
              <w:t>17.0%</w:t>
            </w:r>
          </w:p>
        </w:tc>
      </w:tr>
      <w:tr>
        <w:trPr/>
        <w:tc>
          <w:tcPr>
            <w:tcW w:w="422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 xml:space="preserve">Average </w:t>
            </w:r>
          </w:p>
        </w:tc>
        <w:tc>
          <w:tcPr>
            <w:tcW w:w="1079" w:type="dxa"/>
            <w:tcBorders>
              <w:top w:val="single" w:sz="12" w:space="0" w:color="000000"/>
              <w:bottom w:val="single" w:sz="12" w:space="0" w:color="000000"/>
            </w:tcBorders>
          </w:tcPr>
          <w:p>
            <w:pPr>
              <w:pStyle w:val="TAL"/>
              <w:rPr/>
            </w:pPr>
            <w:r>
              <w:rPr/>
              <w:t>-23.62%</w:t>
            </w:r>
          </w:p>
        </w:tc>
        <w:tc>
          <w:tcPr>
            <w:tcW w:w="1890" w:type="dxa"/>
            <w:tcBorders>
              <w:top w:val="single" w:sz="12" w:space="0" w:color="000000"/>
              <w:bottom w:val="single" w:sz="12" w:space="0" w:color="000000"/>
            </w:tcBorders>
          </w:tcPr>
          <w:p>
            <w:pPr>
              <w:pStyle w:val="TAL"/>
              <w:rPr/>
            </w:pPr>
            <w:r>
              <w:rPr/>
              <w:t>-11.32%</w:t>
            </w:r>
          </w:p>
        </w:tc>
        <w:tc>
          <w:tcPr>
            <w:tcW w:w="1639" w:type="dxa"/>
            <w:tcBorders>
              <w:top w:val="single" w:sz="12" w:space="0" w:color="000000"/>
              <w:bottom w:val="single" w:sz="12" w:space="0" w:color="000000"/>
              <w:right w:val="single" w:sz="12" w:space="0" w:color="000000"/>
            </w:tcBorders>
          </w:tcPr>
          <w:p>
            <w:pPr>
              <w:pStyle w:val="TAL"/>
              <w:rPr/>
            </w:pPr>
            <w:r>
              <w:rPr/>
              <w:t>-7.58%</w:t>
            </w:r>
          </w:p>
        </w:tc>
      </w:tr>
    </w:tbl>
    <w:p>
      <w:pPr>
        <w:pStyle w:val="Normal"/>
        <w:rPr>
          <w:lang w:eastAsia="ko-KR"/>
        </w:rPr>
      </w:pPr>
      <w:r>
        <w:rPr>
          <w:lang w:eastAsia="ko-KR"/>
        </w:rPr>
      </w:r>
    </w:p>
    <w:p>
      <w:pPr>
        <w:pStyle w:val="Heading4"/>
        <w:ind w:left="1418" w:hanging="1418"/>
        <w:rPr/>
      </w:pPr>
      <w:bookmarkStart w:id="70" w:name="__RefHeading___Toc517445358"/>
      <w:bookmarkEnd w:id="70"/>
      <w:r>
        <w:rPr>
          <w:lang w:eastAsia="ko-KR"/>
        </w:rPr>
        <w:t>6.3.3.2</w:t>
        <w:tab/>
        <w:t>Incoming transmission bandwidth</w:t>
      </w:r>
    </w:p>
    <w:p>
      <w:pPr>
        <w:pStyle w:val="Normal"/>
        <w:rPr/>
      </w:pPr>
      <w:r>
        <w:rPr>
          <w:lang w:eastAsia="ko-KR"/>
        </w:rPr>
        <w:t>As described in the use-case, depending on which representation an UE chooses and depending on which solution is used, an UE may receive data from origin server, cache or from both origin server and cache.</w:t>
      </w:r>
    </w:p>
    <w:p>
      <w:pPr>
        <w:pStyle w:val="Normal"/>
        <w:rPr/>
      </w:pPr>
      <w:r>
        <w:rPr>
          <w:lang w:eastAsia="ko-KR"/>
        </w:rPr>
        <w:t>When an UE chooses the low resolution representation (i.e. 360p resolution), the incoming transmission bandwidth is the same for HEVC simulcast and SHVC solution. When an UE chooses the medium resolution representation (i.e. 720p), with HEVC simulcast solution, the UE receives a single layer of 720p video resolution; whereas with SHVC solution, the UE receives two layers (base layer 360p and enhancement layer 720p). Likewise, when an UE chooses the high resolution representation (i.e. 1080p resolution), with HEVC simulcast solution, the UE receives a single layer of 1080p; whereas with SHVC solution, the UE receives three layers of 360p, 720p and 1080p.</w:t>
      </w:r>
    </w:p>
    <w:p>
      <w:pPr>
        <w:pStyle w:val="Normal"/>
        <w:rPr/>
      </w:pPr>
      <w:r>
        <w:rPr>
          <w:lang w:eastAsia="ko-KR"/>
        </w:rPr>
        <w:t xml:space="preserve">The SHVC bandwidth overhead comparing to HEVC simulcast solution bandwidth is tabulated in </w:t>
      </w:r>
      <w:r>
        <w:rPr/>
        <w:t>Table 18</w:t>
      </w:r>
      <w:r>
        <w:rPr>
          <w:lang w:eastAsia="ko-KR"/>
        </w:rPr>
        <w:t xml:space="preserve"> to </w:t>
      </w:r>
      <w:r>
        <w:rPr/>
        <w:t>Table 21</w:t>
      </w:r>
      <w:r>
        <w:rPr>
          <w:lang w:eastAsia="ko-KR"/>
        </w:rPr>
        <w:t>.</w:t>
      </w:r>
    </w:p>
    <w:p>
      <w:pPr>
        <w:pStyle w:val="TH"/>
        <w:rPr/>
      </w:pPr>
      <w:r>
        <w:rPr>
          <w:lang w:eastAsia="ko-KR"/>
        </w:rPr>
        <w:t xml:space="preserve">Table 18: </w:t>
      </w:r>
      <w:r>
        <w:rPr/>
        <w:t>BD-rate overhead for choosing medium resolution representation (720p) when SHVC solution is used.</w:t>
      </w:r>
    </w:p>
    <w:tbl>
      <w:tblPr>
        <w:tblW w:w="8773" w:type="dxa"/>
        <w:jc w:val="center"/>
        <w:tblInd w:w="0" w:type="dxa"/>
        <w:tblLayout w:type="fixed"/>
        <w:tblCellMar>
          <w:top w:w="0" w:type="dxa"/>
          <w:left w:w="108" w:type="dxa"/>
          <w:bottom w:w="0" w:type="dxa"/>
          <w:right w:w="108" w:type="dxa"/>
        </w:tblCellMar>
      </w:tblPr>
      <w:tblGrid>
        <w:gridCol w:w="2803"/>
        <w:gridCol w:w="236"/>
        <w:gridCol w:w="2134"/>
        <w:gridCol w:w="1980"/>
        <w:gridCol w:w="162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Aligned</w:t>
            </w:r>
          </w:p>
        </w:tc>
        <w:tc>
          <w:tcPr>
            <w:tcW w:w="5970" w:type="dxa"/>
            <w:gridSpan w:val="4"/>
            <w:tcBorders>
              <w:top w:val="single" w:sz="4" w:space="0" w:color="000000"/>
              <w:left w:val="single" w:sz="4" w:space="0" w:color="000000"/>
              <w:bottom w:val="single" w:sz="4" w:space="0" w:color="000000"/>
              <w:right w:val="single" w:sz="4" w:space="0" w:color="000000"/>
            </w:tcBorders>
          </w:tcPr>
          <w:p>
            <w:pPr>
              <w:pStyle w:val="TAH"/>
              <w:rPr/>
            </w:pPr>
            <w:r>
              <w:rPr>
                <w:lang w:eastAsia="ko-KR"/>
              </w:rPr>
              <w:t>SHVC vs. HEVC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98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62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17.3%</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25.0%</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27.5%</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23.2%</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22.1%</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24.2%</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24.7%</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30.1%</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32.2%</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19.7%</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33.4%</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29.9%</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 xml:space="preserve">BQTerrace </w:t>
            </w:r>
          </w:p>
        </w:tc>
        <w:tc>
          <w:tcPr>
            <w:tcW w:w="2370" w:type="dxa"/>
            <w:gridSpan w:val="2"/>
            <w:tcBorders>
              <w:top w:val="single" w:sz="4" w:space="0" w:color="000000"/>
              <w:left w:val="single" w:sz="4" w:space="0" w:color="000000"/>
              <w:bottom w:val="single" w:sz="12" w:space="0" w:color="000000"/>
              <w:right w:val="single" w:sz="4" w:space="0" w:color="000000"/>
            </w:tcBorders>
          </w:tcPr>
          <w:p>
            <w:pPr>
              <w:pStyle w:val="TAL"/>
              <w:rPr/>
            </w:pPr>
            <w:r>
              <w:rPr/>
              <w:t>25.6%</w:t>
            </w:r>
          </w:p>
        </w:tc>
        <w:tc>
          <w:tcPr>
            <w:tcW w:w="1980" w:type="dxa"/>
            <w:tcBorders>
              <w:top w:val="single" w:sz="4" w:space="0" w:color="000000"/>
              <w:left w:val="single" w:sz="4" w:space="0" w:color="000000"/>
              <w:bottom w:val="single" w:sz="12" w:space="0" w:color="000000"/>
              <w:right w:val="single" w:sz="4" w:space="0" w:color="000000"/>
            </w:tcBorders>
          </w:tcPr>
          <w:p>
            <w:pPr>
              <w:pStyle w:val="TAL"/>
              <w:rPr/>
            </w:pPr>
            <w:r>
              <w:rPr/>
              <w:t>25.7%</w:t>
            </w:r>
          </w:p>
        </w:tc>
        <w:tc>
          <w:tcPr>
            <w:tcW w:w="1620" w:type="dxa"/>
            <w:tcBorders>
              <w:top w:val="single" w:sz="4" w:space="0" w:color="000000"/>
              <w:left w:val="single" w:sz="4" w:space="0" w:color="000000"/>
              <w:bottom w:val="single" w:sz="12" w:space="0" w:color="000000"/>
              <w:right w:val="single" w:sz="4" w:space="0" w:color="000000"/>
            </w:tcBorders>
          </w:tcPr>
          <w:p>
            <w:pPr>
              <w:pStyle w:val="TAL"/>
              <w:rPr/>
            </w:pPr>
            <w:r>
              <w:rPr/>
              <w:t>29.0%</w:t>
            </w:r>
          </w:p>
        </w:tc>
      </w:tr>
      <w:tr>
        <w:trPr/>
        <w:tc>
          <w:tcPr>
            <w:tcW w:w="3039"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2134" w:type="dxa"/>
            <w:tcBorders>
              <w:top w:val="single" w:sz="12" w:space="0" w:color="000000"/>
              <w:bottom w:val="single" w:sz="12" w:space="0" w:color="000000"/>
            </w:tcBorders>
          </w:tcPr>
          <w:p>
            <w:pPr>
              <w:pStyle w:val="TAL"/>
              <w:rPr/>
            </w:pPr>
            <w:r>
              <w:rPr/>
              <w:t>22.10%</w:t>
            </w:r>
          </w:p>
        </w:tc>
        <w:tc>
          <w:tcPr>
            <w:tcW w:w="1980" w:type="dxa"/>
            <w:tcBorders>
              <w:top w:val="single" w:sz="12" w:space="0" w:color="000000"/>
              <w:bottom w:val="single" w:sz="12" w:space="0" w:color="000000"/>
            </w:tcBorders>
          </w:tcPr>
          <w:p>
            <w:pPr>
              <w:pStyle w:val="TAL"/>
              <w:rPr/>
            </w:pPr>
            <w:r>
              <w:rPr/>
              <w:t>27.26%</w:t>
            </w:r>
          </w:p>
        </w:tc>
        <w:tc>
          <w:tcPr>
            <w:tcW w:w="1620" w:type="dxa"/>
            <w:tcBorders>
              <w:top w:val="single" w:sz="12" w:space="0" w:color="000000"/>
              <w:bottom w:val="single" w:sz="12" w:space="0" w:color="000000"/>
              <w:right w:val="single" w:sz="12" w:space="0" w:color="000000"/>
            </w:tcBorders>
          </w:tcPr>
          <w:p>
            <w:pPr>
              <w:pStyle w:val="TAL"/>
              <w:rPr/>
            </w:pPr>
            <w:r>
              <w:rPr/>
              <w:t>28.56%</w:t>
            </w:r>
          </w:p>
        </w:tc>
      </w:tr>
    </w:tbl>
    <w:p>
      <w:pPr>
        <w:pStyle w:val="Normal"/>
        <w:rPr>
          <w:lang w:eastAsia="ko-KR"/>
        </w:rPr>
      </w:pPr>
      <w:r>
        <w:rPr>
          <w:lang w:eastAsia="ko-KR"/>
        </w:rPr>
      </w:r>
    </w:p>
    <w:p>
      <w:pPr>
        <w:pStyle w:val="TH"/>
        <w:rPr/>
      </w:pPr>
      <w:r>
        <w:rPr>
          <w:lang w:eastAsia="ko-KR"/>
        </w:rPr>
        <w:t>Table 19: BD-rate overhead for choosing medium resolution re</w:t>
      </w:r>
      <w:r>
        <w:rPr/>
        <w:t>presentation (720p) when SHVC solution is used</w:t>
      </w:r>
    </w:p>
    <w:tbl>
      <w:tblPr>
        <w:tblW w:w="8836" w:type="dxa"/>
        <w:jc w:val="center"/>
        <w:tblInd w:w="0" w:type="dxa"/>
        <w:tblLayout w:type="fixed"/>
        <w:tblCellMar>
          <w:top w:w="0" w:type="dxa"/>
          <w:left w:w="108" w:type="dxa"/>
          <w:bottom w:w="0" w:type="dxa"/>
          <w:right w:w="108" w:type="dxa"/>
        </w:tblCellMar>
      </w:tblPr>
      <w:tblGrid>
        <w:gridCol w:w="2716"/>
        <w:gridCol w:w="1512"/>
        <w:gridCol w:w="1079"/>
        <w:gridCol w:w="1890"/>
        <w:gridCol w:w="1639"/>
      </w:tblGrid>
      <w:tr>
        <w:trPr/>
        <w:tc>
          <w:tcPr>
            <w:tcW w:w="2716"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Non-Aligned</w:t>
            </w:r>
          </w:p>
        </w:tc>
        <w:tc>
          <w:tcPr>
            <w:tcW w:w="612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HEVC Simulcast</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89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639"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18.0%</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26.7%</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29.4%</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21.1%</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20.6%</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22.6%</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22.3%</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27.6%</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29.8%</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19.4%</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33.9%</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30.0%</w:t>
            </w:r>
          </w:p>
        </w:tc>
      </w:tr>
      <w:tr>
        <w:trPr/>
        <w:tc>
          <w:tcPr>
            <w:tcW w:w="2716"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 xml:space="preserve">BQTerrace </w:t>
            </w:r>
          </w:p>
        </w:tc>
        <w:tc>
          <w:tcPr>
            <w:tcW w:w="2591" w:type="dxa"/>
            <w:gridSpan w:val="2"/>
            <w:tcBorders>
              <w:top w:val="single" w:sz="4" w:space="0" w:color="000000"/>
              <w:left w:val="single" w:sz="4" w:space="0" w:color="000000"/>
              <w:bottom w:val="single" w:sz="12" w:space="0" w:color="000000"/>
              <w:right w:val="single" w:sz="4" w:space="0" w:color="000000"/>
            </w:tcBorders>
          </w:tcPr>
          <w:p>
            <w:pPr>
              <w:pStyle w:val="TAL"/>
              <w:rPr/>
            </w:pPr>
            <w:r>
              <w:rPr/>
              <w:t>21.2%</w:t>
            </w:r>
          </w:p>
        </w:tc>
        <w:tc>
          <w:tcPr>
            <w:tcW w:w="1890" w:type="dxa"/>
            <w:tcBorders>
              <w:top w:val="single" w:sz="4" w:space="0" w:color="000000"/>
              <w:left w:val="single" w:sz="4" w:space="0" w:color="000000"/>
              <w:bottom w:val="single" w:sz="12" w:space="0" w:color="000000"/>
              <w:right w:val="single" w:sz="4" w:space="0" w:color="000000"/>
            </w:tcBorders>
          </w:tcPr>
          <w:p>
            <w:pPr>
              <w:pStyle w:val="TAL"/>
              <w:rPr/>
            </w:pPr>
            <w:r>
              <w:rPr/>
              <w:t>22.4%</w:t>
            </w:r>
          </w:p>
        </w:tc>
        <w:tc>
          <w:tcPr>
            <w:tcW w:w="1639" w:type="dxa"/>
            <w:tcBorders>
              <w:top w:val="single" w:sz="4" w:space="0" w:color="000000"/>
              <w:left w:val="single" w:sz="4" w:space="0" w:color="000000"/>
              <w:bottom w:val="single" w:sz="12" w:space="0" w:color="000000"/>
              <w:right w:val="single" w:sz="4" w:space="0" w:color="000000"/>
            </w:tcBorders>
          </w:tcPr>
          <w:p>
            <w:pPr>
              <w:pStyle w:val="TAL"/>
              <w:rPr/>
            </w:pPr>
            <w:r>
              <w:rPr/>
              <w:t>25.1%</w:t>
            </w:r>
          </w:p>
        </w:tc>
      </w:tr>
      <w:tr>
        <w:trPr/>
        <w:tc>
          <w:tcPr>
            <w:tcW w:w="422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 xml:space="preserve">Average </w:t>
            </w:r>
          </w:p>
        </w:tc>
        <w:tc>
          <w:tcPr>
            <w:tcW w:w="1079" w:type="dxa"/>
            <w:tcBorders>
              <w:top w:val="single" w:sz="12" w:space="0" w:color="000000"/>
              <w:bottom w:val="single" w:sz="12" w:space="0" w:color="000000"/>
            </w:tcBorders>
          </w:tcPr>
          <w:p>
            <w:pPr>
              <w:pStyle w:val="TAL"/>
              <w:rPr/>
            </w:pPr>
            <w:r>
              <w:rPr/>
              <w:t>20.40%</w:t>
            </w:r>
          </w:p>
        </w:tc>
        <w:tc>
          <w:tcPr>
            <w:tcW w:w="1890" w:type="dxa"/>
            <w:tcBorders>
              <w:top w:val="single" w:sz="12" w:space="0" w:color="000000"/>
              <w:bottom w:val="single" w:sz="12" w:space="0" w:color="000000"/>
            </w:tcBorders>
          </w:tcPr>
          <w:p>
            <w:pPr>
              <w:pStyle w:val="TAL"/>
              <w:rPr/>
            </w:pPr>
            <w:r>
              <w:rPr/>
              <w:t>26.24%</w:t>
            </w:r>
          </w:p>
        </w:tc>
        <w:tc>
          <w:tcPr>
            <w:tcW w:w="1639" w:type="dxa"/>
            <w:tcBorders>
              <w:top w:val="single" w:sz="12" w:space="0" w:color="000000"/>
              <w:bottom w:val="single" w:sz="12" w:space="0" w:color="000000"/>
              <w:right w:val="single" w:sz="12" w:space="0" w:color="000000"/>
            </w:tcBorders>
          </w:tcPr>
          <w:p>
            <w:pPr>
              <w:pStyle w:val="TAL"/>
              <w:rPr/>
            </w:pPr>
            <w:r>
              <w:rPr/>
              <w:t>27.38%</w:t>
            </w:r>
          </w:p>
        </w:tc>
      </w:tr>
    </w:tbl>
    <w:p>
      <w:pPr>
        <w:pStyle w:val="Normal"/>
        <w:rPr>
          <w:lang w:eastAsia="ko-KR"/>
        </w:rPr>
      </w:pPr>
      <w:r>
        <w:rPr>
          <w:lang w:eastAsia="ko-KR"/>
        </w:rPr>
      </w:r>
    </w:p>
    <w:p>
      <w:pPr>
        <w:pStyle w:val="TH"/>
        <w:rPr/>
      </w:pPr>
      <w:r>
        <w:rPr>
          <w:lang w:eastAsia="ko-KR"/>
        </w:rPr>
        <w:t xml:space="preserve">Table 20: </w:t>
      </w:r>
      <w:r>
        <w:rPr/>
        <w:t>BD-rate overhead for choosing high resolution representation (1080p) when SHVC solution is used.</w:t>
      </w:r>
    </w:p>
    <w:tbl>
      <w:tblPr>
        <w:tblW w:w="8773" w:type="dxa"/>
        <w:jc w:val="center"/>
        <w:tblInd w:w="0" w:type="dxa"/>
        <w:tblLayout w:type="fixed"/>
        <w:tblCellMar>
          <w:top w:w="0" w:type="dxa"/>
          <w:left w:w="108" w:type="dxa"/>
          <w:bottom w:w="0" w:type="dxa"/>
          <w:right w:w="108" w:type="dxa"/>
        </w:tblCellMar>
      </w:tblPr>
      <w:tblGrid>
        <w:gridCol w:w="2803"/>
        <w:gridCol w:w="236"/>
        <w:gridCol w:w="2134"/>
        <w:gridCol w:w="1980"/>
        <w:gridCol w:w="162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Aligned</w:t>
            </w:r>
          </w:p>
        </w:tc>
        <w:tc>
          <w:tcPr>
            <w:tcW w:w="597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HEVC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98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62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28.6%</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44.6%</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49.6%</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34.7%</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42.6%</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43.6%</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30.9%</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39.4%</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56.1%</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2370" w:type="dxa"/>
            <w:gridSpan w:val="2"/>
            <w:tcBorders>
              <w:top w:val="single" w:sz="4" w:space="0" w:color="000000"/>
              <w:left w:val="single" w:sz="4" w:space="0" w:color="000000"/>
              <w:bottom w:val="single" w:sz="4" w:space="0" w:color="000000"/>
              <w:right w:val="single" w:sz="4" w:space="0" w:color="000000"/>
            </w:tcBorders>
          </w:tcPr>
          <w:p>
            <w:pPr>
              <w:pStyle w:val="TAL"/>
              <w:rPr/>
            </w:pPr>
            <w:r>
              <w:rPr/>
              <w:t>25.7%</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54.3%</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t>50.1%</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 xml:space="preserve">BQTerrace </w:t>
            </w:r>
          </w:p>
        </w:tc>
        <w:tc>
          <w:tcPr>
            <w:tcW w:w="2370" w:type="dxa"/>
            <w:gridSpan w:val="2"/>
            <w:tcBorders>
              <w:top w:val="single" w:sz="4" w:space="0" w:color="000000"/>
              <w:left w:val="single" w:sz="4" w:space="0" w:color="000000"/>
              <w:bottom w:val="single" w:sz="12" w:space="0" w:color="000000"/>
              <w:right w:val="single" w:sz="4" w:space="0" w:color="000000"/>
            </w:tcBorders>
          </w:tcPr>
          <w:p>
            <w:pPr>
              <w:pStyle w:val="TAL"/>
              <w:rPr/>
            </w:pPr>
            <w:r>
              <w:rPr/>
              <w:t>14.5%</w:t>
            </w:r>
          </w:p>
        </w:tc>
        <w:tc>
          <w:tcPr>
            <w:tcW w:w="1980" w:type="dxa"/>
            <w:tcBorders>
              <w:top w:val="single" w:sz="4" w:space="0" w:color="000000"/>
              <w:left w:val="single" w:sz="4" w:space="0" w:color="000000"/>
              <w:bottom w:val="single" w:sz="12" w:space="0" w:color="000000"/>
              <w:right w:val="single" w:sz="4" w:space="0" w:color="000000"/>
            </w:tcBorders>
          </w:tcPr>
          <w:p>
            <w:pPr>
              <w:pStyle w:val="TAL"/>
              <w:rPr/>
            </w:pPr>
            <w:r>
              <w:rPr/>
              <w:t>52.1%</w:t>
            </w:r>
          </w:p>
        </w:tc>
        <w:tc>
          <w:tcPr>
            <w:tcW w:w="1620" w:type="dxa"/>
            <w:tcBorders>
              <w:top w:val="single" w:sz="4" w:space="0" w:color="000000"/>
              <w:left w:val="single" w:sz="4" w:space="0" w:color="000000"/>
              <w:bottom w:val="single" w:sz="12" w:space="0" w:color="000000"/>
              <w:right w:val="single" w:sz="4" w:space="0" w:color="000000"/>
            </w:tcBorders>
          </w:tcPr>
          <w:p>
            <w:pPr>
              <w:pStyle w:val="TAL"/>
              <w:rPr/>
            </w:pPr>
            <w:r>
              <w:rPr/>
              <w:t>64.9%</w:t>
            </w:r>
          </w:p>
        </w:tc>
      </w:tr>
      <w:tr>
        <w:trPr/>
        <w:tc>
          <w:tcPr>
            <w:tcW w:w="3039"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2134" w:type="dxa"/>
            <w:tcBorders>
              <w:top w:val="single" w:sz="12" w:space="0" w:color="000000"/>
              <w:bottom w:val="single" w:sz="12" w:space="0" w:color="000000"/>
            </w:tcBorders>
          </w:tcPr>
          <w:p>
            <w:pPr>
              <w:pStyle w:val="TAL"/>
              <w:rPr/>
            </w:pPr>
            <w:r>
              <w:rPr/>
              <w:t>26.88%</w:t>
            </w:r>
          </w:p>
        </w:tc>
        <w:tc>
          <w:tcPr>
            <w:tcW w:w="1980" w:type="dxa"/>
            <w:tcBorders>
              <w:top w:val="single" w:sz="12" w:space="0" w:color="000000"/>
              <w:bottom w:val="single" w:sz="12" w:space="0" w:color="000000"/>
            </w:tcBorders>
          </w:tcPr>
          <w:p>
            <w:pPr>
              <w:pStyle w:val="TAL"/>
              <w:rPr/>
            </w:pPr>
            <w:r>
              <w:rPr/>
              <w:t>46.60%</w:t>
            </w:r>
          </w:p>
        </w:tc>
        <w:tc>
          <w:tcPr>
            <w:tcW w:w="1620" w:type="dxa"/>
            <w:tcBorders>
              <w:top w:val="single" w:sz="12" w:space="0" w:color="000000"/>
              <w:bottom w:val="single" w:sz="12" w:space="0" w:color="000000"/>
              <w:right w:val="single" w:sz="12" w:space="0" w:color="000000"/>
            </w:tcBorders>
          </w:tcPr>
          <w:p>
            <w:pPr>
              <w:pStyle w:val="TAL"/>
              <w:rPr/>
            </w:pPr>
            <w:r>
              <w:rPr/>
              <w:t>52.86%</w:t>
            </w:r>
          </w:p>
        </w:tc>
      </w:tr>
    </w:tbl>
    <w:p>
      <w:pPr>
        <w:pStyle w:val="Normal"/>
        <w:rPr>
          <w:lang w:eastAsia="ko-KR"/>
        </w:rPr>
      </w:pPr>
      <w:r>
        <w:rPr>
          <w:lang w:eastAsia="ko-KR"/>
        </w:rPr>
      </w:r>
    </w:p>
    <w:p>
      <w:pPr>
        <w:pStyle w:val="TH"/>
        <w:rPr/>
      </w:pPr>
      <w:r>
        <w:rPr>
          <w:lang w:eastAsia="ko-KR"/>
        </w:rPr>
        <w:t xml:space="preserve">Table 21: </w:t>
      </w:r>
      <w:r>
        <w:rPr/>
        <w:t>BD-rate overhead for choosing high resolution representation (1080p) when SHVC solution is used</w:t>
      </w:r>
    </w:p>
    <w:tbl>
      <w:tblPr>
        <w:tblW w:w="8836" w:type="dxa"/>
        <w:jc w:val="center"/>
        <w:tblInd w:w="0" w:type="dxa"/>
        <w:tblLayout w:type="fixed"/>
        <w:tblCellMar>
          <w:top w:w="0" w:type="dxa"/>
          <w:left w:w="108" w:type="dxa"/>
          <w:bottom w:w="0" w:type="dxa"/>
          <w:right w:w="108" w:type="dxa"/>
        </w:tblCellMar>
      </w:tblPr>
      <w:tblGrid>
        <w:gridCol w:w="2716"/>
        <w:gridCol w:w="1512"/>
        <w:gridCol w:w="1079"/>
        <w:gridCol w:w="1890"/>
        <w:gridCol w:w="1639"/>
      </w:tblGrid>
      <w:tr>
        <w:trPr/>
        <w:tc>
          <w:tcPr>
            <w:tcW w:w="2716"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Non-Aligned</w:t>
            </w:r>
          </w:p>
        </w:tc>
        <w:tc>
          <w:tcPr>
            <w:tcW w:w="612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HEVC Simulcast</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89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639"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Kimono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28.2%</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45.2%</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50.5%</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ParkScene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30.6%</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39.2%</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40.2%</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Cactus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27.7%</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36.4%</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52.9%</w:t>
            </w:r>
          </w:p>
        </w:tc>
      </w:tr>
      <w:tr>
        <w:trPr/>
        <w:tc>
          <w:tcPr>
            <w:tcW w:w="271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BasketballDrive </w:t>
            </w:r>
          </w:p>
        </w:tc>
        <w:tc>
          <w:tcPr>
            <w:tcW w:w="2591" w:type="dxa"/>
            <w:gridSpan w:val="2"/>
            <w:tcBorders>
              <w:top w:val="single" w:sz="4" w:space="0" w:color="000000"/>
              <w:left w:val="single" w:sz="4" w:space="0" w:color="000000"/>
              <w:bottom w:val="single" w:sz="4" w:space="0" w:color="000000"/>
              <w:right w:val="single" w:sz="4" w:space="0" w:color="000000"/>
            </w:tcBorders>
          </w:tcPr>
          <w:p>
            <w:pPr>
              <w:pStyle w:val="TAL"/>
              <w:rPr/>
            </w:pPr>
            <w:r>
              <w:rPr/>
              <w:t>25.2%</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t>54.6%</w:t>
            </w:r>
          </w:p>
        </w:tc>
        <w:tc>
          <w:tcPr>
            <w:tcW w:w="1639" w:type="dxa"/>
            <w:tcBorders>
              <w:top w:val="single" w:sz="4" w:space="0" w:color="000000"/>
              <w:left w:val="single" w:sz="4" w:space="0" w:color="000000"/>
              <w:bottom w:val="single" w:sz="4" w:space="0" w:color="000000"/>
              <w:right w:val="single" w:sz="4" w:space="0" w:color="000000"/>
            </w:tcBorders>
          </w:tcPr>
          <w:p>
            <w:pPr>
              <w:pStyle w:val="TAL"/>
              <w:rPr/>
            </w:pPr>
            <w:r>
              <w:rPr/>
              <w:t>50.6%</w:t>
            </w:r>
          </w:p>
        </w:tc>
      </w:tr>
      <w:tr>
        <w:trPr/>
        <w:tc>
          <w:tcPr>
            <w:tcW w:w="2716"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 xml:space="preserve">BQTerrace </w:t>
            </w:r>
          </w:p>
        </w:tc>
        <w:tc>
          <w:tcPr>
            <w:tcW w:w="2591" w:type="dxa"/>
            <w:gridSpan w:val="2"/>
            <w:tcBorders>
              <w:top w:val="single" w:sz="4" w:space="0" w:color="000000"/>
              <w:left w:val="single" w:sz="4" w:space="0" w:color="000000"/>
              <w:bottom w:val="single" w:sz="12" w:space="0" w:color="000000"/>
              <w:right w:val="single" w:sz="4" w:space="0" w:color="000000"/>
            </w:tcBorders>
          </w:tcPr>
          <w:p>
            <w:pPr>
              <w:pStyle w:val="TAL"/>
              <w:rPr/>
            </w:pPr>
            <w:r>
              <w:rPr/>
              <w:t>12.8%</w:t>
            </w:r>
          </w:p>
        </w:tc>
        <w:tc>
          <w:tcPr>
            <w:tcW w:w="1890" w:type="dxa"/>
            <w:tcBorders>
              <w:top w:val="single" w:sz="4" w:space="0" w:color="000000"/>
              <w:left w:val="single" w:sz="4" w:space="0" w:color="000000"/>
              <w:bottom w:val="single" w:sz="12" w:space="0" w:color="000000"/>
              <w:right w:val="single" w:sz="4" w:space="0" w:color="000000"/>
            </w:tcBorders>
          </w:tcPr>
          <w:p>
            <w:pPr>
              <w:pStyle w:val="TAL"/>
              <w:rPr/>
            </w:pPr>
            <w:r>
              <w:rPr/>
              <w:t>49.9%</w:t>
            </w:r>
          </w:p>
        </w:tc>
        <w:tc>
          <w:tcPr>
            <w:tcW w:w="1639" w:type="dxa"/>
            <w:tcBorders>
              <w:top w:val="single" w:sz="4" w:space="0" w:color="000000"/>
              <w:left w:val="single" w:sz="4" w:space="0" w:color="000000"/>
              <w:bottom w:val="single" w:sz="12" w:space="0" w:color="000000"/>
              <w:right w:val="single" w:sz="4" w:space="0" w:color="000000"/>
            </w:tcBorders>
          </w:tcPr>
          <w:p>
            <w:pPr>
              <w:pStyle w:val="TAL"/>
              <w:rPr/>
            </w:pPr>
            <w:r>
              <w:rPr/>
              <w:t>62.7%</w:t>
            </w:r>
          </w:p>
        </w:tc>
      </w:tr>
      <w:tr>
        <w:trPr/>
        <w:tc>
          <w:tcPr>
            <w:tcW w:w="422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 xml:space="preserve">Average </w:t>
            </w:r>
          </w:p>
        </w:tc>
        <w:tc>
          <w:tcPr>
            <w:tcW w:w="1079" w:type="dxa"/>
            <w:tcBorders>
              <w:top w:val="single" w:sz="12" w:space="0" w:color="000000"/>
              <w:bottom w:val="single" w:sz="12" w:space="0" w:color="000000"/>
            </w:tcBorders>
          </w:tcPr>
          <w:p>
            <w:pPr>
              <w:pStyle w:val="TAL"/>
              <w:rPr/>
            </w:pPr>
            <w:r>
              <w:rPr/>
              <w:t>24.90%</w:t>
            </w:r>
          </w:p>
        </w:tc>
        <w:tc>
          <w:tcPr>
            <w:tcW w:w="1890" w:type="dxa"/>
            <w:tcBorders>
              <w:top w:val="single" w:sz="12" w:space="0" w:color="000000"/>
              <w:bottom w:val="single" w:sz="12" w:space="0" w:color="000000"/>
            </w:tcBorders>
          </w:tcPr>
          <w:p>
            <w:pPr>
              <w:pStyle w:val="TAL"/>
              <w:rPr/>
            </w:pPr>
            <w:r>
              <w:rPr/>
              <w:t>45.06%</w:t>
            </w:r>
          </w:p>
        </w:tc>
        <w:tc>
          <w:tcPr>
            <w:tcW w:w="1639" w:type="dxa"/>
            <w:tcBorders>
              <w:top w:val="single" w:sz="12" w:space="0" w:color="000000"/>
              <w:bottom w:val="single" w:sz="12" w:space="0" w:color="000000"/>
              <w:right w:val="single" w:sz="12" w:space="0" w:color="000000"/>
            </w:tcBorders>
          </w:tcPr>
          <w:p>
            <w:pPr>
              <w:pStyle w:val="TAL"/>
              <w:rPr/>
            </w:pPr>
            <w:r>
              <w:rPr/>
              <w:t>51.38%</w:t>
            </w:r>
          </w:p>
        </w:tc>
      </w:tr>
    </w:tbl>
    <w:p>
      <w:pPr>
        <w:pStyle w:val="Normal"/>
        <w:rPr>
          <w:lang w:eastAsia="ko-KR"/>
        </w:rPr>
      </w:pPr>
      <w:r>
        <w:rPr>
          <w:lang w:eastAsia="ko-KR"/>
        </w:rPr>
      </w:r>
    </w:p>
    <w:p>
      <w:pPr>
        <w:pStyle w:val="Heading4"/>
        <w:ind w:left="1418" w:hanging="1418"/>
        <w:jc w:val="both"/>
        <w:rPr/>
      </w:pPr>
      <w:bookmarkStart w:id="71" w:name="__RefHeading___Toc517445359"/>
      <w:bookmarkEnd w:id="71"/>
      <w:r>
        <w:rPr>
          <w:lang w:eastAsia="ko-KR"/>
        </w:rPr>
        <w:t>6.3.3.3</w:t>
        <w:tab/>
        <w:t>Decoding complexity</w:t>
      </w:r>
    </w:p>
    <w:p>
      <w:pPr>
        <w:pStyle w:val="Normal"/>
        <w:rPr/>
      </w:pPr>
      <w:r>
        <w:rPr>
          <w:lang w:eastAsia="ko-KR"/>
        </w:rPr>
        <w:t>Decoding complexity is mainly proportional to the resolution(s) of the video represented in the bitstream. For HEVC simulcast solution, only one single layer stream needs to be decoded, i.e. either stream of 360p@30fps, 720p@30fps, 1080p@30fps or stream of 1080p@60fps. For SHVC solution, the decoding complexity depends on the resolution of each layer needs to be decoded in order to output the highest layer video resolution.</w:t>
      </w:r>
    </w:p>
    <w:p>
      <w:pPr>
        <w:pStyle w:val="Heading4"/>
        <w:ind w:left="1418" w:hanging="1418"/>
        <w:jc w:val="both"/>
        <w:rPr/>
      </w:pPr>
      <w:bookmarkStart w:id="72" w:name="__RefHeading___Toc517445360"/>
      <w:bookmarkEnd w:id="72"/>
      <w:r>
        <w:rPr>
          <w:lang w:eastAsia="ko-KR"/>
        </w:rPr>
        <w:t>6.3.3.4</w:t>
        <w:tab/>
        <w:t>Encoding complexity</w:t>
      </w:r>
    </w:p>
    <w:p>
      <w:pPr>
        <w:pStyle w:val="Normal"/>
        <w:rPr>
          <w:lang w:eastAsia="ko-KR"/>
        </w:rPr>
      </w:pPr>
      <w:r>
        <w:rPr>
          <w:lang w:eastAsia="ko-KR"/>
        </w:rPr>
        <w:t>For HEVC simulcast solution, the content provider has to encode streams for each representations (i.e. 360p@30fps, 720p@30fps, 1080p@30fps and 1080@60fps). For SHVC solution, the content provider has to encode streams with multiple layers in which each layer is associated with one representations. Compared to simulcast, the complexity of SHVC encoding at UE A is typically less than that of simulcast encoding. This is because SHVC places zero motion constraint on the inter layer reference picture. When the inter layer reference picture provides sufficiently good prediction signal (without the need for motion estimation), early termination is typically applied at the encoder, and the need for motion estimation of the temporal reference pictures is avoided, leading to lower encoding complexity.</w:t>
      </w:r>
    </w:p>
    <w:p>
      <w:pPr>
        <w:pStyle w:val="Heading1"/>
        <w:ind w:left="1134" w:hanging="1134"/>
        <w:rPr/>
      </w:pPr>
      <w:bookmarkStart w:id="73" w:name="__RefHeading___Toc517445361"/>
      <w:bookmarkEnd w:id="73"/>
      <w:r>
        <w:rPr/>
        <w:t>7</w:t>
        <w:tab/>
        <w:t>Test cases, conditions, and results</w:t>
      </w:r>
    </w:p>
    <w:p>
      <w:pPr>
        <w:pStyle w:val="Heading2"/>
        <w:rPr/>
      </w:pPr>
      <w:bookmarkStart w:id="74" w:name="__RefHeading___Toc517445362"/>
      <w:bookmarkEnd w:id="74"/>
      <w:r>
        <w:rPr/>
        <w:t>7.1</w:t>
        <w:tab/>
        <w:t>Test cases and conditions</w:t>
      </w:r>
    </w:p>
    <w:p>
      <w:pPr>
        <w:pStyle w:val="Heading3"/>
        <w:rPr/>
      </w:pPr>
      <w:bookmarkStart w:id="75" w:name="__RefHeading___Toc517445363"/>
      <w:bookmarkEnd w:id="75"/>
      <w:r>
        <w:rPr/>
        <w:t>7.1.1</w:t>
        <w:tab/>
        <w:t>General conditions</w:t>
      </w:r>
    </w:p>
    <w:p>
      <w:pPr>
        <w:pStyle w:val="Normal"/>
        <w:rPr/>
      </w:pPr>
      <w:r>
        <w:rPr/>
        <w:t>The following test conditions apply for multi-stream multiparty video conferencing (MMVC), MBMS and 3GP-DASH tests:</w:t>
      </w:r>
    </w:p>
    <w:p>
      <w:pPr>
        <w:pStyle w:val="Normal"/>
        <w:rPr>
          <w:lang w:val="fr-FR"/>
        </w:rPr>
      </w:pPr>
      <w:r>
        <w:rPr>
          <w:lang w:val="fr-FR"/>
        </w:rPr>
        <w:t>Codecs (profiles): HEVC Main profile vs Scalable Main profile</w:t>
      </w:r>
    </w:p>
    <w:p>
      <w:pPr>
        <w:pStyle w:val="Normal"/>
        <w:rPr/>
      </w:pPr>
      <w:r>
        <w:rPr/>
        <w:t>Test sequences, resolutions and frame rates for MMVC and MBMS:</w:t>
      </w:r>
    </w:p>
    <w:p>
      <w:pPr>
        <w:pStyle w:val="Normal"/>
        <w:rPr/>
      </w:pPr>
      <w:r>
        <w:rPr/>
        <w:t>Two sets of the test sequences are used, as follows:</w:t>
      </w:r>
    </w:p>
    <w:p>
      <w:pPr>
        <w:pStyle w:val="Normal"/>
        <w:rPr/>
      </w:pPr>
      <w:r>
        <w:rPr/>
        <w:t>720p@30fps / 1080p@30fps, corresponding to the Class E and B sequences as listed in Table 2 of TR 26.906 (the relevant parts of the table is copied below for convenience). For the sequences Kimono and ParkScene, for which the original sequences were only of 24 fps, the frame rate to be used is 24 fps for both resolutions. For the sequences Cactus and BasketballDrive, for which the original sequences were of 50 fps, the frame rate to be used is 25 fps. For the sequences BQTerrace, FourPeople, Johnny and KristenAndSara, for which the original sequences were of 60 fps, the frame rate to be used is 30 fps. For the sequences which the original sequence are of 50fps or 60 fps, the frames with odd indices (assuming the initial index being 0) are dropped to achieve the half frame rate.</w:t>
      </w:r>
    </w:p>
    <w:p>
      <w:pPr>
        <w:pStyle w:val="TH"/>
        <w:rPr/>
      </w:pPr>
      <w:r>
        <w:rPr/>
        <w:t>Table 22: Class B and E test sequences for MMVC and MBMS tests</w:t>
      </w:r>
    </w:p>
    <w:tbl>
      <w:tblPr>
        <w:tblW w:w="8273" w:type="dxa"/>
        <w:jc w:val="center"/>
        <w:tblInd w:w="0" w:type="dxa"/>
        <w:tblLayout w:type="fixed"/>
        <w:tblCellMar>
          <w:top w:w="0" w:type="dxa"/>
          <w:left w:w="28" w:type="dxa"/>
          <w:bottom w:w="0" w:type="dxa"/>
          <w:right w:w="108" w:type="dxa"/>
        </w:tblCellMar>
      </w:tblPr>
      <w:tblGrid>
        <w:gridCol w:w="1365"/>
        <w:gridCol w:w="2485"/>
        <w:gridCol w:w="2337"/>
        <w:gridCol w:w="2086"/>
      </w:tblGrid>
      <w:tr>
        <w:trPr/>
        <w:tc>
          <w:tcPr>
            <w:tcW w:w="1365"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2485" w:type="dxa"/>
            <w:tcBorders>
              <w:top w:val="single" w:sz="4" w:space="0" w:color="000000"/>
              <w:left w:val="single" w:sz="4" w:space="0" w:color="000000"/>
              <w:bottom w:val="single" w:sz="4" w:space="0" w:color="000000"/>
              <w:right w:val="single" w:sz="4" w:space="0" w:color="000000"/>
            </w:tcBorders>
          </w:tcPr>
          <w:p>
            <w:pPr>
              <w:pStyle w:val="TAH"/>
              <w:rPr/>
            </w:pPr>
            <w:r>
              <w:rPr/>
              <w:t>Sequence</w:t>
            </w:r>
          </w:p>
        </w:tc>
        <w:tc>
          <w:tcPr>
            <w:tcW w:w="2337" w:type="dxa"/>
            <w:tcBorders>
              <w:top w:val="single" w:sz="4" w:space="0" w:color="000000"/>
              <w:left w:val="single" w:sz="4" w:space="0" w:color="000000"/>
              <w:bottom w:val="single" w:sz="4" w:space="0" w:color="000000"/>
              <w:right w:val="single" w:sz="4" w:space="0" w:color="000000"/>
            </w:tcBorders>
          </w:tcPr>
          <w:p>
            <w:pPr>
              <w:pStyle w:val="TAH"/>
              <w:rPr/>
            </w:pPr>
            <w:r>
              <w:rPr/>
              <w:t>Spatial resolution</w:t>
            </w:r>
          </w:p>
        </w:tc>
        <w:tc>
          <w:tcPr>
            <w:tcW w:w="2086" w:type="dxa"/>
            <w:tcBorders>
              <w:top w:val="single" w:sz="4" w:space="0" w:color="000000"/>
              <w:left w:val="single" w:sz="4" w:space="0" w:color="000000"/>
              <w:bottom w:val="single" w:sz="4" w:space="0" w:color="000000"/>
              <w:right w:val="single" w:sz="4" w:space="0" w:color="000000"/>
            </w:tcBorders>
          </w:tcPr>
          <w:p>
            <w:pPr>
              <w:pStyle w:val="TAH"/>
              <w:rPr/>
            </w:pPr>
            <w:r>
              <w:rPr/>
              <w:t>Frame rate</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TAL"/>
              <w:rPr/>
            </w:pPr>
            <w:r>
              <w:rPr/>
              <w:t>Class B</w:t>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Kimono</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13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ParkScene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13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Cactus</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13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BasketballDrive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13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BQTerrace</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TAL"/>
              <w:rPr/>
            </w:pPr>
            <w:r>
              <w:rPr/>
              <w:t>Class E</w:t>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Kimono_720p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13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ParkScene_720p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24 fps</w:t>
            </w:r>
          </w:p>
        </w:tc>
      </w:tr>
      <w:tr>
        <w:trPr/>
        <w:tc>
          <w:tcPr>
            <w:tcW w:w="13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Cactus_720p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13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BasketballDrive_720p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50 fps</w:t>
            </w:r>
          </w:p>
        </w:tc>
      </w:tr>
      <w:tr>
        <w:trPr/>
        <w:tc>
          <w:tcPr>
            <w:tcW w:w="13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85" w:type="dxa"/>
            <w:tcBorders>
              <w:top w:val="single" w:sz="4" w:space="0" w:color="000000"/>
              <w:left w:val="single" w:sz="4" w:space="0" w:color="000000"/>
              <w:bottom w:val="single" w:sz="4" w:space="0" w:color="000000"/>
              <w:right w:val="single" w:sz="4" w:space="0" w:color="000000"/>
            </w:tcBorders>
          </w:tcPr>
          <w:p>
            <w:pPr>
              <w:pStyle w:val="TAL"/>
              <w:rPr/>
            </w:pPr>
            <w:r>
              <w:rPr/>
              <w:t>BQTerrace_720p</w:t>
            </w:r>
          </w:p>
        </w:tc>
        <w:tc>
          <w:tcPr>
            <w:tcW w:w="2337"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bl>
    <w:p>
      <w:pPr>
        <w:pStyle w:val="Normal"/>
        <w:rPr/>
      </w:pPr>
      <w:r>
        <w:rPr/>
      </w:r>
    </w:p>
    <w:p>
      <w:pPr>
        <w:pStyle w:val="Normal"/>
        <w:rPr/>
      </w:pPr>
      <w:r>
        <w:rPr/>
        <w:t>720p@30fps / 640x360p@30fps, corresponding to the Class VC-E sequences listed in Table 5 of TR 26.906 (the table is copied below for convenience) and their sub-sampled (both spatially and temporally) version.</w:t>
      </w:r>
    </w:p>
    <w:p>
      <w:pPr>
        <w:pStyle w:val="TH"/>
        <w:rPr/>
      </w:pPr>
      <w:r>
        <w:rPr/>
        <w:t>Table 23: Class VC-E test sequences for MMVC tests</w:t>
      </w:r>
    </w:p>
    <w:tbl>
      <w:tblPr>
        <w:tblW w:w="8280" w:type="dxa"/>
        <w:jc w:val="center"/>
        <w:tblInd w:w="0" w:type="dxa"/>
        <w:tblLayout w:type="fixed"/>
        <w:tblCellMar>
          <w:top w:w="0" w:type="dxa"/>
          <w:left w:w="108" w:type="dxa"/>
          <w:bottom w:w="0" w:type="dxa"/>
          <w:right w:w="108" w:type="dxa"/>
        </w:tblCellMar>
      </w:tblPr>
      <w:tblGrid>
        <w:gridCol w:w="1835"/>
        <w:gridCol w:w="2215"/>
        <w:gridCol w:w="2430"/>
        <w:gridCol w:w="1800"/>
      </w:tblGrid>
      <w:tr>
        <w:trPr/>
        <w:tc>
          <w:tcPr>
            <w:tcW w:w="1835" w:type="dxa"/>
            <w:tcBorders>
              <w:top w:val="single" w:sz="4" w:space="0" w:color="000000"/>
              <w:left w:val="single" w:sz="4" w:space="0" w:color="000000"/>
              <w:bottom w:val="single" w:sz="4" w:space="0" w:color="000000"/>
              <w:right w:val="single" w:sz="4" w:space="0" w:color="000000"/>
            </w:tcBorders>
          </w:tcPr>
          <w:p>
            <w:pPr>
              <w:pStyle w:val="TAH"/>
              <w:rPr/>
            </w:pPr>
            <w:r>
              <w:rPr/>
              <w:t>Class</w:t>
            </w:r>
          </w:p>
        </w:tc>
        <w:tc>
          <w:tcPr>
            <w:tcW w:w="2215" w:type="dxa"/>
            <w:tcBorders>
              <w:top w:val="single" w:sz="4" w:space="0" w:color="000000"/>
              <w:left w:val="single" w:sz="4" w:space="0" w:color="000000"/>
              <w:bottom w:val="single" w:sz="4" w:space="0" w:color="000000"/>
              <w:right w:val="single" w:sz="4" w:space="0" w:color="000000"/>
            </w:tcBorders>
          </w:tcPr>
          <w:p>
            <w:pPr>
              <w:pStyle w:val="TAH"/>
              <w:rPr/>
            </w:pPr>
            <w:r>
              <w:rPr/>
              <w:t>Sequence</w:t>
            </w:r>
          </w:p>
        </w:tc>
        <w:tc>
          <w:tcPr>
            <w:tcW w:w="2430" w:type="dxa"/>
            <w:tcBorders>
              <w:top w:val="single" w:sz="4" w:space="0" w:color="000000"/>
              <w:left w:val="single" w:sz="4" w:space="0" w:color="000000"/>
              <w:bottom w:val="single" w:sz="4" w:space="0" w:color="000000"/>
              <w:right w:val="single" w:sz="4" w:space="0" w:color="000000"/>
            </w:tcBorders>
          </w:tcPr>
          <w:p>
            <w:pPr>
              <w:pStyle w:val="TAH"/>
              <w:rPr/>
            </w:pPr>
            <w:r>
              <w:rPr/>
              <w:t>Spatial resolution</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Frame rate</w:t>
            </w:r>
          </w:p>
        </w:tc>
      </w:tr>
      <w:tr>
        <w:trPr/>
        <w:tc>
          <w:tcPr>
            <w:tcW w:w="1835" w:type="dxa"/>
            <w:vMerge w:val="restart"/>
            <w:tcBorders>
              <w:top w:val="single" w:sz="4" w:space="0" w:color="000000"/>
              <w:left w:val="single" w:sz="4" w:space="0" w:color="000000"/>
              <w:bottom w:val="single" w:sz="4" w:space="0" w:color="000000"/>
              <w:right w:val="single" w:sz="4" w:space="0" w:color="000000"/>
            </w:tcBorders>
          </w:tcPr>
          <w:p>
            <w:pPr>
              <w:pStyle w:val="TAL"/>
              <w:rPr/>
            </w:pPr>
            <w:r>
              <w:rPr/>
              <w:t>Class VC-E</w:t>
            </w:r>
          </w:p>
        </w:tc>
        <w:tc>
          <w:tcPr>
            <w:tcW w:w="2215" w:type="dxa"/>
            <w:tcBorders>
              <w:top w:val="single" w:sz="4" w:space="0" w:color="000000"/>
              <w:left w:val="single" w:sz="4" w:space="0" w:color="000000"/>
              <w:bottom w:val="single" w:sz="4" w:space="0" w:color="000000"/>
              <w:right w:val="single" w:sz="4" w:space="0" w:color="000000"/>
            </w:tcBorders>
          </w:tcPr>
          <w:p>
            <w:pPr>
              <w:pStyle w:val="TAL"/>
              <w:rPr/>
            </w:pPr>
            <w:r>
              <w:rPr/>
              <w:t>FourPeople</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18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15" w:type="dxa"/>
            <w:tcBorders>
              <w:top w:val="single" w:sz="4" w:space="0" w:color="000000"/>
              <w:left w:val="single" w:sz="4" w:space="0" w:color="000000"/>
              <w:bottom w:val="single" w:sz="4" w:space="0" w:color="000000"/>
              <w:right w:val="single" w:sz="4" w:space="0" w:color="000000"/>
            </w:tcBorders>
          </w:tcPr>
          <w:p>
            <w:pPr>
              <w:pStyle w:val="TAL"/>
              <w:rPr/>
            </w:pPr>
            <w:r>
              <w:rPr/>
              <w:t>Johnny</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r>
        <w:trPr/>
        <w:tc>
          <w:tcPr>
            <w:tcW w:w="18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15" w:type="dxa"/>
            <w:tcBorders>
              <w:top w:val="single" w:sz="4" w:space="0" w:color="000000"/>
              <w:left w:val="single" w:sz="4" w:space="0" w:color="000000"/>
              <w:bottom w:val="single" w:sz="4" w:space="0" w:color="000000"/>
              <w:right w:val="single" w:sz="4" w:space="0" w:color="000000"/>
            </w:tcBorders>
          </w:tcPr>
          <w:p>
            <w:pPr>
              <w:pStyle w:val="TAL"/>
              <w:rPr/>
            </w:pPr>
            <w:r>
              <w:rPr/>
              <w:t>KristenAndSara</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60 fps</w:t>
            </w:r>
          </w:p>
        </w:tc>
      </w:tr>
    </w:tbl>
    <w:p>
      <w:pPr>
        <w:pStyle w:val="Normal"/>
        <w:rPr/>
      </w:pPr>
      <w:r>
        <w:rPr/>
      </w:r>
    </w:p>
    <w:p>
      <w:pPr>
        <w:pStyle w:val="Normal"/>
        <w:rPr/>
      </w:pPr>
      <w:r>
        <w:rPr/>
        <w:t>RAP distance for MMVC and MBMS: 2 seconds (i.e. one RAP every 64 pictures when frame rate is 30 fps and every 48 pictures when frame rate is 25 fps)</w:t>
      </w:r>
    </w:p>
    <w:p>
      <w:pPr>
        <w:pStyle w:val="Normal"/>
        <w:rPr/>
      </w:pPr>
      <w:r>
        <w:rPr/>
        <w:t>For SHVC encoding, two options are tested, where the first option is with cross-layer aligned RAPs with RAP distance of 2 seconds for both layers, and the second option is with RAP distance of 2 seconds for the base layer, and longer RAP distance of 4 seconds for the enhancement layer (i.e. one RAP every 128 pictures when frame rate is 30 fps and every 96 pictures when frame rate is 25 fps).</w:t>
      </w:r>
    </w:p>
    <w:p>
      <w:pPr>
        <w:pStyle w:val="Normal"/>
        <w:rPr/>
      </w:pPr>
      <w:r>
        <w:rPr/>
        <w:t>QP Configuration</w:t>
      </w:r>
    </w:p>
    <w:p>
      <w:pPr>
        <w:pStyle w:val="Normal"/>
        <w:rPr/>
      </w:pPr>
      <w:r>
        <w:rPr/>
        <w:t>Fixed QP configuration is used without rate control to avoid uncertainty due to different rate control algorithms. Cascaded QP setting (e.g. higher QP for P pictures than I pictures, higher QP for B pictures than P pictures is allowed. When temporal level is used, higher QP for higher temporal level than lower temporal level in hierarchical coding structures) is allowed.</w:t>
      </w:r>
    </w:p>
    <w:p>
      <w:pPr>
        <w:pStyle w:val="Normal"/>
        <w:rPr/>
      </w:pPr>
      <w:r>
        <w:rPr/>
        <w:t>For coding of enhancement layer: Two sets of delta QP values, deltaQP = {0, +2}. The delta QP value specifies the difference between initial EL QP and initial BL QP for collocated pictures in the two layers. For example, when deltaQP = 0, for each picture of a particular resolution, the same QP that was used in base-layer is used; when deltaQP = 2, for each picture in enhancement layer, the QP that was used in base-layer plus 2 is used.</w:t>
      </w:r>
    </w:p>
    <w:p>
      <w:pPr>
        <w:pStyle w:val="Normal"/>
        <w:rPr/>
      </w:pPr>
      <w:r>
        <w:rPr/>
        <w:t>Rate-distortion optimized quantization. Rate-distortion optimized quantization is disabled.</w:t>
      </w:r>
    </w:p>
    <w:p>
      <w:pPr>
        <w:pStyle w:val="Heading3"/>
        <w:rPr/>
      </w:pPr>
      <w:bookmarkStart w:id="76" w:name="__RefHeading___Toc517445364"/>
      <w:bookmarkEnd w:id="76"/>
      <w:r>
        <w:rPr/>
        <w:t>7.1.2</w:t>
        <w:tab/>
        <w:t>MMVC</w:t>
      </w:r>
    </w:p>
    <w:p>
      <w:pPr>
        <w:pStyle w:val="Normal"/>
        <w:rPr/>
      </w:pPr>
      <w:r>
        <w:rPr/>
        <w:t>For multi-stream multiparty video conferencing, the video bitstreams should be encoded with low-delay coding structure where the decoding order of pictures is identical to the presentation order to minimize the delay introduced by the codec. To enable late tuning-in, insertion of frequent random access points (RAPs) is needed. A key point that needs to be determined for multi-stream multiparty video conferencing is whether simulcast of multiple single-layer HEVC bitstreams or multiple layers per SHVC should be used.</w:t>
      </w:r>
    </w:p>
    <w:p>
      <w:pPr>
        <w:pStyle w:val="Normal"/>
        <w:rPr/>
      </w:pPr>
      <w:r>
        <w:rPr/>
        <w:t xml:space="preserve">With the above points in mind, the following test conditions are specified for testing of potential video codecs for multi-stream multiparty video conferencing: </w:t>
      </w:r>
    </w:p>
    <w:p>
      <w:pPr>
        <w:pStyle w:val="Normal"/>
        <w:rPr/>
      </w:pPr>
      <w:r>
        <w:rPr/>
        <w:t>Input test sequences, resolutions and frame rates are as listed in clause 7.1.1</w:t>
      </w:r>
    </w:p>
    <w:p>
      <w:pPr>
        <w:pStyle w:val="Normal"/>
        <w:rPr/>
      </w:pPr>
      <w:r>
        <w:rPr/>
        <w:t>Encoding settings</w:t>
      </w:r>
    </w:p>
    <w:p>
      <w:pPr>
        <w:pStyle w:val="Normal"/>
        <w:rPr/>
      </w:pPr>
      <w:r>
        <w:rPr/>
        <w:t>For single-layer coding (including coding of the base layer in multi-layer coding): similar as for MTSI tests specified in TR 26.906 (with the exception that temporal scalability is not used, for simplicity), as follows:</w:t>
      </w:r>
    </w:p>
    <w:p>
      <w:pPr>
        <w:pStyle w:val="Normal"/>
        <w:rPr/>
      </w:pPr>
      <w:r>
        <w:rPr/>
        <w:t>QP configuration</w:t>
      </w:r>
    </w:p>
    <w:p>
      <w:pPr>
        <w:pStyle w:val="Normal"/>
        <w:rPr/>
      </w:pPr>
      <w:r>
        <w:rPr/>
        <w:t>For Class B sequences, the following QP set is used {25, 28, 31, 34}.</w:t>
      </w:r>
    </w:p>
    <w:p>
      <w:pPr>
        <w:pStyle w:val="Normal"/>
        <w:rPr/>
      </w:pPr>
      <w:r>
        <w:rPr/>
        <w:t>For Class VC-E sequences, the following QP set is used {19, 22, 25, 28}.</w:t>
      </w:r>
    </w:p>
    <w:p>
      <w:pPr>
        <w:pStyle w:val="Normal"/>
        <w:rPr/>
      </w:pPr>
      <w:r>
        <w:rPr/>
        <w:t>Number of reference pictures in the reference picture list is set equal to 2.</w:t>
      </w:r>
    </w:p>
    <w:p>
      <w:pPr>
        <w:pStyle w:val="Normal"/>
        <w:rPr/>
      </w:pPr>
      <w:r>
        <w:rPr/>
        <w:t>GOP and prediction structures</w:t>
      </w:r>
    </w:p>
    <w:p>
      <w:pPr>
        <w:pStyle w:val="Normal"/>
        <w:rPr/>
      </w:pPr>
      <w:r>
        <w:rPr/>
        <w:t>The IPPP coding structure, wherein the first picture in each random access point period is an IDR picture and the rest are P pictures, and the decoding order equals the output order, is used.</w:t>
      </w:r>
    </w:p>
    <w:p>
      <w:pPr>
        <w:pStyle w:val="Normal"/>
        <w:rPr/>
      </w:pPr>
      <w:r>
        <w:rPr/>
        <w:t>The previous two pictures in decoding order are always used for prediction.</w:t>
      </w:r>
    </w:p>
    <w:p>
      <w:pPr>
        <w:pStyle w:val="Normal"/>
        <w:rPr/>
      </w:pPr>
      <w:r>
        <w:rPr/>
        <w:t>Temporal scalability is not enabled.</w:t>
      </w:r>
    </w:p>
    <w:p>
      <w:pPr>
        <w:pStyle w:val="Normal"/>
        <w:rPr/>
      </w:pPr>
      <w:r>
        <w:rPr/>
        <w:t>Motion vector search range: The motion vector search range, in units of integer luma samples, is restricted to 32 in both directions.</w:t>
      </w:r>
    </w:p>
    <w:p>
      <w:pPr>
        <w:pStyle w:val="Normal"/>
        <w:rPr/>
      </w:pPr>
      <w:r>
        <w:rPr/>
        <w:t>MTU size matching and multiple slices are allowed. The size of each slice in a picture is set to 1200 bytes, with the exception that the last slice in each picture is allowed to have a smaller size.</w:t>
      </w:r>
    </w:p>
    <w:p>
      <w:pPr>
        <w:pStyle w:val="Normal"/>
        <w:rPr/>
      </w:pPr>
      <w:r>
        <w:rPr/>
        <w:t>For SHVC coding of the enhancement layer, the following encoding settings are used:</w:t>
      </w:r>
    </w:p>
    <w:p>
      <w:pPr>
        <w:pStyle w:val="Normal"/>
        <w:rPr/>
      </w:pPr>
      <w:r>
        <w:rPr/>
        <w:t>QP configuration</w:t>
      </w:r>
    </w:p>
    <w:p>
      <w:pPr>
        <w:pStyle w:val="Normal"/>
        <w:rPr/>
      </w:pPr>
      <w:r>
        <w:rPr/>
        <w:t>For Class B sequences, the following QP set is used {25, 28, 31, 34}.</w:t>
      </w:r>
    </w:p>
    <w:p>
      <w:pPr>
        <w:pStyle w:val="Normal"/>
        <w:rPr/>
      </w:pPr>
      <w:r>
        <w:rPr/>
        <w:t>For Class VC-E sequences, the following QP set is used {19, 22, 25, 28}.</w:t>
      </w:r>
    </w:p>
    <w:p>
      <w:pPr>
        <w:pStyle w:val="Normal"/>
        <w:rPr/>
      </w:pPr>
      <w:r>
        <w:rPr/>
        <w:t>Number of reference pictures in the reference picture list is set equal to 3.</w:t>
      </w:r>
    </w:p>
    <w:p>
      <w:pPr>
        <w:pStyle w:val="Normal"/>
        <w:rPr/>
      </w:pPr>
      <w:r>
        <w:rPr/>
        <w:t>GOP and prediction structure structures</w:t>
      </w:r>
    </w:p>
    <w:p>
      <w:pPr>
        <w:pStyle w:val="Normal"/>
        <w:rPr/>
      </w:pPr>
      <w:r>
        <w:rPr/>
        <w:t>The IPPP coding structure, wherein the first picture in each random access point period is an IDR picture and the rest are P pictures, and the decoding order equals the output order, is used.</w:t>
      </w:r>
    </w:p>
    <w:p>
      <w:pPr>
        <w:pStyle w:val="Normal"/>
        <w:rPr/>
      </w:pPr>
      <w:r>
        <w:rPr/>
        <w:t>If there is no lower layer picture in the same access unit, the previous two pictures of the same layer in decoding order are always used for prediction. Otherwise, the previous two picture of the same layer in decoding order and the lower layer picture in the same access units are used for prediction (except for an IRAP picture only inter-layer prediction is used).</w:t>
      </w:r>
    </w:p>
    <w:p>
      <w:pPr>
        <w:pStyle w:val="Normal"/>
        <w:rPr/>
      </w:pPr>
      <w:r>
        <w:rPr/>
        <w:t>Temporal scalability is not enabled.</w:t>
      </w:r>
    </w:p>
    <w:p>
      <w:pPr>
        <w:pStyle w:val="Normal"/>
        <w:rPr/>
      </w:pPr>
      <w:r>
        <w:rPr/>
        <w:t>Motion vector search range: The motion vector search range, in units of integer luma samples, is restricted to 32 in both directions.</w:t>
      </w:r>
    </w:p>
    <w:p>
      <w:pPr>
        <w:pStyle w:val="Normal"/>
        <w:rPr/>
      </w:pPr>
      <w:r>
        <w:rPr/>
        <w:t>MTU size matching and multiple slices are allowed. The size of each slice in a picture is set to 1200 bytes, with the exception that the last slice in each picture is allowed to have a smaller size.</w:t>
      </w:r>
    </w:p>
    <w:p>
      <w:pPr>
        <w:pStyle w:val="Heading3"/>
        <w:jc w:val="both"/>
        <w:rPr/>
      </w:pPr>
      <w:bookmarkStart w:id="77" w:name="__RefHeading___Toc517445365"/>
      <w:bookmarkEnd w:id="77"/>
      <w:r>
        <w:rPr/>
        <w:t>7.1.3</w:t>
        <w:tab/>
        <w:t>MBMS</w:t>
      </w:r>
    </w:p>
    <w:p>
      <w:pPr>
        <w:pStyle w:val="Normal"/>
        <w:rPr/>
      </w:pPr>
      <w:r>
        <w:rPr/>
        <w:t>For MBMS, the video bitstreams should be encoded with the so-called random access coding structure to achieve the highest compression efficiency. To enable stream or layer switching in DASH or late tuning-in and channel switching in MBMS, insertion of frequent random access points (RAPs) is needed. Two different scenarios for enhancement should be tested: enhancement of video spatial resolution and enhancement of quality.</w:t>
      </w:r>
    </w:p>
    <w:p>
      <w:pPr>
        <w:pStyle w:val="Normal"/>
        <w:rPr/>
      </w:pPr>
      <w:r>
        <w:rPr/>
        <w:t>With the above points in mind, the following test conditions are specified for testing of potential video codecs for multi-stream multiparty video conferencing:</w:t>
      </w:r>
    </w:p>
    <w:p>
      <w:pPr>
        <w:pStyle w:val="Normal"/>
        <w:rPr/>
      </w:pPr>
      <w:r>
        <w:rPr/>
        <w:t>Input test sequences from Class B, resolutions and frame rates are as listed in clause 7.1.1</w:t>
      </w:r>
    </w:p>
    <w:p>
      <w:pPr>
        <w:pStyle w:val="Normal"/>
        <w:rPr/>
      </w:pPr>
      <w:r>
        <w:rPr/>
        <w:t>Encoding settings</w:t>
      </w:r>
    </w:p>
    <w:p>
      <w:pPr>
        <w:pStyle w:val="Normal"/>
        <w:rPr/>
      </w:pPr>
      <w:r>
        <w:rPr/>
        <w:t>For single-layer coding (including coding of the base layer in multi-layer coding):</w:t>
      </w:r>
    </w:p>
    <w:p>
      <w:pPr>
        <w:pStyle w:val="Normal"/>
        <w:rPr/>
      </w:pPr>
      <w:r>
        <w:rPr/>
        <w:t>QP configuration: For Class B sequences, the following QP set is used {22, 25, 28, 31}.</w:t>
      </w:r>
    </w:p>
    <w:p>
      <w:pPr>
        <w:pStyle w:val="Normal"/>
        <w:rPr/>
      </w:pPr>
      <w:r>
        <w:rPr/>
        <w:t>Number of reference pictures in each reference picture lists (for forward prediction and backward prediction) is set equal to 2.</w:t>
      </w:r>
    </w:p>
    <w:p>
      <w:pPr>
        <w:pStyle w:val="Normal"/>
        <w:rPr/>
      </w:pPr>
      <w:r>
        <w:rPr/>
        <w:t>GOP and Prediction structures</w:t>
      </w:r>
    </w:p>
    <w:p>
      <w:pPr>
        <w:pStyle w:val="Normal"/>
        <w:rPr/>
      </w:pPr>
      <w:r>
        <w:rPr/>
        <w:t>GOP size is 8.</w:t>
      </w:r>
    </w:p>
    <w:p>
      <w:pPr>
        <w:pStyle w:val="Normal"/>
        <w:rPr/>
      </w:pPr>
      <w:r>
        <w:rPr/>
        <w:t>The hierarchical B-picture structure as used for each layer as in the HEVC random access common test condition.</w:t>
      </w:r>
    </w:p>
    <w:p>
      <w:pPr>
        <w:pStyle w:val="Normal"/>
        <w:rPr/>
      </w:pPr>
      <w:r>
        <w:rPr/>
        <w:t>IRAP picture type is CRA except for the first IRAP picture, for which IDR is used.</w:t>
      </w:r>
    </w:p>
    <w:p>
      <w:pPr>
        <w:pStyle w:val="Normal"/>
        <w:rPr/>
      </w:pPr>
      <w:r>
        <w:rPr/>
        <w:t>Temporal scalability is not enabled.</w:t>
      </w:r>
    </w:p>
    <w:p>
      <w:pPr>
        <w:pStyle w:val="Normal"/>
        <w:rPr/>
      </w:pPr>
      <w:r>
        <w:rPr/>
        <w:t>Motion vector search range: The motion vector search range, in units of integer luma samples, is restricted to 64 in both directions.</w:t>
      </w:r>
    </w:p>
    <w:p>
      <w:pPr>
        <w:pStyle w:val="Normal"/>
        <w:rPr/>
      </w:pPr>
      <w:r>
        <w:rPr/>
        <w:t>MTU size matching is not enabled.</w:t>
      </w:r>
    </w:p>
    <w:p>
      <w:pPr>
        <w:pStyle w:val="Normal"/>
        <w:rPr/>
      </w:pPr>
      <w:r>
        <w:rPr/>
        <w:t>For SHVC coding of the enhancement layer, the following encoding settings are used:</w:t>
      </w:r>
    </w:p>
    <w:p>
      <w:pPr>
        <w:pStyle w:val="Normal"/>
        <w:rPr/>
      </w:pPr>
      <w:r>
        <w:rPr/>
        <w:t>QP configuration: For Class B sequences, the following QP set is used {22, 25, 28, 31}</w:t>
      </w:r>
    </w:p>
    <w:p>
      <w:pPr>
        <w:pStyle w:val="Normal"/>
        <w:rPr/>
      </w:pPr>
      <w:r>
        <w:rPr/>
        <w:t>Number of reference pictures in each reference picture lists for base layer is set equal to 2 and for enhancement layer is set equal to 3 (2 from the same layer and 1 from the base layer).</w:t>
      </w:r>
    </w:p>
    <w:p>
      <w:pPr>
        <w:pStyle w:val="Normal"/>
        <w:rPr/>
      </w:pPr>
      <w:r>
        <w:rPr/>
        <w:t>GOP and Prediction structures</w:t>
      </w:r>
    </w:p>
    <w:p>
      <w:pPr>
        <w:pStyle w:val="Normal"/>
        <w:rPr/>
      </w:pPr>
      <w:r>
        <w:rPr/>
        <w:t>GOP size is 8.</w:t>
      </w:r>
    </w:p>
    <w:p>
      <w:pPr>
        <w:pStyle w:val="Normal"/>
        <w:rPr/>
      </w:pPr>
      <w:r>
        <w:rPr/>
        <w:t>The hierarchical B-picture structure as used in the SHVC random access common test condition.</w:t>
      </w:r>
    </w:p>
    <w:p>
      <w:pPr>
        <w:pStyle w:val="Normal"/>
        <w:rPr/>
      </w:pPr>
      <w:r>
        <w:rPr/>
        <w:t>IRAP picture type is CRA except for the first IRAP picture, for which IDR is used.</w:t>
      </w:r>
    </w:p>
    <w:p>
      <w:pPr>
        <w:pStyle w:val="Normal"/>
        <w:rPr/>
      </w:pPr>
      <w:r>
        <w:rPr/>
        <w:t>Temporal scalability is not enabled.</w:t>
      </w:r>
    </w:p>
    <w:p>
      <w:pPr>
        <w:pStyle w:val="Normal"/>
        <w:rPr/>
      </w:pPr>
      <w:r>
        <w:rPr/>
        <w:t>Motion vector search range: The motion vector search range, in units of integer luma samples, is restricted to 64 in both directions.</w:t>
      </w:r>
    </w:p>
    <w:p>
      <w:pPr>
        <w:pStyle w:val="Normal"/>
        <w:rPr/>
      </w:pPr>
      <w:r>
        <w:rPr/>
        <w:t>MTU size matching is not enabled.</w:t>
      </w:r>
    </w:p>
    <w:p>
      <w:pPr>
        <w:pStyle w:val="Heading3"/>
        <w:jc w:val="both"/>
        <w:rPr/>
      </w:pPr>
      <w:bookmarkStart w:id="78" w:name="__RefHeading___Toc517445366"/>
      <w:bookmarkEnd w:id="78"/>
      <w:r>
        <w:rPr/>
        <w:t>7.1.4</w:t>
        <w:tab/>
        <w:t>3GP-DASH</w:t>
      </w:r>
    </w:p>
    <w:p>
      <w:pPr>
        <w:pStyle w:val="Normal"/>
        <w:rPr/>
      </w:pPr>
      <w:r>
        <w:rPr/>
        <w:t>For 3GP-DASH, the video bitstreams should be encoded with the following features:</w:t>
      </w:r>
    </w:p>
    <w:p>
      <w:pPr>
        <w:pStyle w:val="Normal"/>
        <w:rPr/>
      </w:pPr>
      <w:r>
        <w:rPr/>
        <w:t>To achieve highest compression efficiency, random access coding structure is used.</w:t>
      </w:r>
    </w:p>
    <w:p>
      <w:pPr>
        <w:pStyle w:val="Normal"/>
        <w:rPr/>
      </w:pPr>
      <w:r>
        <w:rPr/>
        <w:t>To enable layer switching in DASH or late tuning-in and channel switching, insertion of frequent random access points (RAPs) is needed.</w:t>
      </w:r>
    </w:p>
    <w:p>
      <w:pPr>
        <w:pStyle w:val="Normal"/>
        <w:rPr/>
      </w:pPr>
      <w:r>
        <w:rPr/>
        <w:t>To enable frequent switching to higher layer / representation, higher layer may have more frequent RAPs.</w:t>
      </w:r>
    </w:p>
    <w:p>
      <w:pPr>
        <w:pStyle w:val="Normal"/>
        <w:rPr/>
      </w:pPr>
      <w:r>
        <w:rPr/>
        <w:t>With the above points in mind, the following test conditions are specified for testing of potential video codecs for multi-stream multiparty video conferencing:</w:t>
      </w:r>
    </w:p>
    <w:p>
      <w:pPr>
        <w:pStyle w:val="Normal"/>
        <w:rPr/>
      </w:pPr>
      <w:r>
        <w:rPr/>
        <w:t>Input test sequences, resolutions and frame rates are as follows:</w:t>
      </w:r>
    </w:p>
    <w:p>
      <w:pPr>
        <w:pStyle w:val="Normal"/>
        <w:rPr/>
      </w:pPr>
      <w:r>
        <w:rPr/>
        <w:t>Input test sequences are test sequences from class B sequences.</w:t>
      </w:r>
    </w:p>
    <w:p>
      <w:pPr>
        <w:pStyle w:val="Normal"/>
        <w:rPr/>
      </w:pPr>
      <w:r>
        <w:rPr/>
        <w:t>Three layers with the following spatial resolutions 1080p / 720p / 360p</w:t>
      </w:r>
    </w:p>
    <w:p>
      <w:pPr>
        <w:pStyle w:val="Normal"/>
        <w:rPr/>
      </w:pPr>
      <w:r>
        <w:rPr/>
        <w:t>Frame rates are either 24, 25 or 30 fps depending on the sequences. For the sequences Cactus, BasketballDrive and BQTerrace for which the original sequence are of 50fps or 60 fps, the frames with odd indices (assuming the initial index being 0) are dropped to achieve the half frame rate.</w:t>
      </w:r>
    </w:p>
    <w:p>
      <w:pPr>
        <w:pStyle w:val="TH"/>
        <w:rPr/>
      </w:pPr>
      <w:r>
        <w:rPr/>
        <w:t>Table 24: Test sequences for 3GP-DASH test</w:t>
      </w:r>
    </w:p>
    <w:tbl>
      <w:tblPr>
        <w:tblW w:w="9137" w:type="dxa"/>
        <w:jc w:val="center"/>
        <w:tblInd w:w="0" w:type="dxa"/>
        <w:tblLayout w:type="fixed"/>
        <w:tblCellMar>
          <w:top w:w="0" w:type="dxa"/>
          <w:left w:w="108" w:type="dxa"/>
          <w:bottom w:w="0" w:type="dxa"/>
          <w:right w:w="108" w:type="dxa"/>
        </w:tblCellMar>
      </w:tblPr>
      <w:tblGrid>
        <w:gridCol w:w="3045"/>
        <w:gridCol w:w="3543"/>
        <w:gridCol w:w="2549"/>
      </w:tblGrid>
      <w:tr>
        <w:trPr/>
        <w:tc>
          <w:tcPr>
            <w:tcW w:w="3045" w:type="dxa"/>
            <w:tcBorders>
              <w:top w:val="single" w:sz="4" w:space="0" w:color="000000"/>
              <w:left w:val="single" w:sz="4" w:space="0" w:color="000000"/>
              <w:bottom w:val="single" w:sz="4" w:space="0" w:color="000000"/>
              <w:right w:val="single" w:sz="4" w:space="0" w:color="000000"/>
            </w:tcBorders>
          </w:tcPr>
          <w:p>
            <w:pPr>
              <w:pStyle w:val="TAH"/>
              <w:rPr/>
            </w:pPr>
            <w:r>
              <w:rPr/>
              <w:t>Sequence</w:t>
            </w:r>
          </w:p>
        </w:tc>
        <w:tc>
          <w:tcPr>
            <w:tcW w:w="3543" w:type="dxa"/>
            <w:tcBorders>
              <w:top w:val="single" w:sz="4" w:space="0" w:color="000000"/>
              <w:left w:val="single" w:sz="4" w:space="0" w:color="000000"/>
              <w:bottom w:val="single" w:sz="4" w:space="0" w:color="000000"/>
              <w:right w:val="single" w:sz="4" w:space="0" w:color="000000"/>
            </w:tcBorders>
          </w:tcPr>
          <w:p>
            <w:pPr>
              <w:pStyle w:val="TAH"/>
              <w:rPr/>
            </w:pPr>
            <w:r>
              <w:rPr/>
              <w:t>Spatial resolution</w:t>
            </w:r>
          </w:p>
        </w:tc>
        <w:tc>
          <w:tcPr>
            <w:tcW w:w="2549" w:type="dxa"/>
            <w:tcBorders>
              <w:top w:val="single" w:sz="4" w:space="0" w:color="000000"/>
              <w:left w:val="single" w:sz="4" w:space="0" w:color="000000"/>
              <w:bottom w:val="single" w:sz="4" w:space="0" w:color="000000"/>
              <w:right w:val="single" w:sz="4" w:space="0" w:color="000000"/>
            </w:tcBorders>
          </w:tcPr>
          <w:p>
            <w:pPr>
              <w:pStyle w:val="TAH"/>
              <w:rPr/>
            </w:pPr>
            <w:r>
              <w:rPr/>
              <w:t>Frame rate</w:t>
            </w:r>
          </w:p>
        </w:tc>
      </w:tr>
      <w:tr>
        <w:trPr/>
        <w:tc>
          <w:tcPr>
            <w:tcW w:w="3045" w:type="dxa"/>
            <w:vMerge w:val="restart"/>
            <w:tcBorders>
              <w:top w:val="single" w:sz="4" w:space="0" w:color="000000"/>
              <w:left w:val="single" w:sz="4" w:space="0" w:color="000000"/>
              <w:bottom w:val="single" w:sz="4" w:space="0" w:color="000000"/>
              <w:right w:val="single" w:sz="4" w:space="0" w:color="000000"/>
            </w:tcBorders>
          </w:tcPr>
          <w:p>
            <w:pPr>
              <w:pStyle w:val="TAL"/>
              <w:rPr/>
            </w:pPr>
            <w:r>
              <w:rPr/>
              <w:t>Kimono</w:t>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24</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24</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640x360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24</w:t>
            </w:r>
          </w:p>
        </w:tc>
      </w:tr>
      <w:tr>
        <w:trPr/>
        <w:tc>
          <w:tcPr>
            <w:tcW w:w="3045" w:type="dxa"/>
            <w:vMerge w:val="restart"/>
            <w:tcBorders>
              <w:top w:val="single" w:sz="4" w:space="0" w:color="000000"/>
              <w:left w:val="single" w:sz="4" w:space="0" w:color="000000"/>
              <w:bottom w:val="single" w:sz="4" w:space="0" w:color="000000"/>
              <w:right w:val="single" w:sz="4" w:space="0" w:color="000000"/>
            </w:tcBorders>
          </w:tcPr>
          <w:p>
            <w:pPr>
              <w:pStyle w:val="TAL"/>
              <w:rPr/>
            </w:pPr>
            <w:r>
              <w:rPr/>
              <w:t>ParkScene</w:t>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24</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24</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640x360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24</w:t>
            </w:r>
          </w:p>
        </w:tc>
      </w:tr>
      <w:tr>
        <w:trPr/>
        <w:tc>
          <w:tcPr>
            <w:tcW w:w="3045" w:type="dxa"/>
            <w:vMerge w:val="restart"/>
            <w:tcBorders>
              <w:top w:val="single" w:sz="4" w:space="0" w:color="000000"/>
              <w:left w:val="single" w:sz="4" w:space="0" w:color="000000"/>
              <w:bottom w:val="single" w:sz="4" w:space="0" w:color="000000"/>
              <w:right w:val="single" w:sz="4" w:space="0" w:color="000000"/>
            </w:tcBorders>
          </w:tcPr>
          <w:p>
            <w:pPr>
              <w:pStyle w:val="TAL"/>
              <w:rPr/>
            </w:pPr>
            <w:r>
              <w:rPr/>
              <w:t>Cactus</w:t>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25</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25</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640x360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25</w:t>
            </w:r>
          </w:p>
        </w:tc>
      </w:tr>
      <w:tr>
        <w:trPr/>
        <w:tc>
          <w:tcPr>
            <w:tcW w:w="3045" w:type="dxa"/>
            <w:vMerge w:val="restart"/>
            <w:tcBorders>
              <w:top w:val="single" w:sz="4" w:space="0" w:color="000000"/>
              <w:left w:val="single" w:sz="4" w:space="0" w:color="000000"/>
              <w:bottom w:val="single" w:sz="4" w:space="0" w:color="000000"/>
              <w:right w:val="single" w:sz="4" w:space="0" w:color="000000"/>
            </w:tcBorders>
          </w:tcPr>
          <w:p>
            <w:pPr>
              <w:pStyle w:val="TAL"/>
              <w:rPr/>
            </w:pPr>
            <w:r>
              <w:rPr/>
              <w:t>BasketballDrive</w:t>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25</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25</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640x360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25</w:t>
            </w:r>
          </w:p>
        </w:tc>
      </w:tr>
      <w:tr>
        <w:trPr/>
        <w:tc>
          <w:tcPr>
            <w:tcW w:w="3045" w:type="dxa"/>
            <w:vMerge w:val="restart"/>
            <w:tcBorders>
              <w:top w:val="single" w:sz="4" w:space="0" w:color="000000"/>
              <w:left w:val="single" w:sz="4" w:space="0" w:color="000000"/>
              <w:bottom w:val="single" w:sz="4" w:space="0" w:color="000000"/>
              <w:right w:val="single" w:sz="4" w:space="0" w:color="000000"/>
            </w:tcBorders>
          </w:tcPr>
          <w:p>
            <w:pPr>
              <w:pStyle w:val="TAL"/>
              <w:rPr/>
            </w:pPr>
            <w:r>
              <w:rPr/>
              <w:t>BQTerrace</w:t>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1920x1080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30</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1280x720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30</w:t>
            </w:r>
          </w:p>
        </w:tc>
      </w:tr>
      <w:tr>
        <w:trPr/>
        <w:tc>
          <w:tcPr>
            <w:tcW w:w="30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543" w:type="dxa"/>
            <w:tcBorders>
              <w:top w:val="single" w:sz="4" w:space="0" w:color="000000"/>
              <w:left w:val="single" w:sz="4" w:space="0" w:color="000000"/>
              <w:bottom w:val="single" w:sz="4" w:space="0" w:color="000000"/>
              <w:right w:val="single" w:sz="4" w:space="0" w:color="000000"/>
            </w:tcBorders>
          </w:tcPr>
          <w:p>
            <w:pPr>
              <w:pStyle w:val="TAL"/>
              <w:rPr/>
            </w:pPr>
            <w:r>
              <w:rPr/>
              <w:t>640x360</w:t>
            </w:r>
          </w:p>
        </w:tc>
        <w:tc>
          <w:tcPr>
            <w:tcW w:w="2549" w:type="dxa"/>
            <w:tcBorders>
              <w:top w:val="single" w:sz="4" w:space="0" w:color="000000"/>
              <w:left w:val="single" w:sz="4" w:space="0" w:color="000000"/>
              <w:bottom w:val="single" w:sz="4" w:space="0" w:color="000000"/>
              <w:right w:val="single" w:sz="4" w:space="0" w:color="000000"/>
            </w:tcBorders>
          </w:tcPr>
          <w:p>
            <w:pPr>
              <w:pStyle w:val="TAL"/>
              <w:rPr/>
            </w:pPr>
            <w:r>
              <w:rPr/>
              <w:t>30</w:t>
            </w:r>
          </w:p>
        </w:tc>
      </w:tr>
    </w:tbl>
    <w:p>
      <w:pPr>
        <w:pStyle w:val="Normal"/>
        <w:rPr/>
      </w:pPr>
      <w:r>
        <w:rPr/>
      </w:r>
    </w:p>
    <w:p>
      <w:pPr>
        <w:pStyle w:val="Normal"/>
        <w:rPr/>
      </w:pPr>
      <w:r>
        <w:rPr/>
        <w:t>Encoding settings</w:t>
      </w:r>
    </w:p>
    <w:p>
      <w:pPr>
        <w:pStyle w:val="Normal"/>
        <w:rPr/>
      </w:pPr>
      <w:r>
        <w:rPr/>
        <w:t>For single-layer coding (including coding of the base layer in multi-layer coding):</w:t>
      </w:r>
    </w:p>
    <w:p>
      <w:pPr>
        <w:pStyle w:val="Normal"/>
        <w:rPr/>
      </w:pPr>
      <w:r>
        <w:rPr/>
        <w:t>QP configuration: For Class B sequences, the following QP set is used {22, 25, 28, 31}.</w:t>
      </w:r>
    </w:p>
    <w:p>
      <w:pPr>
        <w:pStyle w:val="Normal"/>
        <w:rPr/>
      </w:pPr>
      <w:r>
        <w:rPr/>
        <w:t>Number of reference pictures in each reference picture lists (for forward prediction and backward prediction) is set equal to 2.</w:t>
      </w:r>
    </w:p>
    <w:p>
      <w:pPr>
        <w:pStyle w:val="Normal"/>
        <w:rPr/>
      </w:pPr>
      <w:r>
        <w:rPr/>
        <w:t>Temporal scalability is enabled.</w:t>
      </w:r>
    </w:p>
    <w:p>
      <w:pPr>
        <w:pStyle w:val="Normal"/>
        <w:rPr/>
      </w:pPr>
      <w:r>
        <w:rPr/>
        <w:t>GOP and Prediction structures</w:t>
      </w:r>
    </w:p>
    <w:p>
      <w:pPr>
        <w:pStyle w:val="Normal"/>
        <w:rPr/>
      </w:pPr>
      <w:r>
        <w:rPr/>
        <w:t>GOP size is 8.</w:t>
      </w:r>
    </w:p>
    <w:p>
      <w:pPr>
        <w:pStyle w:val="Normal"/>
        <w:rPr/>
      </w:pPr>
      <w:r>
        <w:rPr/>
        <w:t>The hierarchical B-picture structure as used for each layer as in the HEVC random access common test condition.</w:t>
      </w:r>
    </w:p>
    <w:p>
      <w:pPr>
        <w:pStyle w:val="Normal"/>
        <w:rPr/>
      </w:pPr>
      <w:r>
        <w:rPr/>
        <w:t>IRAP picture type is CRA except for the first IRAP picture, for which IDR is used.</w:t>
      </w:r>
    </w:p>
    <w:p>
      <w:pPr>
        <w:pStyle w:val="Normal"/>
        <w:rPr/>
      </w:pPr>
      <w:r>
        <w:rPr/>
        <w:t>RAP distance:</w:t>
      </w:r>
    </w:p>
    <w:p>
      <w:pPr>
        <w:pStyle w:val="Normal"/>
        <w:rPr/>
      </w:pPr>
      <w:r>
        <w:rPr/>
        <w:t>For base layer: every 4 seconds (i.e. one RAP every 128 pictures when frame rate is 30 fps and every 96 pictures when frame rate is 24 or 25 fps).</w:t>
      </w:r>
    </w:p>
    <w:p>
      <w:pPr>
        <w:pStyle w:val="Normal"/>
        <w:rPr/>
      </w:pPr>
      <w:r>
        <w:rPr/>
        <w:t>For enhancement layers, two options are tested:</w:t>
      </w:r>
    </w:p>
    <w:p>
      <w:pPr>
        <w:pStyle w:val="Normal"/>
        <w:rPr/>
      </w:pPr>
      <w:r>
        <w:rPr/>
        <w:t>Option 1: every 4 seconds (i.e. one RAP every 128 pictures when frame rate is 30 fps and every 96 pictures when frame rate is 24 or 25 fps).</w:t>
      </w:r>
    </w:p>
    <w:p>
      <w:pPr>
        <w:pStyle w:val="Normal"/>
        <w:rPr/>
      </w:pPr>
      <w:r>
        <w:rPr/>
        <w:t>Option 2: every 2 seconds (i.e. one RAP every 64 pictures when frame rate is 30 fps and every 48 pictures when frame rate is 24 or 25 fps).</w:t>
      </w:r>
    </w:p>
    <w:p>
      <w:pPr>
        <w:pStyle w:val="Normal"/>
        <w:rPr/>
      </w:pPr>
      <w:r>
        <w:rPr/>
        <w:t>Inter-layer prediction: No inter-layer prediction is used.</w:t>
      </w:r>
    </w:p>
    <w:p>
      <w:pPr>
        <w:pStyle w:val="Normal"/>
        <w:rPr/>
      </w:pPr>
      <w:r>
        <w:rPr/>
        <w:t>Motion vector search range: The motion vector search range, in units of integer luma samples, is restricted to 64 in both directions.</w:t>
      </w:r>
    </w:p>
    <w:p>
      <w:pPr>
        <w:pStyle w:val="Normal"/>
        <w:rPr/>
      </w:pPr>
      <w:r>
        <w:rPr/>
        <w:t>MTU size matching is not enabled.</w:t>
      </w:r>
    </w:p>
    <w:p>
      <w:pPr>
        <w:pStyle w:val="Normal"/>
        <w:rPr/>
      </w:pPr>
      <w:r>
        <w:rPr/>
        <w:t>For SHVC coding of the enhancement layer, the following encoding settings are used:</w:t>
      </w:r>
    </w:p>
    <w:p>
      <w:pPr>
        <w:pStyle w:val="Normal"/>
        <w:rPr/>
      </w:pPr>
      <w:r>
        <w:rPr/>
        <w:t>QP configuration: For Class B sequences, the following QP set is used {22, 25, 28, 31}.</w:t>
      </w:r>
    </w:p>
    <w:p>
      <w:pPr>
        <w:pStyle w:val="Normal"/>
        <w:rPr/>
      </w:pPr>
      <w:r>
        <w:rPr/>
        <w:t>Number of reference pictures in each reference picture lists for base layer is set equal to 2 and for enhancement layer is set equal to 3 (2 from the same layer and 1 from the base layer).</w:t>
      </w:r>
    </w:p>
    <w:p>
      <w:pPr>
        <w:pStyle w:val="Normal"/>
        <w:rPr/>
      </w:pPr>
      <w:r>
        <w:rPr/>
        <w:t>Temporal scalability</w:t>
      </w:r>
    </w:p>
    <w:p>
      <w:pPr>
        <w:pStyle w:val="Normal"/>
        <w:rPr/>
      </w:pPr>
      <w:r>
        <w:rPr/>
        <w:t>Temporal scalability is enabled.</w:t>
      </w:r>
    </w:p>
    <w:p>
      <w:pPr>
        <w:pStyle w:val="Normal"/>
        <w:rPr/>
      </w:pPr>
      <w:r>
        <w:rPr/>
        <w:t>GOP and Prediction structures</w:t>
      </w:r>
    </w:p>
    <w:p>
      <w:pPr>
        <w:pStyle w:val="Normal"/>
        <w:rPr/>
      </w:pPr>
      <w:r>
        <w:rPr/>
        <w:t>GOP size is 8.</w:t>
      </w:r>
    </w:p>
    <w:p>
      <w:pPr>
        <w:pStyle w:val="Normal"/>
        <w:rPr/>
      </w:pPr>
      <w:r>
        <w:rPr/>
        <w:t>The hierarchical B-picture structure as used in the SHVC random access common test condition.</w:t>
      </w:r>
    </w:p>
    <w:p>
      <w:pPr>
        <w:pStyle w:val="Normal"/>
        <w:rPr/>
      </w:pPr>
      <w:r>
        <w:rPr/>
        <w:t>IRAP picture type is CRA except for the first IRAP picture, for which IDR is used.</w:t>
      </w:r>
    </w:p>
    <w:p>
      <w:pPr>
        <w:pStyle w:val="Normal"/>
        <w:rPr/>
      </w:pPr>
      <w:r>
        <w:rPr/>
        <w:t>RAP distance:</w:t>
      </w:r>
    </w:p>
    <w:p>
      <w:pPr>
        <w:pStyle w:val="Normal"/>
        <w:rPr/>
      </w:pPr>
      <w:r>
        <w:rPr/>
        <w:t>For base layer: 4 seconds (i.e. one RAP every 128 pictures when frame rate is 30 fps and every 96 pictures when frame rate is 24 or 25 fps).</w:t>
      </w:r>
    </w:p>
    <w:p>
      <w:pPr>
        <w:pStyle w:val="Normal"/>
        <w:rPr/>
      </w:pPr>
      <w:r>
        <w:rPr/>
        <w:t>For enhancement layers, two options are tested:</w:t>
      </w:r>
    </w:p>
    <w:p>
      <w:pPr>
        <w:pStyle w:val="Normal"/>
        <w:rPr/>
      </w:pPr>
      <w:r>
        <w:rPr/>
        <w:t>Option 1: 4 seconds (i.e. one RAP every 128 pictures when frame rate is 30 fps and every 96 pictures when frame rate is 24 or 25 fps).</w:t>
      </w:r>
    </w:p>
    <w:p>
      <w:pPr>
        <w:pStyle w:val="Normal"/>
        <w:rPr/>
      </w:pPr>
      <w:r>
        <w:rPr/>
        <w:t>Option 2: 2 seconds (i.e. one RAP every 64 pictures when frame rate is 30 fps and every 48 pictures when frame rate is 24 or 25 fps).</w:t>
      </w:r>
    </w:p>
    <w:p>
      <w:pPr>
        <w:pStyle w:val="Normal"/>
        <w:rPr/>
      </w:pPr>
      <w:r>
        <w:rPr/>
        <w:t>Inter-layer prediction (ILP)</w:t>
      </w:r>
    </w:p>
    <w:p>
      <w:pPr>
        <w:pStyle w:val="Normal"/>
        <w:rPr/>
      </w:pPr>
      <w:r>
        <w:rPr/>
        <w:t xml:space="preserve">Linear dependency structure is used for ILP, that is, pictures in layer </w:t>
      </w:r>
      <w:r>
        <w:rPr>
          <w:i/>
        </w:rPr>
        <w:t>n,</w:t>
      </w:r>
      <w:r>
        <w:rPr/>
        <w:t xml:space="preserve"> where </w:t>
      </w:r>
      <w:r>
        <w:rPr>
          <w:i/>
        </w:rPr>
        <w:t>n &gt; 0</w:t>
      </w:r>
      <w:r>
        <w:rPr/>
        <w:t xml:space="preserve">, may use only collocated pictures from layer </w:t>
      </w:r>
      <w:r>
        <w:rPr>
          <w:i/>
        </w:rPr>
        <w:t>n – 1</w:t>
      </w:r>
      <w:r>
        <w:rPr/>
        <w:t xml:space="preserve"> as reference for ILP.</w:t>
      </w:r>
    </w:p>
    <w:p>
      <w:pPr>
        <w:pStyle w:val="Normal"/>
        <w:rPr/>
      </w:pPr>
      <w:r>
        <w:rPr/>
        <w:t>Inter-layer prediction (ILP) is used with the following constraints:</w:t>
      </w:r>
    </w:p>
    <w:p>
      <w:pPr>
        <w:pStyle w:val="Normal"/>
        <w:rPr/>
      </w:pPr>
      <w:r>
        <w:rPr/>
        <w:t>Option 1: No constraint. All lower layer pictures are used for ILP references.</w:t>
      </w:r>
    </w:p>
    <w:p>
      <w:pPr>
        <w:pStyle w:val="Normal"/>
        <w:rPr/>
      </w:pPr>
      <w:r>
        <w:rPr/>
        <w:t>Option 2: Only IRAP pictures and pictures at temporal sub-layer 0 are used for ILP references.</w:t>
      </w:r>
    </w:p>
    <w:p>
      <w:pPr>
        <w:pStyle w:val="Normal"/>
        <w:rPr/>
      </w:pPr>
      <w:r>
        <w:rPr/>
        <w:t>Option 3: Only pictures up to temporal sub-layer 1 are used for ILP references.</w:t>
      </w:r>
    </w:p>
    <w:p>
      <w:pPr>
        <w:pStyle w:val="Normal"/>
        <w:rPr/>
      </w:pPr>
      <w:r>
        <w:rPr/>
        <w:t>Option 4: Only pictures up to temporal sub-layer 2 are used for ILP references.</w:t>
      </w:r>
    </w:p>
    <w:p>
      <w:pPr>
        <w:pStyle w:val="Normal"/>
        <w:rPr/>
      </w:pPr>
      <w:r>
        <w:rPr/>
        <w:t>Motion vector search range: The motion vector search range, in units of integer luma samples, is restricted to 64 in both directions.</w:t>
      </w:r>
    </w:p>
    <w:p>
      <w:pPr>
        <w:pStyle w:val="Normal"/>
        <w:rPr/>
      </w:pPr>
      <w:r>
        <w:rPr/>
        <w:t>MTU size matching is not enabled.</w:t>
      </w:r>
    </w:p>
    <w:p>
      <w:pPr>
        <w:pStyle w:val="Heading2"/>
        <w:jc w:val="both"/>
        <w:rPr/>
      </w:pPr>
      <w:bookmarkStart w:id="79" w:name="__RefHeading___Toc517445367"/>
      <w:bookmarkEnd w:id="79"/>
      <w:r>
        <w:rPr/>
        <w:t>7.2</w:t>
        <w:tab/>
        <w:t>Test results</w:t>
      </w:r>
    </w:p>
    <w:p>
      <w:pPr>
        <w:pStyle w:val="Heading3"/>
        <w:jc w:val="both"/>
        <w:rPr/>
      </w:pPr>
      <w:bookmarkStart w:id="80" w:name="__RefHeading___Toc517445368"/>
      <w:bookmarkEnd w:id="80"/>
      <w:r>
        <w:rPr/>
        <w:t>7.2.1</w:t>
        <w:tab/>
        <w:t>MMVC</w:t>
      </w:r>
    </w:p>
    <w:p>
      <w:pPr>
        <w:pStyle w:val="Heading4"/>
        <w:ind w:left="1418" w:hanging="1418"/>
        <w:jc w:val="both"/>
        <w:rPr/>
      </w:pPr>
      <w:bookmarkStart w:id="81" w:name="__RefHeading___Toc517445369"/>
      <w:bookmarkEnd w:id="81"/>
      <w:r>
        <w:rPr/>
        <w:t>7.2.1.1</w:t>
        <w:tab/>
        <w:t>General</w:t>
      </w:r>
    </w:p>
    <w:p>
      <w:pPr>
        <w:pStyle w:val="Normal"/>
        <w:rPr/>
      </w:pPr>
      <w:r>
        <w:rPr/>
        <w:t>In this clause, simulation results for the multi-stream multiparty video conferencing service are provided, comparing SHVC vs HEVC simulcast. A particular value of the BD-rate decrease of SHVC comparing simulcast indicates how much less bandwidth, in percentage, is needed for transmission of the two-layer SHVC bitstream compared to transmission of both HEVC single-layer bitstreams, on average for the same quality of the higher resolution video. The comparison indicates the difference of the bandwidth requirements for SHVC vs simulcast in the network link between a sender and bitstream-switching MCU in the multi-stream multiparty video conferencing service.</w:t>
      </w:r>
    </w:p>
    <w:p>
      <w:pPr>
        <w:pStyle w:val="Heading4"/>
        <w:ind w:left="1418" w:hanging="1418"/>
        <w:jc w:val="both"/>
        <w:rPr/>
      </w:pPr>
      <w:bookmarkStart w:id="82" w:name="__RefHeading___Toc517445370"/>
      <w:bookmarkEnd w:id="82"/>
      <w:r>
        <w:rPr/>
        <w:t>7.2.1.2</w:t>
        <w:tab/>
        <w:t>Results for aligned IRAP pictures case</w:t>
      </w:r>
    </w:p>
    <w:p>
      <w:pPr>
        <w:pStyle w:val="Normal"/>
        <w:rPr/>
      </w:pPr>
      <w:r>
        <w:rPr>
          <w:lang w:eastAsia="ko-KR"/>
        </w:rPr>
        <w:t xml:space="preserve">BD-rate results for cross layer IRAP aligned case is presented in </w:t>
      </w:r>
      <w:r>
        <w:rPr/>
        <w:t>Table 25</w:t>
      </w:r>
      <w:r>
        <w:rPr>
          <w:lang w:eastAsia="ko-KR"/>
        </w:rPr>
        <w:t xml:space="preserve"> and </w:t>
      </w:r>
      <w:r>
        <w:rPr/>
        <w:t>Table 26</w:t>
      </w:r>
      <w:r>
        <w:rPr>
          <w:lang w:eastAsia="ko-KR"/>
        </w:rPr>
        <w:t>.</w:t>
      </w:r>
    </w:p>
    <w:p>
      <w:pPr>
        <w:pStyle w:val="Normal"/>
        <w:rPr/>
      </w:pPr>
      <w:r>
        <w:rPr>
          <w:lang w:eastAsia="ko-KR"/>
        </w:rPr>
        <w:t>For 1.5x spatial scalability, SHVC has overall 27.34% BD-rate decrease comparing simulcast when deltaQP is 2, and the max gain can be up to 35.5%.</w:t>
      </w:r>
    </w:p>
    <w:p>
      <w:pPr>
        <w:pStyle w:val="Normal"/>
        <w:rPr/>
      </w:pPr>
      <w:r>
        <w:rPr>
          <w:lang w:eastAsia="ko-KR"/>
        </w:rPr>
        <w:t>For 2x spatial scalability scenario, SHVC has overall 8.03% BD-rate decrease comparing simulcast when the deltaQP is 2, and the max gain can be up to 10.6%.</w:t>
      </w:r>
    </w:p>
    <w:p>
      <w:pPr>
        <w:pStyle w:val="TH"/>
        <w:rPr/>
      </w:pPr>
      <w:r>
        <w:rPr/>
        <w:t>Table 25: MMVC IRAP 1.5x aligned results (SHVC vs. simulcast)</w:t>
      </w:r>
    </w:p>
    <w:tbl>
      <w:tblPr>
        <w:tblW w:w="9018" w:type="dxa"/>
        <w:jc w:val="center"/>
        <w:tblInd w:w="0" w:type="dxa"/>
        <w:tblLayout w:type="fixed"/>
        <w:tblCellMar>
          <w:top w:w="0" w:type="dxa"/>
          <w:left w:w="108" w:type="dxa"/>
          <w:bottom w:w="0" w:type="dxa"/>
          <w:right w:w="108" w:type="dxa"/>
        </w:tblCellMar>
      </w:tblPr>
      <w:tblGrid>
        <w:gridCol w:w="4068"/>
        <w:gridCol w:w="1080"/>
        <w:gridCol w:w="1260"/>
        <w:gridCol w:w="1350"/>
        <w:gridCol w:w="1260"/>
      </w:tblGrid>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495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 xml:space="preserve">1.5x spatial scalability </w:t>
            </w:r>
          </w:p>
          <w:p>
            <w:pPr>
              <w:pStyle w:val="TAH"/>
              <w:rPr>
                <w:lang w:eastAsia="ko-KR"/>
              </w:rPr>
            </w:pPr>
            <w:r>
              <w:rPr>
                <w:lang w:eastAsia="ko-KR"/>
              </w:rPr>
              <w:t>(Class-B)</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vAlign w:val="bottom"/>
          </w:tcPr>
          <w:p>
            <w:pPr>
              <w:pStyle w:val="TAL"/>
              <w:rPr/>
            </w:pPr>
            <w:r>
              <w:rPr/>
              <w:t>-21.5%</w:t>
            </w:r>
          </w:p>
        </w:tc>
        <w:tc>
          <w:tcPr>
            <w:tcW w:w="1350" w:type="dxa"/>
            <w:tcBorders>
              <w:top w:val="single" w:sz="4" w:space="0" w:color="000000"/>
              <w:left w:val="single" w:sz="4" w:space="0" w:color="000000"/>
              <w:bottom w:val="single" w:sz="4" w:space="0" w:color="000000"/>
              <w:right w:val="single" w:sz="4" w:space="0" w:color="000000"/>
            </w:tcBorders>
            <w:vAlign w:val="bottom"/>
          </w:tcPr>
          <w:p>
            <w:pPr>
              <w:pStyle w:val="TAL"/>
              <w:rPr/>
            </w:pPr>
            <w:r>
              <w:rPr/>
              <w:t>-21.4%</w:t>
            </w:r>
          </w:p>
        </w:tc>
        <w:tc>
          <w:tcPr>
            <w:tcW w:w="1260" w:type="dxa"/>
            <w:tcBorders>
              <w:top w:val="single" w:sz="4" w:space="0" w:color="000000"/>
              <w:left w:val="single" w:sz="4" w:space="0" w:color="000000"/>
              <w:bottom w:val="single" w:sz="4" w:space="0" w:color="000000"/>
              <w:right w:val="single" w:sz="4" w:space="0" w:color="000000"/>
            </w:tcBorders>
            <w:vAlign w:val="bottom"/>
          </w:tcPr>
          <w:p>
            <w:pPr>
              <w:pStyle w:val="TAL"/>
              <w:rPr/>
            </w:pPr>
            <w:r>
              <w:rPr/>
              <w:t>-20.4%</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-13.1%</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-10.0%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-9.1%</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-18.8%</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-14.3%</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-10.9%</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-24.2%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-17.4%</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-16.9%</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080"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-8.5%</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5.7%</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13.6%</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080" w:type="dxa"/>
            <w:tcBorders>
              <w:top w:val="single" w:sz="12" w:space="0" w:color="000000"/>
              <w:bottom w:val="single" w:sz="12" w:space="0" w:color="000000"/>
            </w:tcBorders>
          </w:tcPr>
          <w:p>
            <w:pPr>
              <w:pStyle w:val="TAL"/>
              <w:snapToGrid w:val="false"/>
              <w:rPr>
                <w:lang w:eastAsia="ko-KR"/>
              </w:rPr>
            </w:pPr>
            <w:r>
              <w:rPr>
                <w:lang w:eastAsia="ko-KR"/>
              </w:rPr>
            </w:r>
          </w:p>
        </w:tc>
        <w:tc>
          <w:tcPr>
            <w:tcW w:w="1260" w:type="dxa"/>
            <w:tcBorders>
              <w:top w:val="single" w:sz="12" w:space="0" w:color="000000"/>
              <w:bottom w:val="single" w:sz="12" w:space="0" w:color="000000"/>
            </w:tcBorders>
          </w:tcPr>
          <w:p>
            <w:pPr>
              <w:pStyle w:val="TAL"/>
              <w:rPr/>
            </w:pPr>
            <w:r>
              <w:rPr/>
              <w:t>-17.22%</w:t>
            </w:r>
          </w:p>
        </w:tc>
        <w:tc>
          <w:tcPr>
            <w:tcW w:w="1350" w:type="dxa"/>
            <w:tcBorders>
              <w:top w:val="single" w:sz="12" w:space="0" w:color="000000"/>
              <w:bottom w:val="single" w:sz="12" w:space="0" w:color="000000"/>
            </w:tcBorders>
          </w:tcPr>
          <w:p>
            <w:pPr>
              <w:pStyle w:val="TAL"/>
              <w:rPr/>
            </w:pPr>
            <w:r>
              <w:rPr/>
              <w:t>-11.48%</w:t>
            </w:r>
          </w:p>
        </w:tc>
        <w:tc>
          <w:tcPr>
            <w:tcW w:w="1260" w:type="dxa"/>
            <w:tcBorders>
              <w:top w:val="single" w:sz="12" w:space="0" w:color="000000"/>
              <w:bottom w:val="single" w:sz="12" w:space="0" w:color="000000"/>
              <w:right w:val="single" w:sz="12" w:space="0" w:color="000000"/>
            </w:tcBorders>
          </w:tcPr>
          <w:p>
            <w:pPr>
              <w:pStyle w:val="TAL"/>
              <w:rPr/>
            </w:pPr>
            <w:r>
              <w:rPr/>
              <w:t>-8.74%</w:t>
            </w:r>
          </w:p>
        </w:tc>
      </w:tr>
      <w:tr>
        <w:trPr/>
        <w:tc>
          <w:tcPr>
            <w:tcW w:w="4068"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080"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-35.5%</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-36.3%</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-34.8%</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-22.7%</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-18.1%</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-18.0%</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-29.7%</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-27.1%</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-25.3%</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-33.6%</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-29.6%</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-28.7%</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080"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-15.2%</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-3.2%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-2.2%</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080" w:type="dxa"/>
            <w:tcBorders>
              <w:top w:val="single" w:sz="12" w:space="0" w:color="000000"/>
              <w:bottom w:val="single" w:sz="12" w:space="0" w:color="000000"/>
            </w:tcBorders>
          </w:tcPr>
          <w:p>
            <w:pPr>
              <w:pStyle w:val="TAL"/>
              <w:snapToGrid w:val="false"/>
              <w:rPr>
                <w:lang w:eastAsia="ko-KR"/>
              </w:rPr>
            </w:pPr>
            <w:r>
              <w:rPr>
                <w:lang w:eastAsia="ko-KR"/>
              </w:rPr>
            </w:r>
          </w:p>
        </w:tc>
        <w:tc>
          <w:tcPr>
            <w:tcW w:w="1260" w:type="dxa"/>
            <w:tcBorders>
              <w:top w:val="single" w:sz="12" w:space="0" w:color="000000"/>
              <w:bottom w:val="single" w:sz="12" w:space="0" w:color="000000"/>
            </w:tcBorders>
          </w:tcPr>
          <w:p>
            <w:pPr>
              <w:pStyle w:val="TAL"/>
              <w:rPr/>
            </w:pPr>
            <w:r>
              <w:rPr/>
              <w:t>-27.34%</w:t>
            </w:r>
          </w:p>
        </w:tc>
        <w:tc>
          <w:tcPr>
            <w:tcW w:w="1350" w:type="dxa"/>
            <w:tcBorders>
              <w:top w:val="single" w:sz="12" w:space="0" w:color="000000"/>
              <w:bottom w:val="single" w:sz="12" w:space="0" w:color="000000"/>
            </w:tcBorders>
          </w:tcPr>
          <w:p>
            <w:pPr>
              <w:pStyle w:val="TAL"/>
              <w:rPr/>
            </w:pPr>
            <w:r>
              <w:rPr/>
              <w:t>-22.86%</w:t>
            </w:r>
          </w:p>
        </w:tc>
        <w:tc>
          <w:tcPr>
            <w:tcW w:w="1260" w:type="dxa"/>
            <w:tcBorders>
              <w:top w:val="single" w:sz="12" w:space="0" w:color="000000"/>
              <w:bottom w:val="single" w:sz="12" w:space="0" w:color="000000"/>
              <w:right w:val="single" w:sz="12" w:space="0" w:color="000000"/>
            </w:tcBorders>
          </w:tcPr>
          <w:p>
            <w:pPr>
              <w:pStyle w:val="TAL"/>
              <w:rPr/>
            </w:pPr>
            <w:r>
              <w:rPr/>
              <w:t>-21.8%</w:t>
            </w:r>
          </w:p>
        </w:tc>
      </w:tr>
    </w:tbl>
    <w:p>
      <w:pPr>
        <w:pStyle w:val="Normal"/>
        <w:rPr>
          <w:lang w:eastAsia="ko-KR"/>
        </w:rPr>
      </w:pPr>
      <w:r>
        <w:rPr>
          <w:lang w:eastAsia="ko-KR"/>
        </w:rPr>
      </w:r>
    </w:p>
    <w:p>
      <w:pPr>
        <w:pStyle w:val="TH"/>
        <w:rPr/>
      </w:pPr>
      <w:r>
        <w:rPr/>
        <w:t>Table 26: MMVC IRAP 2x aligned results (SHVC vs. simulcast)</w:t>
      </w:r>
    </w:p>
    <w:tbl>
      <w:tblPr>
        <w:tblW w:w="9018" w:type="dxa"/>
        <w:jc w:val="center"/>
        <w:tblInd w:w="0" w:type="dxa"/>
        <w:tblLayout w:type="fixed"/>
        <w:tblCellMar>
          <w:top w:w="0" w:type="dxa"/>
          <w:left w:w="108" w:type="dxa"/>
          <w:bottom w:w="0" w:type="dxa"/>
          <w:right w:w="108" w:type="dxa"/>
        </w:tblCellMar>
      </w:tblPr>
      <w:tblGrid>
        <w:gridCol w:w="4068"/>
        <w:gridCol w:w="1170"/>
        <w:gridCol w:w="1260"/>
        <w:gridCol w:w="1260"/>
        <w:gridCol w:w="1260"/>
      </w:tblGrid>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495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2x spatial scalability (Class-VC_E)</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17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FourPeople</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-7.7%</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-0.1%</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Johnny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7.2%</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KristenAndSara</w:t>
            </w:r>
          </w:p>
        </w:tc>
        <w:tc>
          <w:tcPr>
            <w:tcW w:w="1170"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-6.3%</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-2.6%</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-0.1%</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170" w:type="dxa"/>
            <w:tcBorders>
              <w:top w:val="single" w:sz="12" w:space="0" w:color="000000"/>
              <w:bottom w:val="single" w:sz="12" w:space="0" w:color="000000"/>
            </w:tcBorders>
          </w:tcPr>
          <w:p>
            <w:pPr>
              <w:pStyle w:val="TAL"/>
              <w:snapToGrid w:val="false"/>
              <w:rPr>
                <w:lang w:eastAsia="ko-KR"/>
              </w:rPr>
            </w:pPr>
            <w:r>
              <w:rPr>
                <w:lang w:eastAsia="ko-KR"/>
              </w:rPr>
            </w:r>
          </w:p>
        </w:tc>
        <w:tc>
          <w:tcPr>
            <w:tcW w:w="1260" w:type="dxa"/>
            <w:tcBorders>
              <w:top w:val="single" w:sz="12" w:space="0" w:color="000000"/>
              <w:bottom w:val="single" w:sz="12" w:space="0" w:color="000000"/>
            </w:tcBorders>
          </w:tcPr>
          <w:p>
            <w:pPr>
              <w:pStyle w:val="TAL"/>
              <w:rPr/>
            </w:pPr>
            <w:r>
              <w:rPr/>
              <w:t>-5.6%</w:t>
            </w:r>
          </w:p>
        </w:tc>
        <w:tc>
          <w:tcPr>
            <w:tcW w:w="1260" w:type="dxa"/>
            <w:tcBorders>
              <w:top w:val="single" w:sz="12" w:space="0" w:color="000000"/>
              <w:bottom w:val="single" w:sz="12" w:space="0" w:color="000000"/>
            </w:tcBorders>
          </w:tcPr>
          <w:p>
            <w:pPr>
              <w:pStyle w:val="TAL"/>
              <w:rPr/>
            </w:pPr>
            <w:r>
              <w:rPr/>
              <w:t>-0.33%</w:t>
            </w:r>
          </w:p>
        </w:tc>
        <w:tc>
          <w:tcPr>
            <w:tcW w:w="1260" w:type="dxa"/>
            <w:tcBorders>
              <w:top w:val="single" w:sz="12" w:space="0" w:color="000000"/>
              <w:bottom w:val="single" w:sz="12" w:space="0" w:color="000000"/>
              <w:right w:val="single" w:sz="12" w:space="0" w:color="000000"/>
            </w:tcBorders>
          </w:tcPr>
          <w:p>
            <w:pPr>
              <w:pStyle w:val="TAL"/>
              <w:rPr/>
            </w:pPr>
            <w:r>
              <w:rPr/>
              <w:t>2.33%</w:t>
            </w:r>
          </w:p>
        </w:tc>
      </w:tr>
      <w:tr>
        <w:trPr/>
        <w:tc>
          <w:tcPr>
            <w:tcW w:w="4068"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FourPeople</w:t>
            </w:r>
          </w:p>
        </w:tc>
        <w:tc>
          <w:tcPr>
            <w:tcW w:w="1170"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-10.6%</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-4.9%</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-1.8%</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Johnny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7.3%</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KristenAndSara</w:t>
            </w:r>
          </w:p>
        </w:tc>
        <w:tc>
          <w:tcPr>
            <w:tcW w:w="1170"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-9.0%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-3.2%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-2.8%</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170" w:type="dxa"/>
            <w:tcBorders>
              <w:top w:val="single" w:sz="12" w:space="0" w:color="000000"/>
              <w:bottom w:val="single" w:sz="12" w:space="0" w:color="000000"/>
            </w:tcBorders>
          </w:tcPr>
          <w:p>
            <w:pPr>
              <w:pStyle w:val="TAL"/>
              <w:snapToGrid w:val="false"/>
              <w:rPr>
                <w:lang w:eastAsia="ko-KR"/>
              </w:rPr>
            </w:pPr>
            <w:r>
              <w:rPr>
                <w:lang w:eastAsia="ko-KR"/>
              </w:rPr>
            </w:r>
          </w:p>
        </w:tc>
        <w:tc>
          <w:tcPr>
            <w:tcW w:w="1260" w:type="dxa"/>
            <w:tcBorders>
              <w:top w:val="single" w:sz="12" w:space="0" w:color="000000"/>
              <w:bottom w:val="single" w:sz="12" w:space="0" w:color="000000"/>
            </w:tcBorders>
          </w:tcPr>
          <w:p>
            <w:pPr>
              <w:pStyle w:val="TAL"/>
              <w:rPr/>
            </w:pPr>
            <w:r>
              <w:rPr/>
              <w:t>-8.03%</w:t>
            </w:r>
          </w:p>
        </w:tc>
        <w:tc>
          <w:tcPr>
            <w:tcW w:w="1260" w:type="dxa"/>
            <w:tcBorders>
              <w:top w:val="single" w:sz="12" w:space="0" w:color="000000"/>
              <w:bottom w:val="single" w:sz="12" w:space="0" w:color="000000"/>
            </w:tcBorders>
          </w:tcPr>
          <w:p>
            <w:pPr>
              <w:pStyle w:val="TAL"/>
              <w:rPr/>
            </w:pPr>
            <w:r>
              <w:rPr/>
              <w:t>-0.63%</w:t>
            </w:r>
          </w:p>
        </w:tc>
        <w:tc>
          <w:tcPr>
            <w:tcW w:w="1260" w:type="dxa"/>
            <w:tcBorders>
              <w:top w:val="single" w:sz="12" w:space="0" w:color="000000"/>
              <w:bottom w:val="single" w:sz="12" w:space="0" w:color="000000"/>
              <w:right w:val="single" w:sz="12" w:space="0" w:color="000000"/>
            </w:tcBorders>
          </w:tcPr>
          <w:p>
            <w:pPr>
              <w:pStyle w:val="TAL"/>
              <w:rPr/>
            </w:pPr>
            <w:r>
              <w:rPr/>
              <w:t>0.9%</w:t>
            </w:r>
          </w:p>
        </w:tc>
      </w:tr>
    </w:tbl>
    <w:p>
      <w:pPr>
        <w:pStyle w:val="Normal"/>
        <w:rPr>
          <w:lang w:eastAsia="ko-KR"/>
        </w:rPr>
      </w:pPr>
      <w:r>
        <w:rPr>
          <w:lang w:eastAsia="ko-KR"/>
        </w:rPr>
      </w:r>
    </w:p>
    <w:p>
      <w:pPr>
        <w:pStyle w:val="Heading4"/>
        <w:ind w:left="1418" w:hanging="1418"/>
        <w:jc w:val="both"/>
        <w:rPr/>
      </w:pPr>
      <w:bookmarkStart w:id="83" w:name="__RefHeading___Toc517445371"/>
      <w:bookmarkEnd w:id="83"/>
      <w:r>
        <w:rPr/>
        <w:t>7.2.1.3</w:t>
        <w:tab/>
        <w:t>Results for IRAP non-aligned test case</w:t>
      </w:r>
    </w:p>
    <w:p>
      <w:pPr>
        <w:pStyle w:val="Normal"/>
        <w:rPr>
          <w:lang w:eastAsia="ko-KR"/>
        </w:rPr>
      </w:pPr>
      <w:r>
        <w:rPr>
          <w:lang w:eastAsia="ko-KR"/>
        </w:rPr>
        <w:t xml:space="preserve">BD-rate results for cross-layer RAP non-aligned case is presented in </w:t>
      </w:r>
      <w:r>
        <w:rPr/>
        <w:t>Table 27</w:t>
      </w:r>
      <w:r>
        <w:rPr>
          <w:lang w:eastAsia="ko-KR"/>
        </w:rPr>
        <w:t xml:space="preserve"> and </w:t>
      </w:r>
      <w:r>
        <w:rPr/>
        <w:t>Table 28</w:t>
      </w:r>
      <w:r>
        <w:rPr>
          <w:lang w:eastAsia="ko-KR"/>
        </w:rPr>
        <w:t>.</w:t>
      </w:r>
    </w:p>
    <w:p>
      <w:pPr>
        <w:pStyle w:val="Normal"/>
        <w:rPr/>
      </w:pPr>
      <w:r>
        <w:rPr>
          <w:lang w:eastAsia="ko-KR"/>
        </w:rPr>
        <w:t>For 1.5x spatial scalability scenario, SHVC has overall 27.9% BD-rate decrease comparing simulcast when deltaQP is 2, and the max gain can be up to 35.6%.</w:t>
      </w:r>
    </w:p>
    <w:p>
      <w:pPr>
        <w:pStyle w:val="Normal"/>
        <w:rPr>
          <w:lang w:eastAsia="ko-KR"/>
        </w:rPr>
      </w:pPr>
      <w:r>
        <w:rPr>
          <w:lang w:eastAsia="ko-KR"/>
        </w:rPr>
        <w:t>For 2x spatial scalability scenario, SHVC has overall 10.76% BD-rate decrease comparing simulcast when deltaQP is 2, and the max gain can be up to 12.8%.</w:t>
      </w:r>
    </w:p>
    <w:p>
      <w:pPr>
        <w:pStyle w:val="TH"/>
        <w:rPr/>
      </w:pPr>
      <w:r>
        <w:rPr/>
        <w:t>Table 27: MMVC IRAP 1.5X non-aligned results (SHVC vs. simulcast)</w:t>
      </w:r>
    </w:p>
    <w:tbl>
      <w:tblPr>
        <w:tblW w:w="9018" w:type="dxa"/>
        <w:jc w:val="center"/>
        <w:tblInd w:w="0" w:type="dxa"/>
        <w:tblLayout w:type="fixed"/>
        <w:tblCellMar>
          <w:top w:w="0" w:type="dxa"/>
          <w:left w:w="108" w:type="dxa"/>
          <w:bottom w:w="0" w:type="dxa"/>
          <w:right w:w="108" w:type="dxa"/>
        </w:tblCellMar>
      </w:tblPr>
      <w:tblGrid>
        <w:gridCol w:w="4068"/>
        <w:gridCol w:w="1080"/>
        <w:gridCol w:w="1260"/>
        <w:gridCol w:w="1350"/>
        <w:gridCol w:w="1260"/>
      </w:tblGrid>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495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 xml:space="preserve">1.5x spatial scalability </w:t>
            </w:r>
          </w:p>
          <w:p>
            <w:pPr>
              <w:pStyle w:val="TAH"/>
              <w:rPr/>
            </w:pPr>
            <w:r>
              <w:rPr>
                <w:lang w:eastAsia="ko-KR"/>
              </w:rPr>
              <w:t>(Class-B)</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08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-21.4%</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-20.3%</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-14.1%</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-10.5%</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-9.0%</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-20.1%</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-15.7%</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-12.3%</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-24.4%</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-17.2%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-16.7%</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080"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-9.4%</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3.6%</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9.6%</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080" w:type="dxa"/>
            <w:tcBorders>
              <w:top w:val="single" w:sz="12" w:space="0" w:color="000000"/>
              <w:bottom w:val="single" w:sz="12" w:space="0" w:color="000000"/>
            </w:tcBorders>
          </w:tcPr>
          <w:p>
            <w:pPr>
              <w:pStyle w:val="TAL"/>
              <w:snapToGrid w:val="false"/>
              <w:rPr>
                <w:rFonts w:ascii="Calibri" w:hAnsi="Calibri" w:cs="Calibri"/>
                <w:b/>
                <w:b/>
                <w:lang w:eastAsia="ko-KR"/>
              </w:rPr>
            </w:pPr>
            <w:r>
              <w:rPr>
                <w:rFonts w:cs="Calibri" w:ascii="Calibri" w:hAnsi="Calibri"/>
                <w:b/>
                <w:lang w:eastAsia="ko-KR"/>
              </w:rPr>
            </w:r>
          </w:p>
        </w:tc>
        <w:tc>
          <w:tcPr>
            <w:tcW w:w="1260" w:type="dxa"/>
            <w:tcBorders>
              <w:top w:val="single" w:sz="12" w:space="0" w:color="000000"/>
              <w:bottom w:val="single" w:sz="12" w:space="0" w:color="000000"/>
            </w:tcBorders>
          </w:tcPr>
          <w:p>
            <w:pPr>
              <w:pStyle w:val="TAL"/>
              <w:rPr/>
            </w:pPr>
            <w:r>
              <w:rPr/>
              <w:t>-17.92%</w:t>
            </w:r>
          </w:p>
        </w:tc>
        <w:tc>
          <w:tcPr>
            <w:tcW w:w="1350" w:type="dxa"/>
            <w:tcBorders>
              <w:top w:val="single" w:sz="12" w:space="0" w:color="000000"/>
              <w:bottom w:val="single" w:sz="12" w:space="0" w:color="000000"/>
            </w:tcBorders>
          </w:tcPr>
          <w:p>
            <w:pPr>
              <w:pStyle w:val="TAL"/>
              <w:rPr/>
            </w:pPr>
            <w:r>
              <w:rPr/>
              <w:t>-12.24%</w:t>
            </w:r>
          </w:p>
        </w:tc>
        <w:tc>
          <w:tcPr>
            <w:tcW w:w="1260" w:type="dxa"/>
            <w:tcBorders>
              <w:top w:val="single" w:sz="12" w:space="0" w:color="000000"/>
              <w:bottom w:val="single" w:sz="12" w:space="0" w:color="000000"/>
              <w:right w:val="single" w:sz="12" w:space="0" w:color="000000"/>
            </w:tcBorders>
          </w:tcPr>
          <w:p>
            <w:pPr>
              <w:pStyle w:val="TAL"/>
              <w:rPr/>
            </w:pPr>
            <w:r>
              <w:rPr/>
              <w:t>-9.74%</w:t>
            </w:r>
          </w:p>
        </w:tc>
      </w:tr>
      <w:tr>
        <w:trPr/>
        <w:tc>
          <w:tcPr>
            <w:tcW w:w="4068"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080"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-35.6%</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-36.4%</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-34.6%</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-23.4%</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-18.3%</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-17.5%</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-30.7%</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-28.2%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-26.4%</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-33.7%</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-29.6%</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-28.5%</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080"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-16.3%</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-5.0%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-6.1%</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080" w:type="dxa"/>
            <w:tcBorders>
              <w:top w:val="single" w:sz="12" w:space="0" w:color="000000"/>
              <w:bottom w:val="single" w:sz="12" w:space="0" w:color="000000"/>
            </w:tcBorders>
          </w:tcPr>
          <w:p>
            <w:pPr>
              <w:pStyle w:val="TAL"/>
              <w:snapToGrid w:val="false"/>
              <w:rPr>
                <w:rFonts w:ascii="Calibri" w:hAnsi="Calibri" w:cs="Calibri"/>
                <w:b/>
                <w:b/>
                <w:lang w:eastAsia="ko-KR"/>
              </w:rPr>
            </w:pPr>
            <w:r>
              <w:rPr>
                <w:rFonts w:cs="Calibri" w:ascii="Calibri" w:hAnsi="Calibri"/>
                <w:b/>
                <w:lang w:eastAsia="ko-KR"/>
              </w:rPr>
            </w:r>
          </w:p>
        </w:tc>
        <w:tc>
          <w:tcPr>
            <w:tcW w:w="1260" w:type="dxa"/>
            <w:tcBorders>
              <w:top w:val="single" w:sz="12" w:space="0" w:color="000000"/>
              <w:bottom w:val="single" w:sz="12" w:space="0" w:color="000000"/>
            </w:tcBorders>
          </w:tcPr>
          <w:p>
            <w:pPr>
              <w:pStyle w:val="TAL"/>
              <w:rPr/>
            </w:pPr>
            <w:r>
              <w:rPr/>
              <w:t>-27.94%</w:t>
            </w:r>
          </w:p>
        </w:tc>
        <w:tc>
          <w:tcPr>
            <w:tcW w:w="1350" w:type="dxa"/>
            <w:tcBorders>
              <w:top w:val="single" w:sz="12" w:space="0" w:color="000000"/>
              <w:bottom w:val="single" w:sz="12" w:space="0" w:color="000000"/>
            </w:tcBorders>
          </w:tcPr>
          <w:p>
            <w:pPr>
              <w:pStyle w:val="TAL"/>
              <w:rPr/>
            </w:pPr>
            <w:r>
              <w:rPr/>
              <w:t>-23.5%</w:t>
            </w:r>
          </w:p>
        </w:tc>
        <w:tc>
          <w:tcPr>
            <w:tcW w:w="1260" w:type="dxa"/>
            <w:tcBorders>
              <w:top w:val="single" w:sz="12" w:space="0" w:color="000000"/>
              <w:bottom w:val="single" w:sz="12" w:space="0" w:color="000000"/>
              <w:right w:val="single" w:sz="12" w:space="0" w:color="000000"/>
            </w:tcBorders>
          </w:tcPr>
          <w:p>
            <w:pPr>
              <w:pStyle w:val="TAL"/>
              <w:rPr/>
            </w:pPr>
            <w:r>
              <w:rPr/>
              <w:t>-22.62%</w:t>
            </w:r>
          </w:p>
        </w:tc>
      </w:tr>
    </w:tbl>
    <w:p>
      <w:pPr>
        <w:pStyle w:val="Normal"/>
        <w:rPr/>
      </w:pPr>
      <w:r>
        <w:rPr/>
      </w:r>
    </w:p>
    <w:p>
      <w:pPr>
        <w:pStyle w:val="TH"/>
        <w:rPr/>
      </w:pPr>
      <w:r>
        <w:rPr/>
        <w:t>Table 28: MMVC IRAP 2X non-aligned results (SHVC vs. simulcast)</w:t>
      </w:r>
    </w:p>
    <w:tbl>
      <w:tblPr>
        <w:tblW w:w="9018" w:type="dxa"/>
        <w:jc w:val="center"/>
        <w:tblInd w:w="0" w:type="dxa"/>
        <w:tblLayout w:type="fixed"/>
        <w:tblCellMar>
          <w:top w:w="0" w:type="dxa"/>
          <w:left w:w="108" w:type="dxa"/>
          <w:bottom w:w="0" w:type="dxa"/>
          <w:right w:w="108" w:type="dxa"/>
        </w:tblCellMar>
      </w:tblPr>
      <w:tblGrid>
        <w:gridCol w:w="4068"/>
        <w:gridCol w:w="1170"/>
        <w:gridCol w:w="1260"/>
        <w:gridCol w:w="1260"/>
        <w:gridCol w:w="1260"/>
      </w:tblGrid>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170"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3780" w:type="dxa"/>
            <w:gridSpan w:val="3"/>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 xml:space="preserve">2x spatial scalability </w:t>
            </w:r>
          </w:p>
          <w:p>
            <w:pPr>
              <w:pStyle w:val="TAH"/>
              <w:rPr>
                <w:lang w:eastAsia="ko-KR"/>
              </w:rPr>
            </w:pPr>
            <w:r>
              <w:rPr>
                <w:lang w:eastAsia="ko-KR"/>
              </w:rPr>
              <w:t>(Class-VC_E)</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17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FourPeople</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-9.6%</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-2.7%</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Johnny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-5.8%</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2.3%</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KristenAndSara</w:t>
            </w:r>
          </w:p>
        </w:tc>
        <w:tc>
          <w:tcPr>
            <w:tcW w:w="1170"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-8.3%</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-5.7%</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-2.9%</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170" w:type="dxa"/>
            <w:tcBorders>
              <w:top w:val="single" w:sz="12" w:space="0" w:color="000000"/>
              <w:bottom w:val="single" w:sz="12" w:space="0" w:color="000000"/>
            </w:tcBorders>
          </w:tcPr>
          <w:p>
            <w:pPr>
              <w:pStyle w:val="TAL"/>
              <w:snapToGrid w:val="false"/>
              <w:rPr>
                <w:b/>
                <w:b/>
                <w:lang w:eastAsia="ko-KR"/>
              </w:rPr>
            </w:pPr>
            <w:r>
              <w:rPr>
                <w:b/>
                <w:lang w:eastAsia="ko-KR"/>
              </w:rPr>
            </w:r>
          </w:p>
        </w:tc>
        <w:tc>
          <w:tcPr>
            <w:tcW w:w="1260" w:type="dxa"/>
            <w:tcBorders>
              <w:top w:val="single" w:sz="12" w:space="0" w:color="000000"/>
              <w:bottom w:val="single" w:sz="12" w:space="0" w:color="000000"/>
            </w:tcBorders>
          </w:tcPr>
          <w:p>
            <w:pPr>
              <w:pStyle w:val="TAL"/>
              <w:rPr/>
            </w:pPr>
            <w:r>
              <w:rPr/>
              <w:t>-7.9%</w:t>
            </w:r>
          </w:p>
        </w:tc>
        <w:tc>
          <w:tcPr>
            <w:tcW w:w="1260" w:type="dxa"/>
            <w:tcBorders>
              <w:top w:val="single" w:sz="12" w:space="0" w:color="000000"/>
              <w:bottom w:val="single" w:sz="12" w:space="0" w:color="000000"/>
            </w:tcBorders>
          </w:tcPr>
          <w:p>
            <w:pPr>
              <w:pStyle w:val="TAL"/>
              <w:rPr/>
            </w:pPr>
            <w:r>
              <w:rPr/>
              <w:t>-3.73%</w:t>
            </w:r>
          </w:p>
        </w:tc>
        <w:tc>
          <w:tcPr>
            <w:tcW w:w="1260" w:type="dxa"/>
            <w:tcBorders>
              <w:top w:val="single" w:sz="12" w:space="0" w:color="000000"/>
              <w:bottom w:val="single" w:sz="12" w:space="0" w:color="000000"/>
              <w:right w:val="single" w:sz="12" w:space="0" w:color="000000"/>
            </w:tcBorders>
          </w:tcPr>
          <w:p>
            <w:pPr>
              <w:pStyle w:val="TAL"/>
              <w:rPr/>
            </w:pPr>
            <w:r>
              <w:rPr/>
              <w:t>-1.1%</w:t>
            </w:r>
          </w:p>
        </w:tc>
      </w:tr>
      <w:tr>
        <w:trPr/>
        <w:tc>
          <w:tcPr>
            <w:tcW w:w="4068"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FourPeople</w:t>
            </w:r>
          </w:p>
        </w:tc>
        <w:tc>
          <w:tcPr>
            <w:tcW w:w="1170"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-12.8%</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-7.7%</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-4.5%</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Johnny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-8.2%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1.6%</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KristenAndSara</w:t>
            </w:r>
          </w:p>
        </w:tc>
        <w:tc>
          <w:tcPr>
            <w:tcW w:w="1170"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-11.3%</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-6.0%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-5.7%</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170" w:type="dxa"/>
            <w:tcBorders>
              <w:top w:val="single" w:sz="12" w:space="0" w:color="000000"/>
              <w:bottom w:val="single" w:sz="12" w:space="0" w:color="000000"/>
            </w:tcBorders>
          </w:tcPr>
          <w:p>
            <w:pPr>
              <w:pStyle w:val="TAL"/>
              <w:snapToGrid w:val="false"/>
              <w:rPr>
                <w:b/>
                <w:b/>
                <w:lang w:eastAsia="ko-KR"/>
              </w:rPr>
            </w:pPr>
            <w:r>
              <w:rPr>
                <w:b/>
                <w:lang w:eastAsia="ko-KR"/>
              </w:rPr>
            </w:r>
          </w:p>
        </w:tc>
        <w:tc>
          <w:tcPr>
            <w:tcW w:w="1260" w:type="dxa"/>
            <w:tcBorders>
              <w:top w:val="single" w:sz="12" w:space="0" w:color="000000"/>
              <w:bottom w:val="single" w:sz="12" w:space="0" w:color="000000"/>
            </w:tcBorders>
          </w:tcPr>
          <w:p>
            <w:pPr>
              <w:pStyle w:val="TAL"/>
              <w:rPr/>
            </w:pPr>
            <w:r>
              <w:rPr/>
              <w:t>-10.76%</w:t>
            </w:r>
          </w:p>
        </w:tc>
        <w:tc>
          <w:tcPr>
            <w:tcW w:w="1260" w:type="dxa"/>
            <w:tcBorders>
              <w:top w:val="single" w:sz="12" w:space="0" w:color="000000"/>
              <w:bottom w:val="single" w:sz="12" w:space="0" w:color="000000"/>
            </w:tcBorders>
          </w:tcPr>
          <w:p>
            <w:pPr>
              <w:pStyle w:val="TAL"/>
              <w:rPr/>
            </w:pPr>
            <w:r>
              <w:rPr/>
              <w:t>-4%</w:t>
            </w:r>
          </w:p>
        </w:tc>
        <w:tc>
          <w:tcPr>
            <w:tcW w:w="1260" w:type="dxa"/>
            <w:tcBorders>
              <w:top w:val="single" w:sz="12" w:space="0" w:color="000000"/>
              <w:bottom w:val="single" w:sz="12" w:space="0" w:color="000000"/>
              <w:right w:val="single" w:sz="12" w:space="0" w:color="000000"/>
            </w:tcBorders>
          </w:tcPr>
          <w:p>
            <w:pPr>
              <w:pStyle w:val="TAL"/>
              <w:rPr/>
            </w:pPr>
            <w:r>
              <w:rPr/>
              <w:t>-2.86%</w:t>
            </w:r>
          </w:p>
        </w:tc>
      </w:tr>
    </w:tbl>
    <w:p>
      <w:pPr>
        <w:pStyle w:val="Normal"/>
        <w:rPr>
          <w:lang w:eastAsia="ko-KR"/>
        </w:rPr>
      </w:pPr>
      <w:r>
        <w:rPr>
          <w:lang w:eastAsia="ko-KR"/>
        </w:rPr>
      </w:r>
    </w:p>
    <w:p>
      <w:pPr>
        <w:pStyle w:val="Heading4"/>
        <w:ind w:left="1418" w:hanging="1418"/>
        <w:jc w:val="both"/>
        <w:rPr/>
      </w:pPr>
      <w:bookmarkStart w:id="84" w:name="__RefHeading___Toc517445372"/>
      <w:bookmarkEnd w:id="84"/>
      <w:r>
        <w:rPr/>
        <w:t>7.2.1.4</w:t>
        <w:tab/>
        <w:t>First set of additional results</w:t>
      </w:r>
    </w:p>
    <w:p>
      <w:pPr>
        <w:pStyle w:val="Normal"/>
        <w:rPr/>
      </w:pPr>
      <w:r>
        <w:rPr>
          <w:lang w:eastAsia="ko-KR"/>
        </w:rPr>
        <w:t>Additional down-sampled sequences for Class VC-E were tested where the base layer is 960x540 and enhancement layer is class VC-E.</w:t>
      </w:r>
    </w:p>
    <w:p>
      <w:pPr>
        <w:pStyle w:val="Normal"/>
        <w:rPr>
          <w:lang w:eastAsia="ko-KR"/>
        </w:rPr>
      </w:pPr>
      <w:r>
        <w:rPr>
          <w:lang w:eastAsia="ko-KR"/>
        </w:rPr>
        <w:t>With the same RAP aligned test conditions, SHVC has overall 17% BD-rate decrease comparing simulcast when deltaQP is 2, and the max gain can be up to 19.8%.</w:t>
      </w:r>
    </w:p>
    <w:p>
      <w:pPr>
        <w:pStyle w:val="Normal"/>
        <w:rPr/>
      </w:pPr>
      <w:r>
        <w:rPr>
          <w:lang w:eastAsia="ko-KR"/>
        </w:rPr>
        <w:t>With the same non-RAP aligned test conditions, SHVC has overall 18.76% the BD-rate decrease comparing simulcast when deltaQP is 2, and the max gain can be up to 21.2%.</w:t>
      </w:r>
    </w:p>
    <w:p>
      <w:pPr>
        <w:pStyle w:val="TH"/>
        <w:rPr/>
      </w:pPr>
      <w:r>
        <w:rPr/>
        <w:t>Table 29: MMVC IRAP aligned results class-VC_E (BL540P/EL720P)</w:t>
      </w:r>
    </w:p>
    <w:tbl>
      <w:tblPr>
        <w:tblW w:w="9018" w:type="dxa"/>
        <w:jc w:val="center"/>
        <w:tblInd w:w="0" w:type="dxa"/>
        <w:tblLayout w:type="fixed"/>
        <w:tblCellMar>
          <w:top w:w="0" w:type="dxa"/>
          <w:left w:w="108" w:type="dxa"/>
          <w:bottom w:w="0" w:type="dxa"/>
          <w:right w:w="108" w:type="dxa"/>
        </w:tblCellMar>
      </w:tblPr>
      <w:tblGrid>
        <w:gridCol w:w="4068"/>
        <w:gridCol w:w="1170"/>
        <w:gridCol w:w="1260"/>
        <w:gridCol w:w="1260"/>
        <w:gridCol w:w="1260"/>
      </w:tblGrid>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495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1.5x spatial scalability (Class-VC_E)</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17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FourPeople</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-11.6%</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-6.6%</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-5.1%</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Johnny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-7.3%</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-0.3%</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1.9%</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KristenAndSara</w:t>
            </w:r>
          </w:p>
        </w:tc>
        <w:tc>
          <w:tcPr>
            <w:tcW w:w="1170"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-12.1%</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-9.3%</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-8.2%</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170" w:type="dxa"/>
            <w:tcBorders>
              <w:top w:val="single" w:sz="12" w:space="0" w:color="000000"/>
              <w:bottom w:val="single" w:sz="12" w:space="0" w:color="000000"/>
            </w:tcBorders>
          </w:tcPr>
          <w:p>
            <w:pPr>
              <w:pStyle w:val="TAL"/>
              <w:snapToGrid w:val="false"/>
              <w:rPr>
                <w:b/>
                <w:b/>
                <w:lang w:eastAsia="ko-KR"/>
              </w:rPr>
            </w:pPr>
            <w:r>
              <w:rPr>
                <w:b/>
                <w:lang w:eastAsia="ko-KR"/>
              </w:rPr>
            </w:r>
          </w:p>
        </w:tc>
        <w:tc>
          <w:tcPr>
            <w:tcW w:w="1260" w:type="dxa"/>
            <w:tcBorders>
              <w:top w:val="single" w:sz="12" w:space="0" w:color="000000"/>
              <w:bottom w:val="single" w:sz="12" w:space="0" w:color="000000"/>
            </w:tcBorders>
          </w:tcPr>
          <w:p>
            <w:pPr>
              <w:pStyle w:val="TAL"/>
              <w:rPr/>
            </w:pPr>
            <w:r>
              <w:rPr/>
              <w:t>-10.33%</w:t>
            </w:r>
          </w:p>
        </w:tc>
        <w:tc>
          <w:tcPr>
            <w:tcW w:w="1260" w:type="dxa"/>
            <w:tcBorders>
              <w:top w:val="single" w:sz="12" w:space="0" w:color="000000"/>
              <w:bottom w:val="single" w:sz="12" w:space="0" w:color="000000"/>
            </w:tcBorders>
          </w:tcPr>
          <w:p>
            <w:pPr>
              <w:pStyle w:val="TAL"/>
              <w:rPr/>
            </w:pPr>
            <w:r>
              <w:rPr/>
              <w:t>-5.4%</w:t>
            </w:r>
          </w:p>
        </w:tc>
        <w:tc>
          <w:tcPr>
            <w:tcW w:w="1260" w:type="dxa"/>
            <w:tcBorders>
              <w:top w:val="single" w:sz="12" w:space="0" w:color="000000"/>
              <w:bottom w:val="single" w:sz="12" w:space="0" w:color="000000"/>
              <w:right w:val="single" w:sz="12" w:space="0" w:color="000000"/>
            </w:tcBorders>
          </w:tcPr>
          <w:p>
            <w:pPr>
              <w:pStyle w:val="TAL"/>
              <w:rPr/>
            </w:pPr>
            <w:r>
              <w:rPr/>
              <w:t>-3.8%</w:t>
            </w:r>
          </w:p>
        </w:tc>
      </w:tr>
      <w:tr>
        <w:trPr/>
        <w:tc>
          <w:tcPr>
            <w:tcW w:w="4068"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FourPeople</w:t>
            </w:r>
          </w:p>
        </w:tc>
        <w:tc>
          <w:tcPr>
            <w:tcW w:w="1170"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-17.4%</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-16.5%</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-16.7%</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Johnny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-13.8%</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-13.6%</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-15.6%</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KristenAndSara</w:t>
            </w:r>
          </w:p>
        </w:tc>
        <w:tc>
          <w:tcPr>
            <w:tcW w:w="1170"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-19.8%</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-20.1%</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-22.1%</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170" w:type="dxa"/>
            <w:tcBorders>
              <w:top w:val="single" w:sz="12" w:space="0" w:color="000000"/>
              <w:bottom w:val="single" w:sz="12" w:space="0" w:color="000000"/>
            </w:tcBorders>
          </w:tcPr>
          <w:p>
            <w:pPr>
              <w:pStyle w:val="TAL"/>
              <w:snapToGrid w:val="false"/>
              <w:rPr>
                <w:b/>
                <w:b/>
                <w:lang w:eastAsia="ko-KR"/>
              </w:rPr>
            </w:pPr>
            <w:r>
              <w:rPr>
                <w:b/>
                <w:lang w:eastAsia="ko-KR"/>
              </w:rPr>
            </w:r>
          </w:p>
        </w:tc>
        <w:tc>
          <w:tcPr>
            <w:tcW w:w="1260" w:type="dxa"/>
            <w:tcBorders>
              <w:top w:val="single" w:sz="12" w:space="0" w:color="000000"/>
              <w:bottom w:val="single" w:sz="12" w:space="0" w:color="000000"/>
            </w:tcBorders>
          </w:tcPr>
          <w:p>
            <w:pPr>
              <w:pStyle w:val="TAL"/>
              <w:rPr/>
            </w:pPr>
            <w:r>
              <w:rPr/>
              <w:t>-17%</w:t>
            </w:r>
          </w:p>
        </w:tc>
        <w:tc>
          <w:tcPr>
            <w:tcW w:w="1260" w:type="dxa"/>
            <w:tcBorders>
              <w:top w:val="single" w:sz="12" w:space="0" w:color="000000"/>
              <w:bottom w:val="single" w:sz="12" w:space="0" w:color="000000"/>
            </w:tcBorders>
          </w:tcPr>
          <w:p>
            <w:pPr>
              <w:pStyle w:val="TAL"/>
              <w:rPr/>
            </w:pPr>
            <w:r>
              <w:rPr/>
              <w:t>-16.73%</w:t>
            </w:r>
          </w:p>
        </w:tc>
        <w:tc>
          <w:tcPr>
            <w:tcW w:w="1260" w:type="dxa"/>
            <w:tcBorders>
              <w:top w:val="single" w:sz="12" w:space="0" w:color="000000"/>
              <w:bottom w:val="single" w:sz="12" w:space="0" w:color="000000"/>
              <w:right w:val="single" w:sz="12" w:space="0" w:color="000000"/>
            </w:tcBorders>
          </w:tcPr>
          <w:p>
            <w:pPr>
              <w:pStyle w:val="TAL"/>
              <w:rPr/>
            </w:pPr>
            <w:r>
              <w:rPr/>
              <w:t>-18.13%</w:t>
            </w:r>
          </w:p>
        </w:tc>
      </w:tr>
    </w:tbl>
    <w:p>
      <w:pPr>
        <w:pStyle w:val="Normal"/>
        <w:rPr>
          <w:lang w:eastAsia="ko-KR"/>
        </w:rPr>
      </w:pPr>
      <w:r>
        <w:rPr>
          <w:lang w:eastAsia="ko-KR"/>
        </w:rPr>
      </w:r>
    </w:p>
    <w:p>
      <w:pPr>
        <w:pStyle w:val="TH"/>
        <w:rPr/>
      </w:pPr>
      <w:r>
        <w:rPr/>
        <w:t>Table 30: MMVC IRAP non-aligned results class-VC_E (BL540P/EL720P)</w:t>
      </w:r>
    </w:p>
    <w:tbl>
      <w:tblPr>
        <w:tblW w:w="9018" w:type="dxa"/>
        <w:jc w:val="center"/>
        <w:tblInd w:w="0" w:type="dxa"/>
        <w:tblLayout w:type="fixed"/>
        <w:tblCellMar>
          <w:top w:w="0" w:type="dxa"/>
          <w:left w:w="108" w:type="dxa"/>
          <w:bottom w:w="0" w:type="dxa"/>
          <w:right w:w="108" w:type="dxa"/>
        </w:tblCellMar>
      </w:tblPr>
      <w:tblGrid>
        <w:gridCol w:w="4068"/>
        <w:gridCol w:w="1170"/>
        <w:gridCol w:w="1260"/>
        <w:gridCol w:w="1260"/>
        <w:gridCol w:w="1260"/>
      </w:tblGrid>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495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1.5x spatial scalability (Class-VC_E)</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17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FourPeople</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-13.0%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-9.2%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-7.1%</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Johnny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-9.7%</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-2.6%</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KristenAndSara</w:t>
            </w:r>
          </w:p>
        </w:tc>
        <w:tc>
          <w:tcPr>
            <w:tcW w:w="1170"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-13.7%</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-11.7%</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-10.8%</w:t>
            </w:r>
          </w:p>
        </w:tc>
      </w:tr>
      <w:tr>
        <w:trPr/>
        <w:tc>
          <w:tcPr>
            <w:tcW w:w="4068" w:type="dxa"/>
            <w:tcBorders>
              <w:top w:val="single" w:sz="12" w:space="0" w:color="000000"/>
              <w:left w:val="single" w:sz="12" w:space="0" w:color="000000"/>
              <w:bottom w:val="single" w:sz="12" w:space="0" w:color="000000"/>
            </w:tcBorders>
          </w:tcPr>
          <w:p>
            <w:pPr>
              <w:pStyle w:val="TAL"/>
              <w:rPr/>
            </w:pPr>
            <w:r>
              <w:rPr>
                <w:lang w:eastAsia="ko-KR"/>
              </w:rPr>
              <w:t>Average gain SHVC vs. Simulcast</w:t>
            </w:r>
          </w:p>
        </w:tc>
        <w:tc>
          <w:tcPr>
            <w:tcW w:w="1170" w:type="dxa"/>
            <w:tcBorders>
              <w:top w:val="single" w:sz="12" w:space="0" w:color="000000"/>
              <w:bottom w:val="single" w:sz="12" w:space="0" w:color="000000"/>
            </w:tcBorders>
          </w:tcPr>
          <w:p>
            <w:pPr>
              <w:pStyle w:val="TAL"/>
              <w:snapToGrid w:val="false"/>
              <w:rPr>
                <w:b/>
                <w:b/>
                <w:lang w:eastAsia="ko-KR"/>
              </w:rPr>
            </w:pPr>
            <w:r>
              <w:rPr>
                <w:b/>
                <w:lang w:eastAsia="ko-KR"/>
              </w:rPr>
            </w:r>
          </w:p>
        </w:tc>
        <w:tc>
          <w:tcPr>
            <w:tcW w:w="1260" w:type="dxa"/>
            <w:tcBorders>
              <w:top w:val="single" w:sz="12" w:space="0" w:color="000000"/>
              <w:bottom w:val="single" w:sz="12" w:space="0" w:color="000000"/>
            </w:tcBorders>
          </w:tcPr>
          <w:p>
            <w:pPr>
              <w:pStyle w:val="TAL"/>
              <w:rPr/>
            </w:pPr>
            <w:r>
              <w:rPr/>
              <w:t>-12.13%</w:t>
            </w:r>
          </w:p>
        </w:tc>
        <w:tc>
          <w:tcPr>
            <w:tcW w:w="1260" w:type="dxa"/>
            <w:tcBorders>
              <w:top w:val="single" w:sz="12" w:space="0" w:color="000000"/>
              <w:bottom w:val="single" w:sz="12" w:space="0" w:color="000000"/>
            </w:tcBorders>
          </w:tcPr>
          <w:p>
            <w:pPr>
              <w:pStyle w:val="TAL"/>
              <w:rPr/>
            </w:pPr>
            <w:r>
              <w:rPr/>
              <w:t>-8.5%</w:t>
            </w:r>
          </w:p>
        </w:tc>
        <w:tc>
          <w:tcPr>
            <w:tcW w:w="1260" w:type="dxa"/>
            <w:tcBorders>
              <w:top w:val="single" w:sz="12" w:space="0" w:color="000000"/>
              <w:bottom w:val="single" w:sz="12" w:space="0" w:color="000000"/>
              <w:right w:val="single" w:sz="12" w:space="0" w:color="000000"/>
            </w:tcBorders>
          </w:tcPr>
          <w:p>
            <w:pPr>
              <w:pStyle w:val="TAL"/>
              <w:rPr/>
            </w:pPr>
            <w:r>
              <w:rPr/>
              <w:t>-6.83%</w:t>
            </w:r>
          </w:p>
        </w:tc>
      </w:tr>
      <w:tr>
        <w:trPr/>
        <w:tc>
          <w:tcPr>
            <w:tcW w:w="4068"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FourPeople</w:t>
            </w:r>
          </w:p>
        </w:tc>
        <w:tc>
          <w:tcPr>
            <w:tcW w:w="1170"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-18.8%</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-18.5%</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-18.4%</w:t>
            </w:r>
          </w:p>
        </w:tc>
      </w:tr>
      <w:tr>
        <w:trPr/>
        <w:tc>
          <w:tcPr>
            <w:tcW w:w="40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Johnny</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-16.3%</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-16.7%</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-18.5%</w:t>
            </w:r>
          </w:p>
        </w:tc>
      </w:tr>
      <w:tr>
        <w:trPr/>
        <w:tc>
          <w:tcPr>
            <w:tcW w:w="40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KristenAndSara</w:t>
            </w:r>
          </w:p>
        </w:tc>
        <w:tc>
          <w:tcPr>
            <w:tcW w:w="1170"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-21.2%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-21.7%</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-23.7%</w:t>
            </w:r>
          </w:p>
        </w:tc>
      </w:tr>
      <w:tr>
        <w:trPr/>
        <w:tc>
          <w:tcPr>
            <w:tcW w:w="4068" w:type="dxa"/>
            <w:tcBorders>
              <w:top w:val="single" w:sz="12" w:space="0" w:color="000000"/>
              <w:left w:val="single" w:sz="12" w:space="0" w:color="000000"/>
              <w:bottom w:val="single" w:sz="12" w:space="0" w:color="000000"/>
            </w:tcBorders>
          </w:tcPr>
          <w:p>
            <w:pPr>
              <w:pStyle w:val="TAL"/>
              <w:rPr>
                <w:lang w:eastAsia="ko-KR"/>
              </w:rPr>
            </w:pPr>
            <w:r>
              <w:rPr>
                <w:lang w:eastAsia="ko-KR"/>
              </w:rPr>
              <w:t>Average gain SHVC vs. Simulcast</w:t>
            </w:r>
          </w:p>
        </w:tc>
        <w:tc>
          <w:tcPr>
            <w:tcW w:w="1170" w:type="dxa"/>
            <w:tcBorders>
              <w:top w:val="single" w:sz="12" w:space="0" w:color="000000"/>
              <w:bottom w:val="single" w:sz="12" w:space="0" w:color="000000"/>
            </w:tcBorders>
          </w:tcPr>
          <w:p>
            <w:pPr>
              <w:pStyle w:val="TAL"/>
              <w:snapToGrid w:val="false"/>
              <w:rPr>
                <w:b/>
                <w:b/>
                <w:lang w:eastAsia="ko-KR"/>
              </w:rPr>
            </w:pPr>
            <w:r>
              <w:rPr>
                <w:b/>
                <w:lang w:eastAsia="ko-KR"/>
              </w:rPr>
            </w:r>
          </w:p>
        </w:tc>
        <w:tc>
          <w:tcPr>
            <w:tcW w:w="1260" w:type="dxa"/>
            <w:tcBorders>
              <w:top w:val="single" w:sz="12" w:space="0" w:color="000000"/>
              <w:bottom w:val="single" w:sz="12" w:space="0" w:color="000000"/>
            </w:tcBorders>
          </w:tcPr>
          <w:p>
            <w:pPr>
              <w:pStyle w:val="TAL"/>
              <w:rPr/>
            </w:pPr>
            <w:r>
              <w:rPr/>
              <w:t>-18.76%</w:t>
            </w:r>
          </w:p>
        </w:tc>
        <w:tc>
          <w:tcPr>
            <w:tcW w:w="1260" w:type="dxa"/>
            <w:tcBorders>
              <w:top w:val="single" w:sz="12" w:space="0" w:color="000000"/>
              <w:bottom w:val="single" w:sz="12" w:space="0" w:color="000000"/>
            </w:tcBorders>
          </w:tcPr>
          <w:p>
            <w:pPr>
              <w:pStyle w:val="TAL"/>
              <w:rPr/>
            </w:pPr>
            <w:r>
              <w:rPr/>
              <w:t>-18.96%</w:t>
            </w:r>
          </w:p>
        </w:tc>
        <w:tc>
          <w:tcPr>
            <w:tcW w:w="1260" w:type="dxa"/>
            <w:tcBorders>
              <w:top w:val="single" w:sz="12" w:space="0" w:color="000000"/>
              <w:bottom w:val="single" w:sz="12" w:space="0" w:color="000000"/>
              <w:right w:val="single" w:sz="12" w:space="0" w:color="000000"/>
            </w:tcBorders>
          </w:tcPr>
          <w:p>
            <w:pPr>
              <w:pStyle w:val="TAL"/>
              <w:rPr/>
            </w:pPr>
            <w:r>
              <w:rPr/>
              <w:t>-20.2%</w:t>
            </w:r>
          </w:p>
        </w:tc>
      </w:tr>
    </w:tbl>
    <w:p>
      <w:pPr>
        <w:pStyle w:val="Normal"/>
        <w:rPr/>
      </w:pPr>
      <w:r>
        <w:rPr/>
      </w:r>
    </w:p>
    <w:p>
      <w:pPr>
        <w:pStyle w:val="Heading4"/>
        <w:ind w:left="1418" w:hanging="1418"/>
        <w:jc w:val="both"/>
        <w:rPr/>
      </w:pPr>
      <w:bookmarkStart w:id="85" w:name="__RefHeading___Toc517445373"/>
      <w:bookmarkEnd w:id="85"/>
      <w:r>
        <w:rPr/>
        <w:t>7.2.1.5</w:t>
        <w:tab/>
        <w:t>Second set of additional results</w:t>
      </w:r>
    </w:p>
    <w:p>
      <w:pPr>
        <w:pStyle w:val="Normal"/>
        <w:rPr/>
      </w:pPr>
      <w:r>
        <w:rPr/>
        <w:t>This clause presents additional simulation results for the use case where the previous active speaker sends both medium and thumbnail video, but uses SHVC for encoding. The results show one scenario with 240p resolution thumbnail (i.e., 3x in both width and height relative to the 720p resolution) and another scenario with 360p thumbnail (i.e., 2x in both width and height relative to the 720p resolution).</w:t>
      </w:r>
    </w:p>
    <w:p>
      <w:pPr>
        <w:pStyle w:val="Normal"/>
        <w:rPr/>
      </w:pPr>
      <w:r>
        <w:rPr/>
        <w:t>The Class E test sequences as listed in Table 22 were used for 2x and 3x spatial scalability MMVC tests between the medium-resolution main video and the thumbnail video. For spatial 3x scalable video coding between the medium-resolution main video and the thumbnail video, Class-E (1280x720) sequences were used as the enhancement layer and the corresponding subsampled sequences of 424x240 were used as the base layer. For spatial 2x scalable video coding between the medium-resolution main video and the thumbnail video, Class- E (1280x720) sequences were used as enhancement layer and the corresponding subsampled 640x360 sequences were used as base layer.</w:t>
      </w:r>
    </w:p>
    <w:p>
      <w:pPr>
        <w:pStyle w:val="Normal"/>
        <w:rPr>
          <w:lang w:eastAsia="ko-KR"/>
        </w:rPr>
      </w:pPr>
      <w:r>
        <w:rPr>
          <w:lang w:eastAsia="ko-KR"/>
        </w:rPr>
        <w:t>For both 3x and 2x spatial scalability cases, the QP settings for the base layer were {25, 28, 31, 34}, and the QPs used for the enhancement layer were {27, 30, 33, 36} and {29, 32, 35, 38}, respectively.</w:t>
      </w:r>
    </w:p>
    <w:p>
      <w:pPr>
        <w:pStyle w:val="Normal"/>
        <w:rPr/>
      </w:pPr>
      <w:r>
        <w:rPr>
          <w:lang w:eastAsia="ko-KR"/>
        </w:rPr>
        <w:t>The following test conditions were used for the simulations:</w:t>
      </w:r>
    </w:p>
    <w:p>
      <w:pPr>
        <w:pStyle w:val="B1"/>
        <w:rPr/>
      </w:pPr>
      <w:r>
        <w:rPr>
          <w:lang w:eastAsia="ko-KR"/>
        </w:rPr>
        <w:t>1)</w:t>
        <w:tab/>
        <w:t>The motion vector search range is 64.</w:t>
      </w:r>
    </w:p>
    <w:p>
      <w:pPr>
        <w:pStyle w:val="B1"/>
        <w:rPr/>
      </w:pPr>
      <w:r>
        <w:rPr>
          <w:lang w:eastAsia="ko-KR"/>
        </w:rPr>
        <w:t>2)</w:t>
        <w:tab/>
        <w:t>Up to 2 active temporal reference pictures are used for inter prediction of each coding picture.</w:t>
      </w:r>
    </w:p>
    <w:p>
      <w:pPr>
        <w:pStyle w:val="B1"/>
        <w:rPr/>
      </w:pPr>
      <w:r>
        <w:rPr>
          <w:lang w:eastAsia="ko-KR"/>
        </w:rPr>
        <w:t>3)</w:t>
        <w:tab/>
        <w:t>Cross-layer picture type aligned where the base layer and enhancement layer share the same RAP distance (approximately 2 seconds).</w:t>
      </w:r>
    </w:p>
    <w:p>
      <w:pPr>
        <w:pStyle w:val="Normal"/>
        <w:rPr>
          <w:lang w:eastAsia="ko-KR"/>
        </w:rPr>
      </w:pPr>
      <w:r>
        <w:rPr>
          <w:lang w:eastAsia="ko-KR"/>
        </w:rPr>
        <w:t>The SHM9.0 reference software was used for the simulation.</w:t>
      </w:r>
    </w:p>
    <w:p>
      <w:pPr>
        <w:pStyle w:val="Normal"/>
        <w:rPr/>
      </w:pPr>
      <w:r>
        <w:rPr>
          <w:lang w:eastAsia="ko-KR"/>
        </w:rPr>
        <w:t>For the 3x spatial scalability scenario, SHVC has on average 6.7% uplink BD-rate saving and 13.1% downlink BD-rate cost comparing simulcast. The sequence-specific results are shown in the table below.</w:t>
      </w:r>
    </w:p>
    <w:p>
      <w:pPr>
        <w:pStyle w:val="TH"/>
        <w:rPr/>
      </w:pPr>
      <w:r>
        <w:rPr>
          <w:lang w:eastAsia="ko-KR"/>
        </w:rPr>
        <w:t xml:space="preserve">Table 31: </w:t>
      </w:r>
      <w:r>
        <w:rPr/>
        <w:t>MMVC 3X (720p/240p) spatial scalability results (SHVC vs. simulcast)</w:t>
      </w:r>
    </w:p>
    <w:tbl>
      <w:tblPr>
        <w:tblW w:w="8748" w:type="dxa"/>
        <w:jc w:val="center"/>
        <w:tblInd w:w="0" w:type="dxa"/>
        <w:tblLayout w:type="fixed"/>
        <w:tblCellMar>
          <w:top w:w="0" w:type="dxa"/>
          <w:left w:w="108" w:type="dxa"/>
          <w:bottom w:w="0" w:type="dxa"/>
          <w:right w:w="108" w:type="dxa"/>
        </w:tblCellMar>
      </w:tblPr>
      <w:tblGrid>
        <w:gridCol w:w="2392"/>
        <w:gridCol w:w="3476"/>
        <w:gridCol w:w="2880"/>
      </w:tblGrid>
      <w:tr>
        <w:trPr/>
        <w:tc>
          <w:tcPr>
            <w:tcW w:w="2392" w:type="dxa"/>
            <w:tcBorders>
              <w:top w:val="single" w:sz="12" w:space="0" w:color="000000"/>
              <w:left w:val="single" w:sz="12" w:space="0" w:color="000000"/>
              <w:bottom w:val="single" w:sz="12" w:space="0" w:color="000000"/>
              <w:right w:val="single" w:sz="12" w:space="0" w:color="000000"/>
            </w:tcBorders>
          </w:tcPr>
          <w:p>
            <w:pPr>
              <w:pStyle w:val="TAH"/>
              <w:rPr>
                <w:lang w:eastAsia="ko-KR"/>
              </w:rPr>
            </w:pPr>
            <w:r>
              <w:rPr>
                <w:lang w:eastAsia="ko-KR"/>
              </w:rPr>
              <w:t>Sequences</w:t>
            </w:r>
          </w:p>
        </w:tc>
        <w:tc>
          <w:tcPr>
            <w:tcW w:w="3476" w:type="dxa"/>
            <w:tcBorders>
              <w:top w:val="single" w:sz="12" w:space="0" w:color="000000"/>
              <w:left w:val="single" w:sz="12" w:space="0" w:color="000000"/>
              <w:bottom w:val="single" w:sz="12" w:space="0" w:color="000000"/>
              <w:right w:val="single" w:sz="12" w:space="0" w:color="000000"/>
            </w:tcBorders>
          </w:tcPr>
          <w:p>
            <w:pPr>
              <w:pStyle w:val="TAH"/>
              <w:rPr>
                <w:lang w:eastAsia="ko-KR"/>
              </w:rPr>
            </w:pPr>
            <w:r>
              <w:rPr>
                <w:lang w:eastAsia="ko-KR"/>
              </w:rPr>
              <w:t>Uplink BD-rate saving</w:t>
            </w:r>
          </w:p>
        </w:tc>
        <w:tc>
          <w:tcPr>
            <w:tcW w:w="2880" w:type="dxa"/>
            <w:tcBorders>
              <w:top w:val="single" w:sz="12" w:space="0" w:color="000000"/>
              <w:left w:val="single" w:sz="12" w:space="0" w:color="000000"/>
              <w:bottom w:val="single" w:sz="12" w:space="0" w:color="000000"/>
              <w:right w:val="single" w:sz="12" w:space="0" w:color="000000"/>
            </w:tcBorders>
          </w:tcPr>
          <w:p>
            <w:pPr>
              <w:pStyle w:val="TAH"/>
              <w:rPr>
                <w:lang w:eastAsia="ko-KR"/>
              </w:rPr>
            </w:pPr>
            <w:r>
              <w:rPr>
                <w:lang w:eastAsia="ko-KR"/>
              </w:rPr>
              <w:t>Downlink BD-rate cost</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Kimono</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12%</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13%</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ParkScene</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5%</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12%</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Cactus</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6%</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14%</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pPr>
            <w:r>
              <w:rPr>
                <w:lang w:eastAsia="ko-KR"/>
              </w:rPr>
              <w:t>BasketballDrive</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8%</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12%</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BQTerace</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2%</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14%</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b/>
                <w:b/>
                <w:lang w:eastAsia="ko-KR"/>
              </w:rPr>
            </w:pPr>
            <w:r>
              <w:rPr>
                <w:b/>
                <w:lang w:eastAsia="ko-KR"/>
              </w:rPr>
              <w:t>Average</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b/>
                <w:b/>
                <w:lang w:eastAsia="ko-KR"/>
              </w:rPr>
            </w:pPr>
            <w:r>
              <w:rPr>
                <w:b/>
                <w:lang w:eastAsia="ko-KR"/>
              </w:rPr>
              <w:t>6.7%</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b/>
                <w:b/>
                <w:lang w:eastAsia="ko-KR"/>
              </w:rPr>
            </w:pPr>
            <w:r>
              <w:rPr>
                <w:b/>
                <w:lang w:eastAsia="ko-KR"/>
              </w:rPr>
              <w:t>13.1%</w:t>
            </w:r>
          </w:p>
        </w:tc>
      </w:tr>
    </w:tbl>
    <w:p>
      <w:pPr>
        <w:pStyle w:val="Normal"/>
        <w:rPr>
          <w:lang w:eastAsia="ko-KR"/>
        </w:rPr>
      </w:pPr>
      <w:r>
        <w:rPr>
          <w:lang w:eastAsia="ko-KR"/>
        </w:rPr>
      </w:r>
    </w:p>
    <w:p>
      <w:pPr>
        <w:pStyle w:val="Normal"/>
        <w:rPr>
          <w:lang w:eastAsia="ko-KR"/>
        </w:rPr>
      </w:pPr>
      <w:r>
        <w:rPr>
          <w:lang w:eastAsia="ko-KR"/>
        </w:rPr>
        <w:t>For 2x spatial scalability scenario, SHVC has on average 18.3% uplink BD-rate saving and 19.2% downlink BD-rate cost comparing simulcast. The sequence-specific results are shown in the table below.</w:t>
      </w:r>
    </w:p>
    <w:p>
      <w:pPr>
        <w:pStyle w:val="TH"/>
        <w:rPr/>
      </w:pPr>
      <w:r>
        <w:rPr/>
        <w:t>Table 32: MMVC 2X (720p/360p) spatial scalability results (SHVC vs. simulcast)</w:t>
      </w:r>
    </w:p>
    <w:tbl>
      <w:tblPr>
        <w:tblW w:w="8748" w:type="dxa"/>
        <w:jc w:val="center"/>
        <w:tblInd w:w="0" w:type="dxa"/>
        <w:tblLayout w:type="fixed"/>
        <w:tblCellMar>
          <w:top w:w="0" w:type="dxa"/>
          <w:left w:w="108" w:type="dxa"/>
          <w:bottom w:w="0" w:type="dxa"/>
          <w:right w:w="108" w:type="dxa"/>
        </w:tblCellMar>
      </w:tblPr>
      <w:tblGrid>
        <w:gridCol w:w="2392"/>
        <w:gridCol w:w="3476"/>
        <w:gridCol w:w="2880"/>
      </w:tblGrid>
      <w:tr>
        <w:trPr/>
        <w:tc>
          <w:tcPr>
            <w:tcW w:w="2392" w:type="dxa"/>
            <w:tcBorders>
              <w:top w:val="single" w:sz="12" w:space="0" w:color="000000"/>
              <w:left w:val="single" w:sz="12" w:space="0" w:color="000000"/>
              <w:bottom w:val="single" w:sz="12" w:space="0" w:color="000000"/>
              <w:right w:val="single" w:sz="12" w:space="0" w:color="000000"/>
            </w:tcBorders>
          </w:tcPr>
          <w:p>
            <w:pPr>
              <w:pStyle w:val="TAH"/>
              <w:rPr>
                <w:lang w:eastAsia="ko-KR"/>
              </w:rPr>
            </w:pPr>
            <w:r>
              <w:rPr>
                <w:lang w:eastAsia="ko-KR"/>
              </w:rPr>
              <w:t>Sequences</w:t>
            </w:r>
          </w:p>
        </w:tc>
        <w:tc>
          <w:tcPr>
            <w:tcW w:w="3476" w:type="dxa"/>
            <w:tcBorders>
              <w:top w:val="single" w:sz="12" w:space="0" w:color="000000"/>
              <w:left w:val="single" w:sz="12" w:space="0" w:color="000000"/>
              <w:bottom w:val="single" w:sz="12" w:space="0" w:color="000000"/>
              <w:right w:val="single" w:sz="12" w:space="0" w:color="000000"/>
            </w:tcBorders>
          </w:tcPr>
          <w:p>
            <w:pPr>
              <w:pStyle w:val="TAH"/>
              <w:rPr>
                <w:lang w:eastAsia="ko-KR"/>
              </w:rPr>
            </w:pPr>
            <w:r>
              <w:rPr>
                <w:lang w:eastAsia="ko-KR"/>
              </w:rPr>
              <w:t>Uplink BD-rate saving</w:t>
            </w:r>
          </w:p>
        </w:tc>
        <w:tc>
          <w:tcPr>
            <w:tcW w:w="2880" w:type="dxa"/>
            <w:tcBorders>
              <w:top w:val="single" w:sz="12" w:space="0" w:color="000000"/>
              <w:left w:val="single" w:sz="12" w:space="0" w:color="000000"/>
              <w:bottom w:val="single" w:sz="12" w:space="0" w:color="000000"/>
              <w:right w:val="single" w:sz="12" w:space="0" w:color="000000"/>
            </w:tcBorders>
          </w:tcPr>
          <w:p>
            <w:pPr>
              <w:pStyle w:val="TAH"/>
              <w:rPr>
                <w:lang w:eastAsia="ko-KR"/>
              </w:rPr>
            </w:pPr>
            <w:r>
              <w:rPr>
                <w:lang w:eastAsia="ko-KR"/>
              </w:rPr>
              <w:t>Downlink BD-rate cost</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Kimono</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28%</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12%</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ParkScene</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17%</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20%</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Cactus</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18%</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20%</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BasketballDrive</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20%</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14%</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lang w:eastAsia="ko-KR"/>
              </w:rPr>
            </w:pPr>
            <w:r>
              <w:rPr>
                <w:lang w:eastAsia="ko-KR"/>
              </w:rPr>
              <w:t>BQTerace</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9%</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lang w:eastAsia="ko-KR"/>
              </w:rPr>
            </w:pPr>
            <w:r>
              <w:rPr>
                <w:lang w:eastAsia="ko-KR"/>
              </w:rPr>
              <w:t>30%</w:t>
            </w:r>
          </w:p>
        </w:tc>
      </w:tr>
      <w:tr>
        <w:trPr/>
        <w:tc>
          <w:tcPr>
            <w:tcW w:w="2392" w:type="dxa"/>
            <w:tcBorders>
              <w:top w:val="single" w:sz="12" w:space="0" w:color="000000"/>
              <w:left w:val="single" w:sz="12" w:space="0" w:color="000000"/>
              <w:bottom w:val="single" w:sz="12" w:space="0" w:color="000000"/>
              <w:right w:val="single" w:sz="12" w:space="0" w:color="000000"/>
            </w:tcBorders>
          </w:tcPr>
          <w:p>
            <w:pPr>
              <w:pStyle w:val="TAL"/>
              <w:rPr>
                <w:b/>
                <w:b/>
                <w:lang w:eastAsia="ko-KR"/>
              </w:rPr>
            </w:pPr>
            <w:r>
              <w:rPr>
                <w:b/>
                <w:lang w:eastAsia="ko-KR"/>
              </w:rPr>
              <w:t>Average</w:t>
            </w:r>
          </w:p>
        </w:tc>
        <w:tc>
          <w:tcPr>
            <w:tcW w:w="3476" w:type="dxa"/>
            <w:tcBorders>
              <w:top w:val="single" w:sz="12" w:space="0" w:color="000000"/>
              <w:left w:val="single" w:sz="12" w:space="0" w:color="000000"/>
              <w:bottom w:val="single" w:sz="12" w:space="0" w:color="000000"/>
              <w:right w:val="single" w:sz="12" w:space="0" w:color="000000"/>
            </w:tcBorders>
          </w:tcPr>
          <w:p>
            <w:pPr>
              <w:pStyle w:val="TAC"/>
              <w:rPr>
                <w:b/>
                <w:b/>
                <w:lang w:eastAsia="ko-KR"/>
              </w:rPr>
            </w:pPr>
            <w:r>
              <w:rPr>
                <w:b/>
                <w:lang w:eastAsia="ko-KR"/>
              </w:rPr>
              <w:t>18.3%</w:t>
            </w:r>
          </w:p>
        </w:tc>
        <w:tc>
          <w:tcPr>
            <w:tcW w:w="2880" w:type="dxa"/>
            <w:tcBorders>
              <w:top w:val="single" w:sz="12" w:space="0" w:color="000000"/>
              <w:left w:val="single" w:sz="12" w:space="0" w:color="000000"/>
              <w:bottom w:val="single" w:sz="12" w:space="0" w:color="000000"/>
              <w:right w:val="single" w:sz="12" w:space="0" w:color="000000"/>
            </w:tcBorders>
          </w:tcPr>
          <w:p>
            <w:pPr>
              <w:pStyle w:val="TAC"/>
              <w:rPr>
                <w:b/>
                <w:b/>
                <w:lang w:eastAsia="ko-KR"/>
              </w:rPr>
            </w:pPr>
            <w:r>
              <w:rPr>
                <w:b/>
                <w:lang w:eastAsia="ko-KR"/>
              </w:rPr>
              <w:t>19.2%</w:t>
            </w:r>
          </w:p>
        </w:tc>
      </w:tr>
    </w:tbl>
    <w:p>
      <w:pPr>
        <w:pStyle w:val="Normal"/>
        <w:rPr>
          <w:lang w:eastAsia="ko-KR"/>
        </w:rPr>
      </w:pPr>
      <w:r>
        <w:rPr>
          <w:lang w:eastAsia="ko-KR"/>
        </w:rPr>
      </w:r>
    </w:p>
    <w:p>
      <w:pPr>
        <w:pStyle w:val="Normal"/>
        <w:rPr/>
      </w:pPr>
      <w:r>
        <w:rPr>
          <w:lang w:eastAsia="ko-KR"/>
        </w:rPr>
        <w:t>Even though the bandwidth saving using SHVC for 3x ratio is less than that for 2x ratio, further investigation shows that the total uplink bandwidth usage between 2x and 3x is quite similar when SHVC is used.</w:t>
      </w:r>
    </w:p>
    <w:p>
      <w:pPr>
        <w:pStyle w:val="Normal"/>
        <w:rPr/>
      </w:pPr>
      <w:r>
        <w:rPr>
          <w:lang w:eastAsia="ko-KR"/>
        </w:rPr>
        <w:t>Table 33 illustrates the details of the base layer (BL) bitrate, enhancement layer (EL) bitrate, BL quality and EL quality between 2x and 3x spatial scalability. It shows that the enhancement layer (720P) picture quality is almost the same (0.14 dB difference) for 2x and 3x scalability. Further, the overall bitrates of both layers are also approximately the same (1.57% difference) between 2x and 3x scalability. In other words, SHVC may be used as a tool by the previous active speaker (B) to provide higher resolution thumbnail (360p) instead of low resolution thumbnail (240p) at similar quality and similar uplink bandwidth.</w:t>
      </w:r>
    </w:p>
    <w:p>
      <w:pPr>
        <w:pStyle w:val="TH"/>
        <w:rPr/>
      </w:pPr>
      <w:r>
        <w:rPr/>
        <w:t>Table 33: MMVC 2X (720p/360p) vs. 3X (720p/240p) comparison</w:t>
      </w:r>
    </w:p>
    <w:tbl>
      <w:tblPr>
        <w:tblW w:w="10342" w:type="dxa"/>
        <w:jc w:val="center"/>
        <w:tblInd w:w="0" w:type="dxa"/>
        <w:tblLayout w:type="fixed"/>
        <w:tblCellMar>
          <w:top w:w="0" w:type="dxa"/>
          <w:left w:w="108" w:type="dxa"/>
          <w:bottom w:w="0" w:type="dxa"/>
          <w:right w:w="108" w:type="dxa"/>
        </w:tblCellMar>
      </w:tblPr>
      <w:tblGrid>
        <w:gridCol w:w="1097"/>
        <w:gridCol w:w="477"/>
        <w:gridCol w:w="477"/>
        <w:gridCol w:w="873"/>
        <w:gridCol w:w="767"/>
        <w:gridCol w:w="874"/>
        <w:gridCol w:w="717"/>
        <w:gridCol w:w="867"/>
        <w:gridCol w:w="867"/>
        <w:gridCol w:w="867"/>
        <w:gridCol w:w="717"/>
        <w:gridCol w:w="896"/>
        <w:gridCol w:w="846"/>
      </w:tblGrid>
      <w:tr>
        <w:trPr>
          <w:trHeight w:val="330" w:hRule="atLeast"/>
        </w:trPr>
        <w:tc>
          <w:tcPr>
            <w:tcW w:w="1097" w:type="dxa"/>
            <w:tcBorders>
              <w:top w:val="single" w:sz="8" w:space="0" w:color="000000"/>
              <w:left w:val="single" w:sz="8" w:space="0" w:color="000000"/>
              <w:bottom w:val="single" w:sz="8" w:space="0" w:color="000000"/>
            </w:tcBorders>
            <w:vAlign w:val="bottom"/>
          </w:tcPr>
          <w:p>
            <w:pPr>
              <w:pStyle w:val="TAH"/>
              <w:snapToGrid w:val="false"/>
              <w:rPr>
                <w:lang w:val="fr-FR"/>
              </w:rPr>
            </w:pPr>
            <w:r>
              <w:rPr>
                <w:lang w:val="fr-FR"/>
              </w:rPr>
            </w:r>
          </w:p>
        </w:tc>
        <w:tc>
          <w:tcPr>
            <w:tcW w:w="477" w:type="dxa"/>
            <w:tcBorders>
              <w:top w:val="single" w:sz="8" w:space="0" w:color="000000"/>
              <w:left w:val="single" w:sz="8" w:space="0" w:color="000000"/>
              <w:bottom w:val="single" w:sz="8" w:space="0" w:color="000000"/>
              <w:right w:val="single" w:sz="8" w:space="0" w:color="000000"/>
            </w:tcBorders>
            <w:vAlign w:val="bottom"/>
          </w:tcPr>
          <w:p>
            <w:pPr>
              <w:pStyle w:val="TAH"/>
              <w:snapToGrid w:val="false"/>
              <w:rPr>
                <w:lang w:val="fr-FR"/>
              </w:rPr>
            </w:pPr>
            <w:r>
              <w:rPr>
                <w:lang w:val="fr-FR"/>
              </w:rPr>
            </w:r>
          </w:p>
        </w:tc>
        <w:tc>
          <w:tcPr>
            <w:tcW w:w="477" w:type="dxa"/>
            <w:tcBorders>
              <w:top w:val="single" w:sz="8" w:space="0" w:color="000000"/>
              <w:bottom w:val="single" w:sz="8" w:space="0" w:color="000000"/>
              <w:right w:val="single" w:sz="8" w:space="0" w:color="000000"/>
            </w:tcBorders>
            <w:vAlign w:val="bottom"/>
          </w:tcPr>
          <w:p>
            <w:pPr>
              <w:pStyle w:val="TAH"/>
              <w:snapToGrid w:val="false"/>
              <w:rPr>
                <w:lang w:val="fr-FR"/>
              </w:rPr>
            </w:pPr>
            <w:r>
              <w:rPr>
                <w:lang w:val="fr-FR"/>
              </w:rPr>
            </w:r>
          </w:p>
        </w:tc>
        <w:tc>
          <w:tcPr>
            <w:tcW w:w="3231" w:type="dxa"/>
            <w:gridSpan w:val="4"/>
            <w:tcBorders>
              <w:top w:val="single" w:sz="8" w:space="0" w:color="000000"/>
              <w:left w:val="single" w:sz="8" w:space="0" w:color="000000"/>
              <w:bottom w:val="single" w:sz="8" w:space="0" w:color="000000"/>
              <w:right w:val="single" w:sz="8" w:space="0" w:color="000000"/>
            </w:tcBorders>
            <w:vAlign w:val="bottom"/>
          </w:tcPr>
          <w:p>
            <w:pPr>
              <w:pStyle w:val="TAH"/>
              <w:rPr/>
            </w:pPr>
            <w:r>
              <w:rPr/>
              <w:t>3x (reference)</w:t>
            </w:r>
          </w:p>
        </w:tc>
        <w:tc>
          <w:tcPr>
            <w:tcW w:w="3318" w:type="dxa"/>
            <w:gridSpan w:val="4"/>
            <w:tcBorders>
              <w:top w:val="single" w:sz="8" w:space="0" w:color="000000"/>
              <w:bottom w:val="single" w:sz="8" w:space="0" w:color="000000"/>
              <w:right w:val="single" w:sz="8" w:space="0" w:color="000000"/>
            </w:tcBorders>
            <w:vAlign w:val="bottom"/>
          </w:tcPr>
          <w:p>
            <w:pPr>
              <w:pStyle w:val="TAH"/>
              <w:rPr/>
            </w:pPr>
            <w:r>
              <w:rPr/>
              <w:t>2x</w:t>
            </w:r>
          </w:p>
        </w:tc>
        <w:tc>
          <w:tcPr>
            <w:tcW w:w="1742" w:type="dxa"/>
            <w:gridSpan w:val="2"/>
            <w:tcBorders>
              <w:top w:val="single" w:sz="8" w:space="0" w:color="000000"/>
              <w:bottom w:val="single" w:sz="8" w:space="0" w:color="000000"/>
              <w:right w:val="single" w:sz="8" w:space="0" w:color="000000"/>
            </w:tcBorders>
            <w:vAlign w:val="bottom"/>
          </w:tcPr>
          <w:p>
            <w:pPr>
              <w:pStyle w:val="TAH"/>
              <w:snapToGrid w:val="false"/>
              <w:rPr/>
            </w:pPr>
            <w:r>
              <w:rPr/>
            </w:r>
          </w:p>
        </w:tc>
      </w:tr>
      <w:tr>
        <w:trPr>
          <w:trHeight w:val="690" w:hRule="atLeast"/>
        </w:trPr>
        <w:tc>
          <w:tcPr>
            <w:tcW w:w="1097" w:type="dxa"/>
            <w:tcBorders>
              <w:left w:val="single" w:sz="8" w:space="0" w:color="000000"/>
            </w:tcBorders>
            <w:vAlign w:val="bottom"/>
          </w:tcPr>
          <w:p>
            <w:pPr>
              <w:pStyle w:val="TAH"/>
              <w:snapToGrid w:val="false"/>
              <w:rPr>
                <w:szCs w:val="18"/>
              </w:rPr>
            </w:pPr>
            <w:r>
              <w:rPr>
                <w:szCs w:val="18"/>
              </w:rPr>
            </w:r>
          </w:p>
          <w:p>
            <w:pPr>
              <w:pStyle w:val="TAH"/>
              <w:rPr>
                <w:szCs w:val="18"/>
              </w:rPr>
            </w:pPr>
            <w:r>
              <w:rPr>
                <w:szCs w:val="18"/>
              </w:rPr>
            </w:r>
          </w:p>
        </w:tc>
        <w:tc>
          <w:tcPr>
            <w:tcW w:w="477" w:type="dxa"/>
            <w:tcBorders>
              <w:left w:val="single" w:sz="8" w:space="0" w:color="000000"/>
              <w:right w:val="single" w:sz="8" w:space="0" w:color="000000"/>
            </w:tcBorders>
            <w:vAlign w:val="bottom"/>
          </w:tcPr>
          <w:p>
            <w:pPr>
              <w:pStyle w:val="TAH"/>
              <w:rPr>
                <w:szCs w:val="18"/>
              </w:rPr>
            </w:pPr>
            <w:r>
              <w:rPr>
                <w:szCs w:val="18"/>
              </w:rPr>
              <w:t>BL</w:t>
            </w:r>
          </w:p>
          <w:p>
            <w:pPr>
              <w:pStyle w:val="TAH"/>
              <w:rPr>
                <w:szCs w:val="18"/>
              </w:rPr>
            </w:pPr>
            <w:r>
              <w:rPr>
                <w:szCs w:val="18"/>
              </w:rPr>
              <w:t>QP</w:t>
            </w:r>
          </w:p>
        </w:tc>
        <w:tc>
          <w:tcPr>
            <w:tcW w:w="477" w:type="dxa"/>
            <w:tcBorders/>
            <w:vAlign w:val="bottom"/>
          </w:tcPr>
          <w:p>
            <w:pPr>
              <w:pStyle w:val="TAH"/>
              <w:rPr>
                <w:szCs w:val="18"/>
              </w:rPr>
            </w:pPr>
            <w:r>
              <w:rPr>
                <w:szCs w:val="18"/>
              </w:rPr>
              <w:t>EL</w:t>
            </w:r>
          </w:p>
          <w:p>
            <w:pPr>
              <w:pStyle w:val="TAH"/>
              <w:rPr>
                <w:szCs w:val="18"/>
              </w:rPr>
            </w:pPr>
            <w:r>
              <w:rPr>
                <w:szCs w:val="18"/>
              </w:rPr>
              <w:t>QP</w:t>
            </w:r>
          </w:p>
        </w:tc>
        <w:tc>
          <w:tcPr>
            <w:tcW w:w="873" w:type="dxa"/>
            <w:tcBorders>
              <w:left w:val="single" w:sz="8" w:space="0" w:color="000000"/>
            </w:tcBorders>
            <w:vAlign w:val="bottom"/>
          </w:tcPr>
          <w:p>
            <w:pPr>
              <w:pStyle w:val="TAH"/>
              <w:rPr>
                <w:szCs w:val="18"/>
              </w:rPr>
            </w:pPr>
            <w:r>
              <w:rPr>
                <w:szCs w:val="18"/>
              </w:rPr>
              <w:t>EL rate</w:t>
            </w:r>
          </w:p>
          <w:p>
            <w:pPr>
              <w:pStyle w:val="TAH"/>
              <w:rPr>
                <w:szCs w:val="18"/>
              </w:rPr>
            </w:pPr>
            <w:r>
              <w:rPr>
                <w:szCs w:val="18"/>
              </w:rPr>
              <w:t>kbps</w:t>
            </w:r>
          </w:p>
        </w:tc>
        <w:tc>
          <w:tcPr>
            <w:tcW w:w="767" w:type="dxa"/>
            <w:tcBorders/>
            <w:vAlign w:val="bottom"/>
          </w:tcPr>
          <w:p>
            <w:pPr>
              <w:pStyle w:val="TAH"/>
              <w:rPr>
                <w:szCs w:val="18"/>
              </w:rPr>
            </w:pPr>
            <w:r>
              <w:rPr>
                <w:szCs w:val="18"/>
              </w:rPr>
              <w:t>BL rate</w:t>
            </w:r>
          </w:p>
          <w:p>
            <w:pPr>
              <w:pStyle w:val="TAH"/>
              <w:rPr>
                <w:szCs w:val="18"/>
              </w:rPr>
            </w:pPr>
            <w:r>
              <w:rPr>
                <w:szCs w:val="18"/>
              </w:rPr>
              <w:t>kbps</w:t>
            </w:r>
          </w:p>
        </w:tc>
        <w:tc>
          <w:tcPr>
            <w:tcW w:w="874" w:type="dxa"/>
            <w:tcBorders/>
            <w:vAlign w:val="bottom"/>
          </w:tcPr>
          <w:p>
            <w:pPr>
              <w:pStyle w:val="TAH"/>
              <w:rPr>
                <w:szCs w:val="18"/>
              </w:rPr>
            </w:pPr>
            <w:r>
              <w:rPr>
                <w:szCs w:val="18"/>
              </w:rPr>
              <w:t>EL+BL</w:t>
            </w:r>
          </w:p>
          <w:p>
            <w:pPr>
              <w:pStyle w:val="TAH"/>
              <w:rPr>
                <w:szCs w:val="18"/>
              </w:rPr>
            </w:pPr>
            <w:r>
              <w:rPr>
                <w:szCs w:val="18"/>
              </w:rPr>
              <w:t>rate</w:t>
            </w:r>
          </w:p>
        </w:tc>
        <w:tc>
          <w:tcPr>
            <w:tcW w:w="717" w:type="dxa"/>
            <w:tcBorders>
              <w:left w:val="single" w:sz="8" w:space="0" w:color="000000"/>
              <w:right w:val="single" w:sz="8" w:space="0" w:color="000000"/>
            </w:tcBorders>
            <w:vAlign w:val="bottom"/>
          </w:tcPr>
          <w:p>
            <w:pPr>
              <w:pStyle w:val="TAH"/>
              <w:rPr>
                <w:szCs w:val="18"/>
              </w:rPr>
            </w:pPr>
            <w:r>
              <w:rPr>
                <w:szCs w:val="18"/>
              </w:rPr>
              <w:t>EL PSNR</w:t>
            </w:r>
          </w:p>
        </w:tc>
        <w:tc>
          <w:tcPr>
            <w:tcW w:w="867" w:type="dxa"/>
            <w:tcBorders/>
            <w:vAlign w:val="bottom"/>
          </w:tcPr>
          <w:p>
            <w:pPr>
              <w:pStyle w:val="TAH"/>
              <w:rPr>
                <w:szCs w:val="18"/>
              </w:rPr>
            </w:pPr>
            <w:r>
              <w:rPr>
                <w:szCs w:val="18"/>
              </w:rPr>
              <w:t>EL rate</w:t>
            </w:r>
          </w:p>
          <w:p>
            <w:pPr>
              <w:pStyle w:val="TAH"/>
              <w:rPr>
                <w:szCs w:val="18"/>
              </w:rPr>
            </w:pPr>
            <w:r>
              <w:rPr>
                <w:rFonts w:eastAsia="Arial"/>
                <w:szCs w:val="18"/>
              </w:rPr>
              <w:t xml:space="preserve"> </w:t>
            </w:r>
            <w:r>
              <w:rPr>
                <w:szCs w:val="18"/>
              </w:rPr>
              <w:t>kbps</w:t>
            </w:r>
          </w:p>
        </w:tc>
        <w:tc>
          <w:tcPr>
            <w:tcW w:w="867" w:type="dxa"/>
            <w:tcBorders/>
            <w:vAlign w:val="bottom"/>
          </w:tcPr>
          <w:p>
            <w:pPr>
              <w:pStyle w:val="TAH"/>
              <w:rPr>
                <w:szCs w:val="18"/>
              </w:rPr>
            </w:pPr>
            <w:r>
              <w:rPr>
                <w:szCs w:val="18"/>
              </w:rPr>
              <w:t>BL rate</w:t>
            </w:r>
          </w:p>
          <w:p>
            <w:pPr>
              <w:pStyle w:val="TAH"/>
              <w:rPr>
                <w:szCs w:val="18"/>
              </w:rPr>
            </w:pPr>
            <w:r>
              <w:rPr>
                <w:szCs w:val="18"/>
              </w:rPr>
              <w:t>kbps</w:t>
            </w:r>
          </w:p>
        </w:tc>
        <w:tc>
          <w:tcPr>
            <w:tcW w:w="867" w:type="dxa"/>
            <w:tcBorders/>
            <w:vAlign w:val="bottom"/>
          </w:tcPr>
          <w:p>
            <w:pPr>
              <w:pStyle w:val="TAH"/>
              <w:rPr>
                <w:szCs w:val="18"/>
              </w:rPr>
            </w:pPr>
            <w:r>
              <w:rPr>
                <w:szCs w:val="18"/>
              </w:rPr>
              <w:t>EL+BL</w:t>
            </w:r>
          </w:p>
          <w:p>
            <w:pPr>
              <w:pStyle w:val="TAH"/>
              <w:rPr>
                <w:szCs w:val="18"/>
              </w:rPr>
            </w:pPr>
            <w:r>
              <w:rPr>
                <w:szCs w:val="18"/>
              </w:rPr>
              <w:t>rate</w:t>
            </w:r>
          </w:p>
        </w:tc>
        <w:tc>
          <w:tcPr>
            <w:tcW w:w="717" w:type="dxa"/>
            <w:tcBorders>
              <w:left w:val="single" w:sz="8" w:space="0" w:color="000000"/>
            </w:tcBorders>
            <w:vAlign w:val="bottom"/>
          </w:tcPr>
          <w:p>
            <w:pPr>
              <w:pStyle w:val="TAH"/>
              <w:rPr>
                <w:szCs w:val="18"/>
              </w:rPr>
            </w:pPr>
            <w:r>
              <w:rPr>
                <w:szCs w:val="18"/>
              </w:rPr>
              <w:t>EL</w:t>
            </w:r>
          </w:p>
          <w:p>
            <w:pPr>
              <w:pStyle w:val="TAH"/>
              <w:rPr>
                <w:szCs w:val="18"/>
              </w:rPr>
            </w:pPr>
            <w:r>
              <w:rPr>
                <w:szCs w:val="18"/>
              </w:rPr>
              <w:t>PSNR</w:t>
            </w:r>
          </w:p>
        </w:tc>
        <w:tc>
          <w:tcPr>
            <w:tcW w:w="896" w:type="dxa"/>
            <w:tcBorders>
              <w:left w:val="single" w:sz="8" w:space="0" w:color="000000"/>
              <w:right w:val="single" w:sz="8" w:space="0" w:color="000000"/>
            </w:tcBorders>
            <w:vAlign w:val="bottom"/>
          </w:tcPr>
          <w:p>
            <w:pPr>
              <w:pStyle w:val="TAH"/>
              <w:rPr/>
            </w:pPr>
            <w:r>
              <w:rPr>
                <w:szCs w:val="18"/>
              </w:rPr>
              <w:t>Total</w:t>
            </w:r>
          </w:p>
          <w:p>
            <w:pPr>
              <w:pStyle w:val="TAH"/>
              <w:rPr>
                <w:szCs w:val="18"/>
              </w:rPr>
            </w:pPr>
            <w:r>
              <w:rPr>
                <w:szCs w:val="18"/>
              </w:rPr>
              <w:t>Δbitrate</w:t>
            </w:r>
          </w:p>
        </w:tc>
        <w:tc>
          <w:tcPr>
            <w:tcW w:w="846" w:type="dxa"/>
            <w:tcBorders>
              <w:right w:val="single" w:sz="8" w:space="0" w:color="000000"/>
            </w:tcBorders>
            <w:vAlign w:val="bottom"/>
          </w:tcPr>
          <w:p>
            <w:pPr>
              <w:pStyle w:val="TAH"/>
              <w:rPr>
                <w:szCs w:val="18"/>
              </w:rPr>
            </w:pPr>
            <w:r>
              <w:rPr>
                <w:szCs w:val="18"/>
              </w:rPr>
              <w:t>EL</w:t>
            </w:r>
          </w:p>
          <w:p>
            <w:pPr>
              <w:pStyle w:val="TAH"/>
              <w:rPr>
                <w:szCs w:val="18"/>
              </w:rPr>
            </w:pPr>
            <w:r>
              <w:rPr>
                <w:szCs w:val="18"/>
              </w:rPr>
              <w:t>ΔPSNR</w:t>
            </w:r>
          </w:p>
        </w:tc>
      </w:tr>
      <w:tr>
        <w:trPr>
          <w:trHeight w:val="315" w:hRule="atLeast"/>
        </w:trPr>
        <w:tc>
          <w:tcPr>
            <w:tcW w:w="1097" w:type="dxa"/>
            <w:vMerge w:val="restart"/>
            <w:tcBorders>
              <w:top w:val="single" w:sz="8" w:space="0" w:color="000000"/>
              <w:left w:val="single" w:sz="8" w:space="0" w:color="000000"/>
            </w:tcBorders>
            <w:vAlign w:val="bottom"/>
          </w:tcPr>
          <w:p>
            <w:pPr>
              <w:pStyle w:val="TAC"/>
              <w:rPr/>
            </w:pPr>
            <w:r>
              <w:rPr/>
              <w:t>Kimono</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tc>
        <w:tc>
          <w:tcPr>
            <w:tcW w:w="477" w:type="dxa"/>
            <w:tcBorders>
              <w:top w:val="single" w:sz="8" w:space="0" w:color="000000"/>
              <w:left w:val="single" w:sz="8" w:space="0" w:color="000000"/>
              <w:right w:val="single" w:sz="8" w:space="0" w:color="000000"/>
            </w:tcBorders>
            <w:vAlign w:val="bottom"/>
          </w:tcPr>
          <w:p>
            <w:pPr>
              <w:pStyle w:val="TAC"/>
              <w:rPr/>
            </w:pPr>
            <w:r>
              <w:rPr/>
              <w:t>25</w:t>
            </w:r>
          </w:p>
        </w:tc>
        <w:tc>
          <w:tcPr>
            <w:tcW w:w="477" w:type="dxa"/>
            <w:tcBorders>
              <w:top w:val="single" w:sz="8" w:space="0" w:color="000000"/>
              <w:right w:val="single" w:sz="8" w:space="0" w:color="000000"/>
            </w:tcBorders>
            <w:vAlign w:val="bottom"/>
          </w:tcPr>
          <w:p>
            <w:pPr>
              <w:pStyle w:val="TAC"/>
              <w:rPr/>
            </w:pPr>
            <w:r>
              <w:rPr/>
              <w:t>27</w:t>
            </w:r>
          </w:p>
        </w:tc>
        <w:tc>
          <w:tcPr>
            <w:tcW w:w="873" w:type="dxa"/>
            <w:tcBorders>
              <w:top w:val="single" w:sz="8" w:space="0" w:color="000000"/>
            </w:tcBorders>
            <w:vAlign w:val="bottom"/>
          </w:tcPr>
          <w:p>
            <w:pPr>
              <w:pStyle w:val="TAC"/>
              <w:rPr/>
            </w:pPr>
            <w:r>
              <w:rPr/>
              <w:t>1595.53</w:t>
            </w:r>
          </w:p>
        </w:tc>
        <w:tc>
          <w:tcPr>
            <w:tcW w:w="767" w:type="dxa"/>
            <w:tcBorders>
              <w:top w:val="single" w:sz="8" w:space="0" w:color="000000"/>
            </w:tcBorders>
            <w:vAlign w:val="bottom"/>
          </w:tcPr>
          <w:p>
            <w:pPr>
              <w:pStyle w:val="TAC"/>
              <w:rPr/>
            </w:pPr>
            <w:r>
              <w:rPr/>
              <w:t>425.20</w:t>
            </w:r>
          </w:p>
        </w:tc>
        <w:tc>
          <w:tcPr>
            <w:tcW w:w="874" w:type="dxa"/>
            <w:tcBorders>
              <w:top w:val="single" w:sz="8" w:space="0" w:color="000000"/>
            </w:tcBorders>
            <w:vAlign w:val="bottom"/>
          </w:tcPr>
          <w:p>
            <w:pPr>
              <w:pStyle w:val="TAC"/>
              <w:rPr/>
            </w:pPr>
            <w:r>
              <w:rPr/>
              <w:t>2020.73</w:t>
            </w:r>
          </w:p>
        </w:tc>
        <w:tc>
          <w:tcPr>
            <w:tcW w:w="717" w:type="dxa"/>
            <w:tcBorders>
              <w:top w:val="single" w:sz="8" w:space="0" w:color="000000"/>
              <w:left w:val="single" w:sz="8" w:space="0" w:color="000000"/>
              <w:right w:val="single" w:sz="8" w:space="0" w:color="000000"/>
            </w:tcBorders>
            <w:vAlign w:val="bottom"/>
          </w:tcPr>
          <w:p>
            <w:pPr>
              <w:pStyle w:val="TAC"/>
              <w:rPr/>
            </w:pPr>
            <w:r>
              <w:rPr/>
              <w:t>39.43</w:t>
            </w:r>
          </w:p>
        </w:tc>
        <w:tc>
          <w:tcPr>
            <w:tcW w:w="867" w:type="dxa"/>
            <w:tcBorders>
              <w:top w:val="single" w:sz="8" w:space="0" w:color="000000"/>
            </w:tcBorders>
            <w:vAlign w:val="bottom"/>
          </w:tcPr>
          <w:p>
            <w:pPr>
              <w:pStyle w:val="TAC"/>
              <w:rPr/>
            </w:pPr>
            <w:r>
              <w:rPr/>
              <w:t>1122.21</w:t>
            </w:r>
          </w:p>
        </w:tc>
        <w:tc>
          <w:tcPr>
            <w:tcW w:w="867" w:type="dxa"/>
            <w:tcBorders>
              <w:top w:val="single" w:sz="8" w:space="0" w:color="000000"/>
            </w:tcBorders>
            <w:vAlign w:val="bottom"/>
          </w:tcPr>
          <w:p>
            <w:pPr>
              <w:pStyle w:val="TAC"/>
              <w:rPr/>
            </w:pPr>
            <w:r>
              <w:rPr/>
              <w:t>830.64</w:t>
            </w:r>
          </w:p>
        </w:tc>
        <w:tc>
          <w:tcPr>
            <w:tcW w:w="867" w:type="dxa"/>
            <w:tcBorders>
              <w:top w:val="single" w:sz="8" w:space="0" w:color="000000"/>
            </w:tcBorders>
            <w:vAlign w:val="bottom"/>
          </w:tcPr>
          <w:p>
            <w:pPr>
              <w:pStyle w:val="TAC"/>
              <w:rPr/>
            </w:pPr>
            <w:r>
              <w:rPr/>
              <w:t>1952.85</w:t>
            </w:r>
          </w:p>
        </w:tc>
        <w:tc>
          <w:tcPr>
            <w:tcW w:w="717" w:type="dxa"/>
            <w:tcBorders>
              <w:top w:val="single" w:sz="8" w:space="0" w:color="000000"/>
              <w:left w:val="single" w:sz="8" w:space="0" w:color="000000"/>
              <w:right w:val="single" w:sz="8" w:space="0" w:color="000000"/>
            </w:tcBorders>
            <w:vAlign w:val="bottom"/>
          </w:tcPr>
          <w:p>
            <w:pPr>
              <w:pStyle w:val="TAC"/>
              <w:rPr/>
            </w:pPr>
            <w:r>
              <w:rPr/>
              <w:t>39.20</w:t>
            </w:r>
          </w:p>
        </w:tc>
        <w:tc>
          <w:tcPr>
            <w:tcW w:w="896" w:type="dxa"/>
            <w:tcBorders>
              <w:top w:val="single" w:sz="8" w:space="0" w:color="000000"/>
            </w:tcBorders>
            <w:vAlign w:val="bottom"/>
          </w:tcPr>
          <w:p>
            <w:pPr>
              <w:pStyle w:val="TAC"/>
              <w:rPr/>
            </w:pPr>
            <w:r>
              <w:rPr/>
              <w:t>-3.36%</w:t>
            </w:r>
          </w:p>
        </w:tc>
        <w:tc>
          <w:tcPr>
            <w:tcW w:w="846" w:type="dxa"/>
            <w:tcBorders>
              <w:top w:val="single" w:sz="8" w:space="0" w:color="000000"/>
              <w:left w:val="single" w:sz="8" w:space="0" w:color="000000"/>
              <w:right w:val="single" w:sz="8" w:space="0" w:color="000000"/>
            </w:tcBorders>
            <w:vAlign w:val="bottom"/>
          </w:tcPr>
          <w:p>
            <w:pPr>
              <w:pStyle w:val="TAC"/>
              <w:rPr/>
            </w:pPr>
            <w:r>
              <w:rPr/>
              <w:t>-0.23</w:t>
            </w:r>
          </w:p>
        </w:tc>
      </w:tr>
      <w:tr>
        <w:trPr>
          <w:trHeight w:val="315" w:hRule="atLeast"/>
        </w:trPr>
        <w:tc>
          <w:tcPr>
            <w:tcW w:w="1097" w:type="dxa"/>
            <w:vMerge w:val="continue"/>
            <w:tcBorders>
              <w:top w:val="single" w:sz="8" w:space="0" w:color="000000"/>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30</w:t>
            </w:r>
          </w:p>
        </w:tc>
        <w:tc>
          <w:tcPr>
            <w:tcW w:w="873" w:type="dxa"/>
            <w:tcBorders/>
            <w:vAlign w:val="bottom"/>
          </w:tcPr>
          <w:p>
            <w:pPr>
              <w:pStyle w:val="TAC"/>
              <w:rPr/>
            </w:pPr>
            <w:r>
              <w:rPr/>
              <w:t>1013.95</w:t>
            </w:r>
          </w:p>
        </w:tc>
        <w:tc>
          <w:tcPr>
            <w:tcW w:w="767" w:type="dxa"/>
            <w:tcBorders/>
            <w:vAlign w:val="bottom"/>
          </w:tcPr>
          <w:p>
            <w:pPr>
              <w:pStyle w:val="TAC"/>
              <w:rPr/>
            </w:pPr>
            <w:r>
              <w:rPr/>
              <w:t>276.44</w:t>
            </w:r>
          </w:p>
        </w:tc>
        <w:tc>
          <w:tcPr>
            <w:tcW w:w="874" w:type="dxa"/>
            <w:tcBorders/>
            <w:vAlign w:val="bottom"/>
          </w:tcPr>
          <w:p>
            <w:pPr>
              <w:pStyle w:val="TAC"/>
              <w:rPr/>
            </w:pPr>
            <w:r>
              <w:rPr/>
              <w:t>1290.38</w:t>
            </w:r>
          </w:p>
        </w:tc>
        <w:tc>
          <w:tcPr>
            <w:tcW w:w="717" w:type="dxa"/>
            <w:tcBorders>
              <w:left w:val="single" w:sz="8" w:space="0" w:color="000000"/>
              <w:right w:val="single" w:sz="8" w:space="0" w:color="000000"/>
            </w:tcBorders>
            <w:vAlign w:val="bottom"/>
          </w:tcPr>
          <w:p>
            <w:pPr>
              <w:pStyle w:val="TAC"/>
              <w:rPr/>
            </w:pPr>
            <w:r>
              <w:rPr/>
              <w:t>37.52</w:t>
            </w:r>
          </w:p>
        </w:tc>
        <w:tc>
          <w:tcPr>
            <w:tcW w:w="867" w:type="dxa"/>
            <w:tcBorders/>
            <w:vAlign w:val="bottom"/>
          </w:tcPr>
          <w:p>
            <w:pPr>
              <w:pStyle w:val="TAC"/>
              <w:rPr/>
            </w:pPr>
            <w:r>
              <w:rPr/>
              <w:t>709.08</w:t>
            </w:r>
          </w:p>
        </w:tc>
        <w:tc>
          <w:tcPr>
            <w:tcW w:w="867" w:type="dxa"/>
            <w:tcBorders/>
            <w:vAlign w:val="bottom"/>
          </w:tcPr>
          <w:p>
            <w:pPr>
              <w:pStyle w:val="TAC"/>
              <w:rPr/>
            </w:pPr>
            <w:r>
              <w:rPr/>
              <w:t>539.81</w:t>
            </w:r>
          </w:p>
        </w:tc>
        <w:tc>
          <w:tcPr>
            <w:tcW w:w="867" w:type="dxa"/>
            <w:tcBorders/>
            <w:vAlign w:val="bottom"/>
          </w:tcPr>
          <w:p>
            <w:pPr>
              <w:pStyle w:val="TAC"/>
              <w:rPr/>
            </w:pPr>
            <w:r>
              <w:rPr/>
              <w:t>1248.89</w:t>
            </w:r>
          </w:p>
        </w:tc>
        <w:tc>
          <w:tcPr>
            <w:tcW w:w="717" w:type="dxa"/>
            <w:tcBorders>
              <w:left w:val="single" w:sz="8" w:space="0" w:color="000000"/>
              <w:right w:val="single" w:sz="8" w:space="0" w:color="000000"/>
            </w:tcBorders>
            <w:vAlign w:val="bottom"/>
          </w:tcPr>
          <w:p>
            <w:pPr>
              <w:pStyle w:val="TAC"/>
              <w:rPr/>
            </w:pPr>
            <w:r>
              <w:rPr/>
              <w:t>37.29</w:t>
            </w:r>
          </w:p>
        </w:tc>
        <w:tc>
          <w:tcPr>
            <w:tcW w:w="896" w:type="dxa"/>
            <w:tcBorders/>
            <w:vAlign w:val="bottom"/>
          </w:tcPr>
          <w:p>
            <w:pPr>
              <w:pStyle w:val="TAC"/>
              <w:rPr/>
            </w:pPr>
            <w:r>
              <w:rPr/>
              <w:t>-3.22%</w:t>
            </w:r>
          </w:p>
        </w:tc>
        <w:tc>
          <w:tcPr>
            <w:tcW w:w="846" w:type="dxa"/>
            <w:tcBorders>
              <w:left w:val="single" w:sz="8" w:space="0" w:color="000000"/>
              <w:right w:val="single" w:sz="8" w:space="0" w:color="000000"/>
            </w:tcBorders>
            <w:vAlign w:val="bottom"/>
          </w:tcPr>
          <w:p>
            <w:pPr>
              <w:pStyle w:val="TAC"/>
              <w:rPr/>
            </w:pPr>
            <w:r>
              <w:rPr/>
              <w:t>-0.23</w:t>
            </w:r>
          </w:p>
        </w:tc>
      </w:tr>
      <w:tr>
        <w:trPr>
          <w:trHeight w:val="315" w:hRule="atLeast"/>
        </w:trPr>
        <w:tc>
          <w:tcPr>
            <w:tcW w:w="1097" w:type="dxa"/>
            <w:vMerge w:val="continue"/>
            <w:tcBorders>
              <w:top w:val="single" w:sz="8" w:space="0" w:color="000000"/>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33</w:t>
            </w:r>
          </w:p>
        </w:tc>
        <w:tc>
          <w:tcPr>
            <w:tcW w:w="873" w:type="dxa"/>
            <w:tcBorders/>
            <w:vAlign w:val="bottom"/>
          </w:tcPr>
          <w:p>
            <w:pPr>
              <w:pStyle w:val="TAC"/>
              <w:rPr/>
            </w:pPr>
            <w:r>
              <w:rPr/>
              <w:t>625.92</w:t>
            </w:r>
          </w:p>
        </w:tc>
        <w:tc>
          <w:tcPr>
            <w:tcW w:w="767" w:type="dxa"/>
            <w:tcBorders/>
            <w:vAlign w:val="bottom"/>
          </w:tcPr>
          <w:p>
            <w:pPr>
              <w:pStyle w:val="TAC"/>
              <w:rPr/>
            </w:pPr>
            <w:r>
              <w:rPr/>
              <w:t>176.42</w:t>
            </w:r>
          </w:p>
        </w:tc>
        <w:tc>
          <w:tcPr>
            <w:tcW w:w="874" w:type="dxa"/>
            <w:tcBorders/>
            <w:vAlign w:val="bottom"/>
          </w:tcPr>
          <w:p>
            <w:pPr>
              <w:pStyle w:val="TAC"/>
              <w:rPr/>
            </w:pPr>
            <w:r>
              <w:rPr/>
              <w:t>802.33</w:t>
            </w:r>
          </w:p>
        </w:tc>
        <w:tc>
          <w:tcPr>
            <w:tcW w:w="717" w:type="dxa"/>
            <w:tcBorders>
              <w:left w:val="single" w:sz="8" w:space="0" w:color="000000"/>
              <w:right w:val="single" w:sz="8" w:space="0" w:color="000000"/>
            </w:tcBorders>
            <w:vAlign w:val="bottom"/>
          </w:tcPr>
          <w:p>
            <w:pPr>
              <w:pStyle w:val="TAC"/>
              <w:rPr/>
            </w:pPr>
            <w:r>
              <w:rPr/>
              <w:t>35.65</w:t>
            </w:r>
          </w:p>
        </w:tc>
        <w:tc>
          <w:tcPr>
            <w:tcW w:w="867" w:type="dxa"/>
            <w:tcBorders/>
            <w:vAlign w:val="bottom"/>
          </w:tcPr>
          <w:p>
            <w:pPr>
              <w:pStyle w:val="TAC"/>
              <w:rPr/>
            </w:pPr>
            <w:r>
              <w:rPr/>
              <w:t>427.72</w:t>
            </w:r>
          </w:p>
        </w:tc>
        <w:tc>
          <w:tcPr>
            <w:tcW w:w="867" w:type="dxa"/>
            <w:tcBorders/>
            <w:vAlign w:val="bottom"/>
          </w:tcPr>
          <w:p>
            <w:pPr>
              <w:pStyle w:val="TAC"/>
              <w:rPr/>
            </w:pPr>
            <w:r>
              <w:rPr/>
              <w:t>346.09</w:t>
            </w:r>
          </w:p>
        </w:tc>
        <w:tc>
          <w:tcPr>
            <w:tcW w:w="867" w:type="dxa"/>
            <w:tcBorders/>
            <w:vAlign w:val="bottom"/>
          </w:tcPr>
          <w:p>
            <w:pPr>
              <w:pStyle w:val="TAC"/>
              <w:rPr/>
            </w:pPr>
            <w:r>
              <w:rPr/>
              <w:t>773.81</w:t>
            </w:r>
          </w:p>
        </w:tc>
        <w:tc>
          <w:tcPr>
            <w:tcW w:w="717" w:type="dxa"/>
            <w:tcBorders>
              <w:left w:val="single" w:sz="8" w:space="0" w:color="000000"/>
              <w:right w:val="single" w:sz="8" w:space="0" w:color="000000"/>
            </w:tcBorders>
            <w:vAlign w:val="bottom"/>
          </w:tcPr>
          <w:p>
            <w:pPr>
              <w:pStyle w:val="TAC"/>
              <w:rPr/>
            </w:pPr>
            <w:r>
              <w:rPr/>
              <w:t>35.43</w:t>
            </w:r>
          </w:p>
        </w:tc>
        <w:tc>
          <w:tcPr>
            <w:tcW w:w="896" w:type="dxa"/>
            <w:tcBorders/>
            <w:vAlign w:val="bottom"/>
          </w:tcPr>
          <w:p>
            <w:pPr>
              <w:pStyle w:val="TAC"/>
              <w:rPr/>
            </w:pPr>
            <w:r>
              <w:rPr/>
              <w:t>-3.55%</w:t>
            </w:r>
          </w:p>
        </w:tc>
        <w:tc>
          <w:tcPr>
            <w:tcW w:w="846" w:type="dxa"/>
            <w:tcBorders>
              <w:left w:val="single" w:sz="8" w:space="0" w:color="000000"/>
              <w:right w:val="single" w:sz="8" w:space="0" w:color="000000"/>
            </w:tcBorders>
            <w:vAlign w:val="bottom"/>
          </w:tcPr>
          <w:p>
            <w:pPr>
              <w:pStyle w:val="TAC"/>
              <w:rPr/>
            </w:pPr>
            <w:r>
              <w:rPr/>
              <w:t>-0.22</w:t>
            </w:r>
          </w:p>
        </w:tc>
      </w:tr>
      <w:tr>
        <w:trPr>
          <w:trHeight w:val="330" w:hRule="atLeast"/>
        </w:trPr>
        <w:tc>
          <w:tcPr>
            <w:tcW w:w="1097" w:type="dxa"/>
            <w:vMerge w:val="continue"/>
            <w:tcBorders>
              <w:top w:val="single" w:sz="8" w:space="0" w:color="000000"/>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36</w:t>
            </w:r>
          </w:p>
        </w:tc>
        <w:tc>
          <w:tcPr>
            <w:tcW w:w="873" w:type="dxa"/>
            <w:tcBorders>
              <w:bottom w:val="single" w:sz="8" w:space="0" w:color="000000"/>
            </w:tcBorders>
            <w:vAlign w:val="bottom"/>
          </w:tcPr>
          <w:p>
            <w:pPr>
              <w:pStyle w:val="TAC"/>
              <w:rPr/>
            </w:pPr>
            <w:r>
              <w:rPr/>
              <w:t>410.92</w:t>
            </w:r>
          </w:p>
        </w:tc>
        <w:tc>
          <w:tcPr>
            <w:tcW w:w="767" w:type="dxa"/>
            <w:tcBorders>
              <w:bottom w:val="single" w:sz="8" w:space="0" w:color="000000"/>
            </w:tcBorders>
            <w:vAlign w:val="bottom"/>
          </w:tcPr>
          <w:p>
            <w:pPr>
              <w:pStyle w:val="TAC"/>
              <w:rPr/>
            </w:pPr>
            <w:r>
              <w:rPr/>
              <w:t>110.16</w:t>
            </w:r>
          </w:p>
        </w:tc>
        <w:tc>
          <w:tcPr>
            <w:tcW w:w="874" w:type="dxa"/>
            <w:tcBorders>
              <w:bottom w:val="single" w:sz="8" w:space="0" w:color="000000"/>
            </w:tcBorders>
            <w:vAlign w:val="bottom"/>
          </w:tcPr>
          <w:p>
            <w:pPr>
              <w:pStyle w:val="TAC"/>
              <w:rPr/>
            </w:pPr>
            <w:r>
              <w:rPr/>
              <w:t>521.09</w:t>
            </w:r>
          </w:p>
        </w:tc>
        <w:tc>
          <w:tcPr>
            <w:tcW w:w="717" w:type="dxa"/>
            <w:tcBorders>
              <w:left w:val="single" w:sz="8" w:space="0" w:color="000000"/>
              <w:bottom w:val="single" w:sz="8" w:space="0" w:color="000000"/>
              <w:right w:val="single" w:sz="8" w:space="0" w:color="000000"/>
            </w:tcBorders>
            <w:vAlign w:val="bottom"/>
          </w:tcPr>
          <w:p>
            <w:pPr>
              <w:pStyle w:val="TAC"/>
              <w:rPr/>
            </w:pPr>
            <w:r>
              <w:rPr/>
              <w:t>33.98</w:t>
            </w:r>
          </w:p>
        </w:tc>
        <w:tc>
          <w:tcPr>
            <w:tcW w:w="867" w:type="dxa"/>
            <w:tcBorders>
              <w:bottom w:val="single" w:sz="8" w:space="0" w:color="000000"/>
            </w:tcBorders>
            <w:vAlign w:val="bottom"/>
          </w:tcPr>
          <w:p>
            <w:pPr>
              <w:pStyle w:val="TAC"/>
              <w:rPr/>
            </w:pPr>
            <w:r>
              <w:rPr/>
              <w:t>291.34</w:t>
            </w:r>
          </w:p>
        </w:tc>
        <w:tc>
          <w:tcPr>
            <w:tcW w:w="867" w:type="dxa"/>
            <w:tcBorders>
              <w:bottom w:val="single" w:sz="8" w:space="0" w:color="000000"/>
            </w:tcBorders>
            <w:vAlign w:val="bottom"/>
          </w:tcPr>
          <w:p>
            <w:pPr>
              <w:pStyle w:val="TAC"/>
              <w:rPr/>
            </w:pPr>
            <w:r>
              <w:rPr/>
              <w:t>216.00</w:t>
            </w:r>
          </w:p>
        </w:tc>
        <w:tc>
          <w:tcPr>
            <w:tcW w:w="867" w:type="dxa"/>
            <w:tcBorders>
              <w:bottom w:val="single" w:sz="8" w:space="0" w:color="000000"/>
            </w:tcBorders>
            <w:vAlign w:val="bottom"/>
          </w:tcPr>
          <w:p>
            <w:pPr>
              <w:pStyle w:val="TAC"/>
              <w:rPr/>
            </w:pPr>
            <w:r>
              <w:rPr/>
              <w:t>507.34</w:t>
            </w:r>
          </w:p>
        </w:tc>
        <w:tc>
          <w:tcPr>
            <w:tcW w:w="717" w:type="dxa"/>
            <w:tcBorders>
              <w:left w:val="single" w:sz="8" w:space="0" w:color="000000"/>
              <w:bottom w:val="single" w:sz="8" w:space="0" w:color="000000"/>
              <w:right w:val="single" w:sz="8" w:space="0" w:color="000000"/>
            </w:tcBorders>
            <w:vAlign w:val="bottom"/>
          </w:tcPr>
          <w:p>
            <w:pPr>
              <w:pStyle w:val="TAC"/>
              <w:rPr/>
            </w:pPr>
            <w:r>
              <w:rPr/>
              <w:t>33.78</w:t>
            </w:r>
          </w:p>
        </w:tc>
        <w:tc>
          <w:tcPr>
            <w:tcW w:w="896" w:type="dxa"/>
            <w:tcBorders>
              <w:bottom w:val="single" w:sz="8" w:space="0" w:color="000000"/>
            </w:tcBorders>
            <w:vAlign w:val="bottom"/>
          </w:tcPr>
          <w:p>
            <w:pPr>
              <w:pStyle w:val="TAC"/>
              <w:rPr/>
            </w:pPr>
            <w:r>
              <w:rPr/>
              <w:t>-2.64%</w:t>
            </w:r>
          </w:p>
        </w:tc>
        <w:tc>
          <w:tcPr>
            <w:tcW w:w="846" w:type="dxa"/>
            <w:tcBorders>
              <w:left w:val="single" w:sz="8" w:space="0" w:color="000000"/>
              <w:bottom w:val="single" w:sz="8" w:space="0" w:color="000000"/>
              <w:right w:val="single" w:sz="8" w:space="0" w:color="000000"/>
            </w:tcBorders>
            <w:vAlign w:val="bottom"/>
          </w:tcPr>
          <w:p>
            <w:pPr>
              <w:pStyle w:val="TAC"/>
              <w:rPr/>
            </w:pPr>
            <w:r>
              <w:rPr/>
              <w:t>-0.20</w:t>
            </w:r>
          </w:p>
        </w:tc>
      </w:tr>
      <w:tr>
        <w:trPr>
          <w:trHeight w:val="315" w:hRule="atLeast"/>
        </w:trPr>
        <w:tc>
          <w:tcPr>
            <w:tcW w:w="1097" w:type="dxa"/>
            <w:vMerge w:val="continue"/>
            <w:tcBorders>
              <w:top w:val="single" w:sz="8" w:space="0" w:color="000000"/>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29</w:t>
            </w:r>
          </w:p>
        </w:tc>
        <w:tc>
          <w:tcPr>
            <w:tcW w:w="873" w:type="dxa"/>
            <w:tcBorders/>
            <w:vAlign w:val="bottom"/>
          </w:tcPr>
          <w:p>
            <w:pPr>
              <w:pStyle w:val="TAC"/>
              <w:rPr/>
            </w:pPr>
            <w:r>
              <w:rPr/>
              <w:t>1095.99</w:t>
            </w:r>
          </w:p>
        </w:tc>
        <w:tc>
          <w:tcPr>
            <w:tcW w:w="767" w:type="dxa"/>
            <w:tcBorders/>
            <w:vAlign w:val="bottom"/>
          </w:tcPr>
          <w:p>
            <w:pPr>
              <w:pStyle w:val="TAC"/>
              <w:rPr/>
            </w:pPr>
            <w:r>
              <w:rPr/>
              <w:t>425.20</w:t>
            </w:r>
          </w:p>
        </w:tc>
        <w:tc>
          <w:tcPr>
            <w:tcW w:w="874" w:type="dxa"/>
            <w:tcBorders/>
            <w:vAlign w:val="bottom"/>
          </w:tcPr>
          <w:p>
            <w:pPr>
              <w:pStyle w:val="TAC"/>
              <w:rPr/>
            </w:pPr>
            <w:r>
              <w:rPr/>
              <w:t>1521.19</w:t>
            </w:r>
          </w:p>
        </w:tc>
        <w:tc>
          <w:tcPr>
            <w:tcW w:w="717" w:type="dxa"/>
            <w:tcBorders>
              <w:left w:val="single" w:sz="8" w:space="0" w:color="000000"/>
              <w:right w:val="single" w:sz="8" w:space="0" w:color="000000"/>
            </w:tcBorders>
            <w:vAlign w:val="bottom"/>
          </w:tcPr>
          <w:p>
            <w:pPr>
              <w:pStyle w:val="TAC"/>
              <w:rPr/>
            </w:pPr>
            <w:r>
              <w:rPr/>
              <w:t>38.11</w:t>
            </w:r>
          </w:p>
        </w:tc>
        <w:tc>
          <w:tcPr>
            <w:tcW w:w="867" w:type="dxa"/>
            <w:tcBorders/>
            <w:vAlign w:val="bottom"/>
          </w:tcPr>
          <w:p>
            <w:pPr>
              <w:pStyle w:val="TAC"/>
              <w:rPr/>
            </w:pPr>
            <w:r>
              <w:rPr/>
              <w:t>572.66</w:t>
            </w:r>
          </w:p>
        </w:tc>
        <w:tc>
          <w:tcPr>
            <w:tcW w:w="867" w:type="dxa"/>
            <w:tcBorders/>
            <w:vAlign w:val="bottom"/>
          </w:tcPr>
          <w:p>
            <w:pPr>
              <w:pStyle w:val="TAC"/>
              <w:rPr/>
            </w:pPr>
            <w:r>
              <w:rPr/>
              <w:t>830.64</w:t>
            </w:r>
          </w:p>
        </w:tc>
        <w:tc>
          <w:tcPr>
            <w:tcW w:w="867" w:type="dxa"/>
            <w:tcBorders/>
            <w:vAlign w:val="bottom"/>
          </w:tcPr>
          <w:p>
            <w:pPr>
              <w:pStyle w:val="TAC"/>
              <w:rPr/>
            </w:pPr>
            <w:r>
              <w:rPr/>
              <w:t>1403.30</w:t>
            </w:r>
          </w:p>
        </w:tc>
        <w:tc>
          <w:tcPr>
            <w:tcW w:w="717" w:type="dxa"/>
            <w:tcBorders>
              <w:left w:val="single" w:sz="8" w:space="0" w:color="000000"/>
              <w:right w:val="single" w:sz="8" w:space="0" w:color="000000"/>
            </w:tcBorders>
            <w:vAlign w:val="bottom"/>
          </w:tcPr>
          <w:p>
            <w:pPr>
              <w:pStyle w:val="TAC"/>
              <w:rPr/>
            </w:pPr>
            <w:r>
              <w:rPr/>
              <w:t>37.90</w:t>
            </w:r>
          </w:p>
        </w:tc>
        <w:tc>
          <w:tcPr>
            <w:tcW w:w="896" w:type="dxa"/>
            <w:tcBorders/>
            <w:vAlign w:val="bottom"/>
          </w:tcPr>
          <w:p>
            <w:pPr>
              <w:pStyle w:val="TAC"/>
              <w:rPr/>
            </w:pPr>
            <w:r>
              <w:rPr/>
              <w:t>-7.75%</w:t>
            </w:r>
          </w:p>
        </w:tc>
        <w:tc>
          <w:tcPr>
            <w:tcW w:w="846" w:type="dxa"/>
            <w:tcBorders>
              <w:left w:val="single" w:sz="8" w:space="0" w:color="000000"/>
              <w:right w:val="single" w:sz="8" w:space="0" w:color="000000"/>
            </w:tcBorders>
            <w:vAlign w:val="bottom"/>
          </w:tcPr>
          <w:p>
            <w:pPr>
              <w:pStyle w:val="TAC"/>
              <w:rPr/>
            </w:pPr>
            <w:r>
              <w:rPr/>
              <w:t>-0.21</w:t>
            </w:r>
          </w:p>
        </w:tc>
      </w:tr>
      <w:tr>
        <w:trPr>
          <w:trHeight w:val="315" w:hRule="atLeast"/>
        </w:trPr>
        <w:tc>
          <w:tcPr>
            <w:tcW w:w="1097" w:type="dxa"/>
            <w:vMerge w:val="continue"/>
            <w:tcBorders>
              <w:top w:val="single" w:sz="8" w:space="0" w:color="000000"/>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32</w:t>
            </w:r>
          </w:p>
        </w:tc>
        <w:tc>
          <w:tcPr>
            <w:tcW w:w="873" w:type="dxa"/>
            <w:tcBorders/>
            <w:vAlign w:val="bottom"/>
          </w:tcPr>
          <w:p>
            <w:pPr>
              <w:pStyle w:val="TAC"/>
              <w:rPr/>
            </w:pPr>
            <w:r>
              <w:rPr/>
              <w:t>673.08</w:t>
            </w:r>
          </w:p>
        </w:tc>
        <w:tc>
          <w:tcPr>
            <w:tcW w:w="767" w:type="dxa"/>
            <w:tcBorders/>
            <w:vAlign w:val="bottom"/>
          </w:tcPr>
          <w:p>
            <w:pPr>
              <w:pStyle w:val="TAC"/>
              <w:rPr/>
            </w:pPr>
            <w:r>
              <w:rPr/>
              <w:t>276.44</w:t>
            </w:r>
          </w:p>
        </w:tc>
        <w:tc>
          <w:tcPr>
            <w:tcW w:w="874" w:type="dxa"/>
            <w:tcBorders/>
            <w:vAlign w:val="bottom"/>
          </w:tcPr>
          <w:p>
            <w:pPr>
              <w:pStyle w:val="TAC"/>
              <w:rPr/>
            </w:pPr>
            <w:r>
              <w:rPr/>
              <w:t>949.52</w:t>
            </w:r>
          </w:p>
        </w:tc>
        <w:tc>
          <w:tcPr>
            <w:tcW w:w="717" w:type="dxa"/>
            <w:tcBorders>
              <w:left w:val="single" w:sz="8" w:space="0" w:color="000000"/>
              <w:right w:val="single" w:sz="8" w:space="0" w:color="000000"/>
            </w:tcBorders>
            <w:vAlign w:val="bottom"/>
          </w:tcPr>
          <w:p>
            <w:pPr>
              <w:pStyle w:val="TAC"/>
              <w:rPr/>
            </w:pPr>
            <w:r>
              <w:rPr/>
              <w:t>36.21</w:t>
            </w:r>
          </w:p>
        </w:tc>
        <w:tc>
          <w:tcPr>
            <w:tcW w:w="867" w:type="dxa"/>
            <w:tcBorders/>
            <w:vAlign w:val="bottom"/>
          </w:tcPr>
          <w:p>
            <w:pPr>
              <w:pStyle w:val="TAC"/>
              <w:rPr/>
            </w:pPr>
            <w:r>
              <w:rPr/>
              <w:t>319.89</w:t>
            </w:r>
          </w:p>
        </w:tc>
        <w:tc>
          <w:tcPr>
            <w:tcW w:w="867" w:type="dxa"/>
            <w:tcBorders/>
            <w:vAlign w:val="bottom"/>
          </w:tcPr>
          <w:p>
            <w:pPr>
              <w:pStyle w:val="TAC"/>
              <w:rPr/>
            </w:pPr>
            <w:r>
              <w:rPr/>
              <w:t>539.81</w:t>
            </w:r>
          </w:p>
        </w:tc>
        <w:tc>
          <w:tcPr>
            <w:tcW w:w="867" w:type="dxa"/>
            <w:tcBorders/>
            <w:vAlign w:val="bottom"/>
          </w:tcPr>
          <w:p>
            <w:pPr>
              <w:pStyle w:val="TAC"/>
              <w:rPr/>
            </w:pPr>
            <w:r>
              <w:rPr/>
              <w:t>859.70</w:t>
            </w:r>
          </w:p>
        </w:tc>
        <w:tc>
          <w:tcPr>
            <w:tcW w:w="717" w:type="dxa"/>
            <w:tcBorders>
              <w:left w:val="single" w:sz="8" w:space="0" w:color="000000"/>
              <w:right w:val="single" w:sz="8" w:space="0" w:color="000000"/>
            </w:tcBorders>
            <w:vAlign w:val="bottom"/>
          </w:tcPr>
          <w:p>
            <w:pPr>
              <w:pStyle w:val="TAC"/>
              <w:rPr/>
            </w:pPr>
            <w:r>
              <w:rPr/>
              <w:t>35.98</w:t>
            </w:r>
          </w:p>
        </w:tc>
        <w:tc>
          <w:tcPr>
            <w:tcW w:w="896" w:type="dxa"/>
            <w:tcBorders/>
            <w:vAlign w:val="bottom"/>
          </w:tcPr>
          <w:p>
            <w:pPr>
              <w:pStyle w:val="TAC"/>
              <w:rPr/>
            </w:pPr>
            <w:r>
              <w:rPr/>
              <w:t>-9.46%</w:t>
            </w:r>
          </w:p>
        </w:tc>
        <w:tc>
          <w:tcPr>
            <w:tcW w:w="846" w:type="dxa"/>
            <w:tcBorders>
              <w:left w:val="single" w:sz="8" w:space="0" w:color="000000"/>
              <w:right w:val="single" w:sz="8" w:space="0" w:color="000000"/>
            </w:tcBorders>
            <w:vAlign w:val="bottom"/>
          </w:tcPr>
          <w:p>
            <w:pPr>
              <w:pStyle w:val="TAC"/>
              <w:rPr/>
            </w:pPr>
            <w:r>
              <w:rPr/>
              <w:t>-0.23</w:t>
            </w:r>
          </w:p>
        </w:tc>
      </w:tr>
      <w:tr>
        <w:trPr>
          <w:trHeight w:val="315" w:hRule="atLeast"/>
        </w:trPr>
        <w:tc>
          <w:tcPr>
            <w:tcW w:w="1097" w:type="dxa"/>
            <w:vMerge w:val="continue"/>
            <w:tcBorders>
              <w:top w:val="single" w:sz="8" w:space="0" w:color="000000"/>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35</w:t>
            </w:r>
          </w:p>
        </w:tc>
        <w:tc>
          <w:tcPr>
            <w:tcW w:w="873" w:type="dxa"/>
            <w:tcBorders/>
            <w:vAlign w:val="bottom"/>
          </w:tcPr>
          <w:p>
            <w:pPr>
              <w:pStyle w:val="TAC"/>
              <w:rPr/>
            </w:pPr>
            <w:r>
              <w:rPr/>
              <w:t>428.38</w:t>
            </w:r>
          </w:p>
        </w:tc>
        <w:tc>
          <w:tcPr>
            <w:tcW w:w="767" w:type="dxa"/>
            <w:tcBorders/>
            <w:vAlign w:val="bottom"/>
          </w:tcPr>
          <w:p>
            <w:pPr>
              <w:pStyle w:val="TAC"/>
              <w:rPr/>
            </w:pPr>
            <w:r>
              <w:rPr/>
              <w:t>176.42</w:t>
            </w:r>
          </w:p>
        </w:tc>
        <w:tc>
          <w:tcPr>
            <w:tcW w:w="874" w:type="dxa"/>
            <w:tcBorders/>
            <w:vAlign w:val="bottom"/>
          </w:tcPr>
          <w:p>
            <w:pPr>
              <w:pStyle w:val="TAC"/>
              <w:rPr/>
            </w:pPr>
            <w:r>
              <w:rPr/>
              <w:t>604.80</w:t>
            </w:r>
          </w:p>
        </w:tc>
        <w:tc>
          <w:tcPr>
            <w:tcW w:w="717" w:type="dxa"/>
            <w:tcBorders>
              <w:left w:val="single" w:sz="8" w:space="0" w:color="000000"/>
              <w:right w:val="single" w:sz="8" w:space="0" w:color="000000"/>
            </w:tcBorders>
            <w:vAlign w:val="bottom"/>
          </w:tcPr>
          <w:p>
            <w:pPr>
              <w:pStyle w:val="TAC"/>
              <w:rPr/>
            </w:pPr>
            <w:r>
              <w:rPr/>
              <w:t>34.47</w:t>
            </w:r>
          </w:p>
        </w:tc>
        <w:tc>
          <w:tcPr>
            <w:tcW w:w="867" w:type="dxa"/>
            <w:tcBorders/>
            <w:vAlign w:val="bottom"/>
          </w:tcPr>
          <w:p>
            <w:pPr>
              <w:pStyle w:val="TAC"/>
              <w:rPr/>
            </w:pPr>
            <w:r>
              <w:rPr/>
              <w:t>190.88</w:t>
            </w:r>
          </w:p>
        </w:tc>
        <w:tc>
          <w:tcPr>
            <w:tcW w:w="867" w:type="dxa"/>
            <w:tcBorders/>
            <w:vAlign w:val="bottom"/>
          </w:tcPr>
          <w:p>
            <w:pPr>
              <w:pStyle w:val="TAC"/>
              <w:rPr/>
            </w:pPr>
            <w:r>
              <w:rPr/>
              <w:t>346.09</w:t>
            </w:r>
          </w:p>
        </w:tc>
        <w:tc>
          <w:tcPr>
            <w:tcW w:w="867" w:type="dxa"/>
            <w:tcBorders/>
            <w:vAlign w:val="bottom"/>
          </w:tcPr>
          <w:p>
            <w:pPr>
              <w:pStyle w:val="TAC"/>
              <w:rPr/>
            </w:pPr>
            <w:r>
              <w:rPr/>
              <w:t>536.97</w:t>
            </w:r>
          </w:p>
        </w:tc>
        <w:tc>
          <w:tcPr>
            <w:tcW w:w="717" w:type="dxa"/>
            <w:tcBorders>
              <w:left w:val="single" w:sz="8" w:space="0" w:color="000000"/>
              <w:right w:val="single" w:sz="8" w:space="0" w:color="000000"/>
            </w:tcBorders>
            <w:vAlign w:val="bottom"/>
          </w:tcPr>
          <w:p>
            <w:pPr>
              <w:pStyle w:val="TAC"/>
              <w:rPr/>
            </w:pPr>
            <w:r>
              <w:rPr/>
              <w:t>34.22</w:t>
            </w:r>
          </w:p>
        </w:tc>
        <w:tc>
          <w:tcPr>
            <w:tcW w:w="896" w:type="dxa"/>
            <w:tcBorders/>
            <w:vAlign w:val="bottom"/>
          </w:tcPr>
          <w:p>
            <w:pPr>
              <w:pStyle w:val="TAC"/>
              <w:rPr/>
            </w:pPr>
            <w:r>
              <w:rPr/>
              <w:t>-11.21%</w:t>
            </w:r>
          </w:p>
        </w:tc>
        <w:tc>
          <w:tcPr>
            <w:tcW w:w="846" w:type="dxa"/>
            <w:tcBorders>
              <w:left w:val="single" w:sz="8" w:space="0" w:color="000000"/>
              <w:right w:val="single" w:sz="8" w:space="0" w:color="000000"/>
            </w:tcBorders>
            <w:vAlign w:val="bottom"/>
          </w:tcPr>
          <w:p>
            <w:pPr>
              <w:pStyle w:val="TAC"/>
              <w:rPr/>
            </w:pPr>
            <w:r>
              <w:rPr/>
              <w:t>-0.25</w:t>
            </w:r>
          </w:p>
        </w:tc>
      </w:tr>
      <w:tr>
        <w:trPr>
          <w:trHeight w:val="405" w:hRule="atLeast"/>
        </w:trPr>
        <w:tc>
          <w:tcPr>
            <w:tcW w:w="1097" w:type="dxa"/>
            <w:vMerge w:val="continue"/>
            <w:tcBorders>
              <w:top w:val="single" w:sz="8" w:space="0" w:color="000000"/>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38</w:t>
            </w:r>
          </w:p>
        </w:tc>
        <w:tc>
          <w:tcPr>
            <w:tcW w:w="873" w:type="dxa"/>
            <w:tcBorders>
              <w:bottom w:val="single" w:sz="8" w:space="0" w:color="000000"/>
            </w:tcBorders>
            <w:vAlign w:val="bottom"/>
          </w:tcPr>
          <w:p>
            <w:pPr>
              <w:pStyle w:val="TAC"/>
              <w:rPr/>
            </w:pPr>
            <w:r>
              <w:rPr/>
              <w:t>278.34</w:t>
            </w:r>
          </w:p>
        </w:tc>
        <w:tc>
          <w:tcPr>
            <w:tcW w:w="767" w:type="dxa"/>
            <w:tcBorders>
              <w:bottom w:val="single" w:sz="8" w:space="0" w:color="000000"/>
            </w:tcBorders>
            <w:vAlign w:val="bottom"/>
          </w:tcPr>
          <w:p>
            <w:pPr>
              <w:pStyle w:val="TAC"/>
              <w:rPr/>
            </w:pPr>
            <w:r>
              <w:rPr/>
              <w:t>110.16</w:t>
            </w:r>
          </w:p>
        </w:tc>
        <w:tc>
          <w:tcPr>
            <w:tcW w:w="874" w:type="dxa"/>
            <w:tcBorders>
              <w:bottom w:val="single" w:sz="8" w:space="0" w:color="000000"/>
            </w:tcBorders>
            <w:vAlign w:val="bottom"/>
          </w:tcPr>
          <w:p>
            <w:pPr>
              <w:pStyle w:val="TAC"/>
              <w:rPr/>
            </w:pPr>
            <w:r>
              <w:rPr/>
              <w:t>388.50</w:t>
            </w:r>
          </w:p>
        </w:tc>
        <w:tc>
          <w:tcPr>
            <w:tcW w:w="717" w:type="dxa"/>
            <w:tcBorders>
              <w:left w:val="single" w:sz="8" w:space="0" w:color="000000"/>
              <w:bottom w:val="single" w:sz="8" w:space="0" w:color="000000"/>
              <w:right w:val="single" w:sz="8" w:space="0" w:color="000000"/>
            </w:tcBorders>
            <w:vAlign w:val="bottom"/>
          </w:tcPr>
          <w:p>
            <w:pPr>
              <w:pStyle w:val="TAC"/>
              <w:rPr/>
            </w:pPr>
            <w:r>
              <w:rPr/>
              <w:t>32.85</w:t>
            </w:r>
          </w:p>
        </w:tc>
        <w:tc>
          <w:tcPr>
            <w:tcW w:w="867" w:type="dxa"/>
            <w:tcBorders>
              <w:bottom w:val="single" w:sz="8" w:space="0" w:color="000000"/>
            </w:tcBorders>
            <w:vAlign w:val="bottom"/>
          </w:tcPr>
          <w:p>
            <w:pPr>
              <w:pStyle w:val="TAC"/>
              <w:rPr/>
            </w:pPr>
            <w:r>
              <w:rPr/>
              <w:t>127.39</w:t>
            </w:r>
          </w:p>
        </w:tc>
        <w:tc>
          <w:tcPr>
            <w:tcW w:w="867" w:type="dxa"/>
            <w:tcBorders>
              <w:bottom w:val="single" w:sz="8" w:space="0" w:color="000000"/>
            </w:tcBorders>
            <w:vAlign w:val="bottom"/>
          </w:tcPr>
          <w:p>
            <w:pPr>
              <w:pStyle w:val="TAC"/>
              <w:rPr/>
            </w:pPr>
            <w:r>
              <w:rPr/>
              <w:t>216.00</w:t>
            </w:r>
          </w:p>
        </w:tc>
        <w:tc>
          <w:tcPr>
            <w:tcW w:w="867" w:type="dxa"/>
            <w:tcBorders>
              <w:bottom w:val="single" w:sz="8" w:space="0" w:color="000000"/>
            </w:tcBorders>
            <w:vAlign w:val="bottom"/>
          </w:tcPr>
          <w:p>
            <w:pPr>
              <w:pStyle w:val="TAC"/>
              <w:rPr/>
            </w:pPr>
            <w:r>
              <w:rPr/>
              <w:t>343.39</w:t>
            </w:r>
          </w:p>
        </w:tc>
        <w:tc>
          <w:tcPr>
            <w:tcW w:w="717" w:type="dxa"/>
            <w:tcBorders>
              <w:left w:val="single" w:sz="8" w:space="0" w:color="000000"/>
              <w:bottom w:val="single" w:sz="8" w:space="0" w:color="000000"/>
              <w:right w:val="single" w:sz="8" w:space="0" w:color="000000"/>
            </w:tcBorders>
            <w:vAlign w:val="bottom"/>
          </w:tcPr>
          <w:p>
            <w:pPr>
              <w:pStyle w:val="TAC"/>
              <w:rPr/>
            </w:pPr>
            <w:r>
              <w:rPr/>
              <w:t>32.59</w:t>
            </w:r>
          </w:p>
        </w:tc>
        <w:tc>
          <w:tcPr>
            <w:tcW w:w="896" w:type="dxa"/>
            <w:tcBorders>
              <w:bottom w:val="single" w:sz="8" w:space="0" w:color="000000"/>
            </w:tcBorders>
            <w:vAlign w:val="bottom"/>
          </w:tcPr>
          <w:p>
            <w:pPr>
              <w:pStyle w:val="TAC"/>
              <w:rPr/>
            </w:pPr>
            <w:r>
              <w:rPr/>
              <w:t>-11.61%</w:t>
            </w:r>
          </w:p>
        </w:tc>
        <w:tc>
          <w:tcPr>
            <w:tcW w:w="846" w:type="dxa"/>
            <w:tcBorders>
              <w:left w:val="single" w:sz="8" w:space="0" w:color="000000"/>
              <w:bottom w:val="single" w:sz="8" w:space="0" w:color="000000"/>
              <w:right w:val="single" w:sz="8" w:space="0" w:color="000000"/>
            </w:tcBorders>
            <w:vAlign w:val="bottom"/>
          </w:tcPr>
          <w:p>
            <w:pPr>
              <w:pStyle w:val="TAC"/>
              <w:rPr/>
            </w:pPr>
            <w:r>
              <w:rPr/>
              <w:t>-0.26</w:t>
            </w:r>
          </w:p>
        </w:tc>
      </w:tr>
      <w:tr>
        <w:trPr>
          <w:trHeight w:val="315" w:hRule="atLeast"/>
        </w:trPr>
        <w:tc>
          <w:tcPr>
            <w:tcW w:w="1097" w:type="dxa"/>
            <w:vMerge w:val="restart"/>
            <w:tcBorders>
              <w:left w:val="single" w:sz="8" w:space="0" w:color="000000"/>
            </w:tcBorders>
            <w:vAlign w:val="bottom"/>
          </w:tcPr>
          <w:p>
            <w:pPr>
              <w:pStyle w:val="TAC"/>
              <w:rPr/>
            </w:pPr>
            <w:r>
              <w:rPr/>
              <w:t>ParkScene</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27</w:t>
            </w:r>
          </w:p>
        </w:tc>
        <w:tc>
          <w:tcPr>
            <w:tcW w:w="873" w:type="dxa"/>
            <w:tcBorders/>
            <w:vAlign w:val="bottom"/>
          </w:tcPr>
          <w:p>
            <w:pPr>
              <w:pStyle w:val="TAC"/>
              <w:rPr/>
            </w:pPr>
            <w:r>
              <w:rPr/>
              <w:t>2190.67</w:t>
            </w:r>
          </w:p>
        </w:tc>
        <w:tc>
          <w:tcPr>
            <w:tcW w:w="767" w:type="dxa"/>
            <w:tcBorders/>
            <w:vAlign w:val="bottom"/>
          </w:tcPr>
          <w:p>
            <w:pPr>
              <w:pStyle w:val="TAC"/>
              <w:rPr/>
            </w:pPr>
            <w:r>
              <w:rPr/>
              <w:t>319.43</w:t>
            </w:r>
          </w:p>
        </w:tc>
        <w:tc>
          <w:tcPr>
            <w:tcW w:w="874" w:type="dxa"/>
            <w:tcBorders/>
            <w:vAlign w:val="bottom"/>
          </w:tcPr>
          <w:p>
            <w:pPr>
              <w:pStyle w:val="TAC"/>
              <w:rPr/>
            </w:pPr>
            <w:r>
              <w:rPr/>
              <w:t>2510.11</w:t>
            </w:r>
          </w:p>
        </w:tc>
        <w:tc>
          <w:tcPr>
            <w:tcW w:w="717" w:type="dxa"/>
            <w:tcBorders>
              <w:left w:val="single" w:sz="8" w:space="0" w:color="000000"/>
              <w:right w:val="single" w:sz="8" w:space="0" w:color="000000"/>
            </w:tcBorders>
            <w:vAlign w:val="bottom"/>
          </w:tcPr>
          <w:p>
            <w:pPr>
              <w:pStyle w:val="TAC"/>
              <w:rPr/>
            </w:pPr>
            <w:r>
              <w:rPr/>
              <w:t>36.77</w:t>
            </w:r>
          </w:p>
        </w:tc>
        <w:tc>
          <w:tcPr>
            <w:tcW w:w="867" w:type="dxa"/>
            <w:tcBorders/>
            <w:vAlign w:val="bottom"/>
          </w:tcPr>
          <w:p>
            <w:pPr>
              <w:pStyle w:val="TAC"/>
              <w:rPr/>
            </w:pPr>
            <w:r>
              <w:rPr/>
              <w:t>1864.29</w:t>
            </w:r>
          </w:p>
        </w:tc>
        <w:tc>
          <w:tcPr>
            <w:tcW w:w="867" w:type="dxa"/>
            <w:tcBorders/>
            <w:vAlign w:val="bottom"/>
          </w:tcPr>
          <w:p>
            <w:pPr>
              <w:pStyle w:val="TAC"/>
              <w:rPr/>
            </w:pPr>
            <w:r>
              <w:rPr/>
              <w:t>826.26</w:t>
            </w:r>
          </w:p>
        </w:tc>
        <w:tc>
          <w:tcPr>
            <w:tcW w:w="867" w:type="dxa"/>
            <w:tcBorders/>
            <w:vAlign w:val="bottom"/>
          </w:tcPr>
          <w:p>
            <w:pPr>
              <w:pStyle w:val="TAC"/>
              <w:rPr/>
            </w:pPr>
            <w:r>
              <w:rPr/>
              <w:t>2690.55</w:t>
            </w:r>
          </w:p>
        </w:tc>
        <w:tc>
          <w:tcPr>
            <w:tcW w:w="717" w:type="dxa"/>
            <w:tcBorders>
              <w:left w:val="single" w:sz="8" w:space="0" w:color="000000"/>
              <w:right w:val="single" w:sz="8" w:space="0" w:color="000000"/>
            </w:tcBorders>
            <w:vAlign w:val="bottom"/>
          </w:tcPr>
          <w:p>
            <w:pPr>
              <w:pStyle w:val="TAC"/>
              <w:rPr/>
            </w:pPr>
            <w:r>
              <w:rPr/>
              <w:t>36.70</w:t>
            </w:r>
          </w:p>
        </w:tc>
        <w:tc>
          <w:tcPr>
            <w:tcW w:w="896" w:type="dxa"/>
            <w:tcBorders/>
            <w:vAlign w:val="bottom"/>
          </w:tcPr>
          <w:p>
            <w:pPr>
              <w:pStyle w:val="TAC"/>
              <w:rPr/>
            </w:pPr>
            <w:r>
              <w:rPr/>
              <w:t>7.19%</w:t>
            </w:r>
          </w:p>
        </w:tc>
        <w:tc>
          <w:tcPr>
            <w:tcW w:w="846" w:type="dxa"/>
            <w:tcBorders>
              <w:left w:val="single" w:sz="8" w:space="0" w:color="000000"/>
              <w:right w:val="single" w:sz="8" w:space="0" w:color="000000"/>
            </w:tcBorders>
            <w:vAlign w:val="bottom"/>
          </w:tcPr>
          <w:p>
            <w:pPr>
              <w:pStyle w:val="TAC"/>
              <w:rPr/>
            </w:pPr>
            <w:r>
              <w:rPr/>
              <w:t>-0.07</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30</w:t>
            </w:r>
          </w:p>
        </w:tc>
        <w:tc>
          <w:tcPr>
            <w:tcW w:w="873" w:type="dxa"/>
            <w:tcBorders/>
            <w:vAlign w:val="bottom"/>
          </w:tcPr>
          <w:p>
            <w:pPr>
              <w:pStyle w:val="TAC"/>
              <w:rPr/>
            </w:pPr>
            <w:r>
              <w:rPr/>
              <w:t>1329.03</w:t>
            </w:r>
          </w:p>
        </w:tc>
        <w:tc>
          <w:tcPr>
            <w:tcW w:w="767" w:type="dxa"/>
            <w:tcBorders/>
            <w:vAlign w:val="bottom"/>
          </w:tcPr>
          <w:p>
            <w:pPr>
              <w:pStyle w:val="TAC"/>
              <w:rPr/>
            </w:pPr>
            <w:r>
              <w:rPr/>
              <w:t>208.27</w:t>
            </w:r>
          </w:p>
        </w:tc>
        <w:tc>
          <w:tcPr>
            <w:tcW w:w="874" w:type="dxa"/>
            <w:tcBorders/>
            <w:vAlign w:val="bottom"/>
          </w:tcPr>
          <w:p>
            <w:pPr>
              <w:pStyle w:val="TAC"/>
              <w:rPr/>
            </w:pPr>
            <w:r>
              <w:rPr/>
              <w:t>1537.30</w:t>
            </w:r>
          </w:p>
        </w:tc>
        <w:tc>
          <w:tcPr>
            <w:tcW w:w="717" w:type="dxa"/>
            <w:tcBorders>
              <w:left w:val="single" w:sz="8" w:space="0" w:color="000000"/>
              <w:right w:val="single" w:sz="8" w:space="0" w:color="000000"/>
            </w:tcBorders>
            <w:vAlign w:val="bottom"/>
          </w:tcPr>
          <w:p>
            <w:pPr>
              <w:pStyle w:val="TAC"/>
              <w:rPr/>
            </w:pPr>
            <w:r>
              <w:rPr/>
              <w:t>34.89</w:t>
            </w:r>
          </w:p>
        </w:tc>
        <w:tc>
          <w:tcPr>
            <w:tcW w:w="867" w:type="dxa"/>
            <w:tcBorders/>
            <w:vAlign w:val="bottom"/>
          </w:tcPr>
          <w:p>
            <w:pPr>
              <w:pStyle w:val="TAC"/>
              <w:rPr/>
            </w:pPr>
            <w:r>
              <w:rPr/>
              <w:t>1097.99</w:t>
            </w:r>
          </w:p>
        </w:tc>
        <w:tc>
          <w:tcPr>
            <w:tcW w:w="867" w:type="dxa"/>
            <w:tcBorders/>
            <w:vAlign w:val="bottom"/>
          </w:tcPr>
          <w:p>
            <w:pPr>
              <w:pStyle w:val="TAC"/>
              <w:rPr/>
            </w:pPr>
            <w:r>
              <w:rPr/>
              <w:t>523.13</w:t>
            </w:r>
          </w:p>
        </w:tc>
        <w:tc>
          <w:tcPr>
            <w:tcW w:w="867" w:type="dxa"/>
            <w:tcBorders/>
            <w:vAlign w:val="bottom"/>
          </w:tcPr>
          <w:p>
            <w:pPr>
              <w:pStyle w:val="TAC"/>
              <w:rPr/>
            </w:pPr>
            <w:r>
              <w:rPr/>
              <w:t>1621.12</w:t>
            </w:r>
          </w:p>
        </w:tc>
        <w:tc>
          <w:tcPr>
            <w:tcW w:w="717" w:type="dxa"/>
            <w:tcBorders>
              <w:left w:val="single" w:sz="8" w:space="0" w:color="000000"/>
              <w:right w:val="single" w:sz="8" w:space="0" w:color="000000"/>
            </w:tcBorders>
            <w:vAlign w:val="bottom"/>
          </w:tcPr>
          <w:p>
            <w:pPr>
              <w:pStyle w:val="TAC"/>
              <w:rPr/>
            </w:pPr>
            <w:r>
              <w:rPr/>
              <w:t>34.81</w:t>
            </w:r>
          </w:p>
        </w:tc>
        <w:tc>
          <w:tcPr>
            <w:tcW w:w="896" w:type="dxa"/>
            <w:tcBorders/>
            <w:vAlign w:val="bottom"/>
          </w:tcPr>
          <w:p>
            <w:pPr>
              <w:pStyle w:val="TAC"/>
              <w:rPr/>
            </w:pPr>
            <w:r>
              <w:rPr/>
              <w:t>5.45%</w:t>
            </w:r>
          </w:p>
        </w:tc>
        <w:tc>
          <w:tcPr>
            <w:tcW w:w="846" w:type="dxa"/>
            <w:tcBorders>
              <w:left w:val="single" w:sz="8" w:space="0" w:color="000000"/>
              <w:right w:val="single" w:sz="8" w:space="0" w:color="000000"/>
            </w:tcBorders>
            <w:vAlign w:val="bottom"/>
          </w:tcPr>
          <w:p>
            <w:pPr>
              <w:pStyle w:val="TAC"/>
              <w:rPr/>
            </w:pPr>
            <w:r>
              <w:rPr/>
              <w:t>-0.08</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33</w:t>
            </w:r>
          </w:p>
        </w:tc>
        <w:tc>
          <w:tcPr>
            <w:tcW w:w="873" w:type="dxa"/>
            <w:tcBorders/>
            <w:vAlign w:val="bottom"/>
          </w:tcPr>
          <w:p>
            <w:pPr>
              <w:pStyle w:val="TAC"/>
              <w:rPr/>
            </w:pPr>
            <w:r>
              <w:rPr/>
              <w:t>784.47</w:t>
            </w:r>
          </w:p>
        </w:tc>
        <w:tc>
          <w:tcPr>
            <w:tcW w:w="767" w:type="dxa"/>
            <w:tcBorders/>
            <w:vAlign w:val="bottom"/>
          </w:tcPr>
          <w:p>
            <w:pPr>
              <w:pStyle w:val="TAC"/>
              <w:rPr/>
            </w:pPr>
            <w:r>
              <w:rPr/>
              <w:t>135.48</w:t>
            </w:r>
          </w:p>
        </w:tc>
        <w:tc>
          <w:tcPr>
            <w:tcW w:w="874" w:type="dxa"/>
            <w:tcBorders/>
            <w:vAlign w:val="bottom"/>
          </w:tcPr>
          <w:p>
            <w:pPr>
              <w:pStyle w:val="TAC"/>
              <w:rPr/>
            </w:pPr>
            <w:r>
              <w:rPr/>
              <w:t>919.95</w:t>
            </w:r>
          </w:p>
        </w:tc>
        <w:tc>
          <w:tcPr>
            <w:tcW w:w="717" w:type="dxa"/>
            <w:tcBorders>
              <w:left w:val="single" w:sz="8" w:space="0" w:color="000000"/>
              <w:right w:val="single" w:sz="8" w:space="0" w:color="000000"/>
            </w:tcBorders>
            <w:vAlign w:val="bottom"/>
          </w:tcPr>
          <w:p>
            <w:pPr>
              <w:pStyle w:val="TAC"/>
              <w:rPr/>
            </w:pPr>
            <w:r>
              <w:rPr/>
              <w:t>33.10</w:t>
            </w:r>
          </w:p>
        </w:tc>
        <w:tc>
          <w:tcPr>
            <w:tcW w:w="867" w:type="dxa"/>
            <w:tcBorders/>
            <w:vAlign w:val="bottom"/>
          </w:tcPr>
          <w:p>
            <w:pPr>
              <w:pStyle w:val="TAC"/>
              <w:rPr/>
            </w:pPr>
            <w:r>
              <w:rPr/>
              <w:t>624.01</w:t>
            </w:r>
          </w:p>
        </w:tc>
        <w:tc>
          <w:tcPr>
            <w:tcW w:w="867" w:type="dxa"/>
            <w:tcBorders/>
            <w:vAlign w:val="bottom"/>
          </w:tcPr>
          <w:p>
            <w:pPr>
              <w:pStyle w:val="TAC"/>
              <w:rPr/>
            </w:pPr>
            <w:r>
              <w:rPr/>
              <w:t>328.87</w:t>
            </w:r>
          </w:p>
        </w:tc>
        <w:tc>
          <w:tcPr>
            <w:tcW w:w="867" w:type="dxa"/>
            <w:tcBorders/>
            <w:vAlign w:val="bottom"/>
          </w:tcPr>
          <w:p>
            <w:pPr>
              <w:pStyle w:val="TAC"/>
              <w:rPr/>
            </w:pPr>
            <w:r>
              <w:rPr/>
              <w:t>952.88</w:t>
            </w:r>
          </w:p>
        </w:tc>
        <w:tc>
          <w:tcPr>
            <w:tcW w:w="717" w:type="dxa"/>
            <w:tcBorders>
              <w:left w:val="single" w:sz="8" w:space="0" w:color="000000"/>
              <w:right w:val="single" w:sz="8" w:space="0" w:color="000000"/>
            </w:tcBorders>
            <w:vAlign w:val="bottom"/>
          </w:tcPr>
          <w:p>
            <w:pPr>
              <w:pStyle w:val="TAC"/>
              <w:rPr/>
            </w:pPr>
            <w:r>
              <w:rPr/>
              <w:t>33.00</w:t>
            </w:r>
          </w:p>
        </w:tc>
        <w:tc>
          <w:tcPr>
            <w:tcW w:w="896" w:type="dxa"/>
            <w:tcBorders/>
            <w:vAlign w:val="bottom"/>
          </w:tcPr>
          <w:p>
            <w:pPr>
              <w:pStyle w:val="TAC"/>
              <w:rPr/>
            </w:pPr>
            <w:r>
              <w:rPr/>
              <w:t>3.58%</w:t>
            </w:r>
          </w:p>
        </w:tc>
        <w:tc>
          <w:tcPr>
            <w:tcW w:w="846" w:type="dxa"/>
            <w:tcBorders>
              <w:left w:val="single" w:sz="8" w:space="0" w:color="000000"/>
              <w:right w:val="single" w:sz="8" w:space="0" w:color="000000"/>
            </w:tcBorders>
            <w:vAlign w:val="bottom"/>
          </w:tcPr>
          <w:p>
            <w:pPr>
              <w:pStyle w:val="TAC"/>
              <w:rPr/>
            </w:pPr>
            <w:r>
              <w:rPr/>
              <w:t>-0.10</w:t>
            </w:r>
          </w:p>
        </w:tc>
      </w:tr>
      <w:tr>
        <w:trPr>
          <w:trHeight w:val="330"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36</w:t>
            </w:r>
          </w:p>
        </w:tc>
        <w:tc>
          <w:tcPr>
            <w:tcW w:w="873" w:type="dxa"/>
            <w:tcBorders>
              <w:bottom w:val="single" w:sz="8" w:space="0" w:color="000000"/>
            </w:tcBorders>
            <w:vAlign w:val="bottom"/>
          </w:tcPr>
          <w:p>
            <w:pPr>
              <w:pStyle w:val="TAC"/>
              <w:rPr/>
            </w:pPr>
            <w:r>
              <w:rPr/>
              <w:t>474.93</w:t>
            </w:r>
          </w:p>
        </w:tc>
        <w:tc>
          <w:tcPr>
            <w:tcW w:w="767" w:type="dxa"/>
            <w:tcBorders>
              <w:bottom w:val="single" w:sz="8" w:space="0" w:color="000000"/>
            </w:tcBorders>
            <w:vAlign w:val="bottom"/>
          </w:tcPr>
          <w:p>
            <w:pPr>
              <w:pStyle w:val="TAC"/>
              <w:rPr/>
            </w:pPr>
            <w:r>
              <w:rPr/>
              <w:t>85.20</w:t>
            </w:r>
          </w:p>
        </w:tc>
        <w:tc>
          <w:tcPr>
            <w:tcW w:w="874" w:type="dxa"/>
            <w:tcBorders>
              <w:bottom w:val="single" w:sz="8" w:space="0" w:color="000000"/>
            </w:tcBorders>
            <w:vAlign w:val="bottom"/>
          </w:tcPr>
          <w:p>
            <w:pPr>
              <w:pStyle w:val="TAC"/>
              <w:rPr/>
            </w:pPr>
            <w:r>
              <w:rPr/>
              <w:t>560.14</w:t>
            </w:r>
          </w:p>
        </w:tc>
        <w:tc>
          <w:tcPr>
            <w:tcW w:w="717" w:type="dxa"/>
            <w:tcBorders>
              <w:left w:val="single" w:sz="8" w:space="0" w:color="000000"/>
              <w:bottom w:val="single" w:sz="8" w:space="0" w:color="000000"/>
              <w:right w:val="single" w:sz="8" w:space="0" w:color="000000"/>
            </w:tcBorders>
            <w:vAlign w:val="bottom"/>
          </w:tcPr>
          <w:p>
            <w:pPr>
              <w:pStyle w:val="TAC"/>
              <w:rPr/>
            </w:pPr>
            <w:r>
              <w:rPr/>
              <w:t>31.46</w:t>
            </w:r>
          </w:p>
        </w:tc>
        <w:tc>
          <w:tcPr>
            <w:tcW w:w="867" w:type="dxa"/>
            <w:tcBorders>
              <w:bottom w:val="single" w:sz="8" w:space="0" w:color="000000"/>
            </w:tcBorders>
            <w:vAlign w:val="bottom"/>
          </w:tcPr>
          <w:p>
            <w:pPr>
              <w:pStyle w:val="TAC"/>
              <w:rPr/>
            </w:pPr>
            <w:r>
              <w:rPr/>
              <w:t>374.75</w:t>
            </w:r>
          </w:p>
        </w:tc>
        <w:tc>
          <w:tcPr>
            <w:tcW w:w="867" w:type="dxa"/>
            <w:tcBorders>
              <w:bottom w:val="single" w:sz="8" w:space="0" w:color="000000"/>
            </w:tcBorders>
            <w:vAlign w:val="bottom"/>
          </w:tcPr>
          <w:p>
            <w:pPr>
              <w:pStyle w:val="TAC"/>
              <w:rPr/>
            </w:pPr>
            <w:r>
              <w:rPr/>
              <w:t>200.58</w:t>
            </w:r>
          </w:p>
        </w:tc>
        <w:tc>
          <w:tcPr>
            <w:tcW w:w="867" w:type="dxa"/>
            <w:tcBorders>
              <w:bottom w:val="single" w:sz="8" w:space="0" w:color="000000"/>
            </w:tcBorders>
            <w:vAlign w:val="bottom"/>
          </w:tcPr>
          <w:p>
            <w:pPr>
              <w:pStyle w:val="TAC"/>
              <w:rPr/>
            </w:pPr>
            <w:r>
              <w:rPr/>
              <w:t>575.32</w:t>
            </w:r>
          </w:p>
        </w:tc>
        <w:tc>
          <w:tcPr>
            <w:tcW w:w="717" w:type="dxa"/>
            <w:tcBorders>
              <w:left w:val="single" w:sz="8" w:space="0" w:color="000000"/>
              <w:bottom w:val="single" w:sz="8" w:space="0" w:color="000000"/>
              <w:right w:val="single" w:sz="8" w:space="0" w:color="000000"/>
            </w:tcBorders>
            <w:vAlign w:val="bottom"/>
          </w:tcPr>
          <w:p>
            <w:pPr>
              <w:pStyle w:val="TAC"/>
              <w:rPr/>
            </w:pPr>
            <w:r>
              <w:rPr/>
              <w:t>31.35</w:t>
            </w:r>
          </w:p>
        </w:tc>
        <w:tc>
          <w:tcPr>
            <w:tcW w:w="896" w:type="dxa"/>
            <w:tcBorders>
              <w:bottom w:val="single" w:sz="8" w:space="0" w:color="000000"/>
            </w:tcBorders>
            <w:vAlign w:val="bottom"/>
          </w:tcPr>
          <w:p>
            <w:pPr>
              <w:pStyle w:val="TAC"/>
              <w:rPr/>
            </w:pPr>
            <w:r>
              <w:rPr/>
              <w:t>2.71%</w:t>
            </w:r>
          </w:p>
        </w:tc>
        <w:tc>
          <w:tcPr>
            <w:tcW w:w="846" w:type="dxa"/>
            <w:tcBorders>
              <w:left w:val="single" w:sz="8" w:space="0" w:color="000000"/>
              <w:bottom w:val="single" w:sz="8" w:space="0" w:color="000000"/>
              <w:right w:val="single" w:sz="8" w:space="0" w:color="000000"/>
            </w:tcBorders>
            <w:vAlign w:val="bottom"/>
          </w:tcPr>
          <w:p>
            <w:pPr>
              <w:pStyle w:val="TAC"/>
              <w:rPr/>
            </w:pPr>
            <w:r>
              <w:rPr/>
              <w:t>-0.11</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29</w:t>
            </w:r>
          </w:p>
        </w:tc>
        <w:tc>
          <w:tcPr>
            <w:tcW w:w="873" w:type="dxa"/>
            <w:tcBorders/>
            <w:vAlign w:val="bottom"/>
          </w:tcPr>
          <w:p>
            <w:pPr>
              <w:pStyle w:val="TAC"/>
              <w:rPr/>
            </w:pPr>
            <w:r>
              <w:rPr/>
              <w:t>1542.12</w:t>
            </w:r>
          </w:p>
        </w:tc>
        <w:tc>
          <w:tcPr>
            <w:tcW w:w="767" w:type="dxa"/>
            <w:tcBorders/>
            <w:vAlign w:val="bottom"/>
          </w:tcPr>
          <w:p>
            <w:pPr>
              <w:pStyle w:val="TAC"/>
              <w:rPr/>
            </w:pPr>
            <w:r>
              <w:rPr/>
              <w:t>319.43</w:t>
            </w:r>
          </w:p>
        </w:tc>
        <w:tc>
          <w:tcPr>
            <w:tcW w:w="874" w:type="dxa"/>
            <w:tcBorders/>
            <w:vAlign w:val="bottom"/>
          </w:tcPr>
          <w:p>
            <w:pPr>
              <w:pStyle w:val="TAC"/>
              <w:rPr/>
            </w:pPr>
            <w:r>
              <w:rPr/>
              <w:t>1861.55</w:t>
            </w:r>
          </w:p>
        </w:tc>
        <w:tc>
          <w:tcPr>
            <w:tcW w:w="717" w:type="dxa"/>
            <w:tcBorders>
              <w:left w:val="single" w:sz="8" w:space="0" w:color="000000"/>
              <w:right w:val="single" w:sz="8" w:space="0" w:color="000000"/>
            </w:tcBorders>
            <w:vAlign w:val="bottom"/>
          </w:tcPr>
          <w:p>
            <w:pPr>
              <w:pStyle w:val="TAC"/>
              <w:rPr/>
            </w:pPr>
            <w:r>
              <w:rPr/>
              <w:t>35.49</w:t>
            </w:r>
          </w:p>
        </w:tc>
        <w:tc>
          <w:tcPr>
            <w:tcW w:w="867" w:type="dxa"/>
            <w:tcBorders/>
            <w:vAlign w:val="bottom"/>
          </w:tcPr>
          <w:p>
            <w:pPr>
              <w:pStyle w:val="TAC"/>
              <w:rPr/>
            </w:pPr>
            <w:r>
              <w:rPr/>
              <w:t>1172.16</w:t>
            </w:r>
          </w:p>
        </w:tc>
        <w:tc>
          <w:tcPr>
            <w:tcW w:w="867" w:type="dxa"/>
            <w:tcBorders/>
            <w:vAlign w:val="bottom"/>
          </w:tcPr>
          <w:p>
            <w:pPr>
              <w:pStyle w:val="TAC"/>
              <w:rPr/>
            </w:pPr>
            <w:r>
              <w:rPr/>
              <w:t>826.26</w:t>
            </w:r>
          </w:p>
        </w:tc>
        <w:tc>
          <w:tcPr>
            <w:tcW w:w="867" w:type="dxa"/>
            <w:tcBorders/>
            <w:vAlign w:val="bottom"/>
          </w:tcPr>
          <w:p>
            <w:pPr>
              <w:pStyle w:val="TAC"/>
              <w:rPr/>
            </w:pPr>
            <w:r>
              <w:rPr/>
              <w:t>1998.42</w:t>
            </w:r>
          </w:p>
        </w:tc>
        <w:tc>
          <w:tcPr>
            <w:tcW w:w="717" w:type="dxa"/>
            <w:tcBorders>
              <w:left w:val="single" w:sz="8" w:space="0" w:color="000000"/>
              <w:right w:val="single" w:sz="8" w:space="0" w:color="000000"/>
            </w:tcBorders>
            <w:vAlign w:val="bottom"/>
          </w:tcPr>
          <w:p>
            <w:pPr>
              <w:pStyle w:val="TAC"/>
              <w:rPr/>
            </w:pPr>
            <w:r>
              <w:rPr/>
              <w:t>35.39</w:t>
            </w:r>
          </w:p>
        </w:tc>
        <w:tc>
          <w:tcPr>
            <w:tcW w:w="896" w:type="dxa"/>
            <w:tcBorders/>
            <w:vAlign w:val="bottom"/>
          </w:tcPr>
          <w:p>
            <w:pPr>
              <w:pStyle w:val="TAC"/>
              <w:rPr/>
            </w:pPr>
            <w:r>
              <w:rPr/>
              <w:t>7.35%</w:t>
            </w:r>
          </w:p>
        </w:tc>
        <w:tc>
          <w:tcPr>
            <w:tcW w:w="846" w:type="dxa"/>
            <w:tcBorders>
              <w:left w:val="single" w:sz="8" w:space="0" w:color="000000"/>
              <w:right w:val="single" w:sz="8" w:space="0" w:color="000000"/>
            </w:tcBorders>
            <w:vAlign w:val="bottom"/>
          </w:tcPr>
          <w:p>
            <w:pPr>
              <w:pStyle w:val="TAC"/>
              <w:rPr/>
            </w:pPr>
            <w:r>
              <w:rPr/>
              <w:t>-0.10</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32</w:t>
            </w:r>
          </w:p>
        </w:tc>
        <w:tc>
          <w:tcPr>
            <w:tcW w:w="873" w:type="dxa"/>
            <w:tcBorders/>
            <w:vAlign w:val="bottom"/>
          </w:tcPr>
          <w:p>
            <w:pPr>
              <w:pStyle w:val="TAC"/>
              <w:rPr/>
            </w:pPr>
            <w:r>
              <w:rPr/>
              <w:t>910.71</w:t>
            </w:r>
          </w:p>
        </w:tc>
        <w:tc>
          <w:tcPr>
            <w:tcW w:w="767" w:type="dxa"/>
            <w:tcBorders/>
            <w:vAlign w:val="bottom"/>
          </w:tcPr>
          <w:p>
            <w:pPr>
              <w:pStyle w:val="TAC"/>
              <w:rPr/>
            </w:pPr>
            <w:r>
              <w:rPr/>
              <w:t>208.27</w:t>
            </w:r>
          </w:p>
        </w:tc>
        <w:tc>
          <w:tcPr>
            <w:tcW w:w="874" w:type="dxa"/>
            <w:tcBorders/>
            <w:vAlign w:val="bottom"/>
          </w:tcPr>
          <w:p>
            <w:pPr>
              <w:pStyle w:val="TAC"/>
              <w:rPr/>
            </w:pPr>
            <w:r>
              <w:rPr/>
              <w:t>1118.98</w:t>
            </w:r>
          </w:p>
        </w:tc>
        <w:tc>
          <w:tcPr>
            <w:tcW w:w="717" w:type="dxa"/>
            <w:tcBorders>
              <w:left w:val="single" w:sz="8" w:space="0" w:color="000000"/>
              <w:right w:val="single" w:sz="8" w:space="0" w:color="000000"/>
            </w:tcBorders>
            <w:vAlign w:val="bottom"/>
          </w:tcPr>
          <w:p>
            <w:pPr>
              <w:pStyle w:val="TAC"/>
              <w:rPr/>
            </w:pPr>
            <w:r>
              <w:rPr/>
              <w:t>33.66</w:t>
            </w:r>
          </w:p>
        </w:tc>
        <w:tc>
          <w:tcPr>
            <w:tcW w:w="867" w:type="dxa"/>
            <w:tcBorders/>
            <w:vAlign w:val="bottom"/>
          </w:tcPr>
          <w:p>
            <w:pPr>
              <w:pStyle w:val="TAC"/>
              <w:rPr/>
            </w:pPr>
            <w:r>
              <w:rPr/>
              <w:t>639.47</w:t>
            </w:r>
          </w:p>
        </w:tc>
        <w:tc>
          <w:tcPr>
            <w:tcW w:w="867" w:type="dxa"/>
            <w:tcBorders/>
            <w:vAlign w:val="bottom"/>
          </w:tcPr>
          <w:p>
            <w:pPr>
              <w:pStyle w:val="TAC"/>
              <w:rPr/>
            </w:pPr>
            <w:r>
              <w:rPr/>
              <w:t>523.13</w:t>
            </w:r>
          </w:p>
        </w:tc>
        <w:tc>
          <w:tcPr>
            <w:tcW w:w="867" w:type="dxa"/>
            <w:tcBorders/>
            <w:vAlign w:val="bottom"/>
          </w:tcPr>
          <w:p>
            <w:pPr>
              <w:pStyle w:val="TAC"/>
              <w:rPr/>
            </w:pPr>
            <w:r>
              <w:rPr/>
              <w:t>1162.60</w:t>
            </w:r>
          </w:p>
        </w:tc>
        <w:tc>
          <w:tcPr>
            <w:tcW w:w="717" w:type="dxa"/>
            <w:tcBorders>
              <w:left w:val="single" w:sz="8" w:space="0" w:color="000000"/>
              <w:right w:val="single" w:sz="8" w:space="0" w:color="000000"/>
            </w:tcBorders>
            <w:vAlign w:val="bottom"/>
          </w:tcPr>
          <w:p>
            <w:pPr>
              <w:pStyle w:val="TAC"/>
              <w:rPr/>
            </w:pPr>
            <w:r>
              <w:rPr/>
              <w:t>33.54</w:t>
            </w:r>
          </w:p>
        </w:tc>
        <w:tc>
          <w:tcPr>
            <w:tcW w:w="896" w:type="dxa"/>
            <w:tcBorders/>
            <w:vAlign w:val="bottom"/>
          </w:tcPr>
          <w:p>
            <w:pPr>
              <w:pStyle w:val="TAC"/>
              <w:rPr/>
            </w:pPr>
            <w:r>
              <w:rPr/>
              <w:t>3.90%</w:t>
            </w:r>
          </w:p>
        </w:tc>
        <w:tc>
          <w:tcPr>
            <w:tcW w:w="846" w:type="dxa"/>
            <w:tcBorders>
              <w:left w:val="single" w:sz="8" w:space="0" w:color="000000"/>
              <w:right w:val="single" w:sz="8" w:space="0" w:color="000000"/>
            </w:tcBorders>
            <w:vAlign w:val="bottom"/>
          </w:tcPr>
          <w:p>
            <w:pPr>
              <w:pStyle w:val="TAC"/>
              <w:rPr/>
            </w:pPr>
            <w:r>
              <w:rPr/>
              <w:t>-0.12</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35</w:t>
            </w:r>
          </w:p>
        </w:tc>
        <w:tc>
          <w:tcPr>
            <w:tcW w:w="873" w:type="dxa"/>
            <w:tcBorders/>
            <w:vAlign w:val="bottom"/>
          </w:tcPr>
          <w:p>
            <w:pPr>
              <w:pStyle w:val="TAC"/>
              <w:rPr/>
            </w:pPr>
            <w:r>
              <w:rPr/>
              <w:t>539.92</w:t>
            </w:r>
          </w:p>
        </w:tc>
        <w:tc>
          <w:tcPr>
            <w:tcW w:w="767" w:type="dxa"/>
            <w:tcBorders/>
            <w:vAlign w:val="bottom"/>
          </w:tcPr>
          <w:p>
            <w:pPr>
              <w:pStyle w:val="TAC"/>
              <w:rPr/>
            </w:pPr>
            <w:r>
              <w:rPr/>
              <w:t>135.48</w:t>
            </w:r>
          </w:p>
        </w:tc>
        <w:tc>
          <w:tcPr>
            <w:tcW w:w="874" w:type="dxa"/>
            <w:tcBorders/>
            <w:vAlign w:val="bottom"/>
          </w:tcPr>
          <w:p>
            <w:pPr>
              <w:pStyle w:val="TAC"/>
              <w:rPr/>
            </w:pPr>
            <w:r>
              <w:rPr/>
              <w:t>675.40</w:t>
            </w:r>
          </w:p>
        </w:tc>
        <w:tc>
          <w:tcPr>
            <w:tcW w:w="717" w:type="dxa"/>
            <w:tcBorders>
              <w:left w:val="single" w:sz="8" w:space="0" w:color="000000"/>
              <w:right w:val="single" w:sz="8" w:space="0" w:color="000000"/>
            </w:tcBorders>
            <w:vAlign w:val="bottom"/>
          </w:tcPr>
          <w:p>
            <w:pPr>
              <w:pStyle w:val="TAC"/>
              <w:rPr/>
            </w:pPr>
            <w:r>
              <w:rPr/>
              <w:t>31.96</w:t>
            </w:r>
          </w:p>
        </w:tc>
        <w:tc>
          <w:tcPr>
            <w:tcW w:w="867" w:type="dxa"/>
            <w:tcBorders/>
            <w:vAlign w:val="bottom"/>
          </w:tcPr>
          <w:p>
            <w:pPr>
              <w:pStyle w:val="TAC"/>
              <w:rPr/>
            </w:pPr>
            <w:r>
              <w:rPr/>
              <w:t>349.03</w:t>
            </w:r>
          </w:p>
        </w:tc>
        <w:tc>
          <w:tcPr>
            <w:tcW w:w="867" w:type="dxa"/>
            <w:tcBorders/>
            <w:vAlign w:val="bottom"/>
          </w:tcPr>
          <w:p>
            <w:pPr>
              <w:pStyle w:val="TAC"/>
              <w:rPr/>
            </w:pPr>
            <w:r>
              <w:rPr/>
              <w:t>328.87</w:t>
            </w:r>
          </w:p>
        </w:tc>
        <w:tc>
          <w:tcPr>
            <w:tcW w:w="867" w:type="dxa"/>
            <w:tcBorders/>
            <w:vAlign w:val="bottom"/>
          </w:tcPr>
          <w:p>
            <w:pPr>
              <w:pStyle w:val="TAC"/>
              <w:rPr/>
            </w:pPr>
            <w:r>
              <w:rPr/>
              <w:t>677.91</w:t>
            </w:r>
          </w:p>
        </w:tc>
        <w:tc>
          <w:tcPr>
            <w:tcW w:w="717" w:type="dxa"/>
            <w:tcBorders>
              <w:left w:val="single" w:sz="8" w:space="0" w:color="000000"/>
              <w:right w:val="single" w:sz="8" w:space="0" w:color="000000"/>
            </w:tcBorders>
            <w:vAlign w:val="bottom"/>
          </w:tcPr>
          <w:p>
            <w:pPr>
              <w:pStyle w:val="TAC"/>
              <w:rPr/>
            </w:pPr>
            <w:r>
              <w:rPr/>
              <w:t>31.82</w:t>
            </w:r>
          </w:p>
        </w:tc>
        <w:tc>
          <w:tcPr>
            <w:tcW w:w="896" w:type="dxa"/>
            <w:tcBorders/>
            <w:vAlign w:val="bottom"/>
          </w:tcPr>
          <w:p>
            <w:pPr>
              <w:pStyle w:val="TAC"/>
              <w:rPr/>
            </w:pPr>
            <w:r>
              <w:rPr/>
              <w:t>0.37%</w:t>
            </w:r>
          </w:p>
        </w:tc>
        <w:tc>
          <w:tcPr>
            <w:tcW w:w="846" w:type="dxa"/>
            <w:tcBorders>
              <w:left w:val="single" w:sz="8" w:space="0" w:color="000000"/>
              <w:right w:val="single" w:sz="8" w:space="0" w:color="000000"/>
            </w:tcBorders>
            <w:vAlign w:val="bottom"/>
          </w:tcPr>
          <w:p>
            <w:pPr>
              <w:pStyle w:val="TAC"/>
              <w:rPr/>
            </w:pPr>
            <w:r>
              <w:rPr/>
              <w:t>-0.14</w:t>
            </w:r>
          </w:p>
        </w:tc>
      </w:tr>
      <w:tr>
        <w:trPr>
          <w:trHeight w:val="330"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38</w:t>
            </w:r>
          </w:p>
        </w:tc>
        <w:tc>
          <w:tcPr>
            <w:tcW w:w="873" w:type="dxa"/>
            <w:tcBorders>
              <w:bottom w:val="single" w:sz="8" w:space="0" w:color="000000"/>
            </w:tcBorders>
            <w:vAlign w:val="bottom"/>
          </w:tcPr>
          <w:p>
            <w:pPr>
              <w:pStyle w:val="TAC"/>
              <w:rPr/>
            </w:pPr>
            <w:r>
              <w:rPr/>
              <w:t>319.41</w:t>
            </w:r>
          </w:p>
        </w:tc>
        <w:tc>
          <w:tcPr>
            <w:tcW w:w="767" w:type="dxa"/>
            <w:tcBorders>
              <w:bottom w:val="single" w:sz="8" w:space="0" w:color="000000"/>
            </w:tcBorders>
            <w:vAlign w:val="bottom"/>
          </w:tcPr>
          <w:p>
            <w:pPr>
              <w:pStyle w:val="TAC"/>
              <w:rPr/>
            </w:pPr>
            <w:r>
              <w:rPr/>
              <w:t>85.20</w:t>
            </w:r>
          </w:p>
        </w:tc>
        <w:tc>
          <w:tcPr>
            <w:tcW w:w="874" w:type="dxa"/>
            <w:tcBorders>
              <w:bottom w:val="single" w:sz="8" w:space="0" w:color="000000"/>
            </w:tcBorders>
            <w:vAlign w:val="bottom"/>
          </w:tcPr>
          <w:p>
            <w:pPr>
              <w:pStyle w:val="TAC"/>
              <w:rPr/>
            </w:pPr>
            <w:r>
              <w:rPr/>
              <w:t>404.62</w:t>
            </w:r>
          </w:p>
        </w:tc>
        <w:tc>
          <w:tcPr>
            <w:tcW w:w="717" w:type="dxa"/>
            <w:tcBorders>
              <w:left w:val="single" w:sz="8" w:space="0" w:color="000000"/>
              <w:bottom w:val="single" w:sz="8" w:space="0" w:color="000000"/>
              <w:right w:val="single" w:sz="8" w:space="0" w:color="000000"/>
            </w:tcBorders>
            <w:vAlign w:val="bottom"/>
          </w:tcPr>
          <w:p>
            <w:pPr>
              <w:pStyle w:val="TAC"/>
              <w:rPr/>
            </w:pPr>
            <w:r>
              <w:rPr/>
              <w:t>30.39</w:t>
            </w:r>
          </w:p>
        </w:tc>
        <w:tc>
          <w:tcPr>
            <w:tcW w:w="867" w:type="dxa"/>
            <w:tcBorders>
              <w:bottom w:val="single" w:sz="8" w:space="0" w:color="000000"/>
            </w:tcBorders>
            <w:vAlign w:val="bottom"/>
          </w:tcPr>
          <w:p>
            <w:pPr>
              <w:pStyle w:val="TAC"/>
              <w:rPr/>
            </w:pPr>
            <w:r>
              <w:rPr/>
              <w:t>194.14</w:t>
            </w:r>
          </w:p>
        </w:tc>
        <w:tc>
          <w:tcPr>
            <w:tcW w:w="867" w:type="dxa"/>
            <w:tcBorders>
              <w:bottom w:val="single" w:sz="8" w:space="0" w:color="000000"/>
            </w:tcBorders>
            <w:vAlign w:val="bottom"/>
          </w:tcPr>
          <w:p>
            <w:pPr>
              <w:pStyle w:val="TAC"/>
              <w:rPr/>
            </w:pPr>
            <w:r>
              <w:rPr/>
              <w:t>200.58</w:t>
            </w:r>
          </w:p>
        </w:tc>
        <w:tc>
          <w:tcPr>
            <w:tcW w:w="867" w:type="dxa"/>
            <w:tcBorders>
              <w:bottom w:val="single" w:sz="8" w:space="0" w:color="000000"/>
            </w:tcBorders>
            <w:vAlign w:val="bottom"/>
          </w:tcPr>
          <w:p>
            <w:pPr>
              <w:pStyle w:val="TAC"/>
              <w:rPr/>
            </w:pPr>
            <w:r>
              <w:rPr/>
              <w:t>394.72</w:t>
            </w:r>
          </w:p>
        </w:tc>
        <w:tc>
          <w:tcPr>
            <w:tcW w:w="717" w:type="dxa"/>
            <w:tcBorders>
              <w:left w:val="single" w:sz="8" w:space="0" w:color="000000"/>
              <w:bottom w:val="single" w:sz="8" w:space="0" w:color="000000"/>
              <w:right w:val="single" w:sz="8" w:space="0" w:color="000000"/>
            </w:tcBorders>
            <w:vAlign w:val="bottom"/>
          </w:tcPr>
          <w:p>
            <w:pPr>
              <w:pStyle w:val="TAC"/>
              <w:rPr/>
            </w:pPr>
            <w:r>
              <w:rPr/>
              <w:t>30.23</w:t>
            </w:r>
          </w:p>
        </w:tc>
        <w:tc>
          <w:tcPr>
            <w:tcW w:w="896" w:type="dxa"/>
            <w:tcBorders>
              <w:bottom w:val="single" w:sz="8" w:space="0" w:color="000000"/>
            </w:tcBorders>
            <w:vAlign w:val="bottom"/>
          </w:tcPr>
          <w:p>
            <w:pPr>
              <w:pStyle w:val="TAC"/>
              <w:rPr/>
            </w:pPr>
            <w:r>
              <w:rPr/>
              <w:t>-2.45%</w:t>
            </w:r>
          </w:p>
        </w:tc>
        <w:tc>
          <w:tcPr>
            <w:tcW w:w="846" w:type="dxa"/>
            <w:tcBorders>
              <w:left w:val="single" w:sz="8" w:space="0" w:color="000000"/>
              <w:bottom w:val="single" w:sz="8" w:space="0" w:color="000000"/>
              <w:right w:val="single" w:sz="8" w:space="0" w:color="000000"/>
            </w:tcBorders>
            <w:vAlign w:val="bottom"/>
          </w:tcPr>
          <w:p>
            <w:pPr>
              <w:pStyle w:val="TAC"/>
              <w:rPr/>
            </w:pPr>
            <w:r>
              <w:rPr/>
              <w:t>-0.16</w:t>
            </w:r>
          </w:p>
        </w:tc>
      </w:tr>
      <w:tr>
        <w:trPr>
          <w:trHeight w:val="315" w:hRule="atLeast"/>
        </w:trPr>
        <w:tc>
          <w:tcPr>
            <w:tcW w:w="1097" w:type="dxa"/>
            <w:vMerge w:val="restart"/>
            <w:tcBorders>
              <w:left w:val="single" w:sz="8" w:space="0" w:color="000000"/>
            </w:tcBorders>
            <w:vAlign w:val="bottom"/>
          </w:tcPr>
          <w:p>
            <w:pPr>
              <w:pStyle w:val="TAC"/>
              <w:rPr/>
            </w:pPr>
            <w:r>
              <w:rPr/>
              <w:t>Cactus</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27</w:t>
            </w:r>
          </w:p>
        </w:tc>
        <w:tc>
          <w:tcPr>
            <w:tcW w:w="873" w:type="dxa"/>
            <w:tcBorders/>
            <w:vAlign w:val="bottom"/>
          </w:tcPr>
          <w:p>
            <w:pPr>
              <w:pStyle w:val="TAC"/>
              <w:rPr/>
            </w:pPr>
            <w:r>
              <w:rPr/>
              <w:t>2888.89</w:t>
            </w:r>
          </w:p>
        </w:tc>
        <w:tc>
          <w:tcPr>
            <w:tcW w:w="767" w:type="dxa"/>
            <w:tcBorders/>
            <w:vAlign w:val="bottom"/>
          </w:tcPr>
          <w:p>
            <w:pPr>
              <w:pStyle w:val="TAC"/>
              <w:rPr/>
            </w:pPr>
            <w:r>
              <w:rPr/>
              <w:t>528.40</w:t>
            </w:r>
          </w:p>
        </w:tc>
        <w:tc>
          <w:tcPr>
            <w:tcW w:w="874" w:type="dxa"/>
            <w:tcBorders/>
            <w:vAlign w:val="bottom"/>
          </w:tcPr>
          <w:p>
            <w:pPr>
              <w:pStyle w:val="TAC"/>
              <w:rPr/>
            </w:pPr>
            <w:r>
              <w:rPr/>
              <w:t>3417.28</w:t>
            </w:r>
          </w:p>
        </w:tc>
        <w:tc>
          <w:tcPr>
            <w:tcW w:w="717" w:type="dxa"/>
            <w:tcBorders>
              <w:left w:val="single" w:sz="8" w:space="0" w:color="000000"/>
              <w:right w:val="single" w:sz="8" w:space="0" w:color="000000"/>
            </w:tcBorders>
            <w:vAlign w:val="bottom"/>
          </w:tcPr>
          <w:p>
            <w:pPr>
              <w:pStyle w:val="TAC"/>
              <w:rPr/>
            </w:pPr>
            <w:r>
              <w:rPr/>
              <w:t>37.22</w:t>
            </w:r>
          </w:p>
        </w:tc>
        <w:tc>
          <w:tcPr>
            <w:tcW w:w="867" w:type="dxa"/>
            <w:tcBorders/>
            <w:vAlign w:val="bottom"/>
          </w:tcPr>
          <w:p>
            <w:pPr>
              <w:pStyle w:val="TAC"/>
              <w:rPr/>
            </w:pPr>
            <w:r>
              <w:rPr/>
              <w:t>2401.35</w:t>
            </w:r>
          </w:p>
        </w:tc>
        <w:tc>
          <w:tcPr>
            <w:tcW w:w="867" w:type="dxa"/>
            <w:tcBorders/>
            <w:vAlign w:val="bottom"/>
          </w:tcPr>
          <w:p>
            <w:pPr>
              <w:pStyle w:val="TAC"/>
              <w:rPr/>
            </w:pPr>
            <w:r>
              <w:rPr/>
              <w:t>1130.71</w:t>
            </w:r>
          </w:p>
        </w:tc>
        <w:tc>
          <w:tcPr>
            <w:tcW w:w="867" w:type="dxa"/>
            <w:tcBorders/>
            <w:vAlign w:val="bottom"/>
          </w:tcPr>
          <w:p>
            <w:pPr>
              <w:pStyle w:val="TAC"/>
              <w:rPr/>
            </w:pPr>
            <w:r>
              <w:rPr/>
              <w:t>3532.07</w:t>
            </w:r>
          </w:p>
        </w:tc>
        <w:tc>
          <w:tcPr>
            <w:tcW w:w="717" w:type="dxa"/>
            <w:tcBorders>
              <w:left w:val="single" w:sz="8" w:space="0" w:color="000000"/>
              <w:right w:val="single" w:sz="8" w:space="0" w:color="000000"/>
            </w:tcBorders>
            <w:vAlign w:val="bottom"/>
          </w:tcPr>
          <w:p>
            <w:pPr>
              <w:pStyle w:val="TAC"/>
              <w:rPr/>
            </w:pPr>
            <w:r>
              <w:rPr/>
              <w:t>37.09</w:t>
            </w:r>
          </w:p>
        </w:tc>
        <w:tc>
          <w:tcPr>
            <w:tcW w:w="896" w:type="dxa"/>
            <w:tcBorders/>
            <w:vAlign w:val="bottom"/>
          </w:tcPr>
          <w:p>
            <w:pPr>
              <w:pStyle w:val="TAC"/>
              <w:rPr/>
            </w:pPr>
            <w:r>
              <w:rPr/>
              <w:t>3.36%</w:t>
            </w:r>
          </w:p>
        </w:tc>
        <w:tc>
          <w:tcPr>
            <w:tcW w:w="846" w:type="dxa"/>
            <w:tcBorders>
              <w:left w:val="single" w:sz="8" w:space="0" w:color="000000"/>
              <w:right w:val="single" w:sz="8" w:space="0" w:color="000000"/>
            </w:tcBorders>
            <w:vAlign w:val="bottom"/>
          </w:tcPr>
          <w:p>
            <w:pPr>
              <w:pStyle w:val="TAC"/>
              <w:rPr/>
            </w:pPr>
            <w:r>
              <w:rPr/>
              <w:t>-0.12</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30</w:t>
            </w:r>
          </w:p>
        </w:tc>
        <w:tc>
          <w:tcPr>
            <w:tcW w:w="873" w:type="dxa"/>
            <w:tcBorders/>
            <w:vAlign w:val="bottom"/>
          </w:tcPr>
          <w:p>
            <w:pPr>
              <w:pStyle w:val="TAC"/>
              <w:rPr/>
            </w:pPr>
            <w:r>
              <w:rPr/>
              <w:t>1849.04</w:t>
            </w:r>
          </w:p>
        </w:tc>
        <w:tc>
          <w:tcPr>
            <w:tcW w:w="767" w:type="dxa"/>
            <w:tcBorders/>
            <w:vAlign w:val="bottom"/>
          </w:tcPr>
          <w:p>
            <w:pPr>
              <w:pStyle w:val="TAC"/>
              <w:rPr/>
            </w:pPr>
            <w:r>
              <w:rPr/>
              <w:t>365.98</w:t>
            </w:r>
          </w:p>
        </w:tc>
        <w:tc>
          <w:tcPr>
            <w:tcW w:w="874" w:type="dxa"/>
            <w:tcBorders/>
            <w:vAlign w:val="bottom"/>
          </w:tcPr>
          <w:p>
            <w:pPr>
              <w:pStyle w:val="TAC"/>
              <w:rPr/>
            </w:pPr>
            <w:r>
              <w:rPr/>
              <w:t>2215.02</w:t>
            </w:r>
          </w:p>
        </w:tc>
        <w:tc>
          <w:tcPr>
            <w:tcW w:w="717" w:type="dxa"/>
            <w:tcBorders>
              <w:left w:val="single" w:sz="8" w:space="0" w:color="000000"/>
              <w:right w:val="single" w:sz="8" w:space="0" w:color="000000"/>
            </w:tcBorders>
            <w:vAlign w:val="bottom"/>
          </w:tcPr>
          <w:p>
            <w:pPr>
              <w:pStyle w:val="TAC"/>
              <w:rPr/>
            </w:pPr>
            <w:r>
              <w:rPr/>
              <w:t>35.36</w:t>
            </w:r>
          </w:p>
        </w:tc>
        <w:tc>
          <w:tcPr>
            <w:tcW w:w="867" w:type="dxa"/>
            <w:tcBorders/>
            <w:vAlign w:val="bottom"/>
          </w:tcPr>
          <w:p>
            <w:pPr>
              <w:pStyle w:val="TAC"/>
              <w:rPr/>
            </w:pPr>
            <w:r>
              <w:rPr/>
              <w:t>1505.61</w:t>
            </w:r>
          </w:p>
        </w:tc>
        <w:tc>
          <w:tcPr>
            <w:tcW w:w="867" w:type="dxa"/>
            <w:tcBorders/>
            <w:vAlign w:val="bottom"/>
          </w:tcPr>
          <w:p>
            <w:pPr>
              <w:pStyle w:val="TAC"/>
              <w:rPr/>
            </w:pPr>
            <w:r>
              <w:rPr/>
              <w:t>763.81</w:t>
            </w:r>
          </w:p>
        </w:tc>
        <w:tc>
          <w:tcPr>
            <w:tcW w:w="867" w:type="dxa"/>
            <w:tcBorders/>
            <w:vAlign w:val="bottom"/>
          </w:tcPr>
          <w:p>
            <w:pPr>
              <w:pStyle w:val="TAC"/>
              <w:rPr/>
            </w:pPr>
            <w:r>
              <w:rPr/>
              <w:t>2269.42</w:t>
            </w:r>
          </w:p>
        </w:tc>
        <w:tc>
          <w:tcPr>
            <w:tcW w:w="717" w:type="dxa"/>
            <w:tcBorders>
              <w:left w:val="single" w:sz="8" w:space="0" w:color="000000"/>
              <w:right w:val="single" w:sz="8" w:space="0" w:color="000000"/>
            </w:tcBorders>
            <w:vAlign w:val="bottom"/>
          </w:tcPr>
          <w:p>
            <w:pPr>
              <w:pStyle w:val="TAC"/>
              <w:rPr/>
            </w:pPr>
            <w:r>
              <w:rPr/>
              <w:t>35.20</w:t>
            </w:r>
          </w:p>
        </w:tc>
        <w:tc>
          <w:tcPr>
            <w:tcW w:w="896" w:type="dxa"/>
            <w:tcBorders/>
            <w:vAlign w:val="bottom"/>
          </w:tcPr>
          <w:p>
            <w:pPr>
              <w:pStyle w:val="TAC"/>
              <w:rPr/>
            </w:pPr>
            <w:r>
              <w:rPr/>
              <w:t>2.46%</w:t>
            </w:r>
          </w:p>
        </w:tc>
        <w:tc>
          <w:tcPr>
            <w:tcW w:w="846" w:type="dxa"/>
            <w:tcBorders>
              <w:left w:val="single" w:sz="8" w:space="0" w:color="000000"/>
              <w:right w:val="single" w:sz="8" w:space="0" w:color="000000"/>
            </w:tcBorders>
            <w:vAlign w:val="bottom"/>
          </w:tcPr>
          <w:p>
            <w:pPr>
              <w:pStyle w:val="TAC"/>
              <w:rPr/>
            </w:pPr>
            <w:r>
              <w:rPr/>
              <w:t>-0.15</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33</w:t>
            </w:r>
          </w:p>
        </w:tc>
        <w:tc>
          <w:tcPr>
            <w:tcW w:w="873" w:type="dxa"/>
            <w:tcBorders/>
            <w:vAlign w:val="bottom"/>
          </w:tcPr>
          <w:p>
            <w:pPr>
              <w:pStyle w:val="TAC"/>
              <w:rPr/>
            </w:pPr>
            <w:r>
              <w:rPr/>
              <w:t>1158.39</w:t>
            </w:r>
          </w:p>
        </w:tc>
        <w:tc>
          <w:tcPr>
            <w:tcW w:w="767" w:type="dxa"/>
            <w:tcBorders/>
            <w:vAlign w:val="bottom"/>
          </w:tcPr>
          <w:p>
            <w:pPr>
              <w:pStyle w:val="TAC"/>
              <w:rPr/>
            </w:pPr>
            <w:r>
              <w:rPr/>
              <w:t>249.96</w:t>
            </w:r>
          </w:p>
        </w:tc>
        <w:tc>
          <w:tcPr>
            <w:tcW w:w="874" w:type="dxa"/>
            <w:tcBorders/>
            <w:vAlign w:val="bottom"/>
          </w:tcPr>
          <w:p>
            <w:pPr>
              <w:pStyle w:val="TAC"/>
              <w:rPr/>
            </w:pPr>
            <w:r>
              <w:rPr/>
              <w:t>1408.35</w:t>
            </w:r>
          </w:p>
        </w:tc>
        <w:tc>
          <w:tcPr>
            <w:tcW w:w="717" w:type="dxa"/>
            <w:tcBorders>
              <w:left w:val="single" w:sz="8" w:space="0" w:color="000000"/>
              <w:right w:val="single" w:sz="8" w:space="0" w:color="000000"/>
            </w:tcBorders>
            <w:vAlign w:val="bottom"/>
          </w:tcPr>
          <w:p>
            <w:pPr>
              <w:pStyle w:val="TAC"/>
              <w:rPr/>
            </w:pPr>
            <w:r>
              <w:rPr/>
              <w:t>33.50</w:t>
            </w:r>
          </w:p>
        </w:tc>
        <w:tc>
          <w:tcPr>
            <w:tcW w:w="867" w:type="dxa"/>
            <w:tcBorders/>
            <w:vAlign w:val="bottom"/>
          </w:tcPr>
          <w:p>
            <w:pPr>
              <w:pStyle w:val="TAC"/>
              <w:rPr/>
            </w:pPr>
            <w:r>
              <w:rPr/>
              <w:t>918.78</w:t>
            </w:r>
          </w:p>
        </w:tc>
        <w:tc>
          <w:tcPr>
            <w:tcW w:w="867" w:type="dxa"/>
            <w:tcBorders/>
            <w:vAlign w:val="bottom"/>
          </w:tcPr>
          <w:p>
            <w:pPr>
              <w:pStyle w:val="TAC"/>
              <w:rPr/>
            </w:pPr>
            <w:r>
              <w:rPr/>
              <w:t>510.58</w:t>
            </w:r>
          </w:p>
        </w:tc>
        <w:tc>
          <w:tcPr>
            <w:tcW w:w="867" w:type="dxa"/>
            <w:tcBorders/>
            <w:vAlign w:val="bottom"/>
          </w:tcPr>
          <w:p>
            <w:pPr>
              <w:pStyle w:val="TAC"/>
              <w:rPr/>
            </w:pPr>
            <w:r>
              <w:rPr/>
              <w:t>1429.37</w:t>
            </w:r>
          </w:p>
        </w:tc>
        <w:tc>
          <w:tcPr>
            <w:tcW w:w="717" w:type="dxa"/>
            <w:tcBorders>
              <w:left w:val="single" w:sz="8" w:space="0" w:color="000000"/>
              <w:right w:val="single" w:sz="8" w:space="0" w:color="000000"/>
            </w:tcBorders>
            <w:vAlign w:val="bottom"/>
          </w:tcPr>
          <w:p>
            <w:pPr>
              <w:pStyle w:val="TAC"/>
              <w:rPr/>
            </w:pPr>
            <w:r>
              <w:rPr/>
              <w:t>33.34</w:t>
            </w:r>
          </w:p>
        </w:tc>
        <w:tc>
          <w:tcPr>
            <w:tcW w:w="896" w:type="dxa"/>
            <w:tcBorders/>
            <w:vAlign w:val="bottom"/>
          </w:tcPr>
          <w:p>
            <w:pPr>
              <w:pStyle w:val="TAC"/>
              <w:rPr/>
            </w:pPr>
            <w:r>
              <w:rPr/>
              <w:t>1.49%</w:t>
            </w:r>
          </w:p>
        </w:tc>
        <w:tc>
          <w:tcPr>
            <w:tcW w:w="846" w:type="dxa"/>
            <w:tcBorders>
              <w:left w:val="single" w:sz="8" w:space="0" w:color="000000"/>
              <w:right w:val="single" w:sz="8" w:space="0" w:color="000000"/>
            </w:tcBorders>
            <w:vAlign w:val="bottom"/>
          </w:tcPr>
          <w:p>
            <w:pPr>
              <w:pStyle w:val="TAC"/>
              <w:rPr/>
            </w:pPr>
            <w:r>
              <w:rPr/>
              <w:t>-0.16</w:t>
            </w:r>
          </w:p>
        </w:tc>
      </w:tr>
      <w:tr>
        <w:trPr>
          <w:trHeight w:val="330"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36</w:t>
            </w:r>
          </w:p>
        </w:tc>
        <w:tc>
          <w:tcPr>
            <w:tcW w:w="873" w:type="dxa"/>
            <w:tcBorders>
              <w:bottom w:val="single" w:sz="8" w:space="0" w:color="000000"/>
            </w:tcBorders>
            <w:vAlign w:val="bottom"/>
          </w:tcPr>
          <w:p>
            <w:pPr>
              <w:pStyle w:val="TAC"/>
              <w:rPr/>
            </w:pPr>
            <w:r>
              <w:rPr/>
              <w:t>767.70</w:t>
            </w:r>
          </w:p>
        </w:tc>
        <w:tc>
          <w:tcPr>
            <w:tcW w:w="767" w:type="dxa"/>
            <w:tcBorders>
              <w:bottom w:val="single" w:sz="8" w:space="0" w:color="000000"/>
            </w:tcBorders>
            <w:vAlign w:val="bottom"/>
          </w:tcPr>
          <w:p>
            <w:pPr>
              <w:pStyle w:val="TAC"/>
              <w:rPr/>
            </w:pPr>
            <w:r>
              <w:rPr/>
              <w:t>167.09</w:t>
            </w:r>
          </w:p>
        </w:tc>
        <w:tc>
          <w:tcPr>
            <w:tcW w:w="874" w:type="dxa"/>
            <w:tcBorders>
              <w:bottom w:val="single" w:sz="8" w:space="0" w:color="000000"/>
            </w:tcBorders>
            <w:vAlign w:val="bottom"/>
          </w:tcPr>
          <w:p>
            <w:pPr>
              <w:pStyle w:val="TAC"/>
              <w:rPr/>
            </w:pPr>
            <w:r>
              <w:rPr/>
              <w:t>934.79</w:t>
            </w:r>
          </w:p>
        </w:tc>
        <w:tc>
          <w:tcPr>
            <w:tcW w:w="717" w:type="dxa"/>
            <w:tcBorders>
              <w:left w:val="single" w:sz="8" w:space="0" w:color="000000"/>
              <w:bottom w:val="single" w:sz="8" w:space="0" w:color="000000"/>
              <w:right w:val="single" w:sz="8" w:space="0" w:color="000000"/>
            </w:tcBorders>
            <w:vAlign w:val="bottom"/>
          </w:tcPr>
          <w:p>
            <w:pPr>
              <w:pStyle w:val="TAC"/>
              <w:rPr/>
            </w:pPr>
            <w:r>
              <w:rPr/>
              <w:t>31.86</w:t>
            </w:r>
          </w:p>
        </w:tc>
        <w:tc>
          <w:tcPr>
            <w:tcW w:w="867" w:type="dxa"/>
            <w:tcBorders>
              <w:bottom w:val="single" w:sz="8" w:space="0" w:color="000000"/>
            </w:tcBorders>
            <w:vAlign w:val="bottom"/>
          </w:tcPr>
          <w:p>
            <w:pPr>
              <w:pStyle w:val="TAC"/>
              <w:rPr/>
            </w:pPr>
            <w:r>
              <w:rPr/>
              <w:t>609.73</w:t>
            </w:r>
          </w:p>
        </w:tc>
        <w:tc>
          <w:tcPr>
            <w:tcW w:w="867" w:type="dxa"/>
            <w:tcBorders>
              <w:bottom w:val="single" w:sz="8" w:space="0" w:color="000000"/>
            </w:tcBorders>
            <w:vAlign w:val="bottom"/>
          </w:tcPr>
          <w:p>
            <w:pPr>
              <w:pStyle w:val="TAC"/>
              <w:rPr/>
            </w:pPr>
            <w:r>
              <w:rPr/>
              <w:t>334.29</w:t>
            </w:r>
          </w:p>
        </w:tc>
        <w:tc>
          <w:tcPr>
            <w:tcW w:w="867" w:type="dxa"/>
            <w:tcBorders>
              <w:bottom w:val="single" w:sz="8" w:space="0" w:color="000000"/>
            </w:tcBorders>
            <w:vAlign w:val="bottom"/>
          </w:tcPr>
          <w:p>
            <w:pPr>
              <w:pStyle w:val="TAC"/>
              <w:rPr/>
            </w:pPr>
            <w:r>
              <w:rPr/>
              <w:t>944.02</w:t>
            </w:r>
          </w:p>
        </w:tc>
        <w:tc>
          <w:tcPr>
            <w:tcW w:w="717" w:type="dxa"/>
            <w:tcBorders>
              <w:left w:val="single" w:sz="8" w:space="0" w:color="000000"/>
              <w:bottom w:val="single" w:sz="8" w:space="0" w:color="000000"/>
              <w:right w:val="single" w:sz="8" w:space="0" w:color="000000"/>
            </w:tcBorders>
            <w:vAlign w:val="bottom"/>
          </w:tcPr>
          <w:p>
            <w:pPr>
              <w:pStyle w:val="TAC"/>
              <w:rPr/>
            </w:pPr>
            <w:r>
              <w:rPr/>
              <w:t>31.69</w:t>
            </w:r>
          </w:p>
        </w:tc>
        <w:tc>
          <w:tcPr>
            <w:tcW w:w="896" w:type="dxa"/>
            <w:tcBorders>
              <w:bottom w:val="single" w:sz="8" w:space="0" w:color="000000"/>
            </w:tcBorders>
            <w:vAlign w:val="bottom"/>
          </w:tcPr>
          <w:p>
            <w:pPr>
              <w:pStyle w:val="TAC"/>
              <w:rPr/>
            </w:pPr>
            <w:r>
              <w:rPr/>
              <w:t>0.99%</w:t>
            </w:r>
          </w:p>
        </w:tc>
        <w:tc>
          <w:tcPr>
            <w:tcW w:w="846" w:type="dxa"/>
            <w:tcBorders>
              <w:left w:val="single" w:sz="8" w:space="0" w:color="000000"/>
              <w:bottom w:val="single" w:sz="8" w:space="0" w:color="000000"/>
              <w:right w:val="single" w:sz="8" w:space="0" w:color="000000"/>
            </w:tcBorders>
            <w:vAlign w:val="bottom"/>
          </w:tcPr>
          <w:p>
            <w:pPr>
              <w:pStyle w:val="TAC"/>
              <w:rPr/>
            </w:pPr>
            <w:r>
              <w:rPr/>
              <w:t>-0.17</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29</w:t>
            </w:r>
          </w:p>
        </w:tc>
        <w:tc>
          <w:tcPr>
            <w:tcW w:w="873" w:type="dxa"/>
            <w:tcBorders/>
            <w:vAlign w:val="bottom"/>
          </w:tcPr>
          <w:p>
            <w:pPr>
              <w:pStyle w:val="TAC"/>
              <w:rPr/>
            </w:pPr>
            <w:r>
              <w:rPr/>
              <w:t>2083.81</w:t>
            </w:r>
          </w:p>
        </w:tc>
        <w:tc>
          <w:tcPr>
            <w:tcW w:w="767" w:type="dxa"/>
            <w:tcBorders/>
            <w:vAlign w:val="bottom"/>
          </w:tcPr>
          <w:p>
            <w:pPr>
              <w:pStyle w:val="TAC"/>
              <w:rPr/>
            </w:pPr>
            <w:r>
              <w:rPr/>
              <w:t>528.40</w:t>
            </w:r>
          </w:p>
        </w:tc>
        <w:tc>
          <w:tcPr>
            <w:tcW w:w="874" w:type="dxa"/>
            <w:tcBorders/>
            <w:vAlign w:val="bottom"/>
          </w:tcPr>
          <w:p>
            <w:pPr>
              <w:pStyle w:val="TAC"/>
              <w:rPr/>
            </w:pPr>
            <w:r>
              <w:rPr/>
              <w:t>2612.20</w:t>
            </w:r>
          </w:p>
        </w:tc>
        <w:tc>
          <w:tcPr>
            <w:tcW w:w="717" w:type="dxa"/>
            <w:tcBorders>
              <w:left w:val="single" w:sz="8" w:space="0" w:color="000000"/>
              <w:right w:val="single" w:sz="8" w:space="0" w:color="000000"/>
            </w:tcBorders>
            <w:vAlign w:val="bottom"/>
          </w:tcPr>
          <w:p>
            <w:pPr>
              <w:pStyle w:val="TAC"/>
              <w:rPr/>
            </w:pPr>
            <w:r>
              <w:rPr/>
              <w:t>35.95</w:t>
            </w:r>
          </w:p>
        </w:tc>
        <w:tc>
          <w:tcPr>
            <w:tcW w:w="867" w:type="dxa"/>
            <w:tcBorders/>
            <w:vAlign w:val="bottom"/>
          </w:tcPr>
          <w:p>
            <w:pPr>
              <w:pStyle w:val="TAC"/>
              <w:rPr/>
            </w:pPr>
            <w:r>
              <w:rPr/>
              <w:t>1522.23</w:t>
            </w:r>
          </w:p>
        </w:tc>
        <w:tc>
          <w:tcPr>
            <w:tcW w:w="867" w:type="dxa"/>
            <w:tcBorders/>
            <w:vAlign w:val="bottom"/>
          </w:tcPr>
          <w:p>
            <w:pPr>
              <w:pStyle w:val="TAC"/>
              <w:rPr/>
            </w:pPr>
            <w:r>
              <w:rPr/>
              <w:t>1130.71</w:t>
            </w:r>
          </w:p>
        </w:tc>
        <w:tc>
          <w:tcPr>
            <w:tcW w:w="867" w:type="dxa"/>
            <w:tcBorders/>
            <w:vAlign w:val="bottom"/>
          </w:tcPr>
          <w:p>
            <w:pPr>
              <w:pStyle w:val="TAC"/>
              <w:rPr/>
            </w:pPr>
            <w:r>
              <w:rPr/>
              <w:t>2652.95</w:t>
            </w:r>
          </w:p>
        </w:tc>
        <w:tc>
          <w:tcPr>
            <w:tcW w:w="717" w:type="dxa"/>
            <w:tcBorders>
              <w:left w:val="single" w:sz="8" w:space="0" w:color="000000"/>
              <w:right w:val="single" w:sz="8" w:space="0" w:color="000000"/>
            </w:tcBorders>
            <w:vAlign w:val="bottom"/>
          </w:tcPr>
          <w:p>
            <w:pPr>
              <w:pStyle w:val="TAC"/>
              <w:rPr/>
            </w:pPr>
            <w:r>
              <w:rPr/>
              <w:t>35.77</w:t>
            </w:r>
          </w:p>
        </w:tc>
        <w:tc>
          <w:tcPr>
            <w:tcW w:w="896" w:type="dxa"/>
            <w:tcBorders/>
            <w:vAlign w:val="bottom"/>
          </w:tcPr>
          <w:p>
            <w:pPr>
              <w:pStyle w:val="TAC"/>
              <w:rPr/>
            </w:pPr>
            <w:r>
              <w:rPr/>
              <w:t>1.56%</w:t>
            </w:r>
          </w:p>
        </w:tc>
        <w:tc>
          <w:tcPr>
            <w:tcW w:w="846" w:type="dxa"/>
            <w:tcBorders>
              <w:left w:val="single" w:sz="8" w:space="0" w:color="000000"/>
              <w:right w:val="single" w:sz="8" w:space="0" w:color="000000"/>
            </w:tcBorders>
            <w:vAlign w:val="bottom"/>
          </w:tcPr>
          <w:p>
            <w:pPr>
              <w:pStyle w:val="TAC"/>
              <w:rPr/>
            </w:pPr>
            <w:r>
              <w:rPr/>
              <w:t>-0.17</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32</w:t>
            </w:r>
          </w:p>
        </w:tc>
        <w:tc>
          <w:tcPr>
            <w:tcW w:w="873" w:type="dxa"/>
            <w:tcBorders/>
            <w:vAlign w:val="bottom"/>
          </w:tcPr>
          <w:p>
            <w:pPr>
              <w:pStyle w:val="TAC"/>
              <w:rPr/>
            </w:pPr>
            <w:r>
              <w:rPr/>
              <w:t>1298.58</w:t>
            </w:r>
          </w:p>
        </w:tc>
        <w:tc>
          <w:tcPr>
            <w:tcW w:w="767" w:type="dxa"/>
            <w:tcBorders/>
            <w:vAlign w:val="bottom"/>
          </w:tcPr>
          <w:p>
            <w:pPr>
              <w:pStyle w:val="TAC"/>
              <w:rPr/>
            </w:pPr>
            <w:r>
              <w:rPr/>
              <w:t>365.98</w:t>
            </w:r>
          </w:p>
        </w:tc>
        <w:tc>
          <w:tcPr>
            <w:tcW w:w="874" w:type="dxa"/>
            <w:tcBorders/>
            <w:vAlign w:val="bottom"/>
          </w:tcPr>
          <w:p>
            <w:pPr>
              <w:pStyle w:val="TAC"/>
              <w:rPr/>
            </w:pPr>
            <w:r>
              <w:rPr/>
              <w:t>1664.56</w:t>
            </w:r>
          </w:p>
        </w:tc>
        <w:tc>
          <w:tcPr>
            <w:tcW w:w="717" w:type="dxa"/>
            <w:tcBorders>
              <w:left w:val="single" w:sz="8" w:space="0" w:color="000000"/>
              <w:right w:val="single" w:sz="8" w:space="0" w:color="000000"/>
            </w:tcBorders>
            <w:vAlign w:val="bottom"/>
          </w:tcPr>
          <w:p>
            <w:pPr>
              <w:pStyle w:val="TAC"/>
              <w:rPr/>
            </w:pPr>
            <w:r>
              <w:rPr/>
              <w:t>34.07</w:t>
            </w:r>
          </w:p>
        </w:tc>
        <w:tc>
          <w:tcPr>
            <w:tcW w:w="867" w:type="dxa"/>
            <w:tcBorders/>
            <w:vAlign w:val="bottom"/>
          </w:tcPr>
          <w:p>
            <w:pPr>
              <w:pStyle w:val="TAC"/>
              <w:rPr/>
            </w:pPr>
            <w:r>
              <w:rPr/>
              <w:t>905.20</w:t>
            </w:r>
          </w:p>
        </w:tc>
        <w:tc>
          <w:tcPr>
            <w:tcW w:w="867" w:type="dxa"/>
            <w:tcBorders/>
            <w:vAlign w:val="bottom"/>
          </w:tcPr>
          <w:p>
            <w:pPr>
              <w:pStyle w:val="TAC"/>
              <w:rPr/>
            </w:pPr>
            <w:r>
              <w:rPr/>
              <w:t>763.81</w:t>
            </w:r>
          </w:p>
        </w:tc>
        <w:tc>
          <w:tcPr>
            <w:tcW w:w="867" w:type="dxa"/>
            <w:tcBorders/>
            <w:vAlign w:val="bottom"/>
          </w:tcPr>
          <w:p>
            <w:pPr>
              <w:pStyle w:val="TAC"/>
              <w:rPr/>
            </w:pPr>
            <w:r>
              <w:rPr/>
              <w:t>1669.01</w:t>
            </w:r>
          </w:p>
        </w:tc>
        <w:tc>
          <w:tcPr>
            <w:tcW w:w="717" w:type="dxa"/>
            <w:tcBorders>
              <w:left w:val="single" w:sz="8" w:space="0" w:color="000000"/>
              <w:right w:val="single" w:sz="8" w:space="0" w:color="000000"/>
            </w:tcBorders>
            <w:vAlign w:val="bottom"/>
          </w:tcPr>
          <w:p>
            <w:pPr>
              <w:pStyle w:val="TAC"/>
              <w:rPr/>
            </w:pPr>
            <w:r>
              <w:rPr/>
              <w:t>33.90</w:t>
            </w:r>
          </w:p>
        </w:tc>
        <w:tc>
          <w:tcPr>
            <w:tcW w:w="896" w:type="dxa"/>
            <w:tcBorders/>
            <w:vAlign w:val="bottom"/>
          </w:tcPr>
          <w:p>
            <w:pPr>
              <w:pStyle w:val="TAC"/>
              <w:rPr/>
            </w:pPr>
            <w:r>
              <w:rPr/>
              <w:t>0.27%</w:t>
            </w:r>
          </w:p>
        </w:tc>
        <w:tc>
          <w:tcPr>
            <w:tcW w:w="846" w:type="dxa"/>
            <w:tcBorders>
              <w:left w:val="single" w:sz="8" w:space="0" w:color="000000"/>
              <w:right w:val="single" w:sz="8" w:space="0" w:color="000000"/>
            </w:tcBorders>
            <w:vAlign w:val="bottom"/>
          </w:tcPr>
          <w:p>
            <w:pPr>
              <w:pStyle w:val="TAC"/>
              <w:rPr/>
            </w:pPr>
            <w:r>
              <w:rPr/>
              <w:t>-0.17</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35</w:t>
            </w:r>
          </w:p>
        </w:tc>
        <w:tc>
          <w:tcPr>
            <w:tcW w:w="873" w:type="dxa"/>
            <w:tcBorders/>
            <w:vAlign w:val="bottom"/>
          </w:tcPr>
          <w:p>
            <w:pPr>
              <w:pStyle w:val="TAC"/>
              <w:rPr/>
            </w:pPr>
            <w:r>
              <w:rPr/>
              <w:t>834.74</w:t>
            </w:r>
          </w:p>
        </w:tc>
        <w:tc>
          <w:tcPr>
            <w:tcW w:w="767" w:type="dxa"/>
            <w:tcBorders/>
            <w:vAlign w:val="bottom"/>
          </w:tcPr>
          <w:p>
            <w:pPr>
              <w:pStyle w:val="TAC"/>
              <w:rPr/>
            </w:pPr>
            <w:r>
              <w:rPr/>
              <w:t>249.96</w:t>
            </w:r>
          </w:p>
        </w:tc>
        <w:tc>
          <w:tcPr>
            <w:tcW w:w="874" w:type="dxa"/>
            <w:tcBorders/>
            <w:vAlign w:val="bottom"/>
          </w:tcPr>
          <w:p>
            <w:pPr>
              <w:pStyle w:val="TAC"/>
              <w:rPr/>
            </w:pPr>
            <w:r>
              <w:rPr/>
              <w:t>1084.70</w:t>
            </w:r>
          </w:p>
        </w:tc>
        <w:tc>
          <w:tcPr>
            <w:tcW w:w="717" w:type="dxa"/>
            <w:tcBorders>
              <w:left w:val="single" w:sz="8" w:space="0" w:color="000000"/>
              <w:right w:val="single" w:sz="8" w:space="0" w:color="000000"/>
            </w:tcBorders>
            <w:vAlign w:val="bottom"/>
          </w:tcPr>
          <w:p>
            <w:pPr>
              <w:pStyle w:val="TAC"/>
              <w:rPr/>
            </w:pPr>
            <w:r>
              <w:rPr/>
              <w:t>32.35</w:t>
            </w:r>
          </w:p>
        </w:tc>
        <w:tc>
          <w:tcPr>
            <w:tcW w:w="867" w:type="dxa"/>
            <w:tcBorders/>
            <w:vAlign w:val="bottom"/>
          </w:tcPr>
          <w:p>
            <w:pPr>
              <w:pStyle w:val="TAC"/>
              <w:rPr/>
            </w:pPr>
            <w:r>
              <w:rPr/>
              <w:t>550.96</w:t>
            </w:r>
          </w:p>
        </w:tc>
        <w:tc>
          <w:tcPr>
            <w:tcW w:w="867" w:type="dxa"/>
            <w:tcBorders/>
            <w:vAlign w:val="bottom"/>
          </w:tcPr>
          <w:p>
            <w:pPr>
              <w:pStyle w:val="TAC"/>
              <w:rPr/>
            </w:pPr>
            <w:r>
              <w:rPr/>
              <w:t>510.58</w:t>
            </w:r>
          </w:p>
        </w:tc>
        <w:tc>
          <w:tcPr>
            <w:tcW w:w="867" w:type="dxa"/>
            <w:tcBorders/>
            <w:vAlign w:val="bottom"/>
          </w:tcPr>
          <w:p>
            <w:pPr>
              <w:pStyle w:val="TAC"/>
              <w:rPr/>
            </w:pPr>
            <w:r>
              <w:rPr/>
              <w:t>1061.54</w:t>
            </w:r>
          </w:p>
        </w:tc>
        <w:tc>
          <w:tcPr>
            <w:tcW w:w="717" w:type="dxa"/>
            <w:tcBorders>
              <w:left w:val="single" w:sz="8" w:space="0" w:color="000000"/>
              <w:right w:val="single" w:sz="8" w:space="0" w:color="000000"/>
            </w:tcBorders>
            <w:vAlign w:val="bottom"/>
          </w:tcPr>
          <w:p>
            <w:pPr>
              <w:pStyle w:val="TAC"/>
              <w:rPr/>
            </w:pPr>
            <w:r>
              <w:rPr/>
              <w:t>32.16</w:t>
            </w:r>
          </w:p>
        </w:tc>
        <w:tc>
          <w:tcPr>
            <w:tcW w:w="896" w:type="dxa"/>
            <w:tcBorders/>
            <w:vAlign w:val="bottom"/>
          </w:tcPr>
          <w:p>
            <w:pPr>
              <w:pStyle w:val="TAC"/>
              <w:rPr/>
            </w:pPr>
            <w:r>
              <w:rPr/>
              <w:t>-2.14%</w:t>
            </w:r>
          </w:p>
        </w:tc>
        <w:tc>
          <w:tcPr>
            <w:tcW w:w="846" w:type="dxa"/>
            <w:tcBorders>
              <w:left w:val="single" w:sz="8" w:space="0" w:color="000000"/>
              <w:right w:val="single" w:sz="8" w:space="0" w:color="000000"/>
            </w:tcBorders>
            <w:vAlign w:val="bottom"/>
          </w:tcPr>
          <w:p>
            <w:pPr>
              <w:pStyle w:val="TAC"/>
              <w:rPr/>
            </w:pPr>
            <w:r>
              <w:rPr/>
              <w:t>-0.19</w:t>
            </w:r>
          </w:p>
        </w:tc>
      </w:tr>
      <w:tr>
        <w:trPr>
          <w:trHeight w:val="330"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38</w:t>
            </w:r>
          </w:p>
        </w:tc>
        <w:tc>
          <w:tcPr>
            <w:tcW w:w="873" w:type="dxa"/>
            <w:tcBorders>
              <w:bottom w:val="single" w:sz="8" w:space="0" w:color="000000"/>
            </w:tcBorders>
            <w:vAlign w:val="bottom"/>
          </w:tcPr>
          <w:p>
            <w:pPr>
              <w:pStyle w:val="TAC"/>
              <w:rPr/>
            </w:pPr>
            <w:r>
              <w:rPr/>
              <w:t>547.04</w:t>
            </w:r>
          </w:p>
        </w:tc>
        <w:tc>
          <w:tcPr>
            <w:tcW w:w="767" w:type="dxa"/>
            <w:tcBorders>
              <w:bottom w:val="single" w:sz="8" w:space="0" w:color="000000"/>
            </w:tcBorders>
            <w:vAlign w:val="bottom"/>
          </w:tcPr>
          <w:p>
            <w:pPr>
              <w:pStyle w:val="TAC"/>
              <w:rPr/>
            </w:pPr>
            <w:r>
              <w:rPr/>
              <w:t>167.09</w:t>
            </w:r>
          </w:p>
        </w:tc>
        <w:tc>
          <w:tcPr>
            <w:tcW w:w="874" w:type="dxa"/>
            <w:tcBorders>
              <w:bottom w:val="single" w:sz="8" w:space="0" w:color="000000"/>
            </w:tcBorders>
            <w:vAlign w:val="bottom"/>
          </w:tcPr>
          <w:p>
            <w:pPr>
              <w:pStyle w:val="TAC"/>
              <w:rPr/>
            </w:pPr>
            <w:r>
              <w:rPr/>
              <w:t>714.13</w:t>
            </w:r>
          </w:p>
        </w:tc>
        <w:tc>
          <w:tcPr>
            <w:tcW w:w="717" w:type="dxa"/>
            <w:tcBorders>
              <w:left w:val="single" w:sz="8" w:space="0" w:color="000000"/>
              <w:bottom w:val="single" w:sz="8" w:space="0" w:color="000000"/>
              <w:right w:val="single" w:sz="8" w:space="0" w:color="000000"/>
            </w:tcBorders>
            <w:vAlign w:val="bottom"/>
          </w:tcPr>
          <w:p>
            <w:pPr>
              <w:pStyle w:val="TAC"/>
              <w:rPr/>
            </w:pPr>
            <w:r>
              <w:rPr/>
              <w:t>30.74</w:t>
            </w:r>
          </w:p>
        </w:tc>
        <w:tc>
          <w:tcPr>
            <w:tcW w:w="867" w:type="dxa"/>
            <w:tcBorders>
              <w:bottom w:val="single" w:sz="8" w:space="0" w:color="000000"/>
            </w:tcBorders>
            <w:vAlign w:val="bottom"/>
          </w:tcPr>
          <w:p>
            <w:pPr>
              <w:pStyle w:val="TAC"/>
              <w:rPr/>
            </w:pPr>
            <w:r>
              <w:rPr/>
              <w:t>352.37</w:t>
            </w:r>
          </w:p>
        </w:tc>
        <w:tc>
          <w:tcPr>
            <w:tcW w:w="867" w:type="dxa"/>
            <w:tcBorders>
              <w:bottom w:val="single" w:sz="8" w:space="0" w:color="000000"/>
            </w:tcBorders>
            <w:vAlign w:val="bottom"/>
          </w:tcPr>
          <w:p>
            <w:pPr>
              <w:pStyle w:val="TAC"/>
              <w:rPr/>
            </w:pPr>
            <w:r>
              <w:rPr/>
              <w:t>334.29</w:t>
            </w:r>
          </w:p>
        </w:tc>
        <w:tc>
          <w:tcPr>
            <w:tcW w:w="867" w:type="dxa"/>
            <w:tcBorders>
              <w:bottom w:val="single" w:sz="8" w:space="0" w:color="000000"/>
            </w:tcBorders>
            <w:vAlign w:val="bottom"/>
          </w:tcPr>
          <w:p>
            <w:pPr>
              <w:pStyle w:val="TAC"/>
              <w:rPr/>
            </w:pPr>
            <w:r>
              <w:rPr/>
              <w:t>686.67</w:t>
            </w:r>
          </w:p>
        </w:tc>
        <w:tc>
          <w:tcPr>
            <w:tcW w:w="717" w:type="dxa"/>
            <w:tcBorders>
              <w:left w:val="single" w:sz="8" w:space="0" w:color="000000"/>
              <w:bottom w:val="single" w:sz="8" w:space="0" w:color="000000"/>
              <w:right w:val="single" w:sz="8" w:space="0" w:color="000000"/>
            </w:tcBorders>
            <w:vAlign w:val="bottom"/>
          </w:tcPr>
          <w:p>
            <w:pPr>
              <w:pStyle w:val="TAC"/>
              <w:rPr/>
            </w:pPr>
            <w:r>
              <w:rPr/>
              <w:t>30.53</w:t>
            </w:r>
          </w:p>
        </w:tc>
        <w:tc>
          <w:tcPr>
            <w:tcW w:w="896" w:type="dxa"/>
            <w:tcBorders>
              <w:bottom w:val="single" w:sz="8" w:space="0" w:color="000000"/>
            </w:tcBorders>
            <w:vAlign w:val="bottom"/>
          </w:tcPr>
          <w:p>
            <w:pPr>
              <w:pStyle w:val="TAC"/>
              <w:rPr/>
            </w:pPr>
            <w:r>
              <w:rPr/>
              <w:t>-3.85%</w:t>
            </w:r>
          </w:p>
        </w:tc>
        <w:tc>
          <w:tcPr>
            <w:tcW w:w="846" w:type="dxa"/>
            <w:tcBorders>
              <w:left w:val="single" w:sz="8" w:space="0" w:color="000000"/>
              <w:bottom w:val="single" w:sz="8" w:space="0" w:color="000000"/>
              <w:right w:val="single" w:sz="8" w:space="0" w:color="000000"/>
            </w:tcBorders>
            <w:vAlign w:val="bottom"/>
          </w:tcPr>
          <w:p>
            <w:pPr>
              <w:pStyle w:val="TAC"/>
              <w:rPr/>
            </w:pPr>
            <w:r>
              <w:rPr/>
              <w:t>-0.21</w:t>
            </w:r>
          </w:p>
        </w:tc>
      </w:tr>
      <w:tr>
        <w:trPr>
          <w:trHeight w:val="315" w:hRule="atLeast"/>
        </w:trPr>
        <w:tc>
          <w:tcPr>
            <w:tcW w:w="1097" w:type="dxa"/>
            <w:vMerge w:val="restart"/>
            <w:tcBorders>
              <w:left w:val="single" w:sz="8" w:space="0" w:color="000000"/>
            </w:tcBorders>
            <w:vAlign w:val="bottom"/>
          </w:tcPr>
          <w:p>
            <w:pPr>
              <w:pStyle w:val="TAC"/>
              <w:rPr/>
            </w:pPr>
            <w:r>
              <w:rPr/>
              <w:t>Basketball</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27</w:t>
            </w:r>
          </w:p>
        </w:tc>
        <w:tc>
          <w:tcPr>
            <w:tcW w:w="873" w:type="dxa"/>
            <w:tcBorders/>
            <w:vAlign w:val="bottom"/>
          </w:tcPr>
          <w:p>
            <w:pPr>
              <w:pStyle w:val="TAC"/>
              <w:rPr/>
            </w:pPr>
            <w:r>
              <w:rPr/>
              <w:t>2699.12</w:t>
            </w:r>
          </w:p>
        </w:tc>
        <w:tc>
          <w:tcPr>
            <w:tcW w:w="767" w:type="dxa"/>
            <w:tcBorders/>
            <w:vAlign w:val="bottom"/>
          </w:tcPr>
          <w:p>
            <w:pPr>
              <w:pStyle w:val="TAC"/>
              <w:rPr/>
            </w:pPr>
            <w:r>
              <w:rPr/>
              <w:t>509.06</w:t>
            </w:r>
          </w:p>
        </w:tc>
        <w:tc>
          <w:tcPr>
            <w:tcW w:w="874" w:type="dxa"/>
            <w:tcBorders/>
            <w:vAlign w:val="bottom"/>
          </w:tcPr>
          <w:p>
            <w:pPr>
              <w:pStyle w:val="TAC"/>
              <w:rPr/>
            </w:pPr>
            <w:r>
              <w:rPr/>
              <w:t>3208.18</w:t>
            </w:r>
          </w:p>
        </w:tc>
        <w:tc>
          <w:tcPr>
            <w:tcW w:w="717" w:type="dxa"/>
            <w:tcBorders>
              <w:left w:val="single" w:sz="8" w:space="0" w:color="000000"/>
              <w:right w:val="single" w:sz="8" w:space="0" w:color="000000"/>
            </w:tcBorders>
            <w:vAlign w:val="bottom"/>
          </w:tcPr>
          <w:p>
            <w:pPr>
              <w:pStyle w:val="TAC"/>
              <w:rPr/>
            </w:pPr>
            <w:r>
              <w:rPr/>
              <w:t>38.49</w:t>
            </w:r>
          </w:p>
        </w:tc>
        <w:tc>
          <w:tcPr>
            <w:tcW w:w="867" w:type="dxa"/>
            <w:tcBorders/>
            <w:vAlign w:val="bottom"/>
          </w:tcPr>
          <w:p>
            <w:pPr>
              <w:pStyle w:val="TAC"/>
              <w:rPr/>
            </w:pPr>
            <w:r>
              <w:rPr/>
              <w:t>2225.02</w:t>
            </w:r>
          </w:p>
        </w:tc>
        <w:tc>
          <w:tcPr>
            <w:tcW w:w="867" w:type="dxa"/>
            <w:tcBorders/>
            <w:vAlign w:val="bottom"/>
          </w:tcPr>
          <w:p>
            <w:pPr>
              <w:pStyle w:val="TAC"/>
              <w:rPr/>
            </w:pPr>
            <w:r>
              <w:rPr/>
              <w:t>1019.61</w:t>
            </w:r>
          </w:p>
        </w:tc>
        <w:tc>
          <w:tcPr>
            <w:tcW w:w="867" w:type="dxa"/>
            <w:tcBorders/>
            <w:vAlign w:val="bottom"/>
          </w:tcPr>
          <w:p>
            <w:pPr>
              <w:pStyle w:val="TAC"/>
              <w:rPr/>
            </w:pPr>
            <w:r>
              <w:rPr/>
              <w:t>3244.63</w:t>
            </w:r>
          </w:p>
        </w:tc>
        <w:tc>
          <w:tcPr>
            <w:tcW w:w="717" w:type="dxa"/>
            <w:tcBorders>
              <w:left w:val="single" w:sz="8" w:space="0" w:color="000000"/>
              <w:right w:val="single" w:sz="8" w:space="0" w:color="000000"/>
            </w:tcBorders>
            <w:vAlign w:val="bottom"/>
          </w:tcPr>
          <w:p>
            <w:pPr>
              <w:pStyle w:val="TAC"/>
              <w:rPr/>
            </w:pPr>
            <w:r>
              <w:rPr/>
              <w:t>38.38</w:t>
            </w:r>
          </w:p>
        </w:tc>
        <w:tc>
          <w:tcPr>
            <w:tcW w:w="896" w:type="dxa"/>
            <w:tcBorders/>
            <w:vAlign w:val="bottom"/>
          </w:tcPr>
          <w:p>
            <w:pPr>
              <w:pStyle w:val="TAC"/>
              <w:rPr/>
            </w:pPr>
            <w:r>
              <w:rPr/>
              <w:t>1.14%</w:t>
            </w:r>
          </w:p>
        </w:tc>
        <w:tc>
          <w:tcPr>
            <w:tcW w:w="846" w:type="dxa"/>
            <w:tcBorders>
              <w:left w:val="single" w:sz="8" w:space="0" w:color="000000"/>
              <w:right w:val="single" w:sz="8" w:space="0" w:color="000000"/>
            </w:tcBorders>
            <w:vAlign w:val="bottom"/>
          </w:tcPr>
          <w:p>
            <w:pPr>
              <w:pStyle w:val="TAC"/>
              <w:rPr/>
            </w:pPr>
            <w:r>
              <w:rPr/>
              <w:t>-0.12</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30</w:t>
            </w:r>
          </w:p>
        </w:tc>
        <w:tc>
          <w:tcPr>
            <w:tcW w:w="873" w:type="dxa"/>
            <w:tcBorders/>
            <w:vAlign w:val="bottom"/>
          </w:tcPr>
          <w:p>
            <w:pPr>
              <w:pStyle w:val="TAC"/>
              <w:rPr/>
            </w:pPr>
            <w:r>
              <w:rPr/>
              <w:t>1755.88</w:t>
            </w:r>
          </w:p>
        </w:tc>
        <w:tc>
          <w:tcPr>
            <w:tcW w:w="767" w:type="dxa"/>
            <w:tcBorders/>
            <w:vAlign w:val="bottom"/>
          </w:tcPr>
          <w:p>
            <w:pPr>
              <w:pStyle w:val="TAC"/>
              <w:rPr/>
            </w:pPr>
            <w:r>
              <w:rPr/>
              <w:t>355.22</w:t>
            </w:r>
          </w:p>
        </w:tc>
        <w:tc>
          <w:tcPr>
            <w:tcW w:w="874" w:type="dxa"/>
            <w:tcBorders/>
            <w:vAlign w:val="bottom"/>
          </w:tcPr>
          <w:p>
            <w:pPr>
              <w:pStyle w:val="TAC"/>
              <w:rPr/>
            </w:pPr>
            <w:r>
              <w:rPr/>
              <w:t>2111.09</w:t>
            </w:r>
          </w:p>
        </w:tc>
        <w:tc>
          <w:tcPr>
            <w:tcW w:w="717" w:type="dxa"/>
            <w:tcBorders>
              <w:left w:val="single" w:sz="8" w:space="0" w:color="000000"/>
              <w:right w:val="single" w:sz="8" w:space="0" w:color="000000"/>
            </w:tcBorders>
            <w:vAlign w:val="bottom"/>
          </w:tcPr>
          <w:p>
            <w:pPr>
              <w:pStyle w:val="TAC"/>
              <w:rPr/>
            </w:pPr>
            <w:r>
              <w:rPr/>
              <w:t>36.67</w:t>
            </w:r>
          </w:p>
        </w:tc>
        <w:tc>
          <w:tcPr>
            <w:tcW w:w="867" w:type="dxa"/>
            <w:tcBorders/>
            <w:vAlign w:val="bottom"/>
          </w:tcPr>
          <w:p>
            <w:pPr>
              <w:pStyle w:val="TAC"/>
              <w:rPr/>
            </w:pPr>
            <w:r>
              <w:rPr/>
              <w:t>1410.98</w:t>
            </w:r>
          </w:p>
        </w:tc>
        <w:tc>
          <w:tcPr>
            <w:tcW w:w="867" w:type="dxa"/>
            <w:tcBorders/>
            <w:vAlign w:val="bottom"/>
          </w:tcPr>
          <w:p>
            <w:pPr>
              <w:pStyle w:val="TAC"/>
              <w:rPr/>
            </w:pPr>
            <w:r>
              <w:rPr/>
              <w:t>704.50</w:t>
            </w:r>
          </w:p>
        </w:tc>
        <w:tc>
          <w:tcPr>
            <w:tcW w:w="867" w:type="dxa"/>
            <w:tcBorders/>
            <w:vAlign w:val="bottom"/>
          </w:tcPr>
          <w:p>
            <w:pPr>
              <w:pStyle w:val="TAC"/>
              <w:rPr/>
            </w:pPr>
            <w:r>
              <w:rPr/>
              <w:t>2115.48</w:t>
            </w:r>
          </w:p>
        </w:tc>
        <w:tc>
          <w:tcPr>
            <w:tcW w:w="717" w:type="dxa"/>
            <w:tcBorders>
              <w:left w:val="single" w:sz="8" w:space="0" w:color="000000"/>
              <w:right w:val="single" w:sz="8" w:space="0" w:color="000000"/>
            </w:tcBorders>
            <w:vAlign w:val="bottom"/>
          </w:tcPr>
          <w:p>
            <w:pPr>
              <w:pStyle w:val="TAC"/>
              <w:rPr/>
            </w:pPr>
            <w:r>
              <w:rPr/>
              <w:t>36.53</w:t>
            </w:r>
          </w:p>
        </w:tc>
        <w:tc>
          <w:tcPr>
            <w:tcW w:w="896" w:type="dxa"/>
            <w:tcBorders/>
            <w:vAlign w:val="bottom"/>
          </w:tcPr>
          <w:p>
            <w:pPr>
              <w:pStyle w:val="TAC"/>
              <w:rPr/>
            </w:pPr>
            <w:r>
              <w:rPr/>
              <w:t>0.21%</w:t>
            </w:r>
          </w:p>
        </w:tc>
        <w:tc>
          <w:tcPr>
            <w:tcW w:w="846" w:type="dxa"/>
            <w:tcBorders>
              <w:left w:val="single" w:sz="8" w:space="0" w:color="000000"/>
              <w:right w:val="single" w:sz="8" w:space="0" w:color="000000"/>
            </w:tcBorders>
            <w:vAlign w:val="bottom"/>
          </w:tcPr>
          <w:p>
            <w:pPr>
              <w:pStyle w:val="TAC"/>
              <w:rPr/>
            </w:pPr>
            <w:r>
              <w:rPr/>
              <w:t>-0.14</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33</w:t>
            </w:r>
          </w:p>
        </w:tc>
        <w:tc>
          <w:tcPr>
            <w:tcW w:w="873" w:type="dxa"/>
            <w:tcBorders/>
            <w:vAlign w:val="bottom"/>
          </w:tcPr>
          <w:p>
            <w:pPr>
              <w:pStyle w:val="TAC"/>
              <w:rPr/>
            </w:pPr>
            <w:r>
              <w:rPr/>
              <w:t>1123.02</w:t>
            </w:r>
          </w:p>
        </w:tc>
        <w:tc>
          <w:tcPr>
            <w:tcW w:w="767" w:type="dxa"/>
            <w:tcBorders/>
            <w:vAlign w:val="bottom"/>
          </w:tcPr>
          <w:p>
            <w:pPr>
              <w:pStyle w:val="TAC"/>
              <w:rPr/>
            </w:pPr>
            <w:r>
              <w:rPr/>
              <w:t>245.72</w:t>
            </w:r>
          </w:p>
        </w:tc>
        <w:tc>
          <w:tcPr>
            <w:tcW w:w="874" w:type="dxa"/>
            <w:tcBorders/>
            <w:vAlign w:val="bottom"/>
          </w:tcPr>
          <w:p>
            <w:pPr>
              <w:pStyle w:val="TAC"/>
              <w:rPr/>
            </w:pPr>
            <w:r>
              <w:rPr/>
              <w:t>1368.73</w:t>
            </w:r>
          </w:p>
        </w:tc>
        <w:tc>
          <w:tcPr>
            <w:tcW w:w="717" w:type="dxa"/>
            <w:tcBorders>
              <w:left w:val="single" w:sz="8" w:space="0" w:color="000000"/>
              <w:right w:val="single" w:sz="8" w:space="0" w:color="000000"/>
            </w:tcBorders>
            <w:vAlign w:val="bottom"/>
          </w:tcPr>
          <w:p>
            <w:pPr>
              <w:pStyle w:val="TAC"/>
              <w:rPr/>
            </w:pPr>
            <w:r>
              <w:rPr/>
              <w:t>34.83</w:t>
            </w:r>
          </w:p>
        </w:tc>
        <w:tc>
          <w:tcPr>
            <w:tcW w:w="867" w:type="dxa"/>
            <w:tcBorders/>
            <w:vAlign w:val="bottom"/>
          </w:tcPr>
          <w:p>
            <w:pPr>
              <w:pStyle w:val="TAC"/>
              <w:rPr/>
            </w:pPr>
            <w:r>
              <w:rPr/>
              <w:t>873.35</w:t>
            </w:r>
          </w:p>
        </w:tc>
        <w:tc>
          <w:tcPr>
            <w:tcW w:w="867" w:type="dxa"/>
            <w:tcBorders/>
            <w:vAlign w:val="bottom"/>
          </w:tcPr>
          <w:p>
            <w:pPr>
              <w:pStyle w:val="TAC"/>
              <w:rPr/>
            </w:pPr>
            <w:r>
              <w:rPr/>
              <w:t>483.40</w:t>
            </w:r>
          </w:p>
        </w:tc>
        <w:tc>
          <w:tcPr>
            <w:tcW w:w="867" w:type="dxa"/>
            <w:tcBorders/>
            <w:vAlign w:val="bottom"/>
          </w:tcPr>
          <w:p>
            <w:pPr>
              <w:pStyle w:val="TAC"/>
              <w:rPr/>
            </w:pPr>
            <w:r>
              <w:rPr/>
              <w:t>1356.75</w:t>
            </w:r>
          </w:p>
        </w:tc>
        <w:tc>
          <w:tcPr>
            <w:tcW w:w="717" w:type="dxa"/>
            <w:tcBorders>
              <w:left w:val="single" w:sz="8" w:space="0" w:color="000000"/>
              <w:right w:val="single" w:sz="8" w:space="0" w:color="000000"/>
            </w:tcBorders>
            <w:vAlign w:val="bottom"/>
          </w:tcPr>
          <w:p>
            <w:pPr>
              <w:pStyle w:val="TAC"/>
              <w:rPr/>
            </w:pPr>
            <w:r>
              <w:rPr/>
              <w:t>34.68</w:t>
            </w:r>
          </w:p>
        </w:tc>
        <w:tc>
          <w:tcPr>
            <w:tcW w:w="896" w:type="dxa"/>
            <w:tcBorders/>
            <w:vAlign w:val="bottom"/>
          </w:tcPr>
          <w:p>
            <w:pPr>
              <w:pStyle w:val="TAC"/>
              <w:rPr/>
            </w:pPr>
            <w:r>
              <w:rPr/>
              <w:t>-0.88%</w:t>
            </w:r>
          </w:p>
        </w:tc>
        <w:tc>
          <w:tcPr>
            <w:tcW w:w="846" w:type="dxa"/>
            <w:tcBorders>
              <w:left w:val="single" w:sz="8" w:space="0" w:color="000000"/>
              <w:right w:val="single" w:sz="8" w:space="0" w:color="000000"/>
            </w:tcBorders>
            <w:vAlign w:val="bottom"/>
          </w:tcPr>
          <w:p>
            <w:pPr>
              <w:pStyle w:val="TAC"/>
              <w:rPr/>
            </w:pPr>
            <w:r>
              <w:rPr/>
              <w:t>-0.15</w:t>
            </w:r>
          </w:p>
        </w:tc>
      </w:tr>
      <w:tr>
        <w:trPr>
          <w:trHeight w:val="330"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36</w:t>
            </w:r>
          </w:p>
        </w:tc>
        <w:tc>
          <w:tcPr>
            <w:tcW w:w="873" w:type="dxa"/>
            <w:tcBorders>
              <w:bottom w:val="single" w:sz="8" w:space="0" w:color="000000"/>
            </w:tcBorders>
            <w:vAlign w:val="bottom"/>
          </w:tcPr>
          <w:p>
            <w:pPr>
              <w:pStyle w:val="TAC"/>
              <w:rPr/>
            </w:pPr>
            <w:r>
              <w:rPr/>
              <w:t>771.77</w:t>
            </w:r>
          </w:p>
        </w:tc>
        <w:tc>
          <w:tcPr>
            <w:tcW w:w="767" w:type="dxa"/>
            <w:tcBorders>
              <w:bottom w:val="single" w:sz="8" w:space="0" w:color="000000"/>
            </w:tcBorders>
            <w:vAlign w:val="bottom"/>
          </w:tcPr>
          <w:p>
            <w:pPr>
              <w:pStyle w:val="TAC"/>
              <w:rPr/>
            </w:pPr>
            <w:r>
              <w:rPr/>
              <w:t>169.17</w:t>
            </w:r>
          </w:p>
        </w:tc>
        <w:tc>
          <w:tcPr>
            <w:tcW w:w="874" w:type="dxa"/>
            <w:tcBorders>
              <w:bottom w:val="single" w:sz="8" w:space="0" w:color="000000"/>
            </w:tcBorders>
            <w:vAlign w:val="bottom"/>
          </w:tcPr>
          <w:p>
            <w:pPr>
              <w:pStyle w:val="TAC"/>
              <w:rPr/>
            </w:pPr>
            <w:r>
              <w:rPr/>
              <w:t>940.94</w:t>
            </w:r>
          </w:p>
        </w:tc>
        <w:tc>
          <w:tcPr>
            <w:tcW w:w="717" w:type="dxa"/>
            <w:tcBorders>
              <w:left w:val="single" w:sz="8" w:space="0" w:color="000000"/>
              <w:bottom w:val="single" w:sz="8" w:space="0" w:color="000000"/>
              <w:right w:val="single" w:sz="8" w:space="0" w:color="000000"/>
            </w:tcBorders>
            <w:vAlign w:val="bottom"/>
          </w:tcPr>
          <w:p>
            <w:pPr>
              <w:pStyle w:val="TAC"/>
              <w:rPr/>
            </w:pPr>
            <w:r>
              <w:rPr/>
              <w:t>33.21</w:t>
            </w:r>
          </w:p>
        </w:tc>
        <w:tc>
          <w:tcPr>
            <w:tcW w:w="867" w:type="dxa"/>
            <w:tcBorders>
              <w:bottom w:val="single" w:sz="8" w:space="0" w:color="000000"/>
            </w:tcBorders>
            <w:vAlign w:val="bottom"/>
          </w:tcPr>
          <w:p>
            <w:pPr>
              <w:pStyle w:val="TAC"/>
              <w:rPr/>
            </w:pPr>
            <w:r>
              <w:rPr/>
              <w:t>601.97</w:t>
            </w:r>
          </w:p>
        </w:tc>
        <w:tc>
          <w:tcPr>
            <w:tcW w:w="867" w:type="dxa"/>
            <w:tcBorders>
              <w:bottom w:val="single" w:sz="8" w:space="0" w:color="000000"/>
            </w:tcBorders>
            <w:vAlign w:val="bottom"/>
          </w:tcPr>
          <w:p>
            <w:pPr>
              <w:pStyle w:val="TAC"/>
              <w:rPr/>
            </w:pPr>
            <w:r>
              <w:rPr/>
              <w:t>327.30</w:t>
            </w:r>
          </w:p>
        </w:tc>
        <w:tc>
          <w:tcPr>
            <w:tcW w:w="867" w:type="dxa"/>
            <w:tcBorders>
              <w:bottom w:val="single" w:sz="8" w:space="0" w:color="000000"/>
            </w:tcBorders>
            <w:vAlign w:val="bottom"/>
          </w:tcPr>
          <w:p>
            <w:pPr>
              <w:pStyle w:val="TAC"/>
              <w:rPr/>
            </w:pPr>
            <w:r>
              <w:rPr/>
              <w:t>929.28</w:t>
            </w:r>
          </w:p>
        </w:tc>
        <w:tc>
          <w:tcPr>
            <w:tcW w:w="717" w:type="dxa"/>
            <w:tcBorders>
              <w:left w:val="single" w:sz="8" w:space="0" w:color="000000"/>
              <w:bottom w:val="single" w:sz="8" w:space="0" w:color="000000"/>
              <w:right w:val="single" w:sz="8" w:space="0" w:color="000000"/>
            </w:tcBorders>
            <w:vAlign w:val="bottom"/>
          </w:tcPr>
          <w:p>
            <w:pPr>
              <w:pStyle w:val="TAC"/>
              <w:rPr/>
            </w:pPr>
            <w:r>
              <w:rPr/>
              <w:t>33.05</w:t>
            </w:r>
          </w:p>
        </w:tc>
        <w:tc>
          <w:tcPr>
            <w:tcW w:w="896" w:type="dxa"/>
            <w:tcBorders>
              <w:bottom w:val="single" w:sz="8" w:space="0" w:color="000000"/>
            </w:tcBorders>
            <w:vAlign w:val="bottom"/>
          </w:tcPr>
          <w:p>
            <w:pPr>
              <w:pStyle w:val="TAC"/>
              <w:rPr/>
            </w:pPr>
            <w:r>
              <w:rPr/>
              <w:t>-1.24%</w:t>
            </w:r>
          </w:p>
        </w:tc>
        <w:tc>
          <w:tcPr>
            <w:tcW w:w="846" w:type="dxa"/>
            <w:tcBorders>
              <w:left w:val="single" w:sz="8" w:space="0" w:color="000000"/>
              <w:bottom w:val="single" w:sz="8" w:space="0" w:color="000000"/>
              <w:right w:val="single" w:sz="8" w:space="0" w:color="000000"/>
            </w:tcBorders>
            <w:vAlign w:val="bottom"/>
          </w:tcPr>
          <w:p>
            <w:pPr>
              <w:pStyle w:val="TAC"/>
              <w:rPr/>
            </w:pPr>
            <w:r>
              <w:rPr/>
              <w:t>-0.16</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29</w:t>
            </w:r>
          </w:p>
        </w:tc>
        <w:tc>
          <w:tcPr>
            <w:tcW w:w="873" w:type="dxa"/>
            <w:tcBorders/>
            <w:vAlign w:val="bottom"/>
          </w:tcPr>
          <w:p>
            <w:pPr>
              <w:pStyle w:val="TAC"/>
              <w:rPr/>
            </w:pPr>
            <w:r>
              <w:rPr/>
              <w:t>1959.66</w:t>
            </w:r>
          </w:p>
        </w:tc>
        <w:tc>
          <w:tcPr>
            <w:tcW w:w="767" w:type="dxa"/>
            <w:tcBorders/>
            <w:vAlign w:val="bottom"/>
          </w:tcPr>
          <w:p>
            <w:pPr>
              <w:pStyle w:val="TAC"/>
              <w:rPr/>
            </w:pPr>
            <w:r>
              <w:rPr/>
              <w:t>509.06</w:t>
            </w:r>
          </w:p>
        </w:tc>
        <w:tc>
          <w:tcPr>
            <w:tcW w:w="874" w:type="dxa"/>
            <w:tcBorders/>
            <w:vAlign w:val="bottom"/>
          </w:tcPr>
          <w:p>
            <w:pPr>
              <w:pStyle w:val="TAC"/>
              <w:rPr/>
            </w:pPr>
            <w:r>
              <w:rPr/>
              <w:t>2468.72</w:t>
            </w:r>
          </w:p>
        </w:tc>
        <w:tc>
          <w:tcPr>
            <w:tcW w:w="717" w:type="dxa"/>
            <w:tcBorders>
              <w:left w:val="single" w:sz="8" w:space="0" w:color="000000"/>
              <w:right w:val="single" w:sz="8" w:space="0" w:color="000000"/>
            </w:tcBorders>
            <w:vAlign w:val="bottom"/>
          </w:tcPr>
          <w:p>
            <w:pPr>
              <w:pStyle w:val="TAC"/>
              <w:rPr/>
            </w:pPr>
            <w:r>
              <w:rPr/>
              <w:t>37.24</w:t>
            </w:r>
          </w:p>
        </w:tc>
        <w:tc>
          <w:tcPr>
            <w:tcW w:w="867" w:type="dxa"/>
            <w:tcBorders/>
            <w:vAlign w:val="bottom"/>
          </w:tcPr>
          <w:p>
            <w:pPr>
              <w:pStyle w:val="TAC"/>
              <w:rPr/>
            </w:pPr>
            <w:r>
              <w:rPr/>
              <w:t>1449.48</w:t>
            </w:r>
          </w:p>
        </w:tc>
        <w:tc>
          <w:tcPr>
            <w:tcW w:w="867" w:type="dxa"/>
            <w:tcBorders/>
            <w:vAlign w:val="bottom"/>
          </w:tcPr>
          <w:p>
            <w:pPr>
              <w:pStyle w:val="TAC"/>
              <w:rPr/>
            </w:pPr>
            <w:r>
              <w:rPr/>
              <w:t>1019.61</w:t>
            </w:r>
          </w:p>
        </w:tc>
        <w:tc>
          <w:tcPr>
            <w:tcW w:w="867" w:type="dxa"/>
            <w:tcBorders/>
            <w:vAlign w:val="bottom"/>
          </w:tcPr>
          <w:p>
            <w:pPr>
              <w:pStyle w:val="TAC"/>
              <w:rPr/>
            </w:pPr>
            <w:r>
              <w:rPr/>
              <w:t>2469.10</w:t>
            </w:r>
          </w:p>
        </w:tc>
        <w:tc>
          <w:tcPr>
            <w:tcW w:w="717" w:type="dxa"/>
            <w:tcBorders>
              <w:left w:val="single" w:sz="8" w:space="0" w:color="000000"/>
              <w:right w:val="single" w:sz="8" w:space="0" w:color="000000"/>
            </w:tcBorders>
            <w:vAlign w:val="bottom"/>
          </w:tcPr>
          <w:p>
            <w:pPr>
              <w:pStyle w:val="TAC"/>
              <w:rPr/>
            </w:pPr>
            <w:r>
              <w:rPr/>
              <w:t>37.15</w:t>
            </w:r>
          </w:p>
        </w:tc>
        <w:tc>
          <w:tcPr>
            <w:tcW w:w="896" w:type="dxa"/>
            <w:tcBorders/>
            <w:vAlign w:val="bottom"/>
          </w:tcPr>
          <w:p>
            <w:pPr>
              <w:pStyle w:val="TAC"/>
              <w:rPr/>
            </w:pPr>
            <w:r>
              <w:rPr/>
              <w:t>0.02%</w:t>
            </w:r>
          </w:p>
        </w:tc>
        <w:tc>
          <w:tcPr>
            <w:tcW w:w="846" w:type="dxa"/>
            <w:tcBorders>
              <w:left w:val="single" w:sz="8" w:space="0" w:color="000000"/>
              <w:right w:val="single" w:sz="8" w:space="0" w:color="000000"/>
            </w:tcBorders>
            <w:vAlign w:val="bottom"/>
          </w:tcPr>
          <w:p>
            <w:pPr>
              <w:pStyle w:val="TAC"/>
              <w:rPr/>
            </w:pPr>
            <w:r>
              <w:rPr/>
              <w:t>-0.09</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32</w:t>
            </w:r>
          </w:p>
        </w:tc>
        <w:tc>
          <w:tcPr>
            <w:tcW w:w="873" w:type="dxa"/>
            <w:tcBorders/>
            <w:vAlign w:val="bottom"/>
          </w:tcPr>
          <w:p>
            <w:pPr>
              <w:pStyle w:val="TAC"/>
              <w:rPr/>
            </w:pPr>
            <w:r>
              <w:rPr/>
              <w:t>1242.72</w:t>
            </w:r>
          </w:p>
        </w:tc>
        <w:tc>
          <w:tcPr>
            <w:tcW w:w="767" w:type="dxa"/>
            <w:tcBorders/>
            <w:vAlign w:val="bottom"/>
          </w:tcPr>
          <w:p>
            <w:pPr>
              <w:pStyle w:val="TAC"/>
              <w:rPr/>
            </w:pPr>
            <w:r>
              <w:rPr/>
              <w:t>355.22</w:t>
            </w:r>
          </w:p>
        </w:tc>
        <w:tc>
          <w:tcPr>
            <w:tcW w:w="874" w:type="dxa"/>
            <w:tcBorders/>
            <w:vAlign w:val="bottom"/>
          </w:tcPr>
          <w:p>
            <w:pPr>
              <w:pStyle w:val="TAC"/>
              <w:rPr/>
            </w:pPr>
            <w:r>
              <w:rPr/>
              <w:t>1597.93</w:t>
            </w:r>
          </w:p>
        </w:tc>
        <w:tc>
          <w:tcPr>
            <w:tcW w:w="717" w:type="dxa"/>
            <w:tcBorders>
              <w:left w:val="single" w:sz="8" w:space="0" w:color="000000"/>
              <w:right w:val="single" w:sz="8" w:space="0" w:color="000000"/>
            </w:tcBorders>
            <w:vAlign w:val="bottom"/>
          </w:tcPr>
          <w:p>
            <w:pPr>
              <w:pStyle w:val="TAC"/>
              <w:rPr/>
            </w:pPr>
            <w:r>
              <w:rPr/>
              <w:t>35.39</w:t>
            </w:r>
          </w:p>
        </w:tc>
        <w:tc>
          <w:tcPr>
            <w:tcW w:w="867" w:type="dxa"/>
            <w:tcBorders/>
            <w:vAlign w:val="bottom"/>
          </w:tcPr>
          <w:p>
            <w:pPr>
              <w:pStyle w:val="TAC"/>
              <w:rPr/>
            </w:pPr>
            <w:r>
              <w:rPr/>
              <w:t>870.31</w:t>
            </w:r>
          </w:p>
        </w:tc>
        <w:tc>
          <w:tcPr>
            <w:tcW w:w="867" w:type="dxa"/>
            <w:tcBorders/>
            <w:vAlign w:val="bottom"/>
          </w:tcPr>
          <w:p>
            <w:pPr>
              <w:pStyle w:val="TAC"/>
              <w:rPr/>
            </w:pPr>
            <w:r>
              <w:rPr/>
              <w:t>704.50</w:t>
            </w:r>
          </w:p>
        </w:tc>
        <w:tc>
          <w:tcPr>
            <w:tcW w:w="867" w:type="dxa"/>
            <w:tcBorders/>
            <w:vAlign w:val="bottom"/>
          </w:tcPr>
          <w:p>
            <w:pPr>
              <w:pStyle w:val="TAC"/>
              <w:rPr/>
            </w:pPr>
            <w:r>
              <w:rPr/>
              <w:t>1574.81</w:t>
            </w:r>
          </w:p>
        </w:tc>
        <w:tc>
          <w:tcPr>
            <w:tcW w:w="717" w:type="dxa"/>
            <w:tcBorders>
              <w:left w:val="single" w:sz="8" w:space="0" w:color="000000"/>
              <w:right w:val="single" w:sz="8" w:space="0" w:color="000000"/>
            </w:tcBorders>
            <w:vAlign w:val="bottom"/>
          </w:tcPr>
          <w:p>
            <w:pPr>
              <w:pStyle w:val="TAC"/>
              <w:rPr/>
            </w:pPr>
            <w:r>
              <w:rPr/>
              <w:t>35.30</w:t>
            </w:r>
          </w:p>
        </w:tc>
        <w:tc>
          <w:tcPr>
            <w:tcW w:w="896" w:type="dxa"/>
            <w:tcBorders/>
            <w:vAlign w:val="bottom"/>
          </w:tcPr>
          <w:p>
            <w:pPr>
              <w:pStyle w:val="TAC"/>
              <w:rPr/>
            </w:pPr>
            <w:r>
              <w:rPr/>
              <w:t>-1.45%</w:t>
            </w:r>
          </w:p>
        </w:tc>
        <w:tc>
          <w:tcPr>
            <w:tcW w:w="846" w:type="dxa"/>
            <w:tcBorders>
              <w:left w:val="single" w:sz="8" w:space="0" w:color="000000"/>
              <w:right w:val="single" w:sz="8" w:space="0" w:color="000000"/>
            </w:tcBorders>
            <w:vAlign w:val="bottom"/>
          </w:tcPr>
          <w:p>
            <w:pPr>
              <w:pStyle w:val="TAC"/>
              <w:rPr/>
            </w:pPr>
            <w:r>
              <w:rPr/>
              <w:t>-0.09</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35</w:t>
            </w:r>
          </w:p>
        </w:tc>
        <w:tc>
          <w:tcPr>
            <w:tcW w:w="873" w:type="dxa"/>
            <w:tcBorders/>
            <w:vAlign w:val="bottom"/>
          </w:tcPr>
          <w:p>
            <w:pPr>
              <w:pStyle w:val="TAC"/>
              <w:rPr/>
            </w:pPr>
            <w:r>
              <w:rPr/>
              <w:t>822.24</w:t>
            </w:r>
          </w:p>
        </w:tc>
        <w:tc>
          <w:tcPr>
            <w:tcW w:w="767" w:type="dxa"/>
            <w:tcBorders/>
            <w:vAlign w:val="bottom"/>
          </w:tcPr>
          <w:p>
            <w:pPr>
              <w:pStyle w:val="TAC"/>
              <w:rPr/>
            </w:pPr>
            <w:r>
              <w:rPr/>
              <w:t>245.72</w:t>
            </w:r>
          </w:p>
        </w:tc>
        <w:tc>
          <w:tcPr>
            <w:tcW w:w="874" w:type="dxa"/>
            <w:tcBorders/>
            <w:vAlign w:val="bottom"/>
          </w:tcPr>
          <w:p>
            <w:pPr>
              <w:pStyle w:val="TAC"/>
              <w:rPr/>
            </w:pPr>
            <w:r>
              <w:rPr/>
              <w:t>1067.96</w:t>
            </w:r>
          </w:p>
        </w:tc>
        <w:tc>
          <w:tcPr>
            <w:tcW w:w="717" w:type="dxa"/>
            <w:tcBorders>
              <w:left w:val="single" w:sz="8" w:space="0" w:color="000000"/>
              <w:right w:val="single" w:sz="8" w:space="0" w:color="000000"/>
            </w:tcBorders>
            <w:vAlign w:val="bottom"/>
          </w:tcPr>
          <w:p>
            <w:pPr>
              <w:pStyle w:val="TAC"/>
              <w:rPr/>
            </w:pPr>
            <w:r>
              <w:rPr/>
              <w:t>33.69</w:t>
            </w:r>
          </w:p>
        </w:tc>
        <w:tc>
          <w:tcPr>
            <w:tcW w:w="867" w:type="dxa"/>
            <w:tcBorders/>
            <w:vAlign w:val="bottom"/>
          </w:tcPr>
          <w:p>
            <w:pPr>
              <w:pStyle w:val="TAC"/>
              <w:rPr/>
            </w:pPr>
            <w:r>
              <w:rPr/>
              <w:t>547.37</w:t>
            </w:r>
          </w:p>
        </w:tc>
        <w:tc>
          <w:tcPr>
            <w:tcW w:w="867" w:type="dxa"/>
            <w:tcBorders/>
            <w:vAlign w:val="bottom"/>
          </w:tcPr>
          <w:p>
            <w:pPr>
              <w:pStyle w:val="TAC"/>
              <w:rPr/>
            </w:pPr>
            <w:r>
              <w:rPr/>
              <w:t>483.40</w:t>
            </w:r>
          </w:p>
        </w:tc>
        <w:tc>
          <w:tcPr>
            <w:tcW w:w="867" w:type="dxa"/>
            <w:tcBorders/>
            <w:vAlign w:val="bottom"/>
          </w:tcPr>
          <w:p>
            <w:pPr>
              <w:pStyle w:val="TAC"/>
              <w:rPr/>
            </w:pPr>
            <w:r>
              <w:rPr/>
              <w:t>1030.77</w:t>
            </w:r>
          </w:p>
        </w:tc>
        <w:tc>
          <w:tcPr>
            <w:tcW w:w="717" w:type="dxa"/>
            <w:tcBorders>
              <w:left w:val="single" w:sz="8" w:space="0" w:color="000000"/>
              <w:right w:val="single" w:sz="8" w:space="0" w:color="000000"/>
            </w:tcBorders>
            <w:vAlign w:val="bottom"/>
          </w:tcPr>
          <w:p>
            <w:pPr>
              <w:pStyle w:val="TAC"/>
              <w:rPr/>
            </w:pPr>
            <w:r>
              <w:rPr/>
              <w:t>33.58</w:t>
            </w:r>
          </w:p>
        </w:tc>
        <w:tc>
          <w:tcPr>
            <w:tcW w:w="896" w:type="dxa"/>
            <w:tcBorders/>
            <w:vAlign w:val="bottom"/>
          </w:tcPr>
          <w:p>
            <w:pPr>
              <w:pStyle w:val="TAC"/>
              <w:rPr/>
            </w:pPr>
            <w:r>
              <w:rPr/>
              <w:t>-3.48%</w:t>
            </w:r>
          </w:p>
        </w:tc>
        <w:tc>
          <w:tcPr>
            <w:tcW w:w="846" w:type="dxa"/>
            <w:tcBorders>
              <w:left w:val="single" w:sz="8" w:space="0" w:color="000000"/>
              <w:right w:val="single" w:sz="8" w:space="0" w:color="000000"/>
            </w:tcBorders>
            <w:vAlign w:val="bottom"/>
          </w:tcPr>
          <w:p>
            <w:pPr>
              <w:pStyle w:val="TAC"/>
              <w:rPr/>
            </w:pPr>
            <w:r>
              <w:rPr/>
              <w:t>-0.11</w:t>
            </w:r>
          </w:p>
        </w:tc>
      </w:tr>
      <w:tr>
        <w:trPr>
          <w:trHeight w:val="330"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38</w:t>
            </w:r>
          </w:p>
        </w:tc>
        <w:tc>
          <w:tcPr>
            <w:tcW w:w="873" w:type="dxa"/>
            <w:tcBorders>
              <w:bottom w:val="single" w:sz="8" w:space="0" w:color="000000"/>
            </w:tcBorders>
            <w:vAlign w:val="bottom"/>
          </w:tcPr>
          <w:p>
            <w:pPr>
              <w:pStyle w:val="TAC"/>
              <w:rPr/>
            </w:pPr>
            <w:r>
              <w:rPr/>
              <w:t>560.24</w:t>
            </w:r>
          </w:p>
        </w:tc>
        <w:tc>
          <w:tcPr>
            <w:tcW w:w="767" w:type="dxa"/>
            <w:tcBorders>
              <w:bottom w:val="single" w:sz="8" w:space="0" w:color="000000"/>
            </w:tcBorders>
            <w:vAlign w:val="bottom"/>
          </w:tcPr>
          <w:p>
            <w:pPr>
              <w:pStyle w:val="TAC"/>
              <w:rPr/>
            </w:pPr>
            <w:r>
              <w:rPr/>
              <w:t>169.17</w:t>
            </w:r>
          </w:p>
        </w:tc>
        <w:tc>
          <w:tcPr>
            <w:tcW w:w="874" w:type="dxa"/>
            <w:tcBorders>
              <w:bottom w:val="single" w:sz="8" w:space="0" w:color="000000"/>
            </w:tcBorders>
            <w:vAlign w:val="bottom"/>
          </w:tcPr>
          <w:p>
            <w:pPr>
              <w:pStyle w:val="TAC"/>
              <w:rPr/>
            </w:pPr>
            <w:r>
              <w:rPr/>
              <w:t>729.41</w:t>
            </w:r>
          </w:p>
        </w:tc>
        <w:tc>
          <w:tcPr>
            <w:tcW w:w="717" w:type="dxa"/>
            <w:tcBorders>
              <w:left w:val="single" w:sz="8" w:space="0" w:color="000000"/>
              <w:bottom w:val="single" w:sz="8" w:space="0" w:color="000000"/>
              <w:right w:val="single" w:sz="8" w:space="0" w:color="000000"/>
            </w:tcBorders>
            <w:vAlign w:val="bottom"/>
          </w:tcPr>
          <w:p>
            <w:pPr>
              <w:pStyle w:val="TAC"/>
              <w:rPr/>
            </w:pPr>
            <w:r>
              <w:rPr/>
              <w:t>32.09</w:t>
            </w:r>
          </w:p>
        </w:tc>
        <w:tc>
          <w:tcPr>
            <w:tcW w:w="867" w:type="dxa"/>
            <w:tcBorders>
              <w:bottom w:val="single" w:sz="8" w:space="0" w:color="000000"/>
            </w:tcBorders>
            <w:vAlign w:val="bottom"/>
          </w:tcPr>
          <w:p>
            <w:pPr>
              <w:pStyle w:val="TAC"/>
              <w:rPr/>
            </w:pPr>
            <w:r>
              <w:rPr/>
              <w:t>367.16</w:t>
            </w:r>
          </w:p>
        </w:tc>
        <w:tc>
          <w:tcPr>
            <w:tcW w:w="867" w:type="dxa"/>
            <w:tcBorders>
              <w:bottom w:val="single" w:sz="8" w:space="0" w:color="000000"/>
            </w:tcBorders>
            <w:vAlign w:val="bottom"/>
          </w:tcPr>
          <w:p>
            <w:pPr>
              <w:pStyle w:val="TAC"/>
              <w:rPr/>
            </w:pPr>
            <w:r>
              <w:rPr/>
              <w:t>327.30</w:t>
            </w:r>
          </w:p>
        </w:tc>
        <w:tc>
          <w:tcPr>
            <w:tcW w:w="867" w:type="dxa"/>
            <w:tcBorders>
              <w:bottom w:val="single" w:sz="8" w:space="0" w:color="000000"/>
            </w:tcBorders>
            <w:vAlign w:val="bottom"/>
          </w:tcPr>
          <w:p>
            <w:pPr>
              <w:pStyle w:val="TAC"/>
              <w:rPr/>
            </w:pPr>
            <w:r>
              <w:rPr/>
              <w:t>694.46</w:t>
            </w:r>
          </w:p>
        </w:tc>
        <w:tc>
          <w:tcPr>
            <w:tcW w:w="717" w:type="dxa"/>
            <w:tcBorders>
              <w:left w:val="single" w:sz="8" w:space="0" w:color="000000"/>
              <w:bottom w:val="single" w:sz="8" w:space="0" w:color="000000"/>
              <w:right w:val="single" w:sz="8" w:space="0" w:color="000000"/>
            </w:tcBorders>
            <w:vAlign w:val="bottom"/>
          </w:tcPr>
          <w:p>
            <w:pPr>
              <w:pStyle w:val="TAC"/>
              <w:rPr/>
            </w:pPr>
            <w:r>
              <w:rPr/>
              <w:t>31.95</w:t>
            </w:r>
          </w:p>
        </w:tc>
        <w:tc>
          <w:tcPr>
            <w:tcW w:w="896" w:type="dxa"/>
            <w:tcBorders>
              <w:bottom w:val="single" w:sz="8" w:space="0" w:color="000000"/>
            </w:tcBorders>
            <w:vAlign w:val="bottom"/>
          </w:tcPr>
          <w:p>
            <w:pPr>
              <w:pStyle w:val="TAC"/>
              <w:rPr/>
            </w:pPr>
            <w:r>
              <w:rPr/>
              <w:t>-4.79%</w:t>
            </w:r>
          </w:p>
        </w:tc>
        <w:tc>
          <w:tcPr>
            <w:tcW w:w="846" w:type="dxa"/>
            <w:tcBorders>
              <w:left w:val="single" w:sz="8" w:space="0" w:color="000000"/>
              <w:bottom w:val="single" w:sz="8" w:space="0" w:color="000000"/>
              <w:right w:val="single" w:sz="8" w:space="0" w:color="000000"/>
            </w:tcBorders>
            <w:vAlign w:val="bottom"/>
          </w:tcPr>
          <w:p>
            <w:pPr>
              <w:pStyle w:val="TAC"/>
              <w:rPr/>
            </w:pPr>
            <w:r>
              <w:rPr/>
              <w:t>-0.14</w:t>
            </w:r>
          </w:p>
        </w:tc>
      </w:tr>
      <w:tr>
        <w:trPr>
          <w:trHeight w:val="315" w:hRule="atLeast"/>
        </w:trPr>
        <w:tc>
          <w:tcPr>
            <w:tcW w:w="1097" w:type="dxa"/>
            <w:vMerge w:val="restart"/>
            <w:tcBorders>
              <w:left w:val="single" w:sz="8" w:space="0" w:color="000000"/>
            </w:tcBorders>
            <w:vAlign w:val="bottom"/>
          </w:tcPr>
          <w:p>
            <w:pPr>
              <w:pStyle w:val="TAC"/>
              <w:rPr/>
            </w:pPr>
            <w:r>
              <w:rPr/>
              <w:t>BQTerrace</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p>
            <w:pPr>
              <w:pStyle w:val="TAC"/>
              <w:rPr/>
            </w:pPr>
            <w:r>
              <w:rPr/>
              <w:t> </w:t>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27</w:t>
            </w:r>
          </w:p>
        </w:tc>
        <w:tc>
          <w:tcPr>
            <w:tcW w:w="873" w:type="dxa"/>
            <w:tcBorders/>
            <w:vAlign w:val="bottom"/>
          </w:tcPr>
          <w:p>
            <w:pPr>
              <w:pStyle w:val="TAC"/>
              <w:rPr/>
            </w:pPr>
            <w:r>
              <w:rPr/>
              <w:t>2473.98</w:t>
            </w:r>
          </w:p>
        </w:tc>
        <w:tc>
          <w:tcPr>
            <w:tcW w:w="767" w:type="dxa"/>
            <w:tcBorders/>
            <w:vAlign w:val="bottom"/>
          </w:tcPr>
          <w:p>
            <w:pPr>
              <w:pStyle w:val="TAC"/>
              <w:rPr/>
            </w:pPr>
            <w:r>
              <w:rPr/>
              <w:t>306.75</w:t>
            </w:r>
          </w:p>
        </w:tc>
        <w:tc>
          <w:tcPr>
            <w:tcW w:w="874" w:type="dxa"/>
            <w:tcBorders/>
            <w:vAlign w:val="bottom"/>
          </w:tcPr>
          <w:p>
            <w:pPr>
              <w:pStyle w:val="TAC"/>
              <w:rPr/>
            </w:pPr>
            <w:r>
              <w:rPr/>
              <w:t>2780.73</w:t>
            </w:r>
          </w:p>
        </w:tc>
        <w:tc>
          <w:tcPr>
            <w:tcW w:w="717" w:type="dxa"/>
            <w:tcBorders>
              <w:left w:val="single" w:sz="8" w:space="0" w:color="000000"/>
              <w:right w:val="single" w:sz="8" w:space="0" w:color="000000"/>
            </w:tcBorders>
            <w:vAlign w:val="bottom"/>
          </w:tcPr>
          <w:p>
            <w:pPr>
              <w:pStyle w:val="TAC"/>
              <w:rPr/>
            </w:pPr>
            <w:r>
              <w:rPr/>
              <w:t>36.52</w:t>
            </w:r>
          </w:p>
        </w:tc>
        <w:tc>
          <w:tcPr>
            <w:tcW w:w="867" w:type="dxa"/>
            <w:tcBorders/>
            <w:vAlign w:val="bottom"/>
          </w:tcPr>
          <w:p>
            <w:pPr>
              <w:pStyle w:val="TAC"/>
              <w:rPr/>
            </w:pPr>
            <w:r>
              <w:rPr/>
              <w:t>2288.29</w:t>
            </w:r>
          </w:p>
        </w:tc>
        <w:tc>
          <w:tcPr>
            <w:tcW w:w="867" w:type="dxa"/>
            <w:tcBorders/>
            <w:vAlign w:val="bottom"/>
          </w:tcPr>
          <w:p>
            <w:pPr>
              <w:pStyle w:val="TAC"/>
              <w:rPr/>
            </w:pPr>
            <w:r>
              <w:rPr/>
              <w:t>841.09</w:t>
            </w:r>
          </w:p>
        </w:tc>
        <w:tc>
          <w:tcPr>
            <w:tcW w:w="867" w:type="dxa"/>
            <w:tcBorders/>
            <w:vAlign w:val="bottom"/>
          </w:tcPr>
          <w:p>
            <w:pPr>
              <w:pStyle w:val="TAC"/>
              <w:rPr/>
            </w:pPr>
            <w:r>
              <w:rPr/>
              <w:t>3129.38</w:t>
            </w:r>
          </w:p>
        </w:tc>
        <w:tc>
          <w:tcPr>
            <w:tcW w:w="717" w:type="dxa"/>
            <w:tcBorders>
              <w:left w:val="single" w:sz="8" w:space="0" w:color="000000"/>
              <w:right w:val="single" w:sz="8" w:space="0" w:color="000000"/>
            </w:tcBorders>
            <w:vAlign w:val="bottom"/>
          </w:tcPr>
          <w:p>
            <w:pPr>
              <w:pStyle w:val="TAC"/>
              <w:rPr/>
            </w:pPr>
            <w:r>
              <w:rPr/>
              <w:t>36.50</w:t>
            </w:r>
          </w:p>
        </w:tc>
        <w:tc>
          <w:tcPr>
            <w:tcW w:w="896" w:type="dxa"/>
            <w:tcBorders/>
            <w:vAlign w:val="bottom"/>
          </w:tcPr>
          <w:p>
            <w:pPr>
              <w:pStyle w:val="TAC"/>
              <w:rPr/>
            </w:pPr>
            <w:r>
              <w:rPr/>
              <w:t>12.54%</w:t>
            </w:r>
          </w:p>
        </w:tc>
        <w:tc>
          <w:tcPr>
            <w:tcW w:w="846" w:type="dxa"/>
            <w:tcBorders>
              <w:left w:val="single" w:sz="8" w:space="0" w:color="000000"/>
              <w:right w:val="single" w:sz="8" w:space="0" w:color="000000"/>
            </w:tcBorders>
            <w:vAlign w:val="bottom"/>
          </w:tcPr>
          <w:p>
            <w:pPr>
              <w:pStyle w:val="TAC"/>
              <w:rPr/>
            </w:pPr>
            <w:r>
              <w:rPr/>
              <w:t>-0.02</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30</w:t>
            </w:r>
          </w:p>
        </w:tc>
        <w:tc>
          <w:tcPr>
            <w:tcW w:w="873" w:type="dxa"/>
            <w:tcBorders/>
            <w:vAlign w:val="bottom"/>
          </w:tcPr>
          <w:p>
            <w:pPr>
              <w:pStyle w:val="TAC"/>
              <w:rPr/>
            </w:pPr>
            <w:r>
              <w:rPr/>
              <w:t>1439.46</w:t>
            </w:r>
          </w:p>
        </w:tc>
        <w:tc>
          <w:tcPr>
            <w:tcW w:w="767" w:type="dxa"/>
            <w:tcBorders/>
            <w:vAlign w:val="bottom"/>
          </w:tcPr>
          <w:p>
            <w:pPr>
              <w:pStyle w:val="TAC"/>
              <w:rPr/>
            </w:pPr>
            <w:r>
              <w:rPr/>
              <w:t>194.54</w:t>
            </w:r>
          </w:p>
        </w:tc>
        <w:tc>
          <w:tcPr>
            <w:tcW w:w="874" w:type="dxa"/>
            <w:tcBorders/>
            <w:vAlign w:val="bottom"/>
          </w:tcPr>
          <w:p>
            <w:pPr>
              <w:pStyle w:val="TAC"/>
              <w:rPr/>
            </w:pPr>
            <w:r>
              <w:rPr/>
              <w:t>1634.00</w:t>
            </w:r>
          </w:p>
        </w:tc>
        <w:tc>
          <w:tcPr>
            <w:tcW w:w="717" w:type="dxa"/>
            <w:tcBorders>
              <w:left w:val="single" w:sz="8" w:space="0" w:color="000000"/>
              <w:right w:val="single" w:sz="8" w:space="0" w:color="000000"/>
            </w:tcBorders>
            <w:vAlign w:val="bottom"/>
          </w:tcPr>
          <w:p>
            <w:pPr>
              <w:pStyle w:val="TAC"/>
              <w:rPr/>
            </w:pPr>
            <w:r>
              <w:rPr/>
              <w:t>34.92</w:t>
            </w:r>
          </w:p>
        </w:tc>
        <w:tc>
          <w:tcPr>
            <w:tcW w:w="867" w:type="dxa"/>
            <w:tcBorders/>
            <w:vAlign w:val="bottom"/>
          </w:tcPr>
          <w:p>
            <w:pPr>
              <w:pStyle w:val="TAC"/>
              <w:rPr/>
            </w:pPr>
            <w:r>
              <w:rPr/>
              <w:t>1309.08</w:t>
            </w:r>
          </w:p>
        </w:tc>
        <w:tc>
          <w:tcPr>
            <w:tcW w:w="867" w:type="dxa"/>
            <w:tcBorders/>
            <w:vAlign w:val="bottom"/>
          </w:tcPr>
          <w:p>
            <w:pPr>
              <w:pStyle w:val="TAC"/>
              <w:rPr/>
            </w:pPr>
            <w:r>
              <w:rPr/>
              <w:t>522.95</w:t>
            </w:r>
          </w:p>
        </w:tc>
        <w:tc>
          <w:tcPr>
            <w:tcW w:w="867" w:type="dxa"/>
            <w:tcBorders/>
            <w:vAlign w:val="bottom"/>
          </w:tcPr>
          <w:p>
            <w:pPr>
              <w:pStyle w:val="TAC"/>
              <w:rPr/>
            </w:pPr>
            <w:r>
              <w:rPr/>
              <w:t>1832.02</w:t>
            </w:r>
          </w:p>
        </w:tc>
        <w:tc>
          <w:tcPr>
            <w:tcW w:w="717" w:type="dxa"/>
            <w:tcBorders>
              <w:left w:val="single" w:sz="8" w:space="0" w:color="000000"/>
              <w:right w:val="single" w:sz="8" w:space="0" w:color="000000"/>
            </w:tcBorders>
            <w:vAlign w:val="bottom"/>
          </w:tcPr>
          <w:p>
            <w:pPr>
              <w:pStyle w:val="TAC"/>
              <w:rPr/>
            </w:pPr>
            <w:r>
              <w:rPr/>
              <w:t>34.88</w:t>
            </w:r>
          </w:p>
        </w:tc>
        <w:tc>
          <w:tcPr>
            <w:tcW w:w="896" w:type="dxa"/>
            <w:tcBorders/>
            <w:vAlign w:val="bottom"/>
          </w:tcPr>
          <w:p>
            <w:pPr>
              <w:pStyle w:val="TAC"/>
              <w:rPr/>
            </w:pPr>
            <w:r>
              <w:rPr/>
              <w:t>12.12%</w:t>
            </w:r>
          </w:p>
        </w:tc>
        <w:tc>
          <w:tcPr>
            <w:tcW w:w="846" w:type="dxa"/>
            <w:tcBorders>
              <w:left w:val="single" w:sz="8" w:space="0" w:color="000000"/>
              <w:right w:val="single" w:sz="8" w:space="0" w:color="000000"/>
            </w:tcBorders>
            <w:vAlign w:val="bottom"/>
          </w:tcPr>
          <w:p>
            <w:pPr>
              <w:pStyle w:val="TAC"/>
              <w:rPr/>
            </w:pPr>
            <w:r>
              <w:rPr/>
              <w:t>-0.04</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33</w:t>
            </w:r>
          </w:p>
        </w:tc>
        <w:tc>
          <w:tcPr>
            <w:tcW w:w="873" w:type="dxa"/>
            <w:tcBorders/>
            <w:vAlign w:val="bottom"/>
          </w:tcPr>
          <w:p>
            <w:pPr>
              <w:pStyle w:val="TAC"/>
              <w:rPr/>
            </w:pPr>
            <w:r>
              <w:rPr/>
              <w:t>861.50</w:t>
            </w:r>
          </w:p>
        </w:tc>
        <w:tc>
          <w:tcPr>
            <w:tcW w:w="767" w:type="dxa"/>
            <w:tcBorders/>
            <w:vAlign w:val="bottom"/>
          </w:tcPr>
          <w:p>
            <w:pPr>
              <w:pStyle w:val="TAC"/>
              <w:rPr/>
            </w:pPr>
            <w:r>
              <w:rPr/>
              <w:t>127.37</w:t>
            </w:r>
          </w:p>
        </w:tc>
        <w:tc>
          <w:tcPr>
            <w:tcW w:w="874" w:type="dxa"/>
            <w:tcBorders/>
            <w:vAlign w:val="bottom"/>
          </w:tcPr>
          <w:p>
            <w:pPr>
              <w:pStyle w:val="TAC"/>
              <w:rPr/>
            </w:pPr>
            <w:r>
              <w:rPr/>
              <w:t>988.87</w:t>
            </w:r>
          </w:p>
        </w:tc>
        <w:tc>
          <w:tcPr>
            <w:tcW w:w="717" w:type="dxa"/>
            <w:tcBorders>
              <w:left w:val="single" w:sz="8" w:space="0" w:color="000000"/>
              <w:right w:val="single" w:sz="8" w:space="0" w:color="000000"/>
            </w:tcBorders>
            <w:vAlign w:val="bottom"/>
          </w:tcPr>
          <w:p>
            <w:pPr>
              <w:pStyle w:val="TAC"/>
              <w:rPr/>
            </w:pPr>
            <w:r>
              <w:rPr/>
              <w:t>33.29</w:t>
            </w:r>
          </w:p>
        </w:tc>
        <w:tc>
          <w:tcPr>
            <w:tcW w:w="867" w:type="dxa"/>
            <w:tcBorders/>
            <w:vAlign w:val="bottom"/>
          </w:tcPr>
          <w:p>
            <w:pPr>
              <w:pStyle w:val="TAC"/>
              <w:rPr/>
            </w:pPr>
            <w:r>
              <w:rPr/>
              <w:t>765.35</w:t>
            </w:r>
          </w:p>
        </w:tc>
        <w:tc>
          <w:tcPr>
            <w:tcW w:w="867" w:type="dxa"/>
            <w:tcBorders/>
            <w:vAlign w:val="bottom"/>
          </w:tcPr>
          <w:p>
            <w:pPr>
              <w:pStyle w:val="TAC"/>
              <w:rPr/>
            </w:pPr>
            <w:r>
              <w:rPr/>
              <w:t>330.20</w:t>
            </w:r>
          </w:p>
        </w:tc>
        <w:tc>
          <w:tcPr>
            <w:tcW w:w="867" w:type="dxa"/>
            <w:tcBorders/>
            <w:vAlign w:val="bottom"/>
          </w:tcPr>
          <w:p>
            <w:pPr>
              <w:pStyle w:val="TAC"/>
              <w:rPr/>
            </w:pPr>
            <w:r>
              <w:rPr/>
              <w:t>1095.56</w:t>
            </w:r>
          </w:p>
        </w:tc>
        <w:tc>
          <w:tcPr>
            <w:tcW w:w="717" w:type="dxa"/>
            <w:tcBorders>
              <w:left w:val="single" w:sz="8" w:space="0" w:color="000000"/>
              <w:right w:val="single" w:sz="8" w:space="0" w:color="000000"/>
            </w:tcBorders>
            <w:vAlign w:val="bottom"/>
          </w:tcPr>
          <w:p>
            <w:pPr>
              <w:pStyle w:val="TAC"/>
              <w:rPr/>
            </w:pPr>
            <w:r>
              <w:rPr/>
              <w:t>33.22</w:t>
            </w:r>
          </w:p>
        </w:tc>
        <w:tc>
          <w:tcPr>
            <w:tcW w:w="896" w:type="dxa"/>
            <w:tcBorders/>
            <w:vAlign w:val="bottom"/>
          </w:tcPr>
          <w:p>
            <w:pPr>
              <w:pStyle w:val="TAC"/>
              <w:rPr/>
            </w:pPr>
            <w:r>
              <w:rPr/>
              <w:t>10.79%</w:t>
            </w:r>
          </w:p>
        </w:tc>
        <w:tc>
          <w:tcPr>
            <w:tcW w:w="846" w:type="dxa"/>
            <w:tcBorders>
              <w:left w:val="single" w:sz="8" w:space="0" w:color="000000"/>
              <w:right w:val="single" w:sz="8" w:space="0" w:color="000000"/>
            </w:tcBorders>
            <w:vAlign w:val="bottom"/>
          </w:tcPr>
          <w:p>
            <w:pPr>
              <w:pStyle w:val="TAC"/>
              <w:rPr/>
            </w:pPr>
            <w:r>
              <w:rPr/>
              <w:t>-0.07</w:t>
            </w:r>
          </w:p>
        </w:tc>
      </w:tr>
      <w:tr>
        <w:trPr>
          <w:trHeight w:val="330"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36</w:t>
            </w:r>
          </w:p>
        </w:tc>
        <w:tc>
          <w:tcPr>
            <w:tcW w:w="873" w:type="dxa"/>
            <w:tcBorders>
              <w:bottom w:val="single" w:sz="8" w:space="0" w:color="000000"/>
            </w:tcBorders>
            <w:vAlign w:val="bottom"/>
          </w:tcPr>
          <w:p>
            <w:pPr>
              <w:pStyle w:val="TAC"/>
              <w:rPr/>
            </w:pPr>
            <w:r>
              <w:rPr/>
              <w:t>541.77</w:t>
            </w:r>
          </w:p>
        </w:tc>
        <w:tc>
          <w:tcPr>
            <w:tcW w:w="767" w:type="dxa"/>
            <w:tcBorders>
              <w:bottom w:val="single" w:sz="8" w:space="0" w:color="000000"/>
            </w:tcBorders>
            <w:vAlign w:val="bottom"/>
          </w:tcPr>
          <w:p>
            <w:pPr>
              <w:pStyle w:val="TAC"/>
              <w:rPr/>
            </w:pPr>
            <w:r>
              <w:rPr/>
              <w:t>83.01</w:t>
            </w:r>
          </w:p>
        </w:tc>
        <w:tc>
          <w:tcPr>
            <w:tcW w:w="874" w:type="dxa"/>
            <w:tcBorders>
              <w:bottom w:val="single" w:sz="8" w:space="0" w:color="000000"/>
            </w:tcBorders>
            <w:vAlign w:val="bottom"/>
          </w:tcPr>
          <w:p>
            <w:pPr>
              <w:pStyle w:val="TAC"/>
              <w:rPr/>
            </w:pPr>
            <w:r>
              <w:rPr/>
              <w:t>624.78</w:t>
            </w:r>
          </w:p>
        </w:tc>
        <w:tc>
          <w:tcPr>
            <w:tcW w:w="717" w:type="dxa"/>
            <w:tcBorders>
              <w:left w:val="single" w:sz="8" w:space="0" w:color="000000"/>
              <w:bottom w:val="single" w:sz="8" w:space="0" w:color="000000"/>
              <w:right w:val="single" w:sz="8" w:space="0" w:color="000000"/>
            </w:tcBorders>
            <w:vAlign w:val="bottom"/>
          </w:tcPr>
          <w:p>
            <w:pPr>
              <w:pStyle w:val="TAC"/>
              <w:rPr/>
            </w:pPr>
            <w:r>
              <w:rPr/>
              <w:t>31.70</w:t>
            </w:r>
          </w:p>
        </w:tc>
        <w:tc>
          <w:tcPr>
            <w:tcW w:w="867" w:type="dxa"/>
            <w:tcBorders>
              <w:bottom w:val="single" w:sz="8" w:space="0" w:color="000000"/>
            </w:tcBorders>
            <w:vAlign w:val="bottom"/>
          </w:tcPr>
          <w:p>
            <w:pPr>
              <w:pStyle w:val="TAC"/>
              <w:rPr/>
            </w:pPr>
            <w:r>
              <w:rPr/>
              <w:t>474.68</w:t>
            </w:r>
          </w:p>
        </w:tc>
        <w:tc>
          <w:tcPr>
            <w:tcW w:w="867" w:type="dxa"/>
            <w:tcBorders>
              <w:bottom w:val="single" w:sz="8" w:space="0" w:color="000000"/>
            </w:tcBorders>
            <w:vAlign w:val="bottom"/>
          </w:tcPr>
          <w:p>
            <w:pPr>
              <w:pStyle w:val="TAC"/>
              <w:rPr/>
            </w:pPr>
            <w:r>
              <w:rPr/>
              <w:t>208.00</w:t>
            </w:r>
          </w:p>
        </w:tc>
        <w:tc>
          <w:tcPr>
            <w:tcW w:w="867" w:type="dxa"/>
            <w:tcBorders>
              <w:bottom w:val="single" w:sz="8" w:space="0" w:color="000000"/>
            </w:tcBorders>
            <w:vAlign w:val="bottom"/>
          </w:tcPr>
          <w:p>
            <w:pPr>
              <w:pStyle w:val="TAC"/>
              <w:rPr/>
            </w:pPr>
            <w:r>
              <w:rPr/>
              <w:t>682.68</w:t>
            </w:r>
          </w:p>
        </w:tc>
        <w:tc>
          <w:tcPr>
            <w:tcW w:w="717" w:type="dxa"/>
            <w:tcBorders>
              <w:left w:val="single" w:sz="8" w:space="0" w:color="000000"/>
              <w:bottom w:val="single" w:sz="8" w:space="0" w:color="000000"/>
              <w:right w:val="single" w:sz="8" w:space="0" w:color="000000"/>
            </w:tcBorders>
            <w:vAlign w:val="bottom"/>
          </w:tcPr>
          <w:p>
            <w:pPr>
              <w:pStyle w:val="TAC"/>
              <w:rPr/>
            </w:pPr>
            <w:r>
              <w:rPr/>
              <w:t>31.59</w:t>
            </w:r>
          </w:p>
        </w:tc>
        <w:tc>
          <w:tcPr>
            <w:tcW w:w="896" w:type="dxa"/>
            <w:tcBorders>
              <w:bottom w:val="single" w:sz="8" w:space="0" w:color="000000"/>
            </w:tcBorders>
            <w:vAlign w:val="bottom"/>
          </w:tcPr>
          <w:p>
            <w:pPr>
              <w:pStyle w:val="TAC"/>
              <w:rPr/>
            </w:pPr>
            <w:r>
              <w:rPr/>
              <w:t>9.27%</w:t>
            </w:r>
          </w:p>
        </w:tc>
        <w:tc>
          <w:tcPr>
            <w:tcW w:w="846" w:type="dxa"/>
            <w:tcBorders>
              <w:left w:val="single" w:sz="8" w:space="0" w:color="000000"/>
              <w:bottom w:val="single" w:sz="8" w:space="0" w:color="000000"/>
              <w:right w:val="single" w:sz="8" w:space="0" w:color="000000"/>
            </w:tcBorders>
            <w:vAlign w:val="bottom"/>
          </w:tcPr>
          <w:p>
            <w:pPr>
              <w:pStyle w:val="TAC"/>
              <w:rPr/>
            </w:pPr>
            <w:r>
              <w:rPr/>
              <w:t>-0.10</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25</w:t>
            </w:r>
          </w:p>
        </w:tc>
        <w:tc>
          <w:tcPr>
            <w:tcW w:w="477" w:type="dxa"/>
            <w:tcBorders>
              <w:right w:val="single" w:sz="8" w:space="0" w:color="000000"/>
            </w:tcBorders>
            <w:vAlign w:val="bottom"/>
          </w:tcPr>
          <w:p>
            <w:pPr>
              <w:pStyle w:val="TAC"/>
              <w:rPr/>
            </w:pPr>
            <w:r>
              <w:rPr/>
              <w:t>29</w:t>
            </w:r>
          </w:p>
        </w:tc>
        <w:tc>
          <w:tcPr>
            <w:tcW w:w="873" w:type="dxa"/>
            <w:tcBorders/>
            <w:vAlign w:val="bottom"/>
          </w:tcPr>
          <w:p>
            <w:pPr>
              <w:pStyle w:val="TAC"/>
              <w:rPr/>
            </w:pPr>
            <w:r>
              <w:rPr/>
              <w:t>1704.54</w:t>
            </w:r>
          </w:p>
        </w:tc>
        <w:tc>
          <w:tcPr>
            <w:tcW w:w="767" w:type="dxa"/>
            <w:tcBorders/>
            <w:vAlign w:val="bottom"/>
          </w:tcPr>
          <w:p>
            <w:pPr>
              <w:pStyle w:val="TAC"/>
              <w:rPr/>
            </w:pPr>
            <w:r>
              <w:rPr/>
              <w:t>306.75</w:t>
            </w:r>
          </w:p>
        </w:tc>
        <w:tc>
          <w:tcPr>
            <w:tcW w:w="874" w:type="dxa"/>
            <w:tcBorders/>
            <w:vAlign w:val="bottom"/>
          </w:tcPr>
          <w:p>
            <w:pPr>
              <w:pStyle w:val="TAC"/>
              <w:rPr/>
            </w:pPr>
            <w:r>
              <w:rPr/>
              <w:t>2011.30</w:t>
            </w:r>
          </w:p>
        </w:tc>
        <w:tc>
          <w:tcPr>
            <w:tcW w:w="717" w:type="dxa"/>
            <w:tcBorders>
              <w:left w:val="single" w:sz="8" w:space="0" w:color="000000"/>
              <w:right w:val="single" w:sz="8" w:space="0" w:color="000000"/>
            </w:tcBorders>
            <w:vAlign w:val="bottom"/>
          </w:tcPr>
          <w:p>
            <w:pPr>
              <w:pStyle w:val="TAC"/>
              <w:rPr/>
            </w:pPr>
            <w:r>
              <w:rPr/>
              <w:t>35.45</w:t>
            </w:r>
          </w:p>
        </w:tc>
        <w:tc>
          <w:tcPr>
            <w:tcW w:w="867" w:type="dxa"/>
            <w:tcBorders/>
            <w:vAlign w:val="bottom"/>
          </w:tcPr>
          <w:p>
            <w:pPr>
              <w:pStyle w:val="TAC"/>
              <w:rPr/>
            </w:pPr>
            <w:r>
              <w:rPr/>
              <w:t>1489.65</w:t>
            </w:r>
          </w:p>
        </w:tc>
        <w:tc>
          <w:tcPr>
            <w:tcW w:w="867" w:type="dxa"/>
            <w:tcBorders/>
            <w:vAlign w:val="bottom"/>
          </w:tcPr>
          <w:p>
            <w:pPr>
              <w:pStyle w:val="TAC"/>
              <w:rPr/>
            </w:pPr>
            <w:r>
              <w:rPr/>
              <w:t>841.09</w:t>
            </w:r>
          </w:p>
        </w:tc>
        <w:tc>
          <w:tcPr>
            <w:tcW w:w="867" w:type="dxa"/>
            <w:tcBorders/>
            <w:vAlign w:val="bottom"/>
          </w:tcPr>
          <w:p>
            <w:pPr>
              <w:pStyle w:val="TAC"/>
              <w:rPr/>
            </w:pPr>
            <w:r>
              <w:rPr/>
              <w:t>2330.74</w:t>
            </w:r>
          </w:p>
        </w:tc>
        <w:tc>
          <w:tcPr>
            <w:tcW w:w="717" w:type="dxa"/>
            <w:tcBorders>
              <w:left w:val="single" w:sz="8" w:space="0" w:color="000000"/>
              <w:right w:val="single" w:sz="8" w:space="0" w:color="000000"/>
            </w:tcBorders>
            <w:vAlign w:val="bottom"/>
          </w:tcPr>
          <w:p>
            <w:pPr>
              <w:pStyle w:val="TAC"/>
              <w:rPr/>
            </w:pPr>
            <w:r>
              <w:rPr/>
              <w:t>35.40</w:t>
            </w:r>
          </w:p>
        </w:tc>
        <w:tc>
          <w:tcPr>
            <w:tcW w:w="896" w:type="dxa"/>
            <w:tcBorders/>
            <w:vAlign w:val="bottom"/>
          </w:tcPr>
          <w:p>
            <w:pPr>
              <w:pStyle w:val="TAC"/>
              <w:rPr/>
            </w:pPr>
            <w:r>
              <w:rPr/>
              <w:t>15.88%</w:t>
            </w:r>
          </w:p>
        </w:tc>
        <w:tc>
          <w:tcPr>
            <w:tcW w:w="846" w:type="dxa"/>
            <w:tcBorders>
              <w:left w:val="single" w:sz="8" w:space="0" w:color="000000"/>
              <w:right w:val="single" w:sz="8" w:space="0" w:color="000000"/>
            </w:tcBorders>
            <w:vAlign w:val="bottom"/>
          </w:tcPr>
          <w:p>
            <w:pPr>
              <w:pStyle w:val="TAC"/>
              <w:rPr/>
            </w:pPr>
            <w:r>
              <w:rPr/>
              <w:t>-0.05</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28</w:t>
            </w:r>
          </w:p>
        </w:tc>
        <w:tc>
          <w:tcPr>
            <w:tcW w:w="477" w:type="dxa"/>
            <w:tcBorders>
              <w:right w:val="single" w:sz="8" w:space="0" w:color="000000"/>
            </w:tcBorders>
            <w:vAlign w:val="bottom"/>
          </w:tcPr>
          <w:p>
            <w:pPr>
              <w:pStyle w:val="TAC"/>
              <w:rPr/>
            </w:pPr>
            <w:r>
              <w:rPr/>
              <w:t>32</w:t>
            </w:r>
          </w:p>
        </w:tc>
        <w:tc>
          <w:tcPr>
            <w:tcW w:w="873" w:type="dxa"/>
            <w:tcBorders/>
            <w:vAlign w:val="bottom"/>
          </w:tcPr>
          <w:p>
            <w:pPr>
              <w:pStyle w:val="TAC"/>
              <w:rPr/>
            </w:pPr>
            <w:r>
              <w:rPr/>
              <w:t>1008.11</w:t>
            </w:r>
          </w:p>
        </w:tc>
        <w:tc>
          <w:tcPr>
            <w:tcW w:w="767" w:type="dxa"/>
            <w:tcBorders/>
            <w:vAlign w:val="bottom"/>
          </w:tcPr>
          <w:p>
            <w:pPr>
              <w:pStyle w:val="TAC"/>
              <w:rPr/>
            </w:pPr>
            <w:r>
              <w:rPr/>
              <w:t>194.54</w:t>
            </w:r>
          </w:p>
        </w:tc>
        <w:tc>
          <w:tcPr>
            <w:tcW w:w="874" w:type="dxa"/>
            <w:tcBorders/>
            <w:vAlign w:val="bottom"/>
          </w:tcPr>
          <w:p>
            <w:pPr>
              <w:pStyle w:val="TAC"/>
              <w:rPr/>
            </w:pPr>
            <w:r>
              <w:rPr/>
              <w:t>1202.65</w:t>
            </w:r>
          </w:p>
        </w:tc>
        <w:tc>
          <w:tcPr>
            <w:tcW w:w="717" w:type="dxa"/>
            <w:tcBorders>
              <w:left w:val="single" w:sz="8" w:space="0" w:color="000000"/>
              <w:right w:val="single" w:sz="8" w:space="0" w:color="000000"/>
            </w:tcBorders>
            <w:vAlign w:val="bottom"/>
          </w:tcPr>
          <w:p>
            <w:pPr>
              <w:pStyle w:val="TAC"/>
              <w:rPr/>
            </w:pPr>
            <w:r>
              <w:rPr/>
              <w:t>33.83</w:t>
            </w:r>
          </w:p>
        </w:tc>
        <w:tc>
          <w:tcPr>
            <w:tcW w:w="867" w:type="dxa"/>
            <w:tcBorders/>
            <w:vAlign w:val="bottom"/>
          </w:tcPr>
          <w:p>
            <w:pPr>
              <w:pStyle w:val="TAC"/>
              <w:rPr/>
            </w:pPr>
            <w:r>
              <w:rPr/>
              <w:t>850.13</w:t>
            </w:r>
          </w:p>
        </w:tc>
        <w:tc>
          <w:tcPr>
            <w:tcW w:w="867" w:type="dxa"/>
            <w:tcBorders/>
            <w:vAlign w:val="bottom"/>
          </w:tcPr>
          <w:p>
            <w:pPr>
              <w:pStyle w:val="TAC"/>
              <w:rPr/>
            </w:pPr>
            <w:r>
              <w:rPr/>
              <w:t>522.95</w:t>
            </w:r>
          </w:p>
        </w:tc>
        <w:tc>
          <w:tcPr>
            <w:tcW w:w="867" w:type="dxa"/>
            <w:tcBorders/>
            <w:vAlign w:val="bottom"/>
          </w:tcPr>
          <w:p>
            <w:pPr>
              <w:pStyle w:val="TAC"/>
              <w:rPr/>
            </w:pPr>
            <w:r>
              <w:rPr/>
              <w:t>1373.08</w:t>
            </w:r>
          </w:p>
        </w:tc>
        <w:tc>
          <w:tcPr>
            <w:tcW w:w="717" w:type="dxa"/>
            <w:tcBorders>
              <w:left w:val="single" w:sz="8" w:space="0" w:color="000000"/>
              <w:right w:val="single" w:sz="8" w:space="0" w:color="000000"/>
            </w:tcBorders>
            <w:vAlign w:val="bottom"/>
          </w:tcPr>
          <w:p>
            <w:pPr>
              <w:pStyle w:val="TAC"/>
              <w:rPr/>
            </w:pPr>
            <w:r>
              <w:rPr/>
              <w:t>33.75</w:t>
            </w:r>
          </w:p>
        </w:tc>
        <w:tc>
          <w:tcPr>
            <w:tcW w:w="896" w:type="dxa"/>
            <w:tcBorders/>
            <w:vAlign w:val="bottom"/>
          </w:tcPr>
          <w:p>
            <w:pPr>
              <w:pStyle w:val="TAC"/>
              <w:rPr/>
            </w:pPr>
            <w:r>
              <w:rPr/>
              <w:t>14.17%</w:t>
            </w:r>
          </w:p>
        </w:tc>
        <w:tc>
          <w:tcPr>
            <w:tcW w:w="846" w:type="dxa"/>
            <w:tcBorders>
              <w:left w:val="single" w:sz="8" w:space="0" w:color="000000"/>
              <w:right w:val="single" w:sz="8" w:space="0" w:color="000000"/>
            </w:tcBorders>
            <w:vAlign w:val="bottom"/>
          </w:tcPr>
          <w:p>
            <w:pPr>
              <w:pStyle w:val="TAC"/>
              <w:rPr/>
            </w:pPr>
            <w:r>
              <w:rPr/>
              <w:t>-0.08</w:t>
            </w:r>
          </w:p>
        </w:tc>
      </w:tr>
      <w:tr>
        <w:trPr>
          <w:trHeight w:val="315"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right w:val="single" w:sz="8" w:space="0" w:color="000000"/>
            </w:tcBorders>
            <w:vAlign w:val="bottom"/>
          </w:tcPr>
          <w:p>
            <w:pPr>
              <w:pStyle w:val="TAC"/>
              <w:rPr/>
            </w:pPr>
            <w:r>
              <w:rPr/>
              <w:t>31</w:t>
            </w:r>
          </w:p>
        </w:tc>
        <w:tc>
          <w:tcPr>
            <w:tcW w:w="477" w:type="dxa"/>
            <w:tcBorders>
              <w:right w:val="single" w:sz="8" w:space="0" w:color="000000"/>
            </w:tcBorders>
            <w:vAlign w:val="bottom"/>
          </w:tcPr>
          <w:p>
            <w:pPr>
              <w:pStyle w:val="TAC"/>
              <w:rPr/>
            </w:pPr>
            <w:r>
              <w:rPr/>
              <w:t>35</w:t>
            </w:r>
          </w:p>
        </w:tc>
        <w:tc>
          <w:tcPr>
            <w:tcW w:w="873" w:type="dxa"/>
            <w:tcBorders/>
            <w:vAlign w:val="bottom"/>
          </w:tcPr>
          <w:p>
            <w:pPr>
              <w:pStyle w:val="TAC"/>
              <w:rPr/>
            </w:pPr>
            <w:r>
              <w:rPr/>
              <w:t>623.26</w:t>
            </w:r>
          </w:p>
        </w:tc>
        <w:tc>
          <w:tcPr>
            <w:tcW w:w="767" w:type="dxa"/>
            <w:tcBorders/>
            <w:vAlign w:val="bottom"/>
          </w:tcPr>
          <w:p>
            <w:pPr>
              <w:pStyle w:val="TAC"/>
              <w:rPr/>
            </w:pPr>
            <w:r>
              <w:rPr/>
              <w:t>127.37</w:t>
            </w:r>
          </w:p>
        </w:tc>
        <w:tc>
          <w:tcPr>
            <w:tcW w:w="874" w:type="dxa"/>
            <w:tcBorders/>
            <w:vAlign w:val="bottom"/>
          </w:tcPr>
          <w:p>
            <w:pPr>
              <w:pStyle w:val="TAC"/>
              <w:rPr/>
            </w:pPr>
            <w:r>
              <w:rPr/>
              <w:t>750.63</w:t>
            </w:r>
          </w:p>
        </w:tc>
        <w:tc>
          <w:tcPr>
            <w:tcW w:w="717" w:type="dxa"/>
            <w:tcBorders>
              <w:left w:val="single" w:sz="8" w:space="0" w:color="000000"/>
              <w:right w:val="single" w:sz="8" w:space="0" w:color="000000"/>
            </w:tcBorders>
            <w:vAlign w:val="bottom"/>
          </w:tcPr>
          <w:p>
            <w:pPr>
              <w:pStyle w:val="TAC"/>
              <w:rPr/>
            </w:pPr>
            <w:r>
              <w:rPr/>
              <w:t>32.21</w:t>
            </w:r>
          </w:p>
        </w:tc>
        <w:tc>
          <w:tcPr>
            <w:tcW w:w="867" w:type="dxa"/>
            <w:tcBorders/>
            <w:vAlign w:val="bottom"/>
          </w:tcPr>
          <w:p>
            <w:pPr>
              <w:pStyle w:val="TAC"/>
              <w:rPr/>
            </w:pPr>
            <w:r>
              <w:rPr/>
              <w:t>502.34</w:t>
            </w:r>
          </w:p>
        </w:tc>
        <w:tc>
          <w:tcPr>
            <w:tcW w:w="867" w:type="dxa"/>
            <w:tcBorders/>
            <w:vAlign w:val="bottom"/>
          </w:tcPr>
          <w:p>
            <w:pPr>
              <w:pStyle w:val="TAC"/>
              <w:rPr/>
            </w:pPr>
            <w:r>
              <w:rPr/>
              <w:t>330.20</w:t>
            </w:r>
          </w:p>
        </w:tc>
        <w:tc>
          <w:tcPr>
            <w:tcW w:w="867" w:type="dxa"/>
            <w:tcBorders/>
            <w:vAlign w:val="bottom"/>
          </w:tcPr>
          <w:p>
            <w:pPr>
              <w:pStyle w:val="TAC"/>
              <w:rPr/>
            </w:pPr>
            <w:r>
              <w:rPr/>
              <w:t>832.55</w:t>
            </w:r>
          </w:p>
        </w:tc>
        <w:tc>
          <w:tcPr>
            <w:tcW w:w="717" w:type="dxa"/>
            <w:tcBorders>
              <w:left w:val="single" w:sz="8" w:space="0" w:color="000000"/>
              <w:right w:val="single" w:sz="8" w:space="0" w:color="000000"/>
            </w:tcBorders>
            <w:vAlign w:val="bottom"/>
          </w:tcPr>
          <w:p>
            <w:pPr>
              <w:pStyle w:val="TAC"/>
              <w:rPr/>
            </w:pPr>
            <w:r>
              <w:rPr/>
              <w:t>32.09</w:t>
            </w:r>
          </w:p>
        </w:tc>
        <w:tc>
          <w:tcPr>
            <w:tcW w:w="896" w:type="dxa"/>
            <w:tcBorders/>
            <w:vAlign w:val="bottom"/>
          </w:tcPr>
          <w:p>
            <w:pPr>
              <w:pStyle w:val="TAC"/>
              <w:rPr/>
            </w:pPr>
            <w:r>
              <w:rPr/>
              <w:t>10.91%</w:t>
            </w:r>
          </w:p>
        </w:tc>
        <w:tc>
          <w:tcPr>
            <w:tcW w:w="846" w:type="dxa"/>
            <w:tcBorders>
              <w:left w:val="single" w:sz="8" w:space="0" w:color="000000"/>
              <w:right w:val="single" w:sz="8" w:space="0" w:color="000000"/>
            </w:tcBorders>
            <w:vAlign w:val="bottom"/>
          </w:tcPr>
          <w:p>
            <w:pPr>
              <w:pStyle w:val="TAC"/>
              <w:rPr/>
            </w:pPr>
            <w:r>
              <w:rPr/>
              <w:t>-0.13</w:t>
            </w:r>
          </w:p>
        </w:tc>
      </w:tr>
      <w:tr>
        <w:trPr>
          <w:trHeight w:val="330" w:hRule="atLeast"/>
        </w:trPr>
        <w:tc>
          <w:tcPr>
            <w:tcW w:w="1097" w:type="dxa"/>
            <w:vMerge w:val="continue"/>
            <w:tcBorders>
              <w:left w:val="single" w:sz="8" w:space="0" w:color="000000"/>
            </w:tcBorders>
            <w:vAlign w:val="bottom"/>
          </w:tcPr>
          <w:p>
            <w:pPr>
              <w:pStyle w:val="TAC"/>
              <w:snapToGrid w:val="false"/>
              <w:rPr/>
            </w:pPr>
            <w:r>
              <w:rPr/>
            </w:r>
          </w:p>
        </w:tc>
        <w:tc>
          <w:tcPr>
            <w:tcW w:w="477" w:type="dxa"/>
            <w:tcBorders>
              <w:left w:val="single" w:sz="8" w:space="0" w:color="000000"/>
              <w:bottom w:val="single" w:sz="8" w:space="0" w:color="000000"/>
              <w:right w:val="single" w:sz="8" w:space="0" w:color="000000"/>
            </w:tcBorders>
            <w:vAlign w:val="bottom"/>
          </w:tcPr>
          <w:p>
            <w:pPr>
              <w:pStyle w:val="TAC"/>
              <w:rPr/>
            </w:pPr>
            <w:r>
              <w:rPr/>
              <w:t>34</w:t>
            </w:r>
          </w:p>
        </w:tc>
        <w:tc>
          <w:tcPr>
            <w:tcW w:w="477" w:type="dxa"/>
            <w:tcBorders>
              <w:bottom w:val="single" w:sz="8" w:space="0" w:color="000000"/>
              <w:right w:val="single" w:sz="8" w:space="0" w:color="000000"/>
            </w:tcBorders>
            <w:vAlign w:val="bottom"/>
          </w:tcPr>
          <w:p>
            <w:pPr>
              <w:pStyle w:val="TAC"/>
              <w:rPr/>
            </w:pPr>
            <w:r>
              <w:rPr/>
              <w:t>38</w:t>
            </w:r>
          </w:p>
        </w:tc>
        <w:tc>
          <w:tcPr>
            <w:tcW w:w="873" w:type="dxa"/>
            <w:tcBorders>
              <w:bottom w:val="single" w:sz="8" w:space="0" w:color="000000"/>
            </w:tcBorders>
            <w:vAlign w:val="bottom"/>
          </w:tcPr>
          <w:p>
            <w:pPr>
              <w:pStyle w:val="TAC"/>
              <w:rPr/>
            </w:pPr>
            <w:r>
              <w:rPr/>
              <w:t>389.54</w:t>
            </w:r>
          </w:p>
        </w:tc>
        <w:tc>
          <w:tcPr>
            <w:tcW w:w="767" w:type="dxa"/>
            <w:tcBorders>
              <w:bottom w:val="single" w:sz="8" w:space="0" w:color="000000"/>
            </w:tcBorders>
            <w:vAlign w:val="bottom"/>
          </w:tcPr>
          <w:p>
            <w:pPr>
              <w:pStyle w:val="TAC"/>
              <w:rPr/>
            </w:pPr>
            <w:r>
              <w:rPr/>
              <w:t>83.01</w:t>
            </w:r>
          </w:p>
        </w:tc>
        <w:tc>
          <w:tcPr>
            <w:tcW w:w="874" w:type="dxa"/>
            <w:tcBorders>
              <w:bottom w:val="single" w:sz="8" w:space="0" w:color="000000"/>
            </w:tcBorders>
            <w:vAlign w:val="bottom"/>
          </w:tcPr>
          <w:p>
            <w:pPr>
              <w:pStyle w:val="TAC"/>
              <w:rPr/>
            </w:pPr>
            <w:r>
              <w:rPr/>
              <w:t>472.55</w:t>
            </w:r>
          </w:p>
        </w:tc>
        <w:tc>
          <w:tcPr>
            <w:tcW w:w="717" w:type="dxa"/>
            <w:tcBorders>
              <w:left w:val="single" w:sz="8" w:space="0" w:color="000000"/>
              <w:bottom w:val="single" w:sz="8" w:space="0" w:color="000000"/>
              <w:right w:val="single" w:sz="8" w:space="0" w:color="000000"/>
            </w:tcBorders>
            <w:vAlign w:val="bottom"/>
          </w:tcPr>
          <w:p>
            <w:pPr>
              <w:pStyle w:val="TAC"/>
              <w:rPr/>
            </w:pPr>
            <w:r>
              <w:rPr/>
              <w:t>30.58</w:t>
            </w:r>
          </w:p>
        </w:tc>
        <w:tc>
          <w:tcPr>
            <w:tcW w:w="867" w:type="dxa"/>
            <w:tcBorders>
              <w:bottom w:val="single" w:sz="8" w:space="0" w:color="000000"/>
            </w:tcBorders>
            <w:vAlign w:val="bottom"/>
          </w:tcPr>
          <w:p>
            <w:pPr>
              <w:pStyle w:val="TAC"/>
              <w:rPr/>
            </w:pPr>
            <w:r>
              <w:rPr/>
              <w:t>302.59</w:t>
            </w:r>
          </w:p>
        </w:tc>
        <w:tc>
          <w:tcPr>
            <w:tcW w:w="867" w:type="dxa"/>
            <w:tcBorders>
              <w:bottom w:val="single" w:sz="8" w:space="0" w:color="000000"/>
            </w:tcBorders>
            <w:vAlign w:val="bottom"/>
          </w:tcPr>
          <w:p>
            <w:pPr>
              <w:pStyle w:val="TAC"/>
              <w:rPr/>
            </w:pPr>
            <w:r>
              <w:rPr/>
              <w:t>208.00</w:t>
            </w:r>
          </w:p>
        </w:tc>
        <w:tc>
          <w:tcPr>
            <w:tcW w:w="867" w:type="dxa"/>
            <w:tcBorders>
              <w:bottom w:val="single" w:sz="8" w:space="0" w:color="000000"/>
            </w:tcBorders>
            <w:vAlign w:val="bottom"/>
          </w:tcPr>
          <w:p>
            <w:pPr>
              <w:pStyle w:val="TAC"/>
              <w:rPr/>
            </w:pPr>
            <w:r>
              <w:rPr/>
              <w:t>510.59</w:t>
            </w:r>
          </w:p>
        </w:tc>
        <w:tc>
          <w:tcPr>
            <w:tcW w:w="717" w:type="dxa"/>
            <w:tcBorders>
              <w:left w:val="single" w:sz="8" w:space="0" w:color="000000"/>
              <w:bottom w:val="single" w:sz="8" w:space="0" w:color="000000"/>
              <w:right w:val="single" w:sz="8" w:space="0" w:color="000000"/>
            </w:tcBorders>
            <w:vAlign w:val="bottom"/>
          </w:tcPr>
          <w:p>
            <w:pPr>
              <w:pStyle w:val="TAC"/>
              <w:rPr/>
            </w:pPr>
            <w:r>
              <w:rPr/>
              <w:t>30.41</w:t>
            </w:r>
          </w:p>
        </w:tc>
        <w:tc>
          <w:tcPr>
            <w:tcW w:w="896" w:type="dxa"/>
            <w:tcBorders>
              <w:bottom w:val="single" w:sz="8" w:space="0" w:color="000000"/>
            </w:tcBorders>
            <w:vAlign w:val="bottom"/>
          </w:tcPr>
          <w:p>
            <w:pPr>
              <w:pStyle w:val="TAC"/>
              <w:rPr/>
            </w:pPr>
            <w:r>
              <w:rPr/>
              <w:t>8.05%</w:t>
            </w:r>
          </w:p>
        </w:tc>
        <w:tc>
          <w:tcPr>
            <w:tcW w:w="846" w:type="dxa"/>
            <w:tcBorders>
              <w:left w:val="single" w:sz="8" w:space="0" w:color="000000"/>
              <w:bottom w:val="single" w:sz="8" w:space="0" w:color="000000"/>
              <w:right w:val="single" w:sz="8" w:space="0" w:color="000000"/>
            </w:tcBorders>
            <w:vAlign w:val="bottom"/>
          </w:tcPr>
          <w:p>
            <w:pPr>
              <w:pStyle w:val="TAC"/>
              <w:rPr/>
            </w:pPr>
            <w:r>
              <w:rPr/>
              <w:t>-0.17</w:t>
            </w:r>
          </w:p>
        </w:tc>
      </w:tr>
      <w:tr>
        <w:trPr>
          <w:trHeight w:val="330" w:hRule="atLeast"/>
        </w:trPr>
        <w:tc>
          <w:tcPr>
            <w:tcW w:w="8600" w:type="dxa"/>
            <w:gridSpan w:val="11"/>
            <w:tcBorders>
              <w:top w:val="single" w:sz="8" w:space="0" w:color="000000"/>
              <w:left w:val="single" w:sz="8" w:space="0" w:color="000000"/>
              <w:bottom w:val="single" w:sz="8" w:space="0" w:color="000000"/>
            </w:tcBorders>
            <w:vAlign w:val="bottom"/>
          </w:tcPr>
          <w:p>
            <w:pPr>
              <w:pStyle w:val="TAH"/>
              <w:rPr/>
            </w:pPr>
            <w:r>
              <w:rPr/>
              <w:t>Average</w:t>
            </w:r>
          </w:p>
        </w:tc>
        <w:tc>
          <w:tcPr>
            <w:tcW w:w="896" w:type="dxa"/>
            <w:tcBorders>
              <w:left w:val="single" w:sz="8" w:space="0" w:color="000000"/>
              <w:bottom w:val="single" w:sz="8" w:space="0" w:color="000000"/>
            </w:tcBorders>
            <w:vAlign w:val="bottom"/>
          </w:tcPr>
          <w:p>
            <w:pPr>
              <w:pStyle w:val="TAH"/>
              <w:rPr/>
            </w:pPr>
            <w:r>
              <w:rPr/>
              <w:t>1.57%</w:t>
            </w:r>
          </w:p>
        </w:tc>
        <w:tc>
          <w:tcPr>
            <w:tcW w:w="846" w:type="dxa"/>
            <w:tcBorders>
              <w:left w:val="single" w:sz="8" w:space="0" w:color="000000"/>
              <w:bottom w:val="single" w:sz="8" w:space="0" w:color="000000"/>
              <w:right w:val="single" w:sz="8" w:space="0" w:color="000000"/>
            </w:tcBorders>
            <w:vAlign w:val="bottom"/>
          </w:tcPr>
          <w:p>
            <w:pPr>
              <w:pStyle w:val="TAH"/>
              <w:rPr/>
            </w:pPr>
            <w:r>
              <w:rPr/>
              <w:t>-0.14</w:t>
            </w:r>
          </w:p>
        </w:tc>
      </w:tr>
    </w:tbl>
    <w:p>
      <w:pPr>
        <w:pStyle w:val="Normal"/>
        <w:jc w:val="both"/>
        <w:rPr>
          <w:lang w:eastAsia="ko-KR"/>
        </w:rPr>
      </w:pPr>
      <w:r>
        <w:rPr>
          <w:lang w:eastAsia="ko-KR"/>
        </w:rPr>
      </w:r>
    </w:p>
    <w:p>
      <w:pPr>
        <w:pStyle w:val="Heading4"/>
        <w:ind w:left="1418" w:hanging="1418"/>
        <w:jc w:val="both"/>
        <w:rPr/>
      </w:pPr>
      <w:bookmarkStart w:id="86" w:name="__RefHeading___Toc517445374"/>
      <w:bookmarkEnd w:id="86"/>
      <w:r>
        <w:rPr/>
        <w:t>7.2.1.6</w:t>
        <w:tab/>
        <w:t>Additional analysis for comparing SHVC and HEVC simulcast</w:t>
      </w:r>
    </w:p>
    <w:p>
      <w:pPr>
        <w:pStyle w:val="Heading5"/>
        <w:ind w:left="1701" w:hanging="1701"/>
        <w:rPr/>
      </w:pPr>
      <w:bookmarkStart w:id="87" w:name="__RefHeading___Toc517445375"/>
      <w:bookmarkEnd w:id="87"/>
      <w:r>
        <w:rPr/>
        <w:t>7.2.1.6.1</w:t>
        <w:tab/>
        <w:t>Introduction</w:t>
      </w:r>
    </w:p>
    <w:p>
      <w:pPr>
        <w:pStyle w:val="Normal"/>
        <w:rPr/>
      </w:pPr>
      <w:r>
        <w:rPr/>
        <w:t>This clause presents additional cost and benefit analysis taking into account the varying numbers of premium UEs and regular UEs in an MMVC session, which may be different than the exact numbers in the example descriptions of the use cases.</w:t>
      </w:r>
    </w:p>
    <w:p>
      <w:pPr>
        <w:pStyle w:val="Normal"/>
        <w:rPr/>
      </w:pPr>
      <w:r>
        <w:rPr/>
        <w:t>Referring to Figure 10, this clause presents the cost/benefit analysis of SHVC vs. simulcast by taking into account the numbers of premium and regular UEs in an MMVC session, for the following cases:</w:t>
      </w:r>
    </w:p>
    <w:p>
      <w:pPr>
        <w:pStyle w:val="B1"/>
        <w:rPr/>
      </w:pPr>
      <w:r>
        <w:rPr/>
        <w:t>-</w:t>
        <w:tab/>
        <w:t>Case A: the current active speaker sends two video resolutions (one "high" @ 1080p + one "medium" @720p), coded using either SHVC or HEVC simulcast. The previous active speaker sends one video resolution ("medium" @720p) and one thumbnail (@240p) video, coded using HEVC simulcast. All other UEs send only one thumbnail video, coded using HEVC.</w:t>
      </w:r>
    </w:p>
    <w:p>
      <w:pPr>
        <w:pStyle w:val="B1"/>
        <w:rPr/>
      </w:pPr>
      <w:r>
        <w:rPr/>
        <w:t>-</w:t>
        <w:tab/>
        <w:t>Case B: the current active speaker sends one video resolution ("medium" @720p). The previous active speaker sends one video resolution ("medium" @720p) and one thumbnail (@240p), coded using either SHVC or HEVC simulcast. All other UEs send one thumbnail video, coded using HEVC. It is assumed in this case that the UEs who may be the previous active speaker support SHVC.</w:t>
      </w:r>
    </w:p>
    <w:p>
      <w:pPr>
        <w:pStyle w:val="B1"/>
        <w:rPr/>
      </w:pPr>
      <w:r>
        <w:rPr/>
        <w:t>-</w:t>
        <w:tab/>
        <w:t>Case C: the same as Case A, except that the previous active speaker also uses SHVC or HEVC simulcast to code the main video ("medium" @720p) and the thumbnail (@240p) video. In other words, Case C is a combination of Case A and Case B.</w:t>
      </w:r>
    </w:p>
    <w:p>
      <w:pPr>
        <w:pStyle w:val="FP"/>
        <w:rPr/>
      </w:pPr>
      <w:r>
        <w:rPr/>
      </w:r>
    </w:p>
    <w:p>
      <w:pPr>
        <w:pStyle w:val="Heading5"/>
        <w:ind w:left="1701" w:hanging="1701"/>
        <w:rPr/>
      </w:pPr>
      <w:bookmarkStart w:id="88" w:name="__RefHeading___Toc517445376"/>
      <w:bookmarkEnd w:id="88"/>
      <w:r>
        <w:rPr/>
        <w:t>7.2.1.6.2</w:t>
        <w:tab/>
        <w:t>Uplink vs downlink transmission cost</w:t>
      </w:r>
    </w:p>
    <w:p>
      <w:pPr>
        <w:pStyle w:val="Normal"/>
        <w:rPr/>
      </w:pPr>
      <w:r>
        <w:rPr/>
        <w:t>In order to analyse the balance between uplink saving and downlink penalty using SHVC, an important factor, one that reflects the relative cost of uplink transmission and downlink transmission, needs to be determined. This is because the 3G and 4G LTE wireless channels (in fact as well as most wired channels) are often asymmetric in practice. Specifically, available uplink transmission bandwidth is often less than available downlink transmission bandwidth. For the analysis in the following two subclauses, it is assumed that the relative cost of uplink transmission is 2.375 times that of downlink transmission, based on averaging the related parameters of some mobile operators. It should be noted that this factor heavily affects the result of the analysis. For example, if a different value of the factor is assumed, then the result can be different.</w:t>
      </w:r>
    </w:p>
    <w:p>
      <w:pPr>
        <w:pStyle w:val="Heading5"/>
        <w:ind w:left="1701" w:hanging="1701"/>
        <w:rPr/>
      </w:pPr>
      <w:bookmarkStart w:id="89" w:name="__RefHeading___Toc517445377"/>
      <w:bookmarkEnd w:id="89"/>
      <w:r>
        <w:rPr/>
        <w:t>7.2.1.6.3</w:t>
        <w:tab/>
        <w:t>Case by case cost/benefit analysis of SHVC vs HEVC simulcast</w:t>
      </w:r>
    </w:p>
    <w:p>
      <w:pPr>
        <w:pStyle w:val="H6"/>
        <w:rPr/>
      </w:pPr>
      <w:r>
        <w:rPr/>
        <w:t>7.2.1.6.3.1</w:t>
        <w:tab/>
        <w:t>General</w:t>
      </w:r>
    </w:p>
    <w:p>
      <w:pPr>
        <w:pStyle w:val="Normal"/>
        <w:rPr/>
      </w:pPr>
      <w:r>
        <w:rPr/>
        <w:t>First the following notations are defined to be used in the analysis:</w:t>
      </w:r>
    </w:p>
    <w:p>
      <w:pPr>
        <w:pStyle w:val="B1"/>
        <w:rPr/>
      </w:pPr>
      <w:r>
        <w:rPr>
          <w:b/>
        </w:rPr>
        <w:t>-</w:t>
        <w:tab/>
        <w:t>N</w:t>
      </w:r>
      <w:r>
        <w:rPr/>
        <w:t>: total # of UEs in the MMVC session</w:t>
      </w:r>
    </w:p>
    <w:p>
      <w:pPr>
        <w:pStyle w:val="B1"/>
        <w:rPr/>
      </w:pPr>
      <w:r>
        <w:rPr>
          <w:b/>
        </w:rPr>
        <w:t>-</w:t>
        <w:tab/>
        <w:t>H</w:t>
      </w:r>
      <w:r>
        <w:rPr/>
        <w:t>: single layer rate of "premium" quality main video</w:t>
      </w:r>
    </w:p>
    <w:p>
      <w:pPr>
        <w:pStyle w:val="B1"/>
        <w:rPr/>
      </w:pPr>
      <w:r>
        <w:rPr>
          <w:b/>
        </w:rPr>
        <w:t>-</w:t>
        <w:tab/>
        <w:t>M</w:t>
      </w:r>
      <w:r>
        <w:rPr/>
        <w:t>: single layer rate of "medium" quality main video</w:t>
      </w:r>
    </w:p>
    <w:p>
      <w:pPr>
        <w:pStyle w:val="B1"/>
        <w:rPr/>
      </w:pPr>
      <w:r>
        <w:rPr>
          <w:b/>
        </w:rPr>
        <w:t>-</w:t>
        <w:tab/>
        <w:t>T</w:t>
      </w:r>
      <w:r>
        <w:rPr/>
        <w:t>: single layer rate of thumbnail video</w:t>
      </w:r>
    </w:p>
    <w:p>
      <w:pPr>
        <w:pStyle w:val="B1"/>
        <w:rPr/>
      </w:pPr>
      <w:r>
        <w:rPr>
          <w:b/>
        </w:rPr>
        <w:t>-</w:t>
        <w:tab/>
        <w:t>a</w:t>
      </w:r>
      <w:r>
        <w:rPr/>
        <w:t>: performance gain of SHVC over simulcast</w:t>
      </w:r>
    </w:p>
    <w:p>
      <w:pPr>
        <w:pStyle w:val="B1"/>
        <w:rPr/>
      </w:pPr>
      <w:r>
        <w:rPr>
          <w:b/>
        </w:rPr>
        <w:t>-</w:t>
        <w:tab/>
        <w:t>b</w:t>
      </w:r>
      <w:r>
        <w:rPr/>
        <w:t>: performance penalty of SHVC versus single layer</w:t>
      </w:r>
    </w:p>
    <w:p>
      <w:pPr>
        <w:pStyle w:val="B1"/>
        <w:rPr/>
      </w:pPr>
      <w:r>
        <w:rPr>
          <w:b/>
        </w:rPr>
        <w:t>-</w:t>
        <w:tab/>
        <w:t>f</w:t>
      </w:r>
      <w:r>
        <w:rPr/>
        <w:t>: a weighting factor that reflects the cost of uplink traffic relative to that of downlink traffic, as discussed in Clause 7.2.1.6.2.</w:t>
      </w:r>
    </w:p>
    <w:p>
      <w:pPr>
        <w:pStyle w:val="H6"/>
        <w:rPr/>
      </w:pPr>
      <w:r>
        <w:rPr/>
        <w:t>7.2.1.6.3.2</w:t>
        <w:tab/>
        <w:t>Case A</w:t>
      </w:r>
    </w:p>
    <w:p>
      <w:pPr>
        <w:pStyle w:val="Normal"/>
        <w:rPr/>
      </w:pPr>
      <w:r>
        <w:rPr/>
        <w:t>The following additional notations are defined for Case A:</w:t>
      </w:r>
    </w:p>
    <w:p>
      <w:pPr>
        <w:pStyle w:val="B1"/>
        <w:rPr/>
      </w:pPr>
      <w:r>
        <w:rPr>
          <w:b/>
        </w:rPr>
        <w:t>-</w:t>
        <w:tab/>
        <w:t>N</w:t>
      </w:r>
      <w:r>
        <w:rPr>
          <w:b/>
          <w:vertAlign w:val="subscript"/>
        </w:rPr>
        <w:t>0</w:t>
      </w:r>
      <w:r>
        <w:rPr/>
        <w:t>: total # of premium UEs receiving high quality video (not counting current active speaker)</w:t>
      </w:r>
    </w:p>
    <w:p>
      <w:pPr>
        <w:pStyle w:val="B1"/>
        <w:rPr/>
      </w:pPr>
      <w:r>
        <w:rPr>
          <w:b/>
        </w:rPr>
        <w:t>-</w:t>
        <w:tab/>
        <w:t>N</w:t>
      </w:r>
      <w:r>
        <w:rPr>
          <w:b/>
          <w:vertAlign w:val="subscript"/>
        </w:rPr>
        <w:t>1</w:t>
      </w:r>
      <w:r>
        <w:rPr/>
        <w:t xml:space="preserve">: total # of regular UEs and current active speaker </w:t>
      </w:r>
    </w:p>
    <w:p>
      <w:pPr>
        <w:pStyle w:val="Normal"/>
        <w:rPr/>
      </w:pPr>
      <w:r>
        <w:rPr/>
        <w:t>Note that the reason why the current active speaker is not included in N</w:t>
      </w:r>
      <w:r>
        <w:rPr>
          <w:vertAlign w:val="subscript"/>
        </w:rPr>
        <w:t>0</w:t>
      </w:r>
      <w:r>
        <w:rPr/>
        <w:t xml:space="preserve"> but included in N</w:t>
      </w:r>
      <w:r>
        <w:rPr>
          <w:vertAlign w:val="subscript"/>
        </w:rPr>
        <w:t>1</w:t>
      </w:r>
      <w:r>
        <w:rPr/>
        <w:t xml:space="preserve"> is that the current active speaker receives medium quality video M from the past active speaker (due to the capabilities of the current and previous active speakers). Later in this clause, the case when the previous active speaker sends H instead of M is analysed (assuming both current and previous active speakers have high capability), which will show that basically the same conclusion can be drawn, regardless of whether the current active speaker is included in N</w:t>
      </w:r>
      <w:r>
        <w:rPr>
          <w:vertAlign w:val="subscript"/>
        </w:rPr>
        <w:t>0</w:t>
      </w:r>
      <w:r>
        <w:rPr/>
        <w:t xml:space="preserve"> or N</w:t>
      </w:r>
      <w:r>
        <w:rPr>
          <w:vertAlign w:val="subscript"/>
        </w:rPr>
        <w:t>1</w:t>
      </w:r>
      <w:r>
        <w:rPr/>
        <w:t>.</w:t>
      </w:r>
    </w:p>
    <w:p>
      <w:pPr>
        <w:pStyle w:val="Normal"/>
        <w:rPr/>
      </w:pPr>
      <w:r>
        <w:rPr/>
        <w:t>Table 34 lists the uplink and downlink bandwidth consumption depending on whether the UE is the active speaker, the last active speaker, any other UE, whether the UE is a premium or regular UE, and whether the UE uses simulcast or SHVC.</w:t>
      </w:r>
    </w:p>
    <w:p>
      <w:pPr>
        <w:pStyle w:val="TH"/>
        <w:rPr/>
      </w:pPr>
      <w:r>
        <w:rPr/>
        <w:t>Table 34: Uplink and downlink traffic using simulcast and SHVC for each UE type for Case A</w:t>
        <w:br/>
        <w:t xml:space="preserve"> (where the previous active speaker sends M)</w:t>
      </w:r>
    </w:p>
    <w:tbl>
      <w:tblPr>
        <w:tblW w:w="8517" w:type="dxa"/>
        <w:jc w:val="center"/>
        <w:tblInd w:w="0" w:type="dxa"/>
        <w:tblLayout w:type="fixed"/>
        <w:tblCellMar>
          <w:top w:w="0" w:type="dxa"/>
          <w:left w:w="108" w:type="dxa"/>
          <w:bottom w:w="0" w:type="dxa"/>
          <w:right w:w="108" w:type="dxa"/>
        </w:tblCellMar>
      </w:tblPr>
      <w:tblGrid>
        <w:gridCol w:w="1278"/>
        <w:gridCol w:w="2070"/>
        <w:gridCol w:w="2199"/>
        <w:gridCol w:w="2970"/>
      </w:tblGrid>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H"/>
              <w:rPr/>
            </w:pPr>
            <w:r>
              <w:rPr/>
              <w:t>UE type</w:t>
            </w:r>
          </w:p>
        </w:tc>
        <w:tc>
          <w:tcPr>
            <w:tcW w:w="2199" w:type="dxa"/>
            <w:tcBorders>
              <w:top w:val="single" w:sz="4" w:space="0" w:color="000000"/>
              <w:left w:val="single" w:sz="4" w:space="0" w:color="000000"/>
              <w:bottom w:val="single" w:sz="4" w:space="0" w:color="000000"/>
              <w:right w:val="single" w:sz="4" w:space="0" w:color="000000"/>
            </w:tcBorders>
          </w:tcPr>
          <w:p>
            <w:pPr>
              <w:pStyle w:val="TAH"/>
              <w:rPr/>
            </w:pPr>
            <w:r>
              <w:rPr/>
              <w:t>Simulcast</w:t>
            </w:r>
          </w:p>
        </w:tc>
        <w:tc>
          <w:tcPr>
            <w:tcW w:w="2970" w:type="dxa"/>
            <w:tcBorders>
              <w:top w:val="single" w:sz="4" w:space="0" w:color="000000"/>
              <w:left w:val="single" w:sz="4" w:space="0" w:color="000000"/>
              <w:bottom w:val="single" w:sz="4" w:space="0" w:color="000000"/>
              <w:right w:val="single" w:sz="4" w:space="0" w:color="000000"/>
            </w:tcBorders>
          </w:tcPr>
          <w:p>
            <w:pPr>
              <w:pStyle w:val="TAH"/>
              <w:rPr/>
            </w:pPr>
            <w:r>
              <w:rPr/>
              <w:t>SHVC</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pPr>
            <w:r>
              <w:rPr/>
              <w:t>Uplink</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Active speaker</w:t>
            </w:r>
          </w:p>
        </w:tc>
        <w:tc>
          <w:tcPr>
            <w:tcW w:w="2199" w:type="dxa"/>
            <w:tcBorders>
              <w:top w:val="single" w:sz="4" w:space="0" w:color="000000"/>
              <w:left w:val="single" w:sz="4" w:space="0" w:color="000000"/>
              <w:bottom w:val="single" w:sz="4" w:space="0" w:color="000000"/>
              <w:right w:val="single" w:sz="4" w:space="0" w:color="000000"/>
            </w:tcBorders>
          </w:tcPr>
          <w:p>
            <w:pPr>
              <w:pStyle w:val="TAL"/>
              <w:rPr/>
            </w:pPr>
            <w:r>
              <w:rPr/>
              <w:t>H + M</w:t>
            </w:r>
          </w:p>
        </w:tc>
        <w:tc>
          <w:tcPr>
            <w:tcW w:w="2970" w:type="dxa"/>
            <w:tcBorders>
              <w:top w:val="single" w:sz="4" w:space="0" w:color="000000"/>
              <w:left w:val="single" w:sz="4" w:space="0" w:color="000000"/>
              <w:bottom w:val="single" w:sz="4" w:space="0" w:color="000000"/>
              <w:right w:val="single" w:sz="4" w:space="0" w:color="000000"/>
            </w:tcBorders>
          </w:tcPr>
          <w:p>
            <w:pPr>
              <w:pStyle w:val="TAL"/>
              <w:rPr/>
            </w:pPr>
            <w:r>
              <w:rPr/>
              <w:t>(H + M) * (1-a)</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Last active speaker</w:t>
            </w:r>
          </w:p>
        </w:tc>
        <w:tc>
          <w:tcPr>
            <w:tcW w:w="2199" w:type="dxa"/>
            <w:tcBorders>
              <w:top w:val="single" w:sz="4" w:space="0" w:color="000000"/>
              <w:left w:val="single" w:sz="4" w:space="0" w:color="000000"/>
              <w:bottom w:val="single" w:sz="4" w:space="0" w:color="000000"/>
              <w:right w:val="single" w:sz="4" w:space="0" w:color="000000"/>
            </w:tcBorders>
          </w:tcPr>
          <w:p>
            <w:pPr>
              <w:pStyle w:val="TAL"/>
              <w:rPr/>
            </w:pPr>
            <w:r>
              <w:rPr/>
              <w:t>M + T</w:t>
            </w:r>
          </w:p>
        </w:tc>
        <w:tc>
          <w:tcPr>
            <w:tcW w:w="2970" w:type="dxa"/>
            <w:tcBorders>
              <w:top w:val="single" w:sz="4" w:space="0" w:color="000000"/>
              <w:left w:val="single" w:sz="4" w:space="0" w:color="000000"/>
              <w:bottom w:val="single" w:sz="4" w:space="0" w:color="000000"/>
              <w:right w:val="single" w:sz="4" w:space="0" w:color="000000"/>
            </w:tcBorders>
          </w:tcPr>
          <w:p>
            <w:pPr>
              <w:pStyle w:val="TAL"/>
              <w:rPr/>
            </w:pPr>
            <w:r>
              <w:rPr/>
              <w:t>M + 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All other UEs</w:t>
            </w:r>
          </w:p>
        </w:tc>
        <w:tc>
          <w:tcPr>
            <w:tcW w:w="2199" w:type="dxa"/>
            <w:tcBorders>
              <w:top w:val="single" w:sz="4" w:space="0" w:color="000000"/>
              <w:left w:val="single" w:sz="4" w:space="0" w:color="000000"/>
              <w:bottom w:val="single" w:sz="4" w:space="0" w:color="000000"/>
              <w:right w:val="single" w:sz="4" w:space="0" w:color="000000"/>
            </w:tcBorders>
          </w:tcPr>
          <w:p>
            <w:pPr>
              <w:pStyle w:val="TAL"/>
              <w:rPr/>
            </w:pPr>
            <w:r>
              <w:rPr/>
              <w:t>(N-2) * T</w:t>
            </w:r>
          </w:p>
        </w:tc>
        <w:tc>
          <w:tcPr>
            <w:tcW w:w="2970" w:type="dxa"/>
            <w:tcBorders>
              <w:top w:val="single" w:sz="4" w:space="0" w:color="000000"/>
              <w:left w:val="single" w:sz="4" w:space="0" w:color="000000"/>
              <w:bottom w:val="single" w:sz="4" w:space="0" w:color="000000"/>
              <w:right w:val="single" w:sz="4" w:space="0" w:color="000000"/>
            </w:tcBorders>
          </w:tcPr>
          <w:p>
            <w:pPr>
              <w:pStyle w:val="TAL"/>
              <w:rPr/>
            </w:pPr>
            <w:r>
              <w:rPr/>
              <w:t>(N-2) * 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pPr>
            <w:r>
              <w:rPr/>
              <w:t xml:space="preserve">Downlink </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Premium UEs</w:t>
            </w:r>
          </w:p>
        </w:tc>
        <w:tc>
          <w:tcPr>
            <w:tcW w:w="2199"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0</w:t>
            </w:r>
            <w:r>
              <w:rPr/>
              <w:t xml:space="preserve"> * (H + T * (N-2))</w:t>
            </w:r>
          </w:p>
        </w:tc>
        <w:tc>
          <w:tcPr>
            <w:tcW w:w="2970"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0</w:t>
            </w:r>
            <w:r>
              <w:rPr/>
              <w:t xml:space="preserve"> * (H * (1+b) + T * (N-2))</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Normal UEs and active speaker</w:t>
            </w:r>
          </w:p>
        </w:tc>
        <w:tc>
          <w:tcPr>
            <w:tcW w:w="2199"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1</w:t>
            </w:r>
            <w:r>
              <w:rPr/>
              <w:t xml:space="preserve"> * (M + T * (N-2))</w:t>
            </w:r>
          </w:p>
        </w:tc>
        <w:tc>
          <w:tcPr>
            <w:tcW w:w="2970"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1</w:t>
            </w:r>
            <w:r>
              <w:rPr/>
              <w:t xml:space="preserve"> * (M + T * (N-2))</w:t>
            </w:r>
          </w:p>
        </w:tc>
      </w:tr>
    </w:tbl>
    <w:p>
      <w:pPr>
        <w:pStyle w:val="Normal"/>
        <w:rPr/>
      </w:pPr>
      <w:r>
        <w:rPr/>
      </w:r>
    </w:p>
    <w:p>
      <w:pPr>
        <w:pStyle w:val="Normal"/>
        <w:rPr/>
      </w:pPr>
      <w:r>
        <w:rPr/>
        <w:t>Factoring in f, the relative cost of uplink vs downlink transmission, T_simul, the total bandwidth using simulcast, is derived as follows:</w:t>
      </w:r>
    </w:p>
    <w:p>
      <w:pPr>
        <w:pStyle w:val="Normal"/>
        <w:rPr/>
      </w:pPr>
      <w:r>
        <w:rPr>
          <w:lang w:val="fr-FR"/>
        </w:rPr>
        <w:t>T_simul = f*(H + M + M + T + (N-2)*T) + N</w:t>
      </w:r>
      <w:r>
        <w:rPr>
          <w:vertAlign w:val="subscript"/>
          <w:lang w:val="fr-FR"/>
        </w:rPr>
        <w:t>0</w:t>
      </w:r>
      <w:r>
        <w:rPr>
          <w:lang w:val="fr-FR"/>
        </w:rPr>
        <w:t>*(H + T * (N-2)) + N</w:t>
      </w:r>
      <w:r>
        <w:rPr>
          <w:vertAlign w:val="subscript"/>
          <w:lang w:val="fr-FR"/>
        </w:rPr>
        <w:t>1</w:t>
      </w:r>
      <w:r>
        <w:rPr>
          <w:lang w:val="fr-FR"/>
        </w:rPr>
        <w:t>*(M + T * (N-2))</w:t>
      </w:r>
    </w:p>
    <w:p>
      <w:pPr>
        <w:pStyle w:val="Normal"/>
        <w:rPr/>
      </w:pPr>
      <w:r>
        <w:rPr/>
        <w:t>And the following for T_shvc, the total bandwidth using SHVC:</w:t>
      </w:r>
    </w:p>
    <w:p>
      <w:pPr>
        <w:pStyle w:val="Normal"/>
        <w:ind w:left="990" w:hanging="990"/>
        <w:rPr/>
      </w:pPr>
      <w:r>
        <w:rPr>
          <w:lang w:val="fr-FR"/>
        </w:rPr>
        <w:t>T_shvc = f*((H + M)*(1-a) + M + T + (N-2)*T) + N</w:t>
      </w:r>
      <w:r>
        <w:rPr>
          <w:vertAlign w:val="subscript"/>
          <w:lang w:val="fr-FR"/>
        </w:rPr>
        <w:t>0</w:t>
      </w:r>
      <w:r>
        <w:rPr>
          <w:lang w:val="fr-FR"/>
        </w:rPr>
        <w:t>*(H*(1+b) + T * (N-2)) + N</w:t>
      </w:r>
      <w:r>
        <w:rPr>
          <w:vertAlign w:val="subscript"/>
          <w:lang w:val="fr-FR"/>
        </w:rPr>
        <w:t>1</w:t>
      </w:r>
      <w:r>
        <w:rPr>
          <w:lang w:val="fr-FR"/>
        </w:rPr>
        <w:t>*(M + T * (N-2))</w:t>
      </w:r>
    </w:p>
    <w:p>
      <w:pPr>
        <w:pStyle w:val="Normal"/>
        <w:rPr/>
      </w:pPr>
      <w:r>
        <w:rPr/>
        <w:t>Subtracting T_shvc from T_simul and simplifying the difference, the following is obtained:</w:t>
      </w:r>
    </w:p>
    <w:p>
      <w:pPr>
        <w:pStyle w:val="Normal"/>
        <w:rPr/>
      </w:pPr>
      <w:r>
        <w:rPr/>
        <w:t>T_simul – T_shvc</w:t>
      </w:r>
    </w:p>
    <w:p>
      <w:pPr>
        <w:pStyle w:val="Normal"/>
        <w:rPr/>
      </w:pPr>
      <w:r>
        <w:rPr/>
        <w:t>= (f*(H + M) + N</w:t>
      </w:r>
      <w:r>
        <w:rPr>
          <w:vertAlign w:val="subscript"/>
        </w:rPr>
        <w:t>0</w:t>
      </w:r>
      <w:r>
        <w:rPr/>
        <w:t>*H) – (f*((H + M)*(1-a)) + N</w:t>
      </w:r>
      <w:r>
        <w:rPr>
          <w:vertAlign w:val="subscript"/>
        </w:rPr>
        <w:t>0</w:t>
      </w:r>
      <w:r>
        <w:rPr/>
        <w:t>*H*(1+b))</w:t>
      </w:r>
    </w:p>
    <w:p>
      <w:pPr>
        <w:pStyle w:val="Normal"/>
        <w:rPr/>
      </w:pPr>
      <w:r>
        <w:rPr/>
        <w:t>= f * (H + M) * a – N</w:t>
      </w:r>
      <w:r>
        <w:rPr>
          <w:vertAlign w:val="subscript"/>
        </w:rPr>
        <w:t>0</w:t>
      </w:r>
      <w:r>
        <w:rPr/>
        <w:t xml:space="preserve"> * H * b</w:t>
      </w:r>
    </w:p>
    <w:p>
      <w:pPr>
        <w:pStyle w:val="Normal"/>
        <w:rPr/>
      </w:pPr>
      <w:r>
        <w:rPr/>
        <w:t xml:space="preserve">Substituting a = 0.27, b = 0.24, M ≈ 0.5H (see the latest TR26.948 in </w:t>
      </w:r>
      <w:r>
        <w:rPr>
          <w:color w:val="000000"/>
        </w:rPr>
        <w:t>Tdoc S4-151084</w:t>
      </w:r>
      <w:r>
        <w:rPr/>
        <w:t>), and f = 2.375 (see Clause 7.2.1.6.2), the following is obtained:</w:t>
      </w:r>
    </w:p>
    <w:p>
      <w:pPr>
        <w:pStyle w:val="Normal"/>
        <w:rPr>
          <w:lang w:val="fr-FR"/>
        </w:rPr>
      </w:pPr>
      <w:r>
        <w:rPr>
          <w:lang w:val="fr-FR"/>
        </w:rPr>
        <w:t>T_simul – T_shvc</w:t>
      </w:r>
    </w:p>
    <w:p>
      <w:pPr>
        <w:pStyle w:val="Normal"/>
        <w:rPr/>
      </w:pPr>
      <w:r>
        <w:rPr>
          <w:lang w:val="fr-FR"/>
        </w:rPr>
        <w:t xml:space="preserve">≈ </w:t>
      </w:r>
      <w:r>
        <w:rPr>
          <w:lang w:val="fr-FR"/>
        </w:rPr>
        <w:t>0.64 (H + M) – 0.24 * N</w:t>
      </w:r>
      <w:r>
        <w:rPr>
          <w:vertAlign w:val="subscript"/>
          <w:lang w:val="fr-FR"/>
        </w:rPr>
        <w:t>0</w:t>
      </w:r>
      <w:r>
        <w:rPr>
          <w:lang w:val="fr-FR"/>
        </w:rPr>
        <w:t xml:space="preserve"> * H</w:t>
      </w:r>
    </w:p>
    <w:p>
      <w:pPr>
        <w:pStyle w:val="Normal"/>
        <w:rPr/>
      </w:pPr>
      <w:r>
        <w:rPr/>
        <w:t xml:space="preserve">≈ </w:t>
      </w:r>
      <w:r>
        <w:rPr/>
        <w:t>0.96 H – 0.24 * N</w:t>
      </w:r>
      <w:r>
        <w:rPr>
          <w:vertAlign w:val="subscript"/>
        </w:rPr>
        <w:t>0</w:t>
      </w:r>
      <w:r>
        <w:rPr/>
        <w:t xml:space="preserve"> * H</w:t>
      </w:r>
    </w:p>
    <w:p>
      <w:pPr>
        <w:pStyle w:val="Normal"/>
        <w:rPr/>
      </w:pPr>
      <w:r>
        <w:rPr/>
        <w:t>For SHVC to have overall bandwidth reduction over simulcast, that is, T_simul – T_shvc ≥ 0, there should be 4 or fewer premium UEs in the MMVC session, i.e. N</w:t>
      </w:r>
      <w:r>
        <w:rPr>
          <w:vertAlign w:val="subscript"/>
        </w:rPr>
        <w:t>0</w:t>
      </w:r>
      <w:r>
        <w:rPr/>
        <w:t xml:space="preserve"> ≤ 4 should be true. Otherwise, if N</w:t>
      </w:r>
      <w:r>
        <w:rPr>
          <w:vertAlign w:val="subscript"/>
        </w:rPr>
        <w:t>0</w:t>
      </w:r>
      <w:r>
        <w:rPr/>
        <w:t xml:space="preserve"> &gt; 4, then SHVC results in higher overall bandwidth than HEVC simulcast.</w:t>
      </w:r>
    </w:p>
    <w:p>
      <w:pPr>
        <w:pStyle w:val="Normal"/>
        <w:rPr/>
      </w:pPr>
      <w:r>
        <w:rPr/>
        <w:t>The above only considered the case when the previous active speaker is a regular UE sending normal ("medium" @720p) quality video (M). Deeper investigation shows that similar conclusion holds when the previous active speaker is a premium UE sending high quality video (H), as discussed below.</w:t>
      </w:r>
    </w:p>
    <w:p>
      <w:pPr>
        <w:pStyle w:val="Normal"/>
        <w:rPr/>
      </w:pPr>
      <w:r>
        <w:rPr/>
        <w:t>The following additional notations are defined:</w:t>
      </w:r>
    </w:p>
    <w:p>
      <w:pPr>
        <w:pStyle w:val="B1"/>
        <w:rPr/>
      </w:pPr>
      <w:r>
        <w:rPr>
          <w:b/>
        </w:rPr>
        <w:t>-</w:t>
        <w:tab/>
      </w:r>
      <w:r>
        <w:rPr/>
        <w:t>N</w:t>
      </w:r>
      <w:r>
        <w:rPr>
          <w:vertAlign w:val="subscript"/>
        </w:rPr>
        <w:t>0</w:t>
      </w:r>
      <w:r>
        <w:rPr/>
        <w:t>: total # of premium UEs receiving high quality video (this will include current active speaker)</w:t>
      </w:r>
    </w:p>
    <w:p>
      <w:pPr>
        <w:pStyle w:val="B1"/>
        <w:rPr/>
      </w:pPr>
      <w:r>
        <w:rPr>
          <w:b/>
        </w:rPr>
        <w:t>-</w:t>
        <w:tab/>
      </w:r>
      <w:r>
        <w:rPr/>
        <w:t>N</w:t>
      </w:r>
      <w:r>
        <w:rPr>
          <w:vertAlign w:val="subscript"/>
        </w:rPr>
        <w:t>1</w:t>
      </w:r>
      <w:r>
        <w:rPr/>
        <w:t>: total # of regular UEs (this will not include current active speaker)</w:t>
      </w:r>
    </w:p>
    <w:p>
      <w:pPr>
        <w:pStyle w:val="TH"/>
        <w:rPr/>
      </w:pPr>
      <w:r>
        <w:rPr/>
        <w:t>Table 35: Uplink and downlink traffic using simulcast and SHVC for each UE type for Case A (last active speaker sends H)</w:t>
      </w:r>
    </w:p>
    <w:tbl>
      <w:tblPr>
        <w:tblW w:w="8624" w:type="dxa"/>
        <w:jc w:val="center"/>
        <w:tblInd w:w="0" w:type="dxa"/>
        <w:tblLayout w:type="fixed"/>
        <w:tblCellMar>
          <w:top w:w="0" w:type="dxa"/>
          <w:left w:w="108" w:type="dxa"/>
          <w:bottom w:w="0" w:type="dxa"/>
          <w:right w:w="108" w:type="dxa"/>
        </w:tblCellMar>
      </w:tblPr>
      <w:tblGrid>
        <w:gridCol w:w="1278"/>
        <w:gridCol w:w="2070"/>
        <w:gridCol w:w="2301"/>
        <w:gridCol w:w="2975"/>
      </w:tblGrid>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H"/>
              <w:rPr/>
            </w:pPr>
            <w:r>
              <w:rPr/>
              <w:t>UE type</w:t>
            </w:r>
          </w:p>
        </w:tc>
        <w:tc>
          <w:tcPr>
            <w:tcW w:w="2301" w:type="dxa"/>
            <w:tcBorders>
              <w:top w:val="single" w:sz="4" w:space="0" w:color="000000"/>
              <w:left w:val="single" w:sz="4" w:space="0" w:color="000000"/>
              <w:bottom w:val="single" w:sz="4" w:space="0" w:color="000000"/>
              <w:right w:val="single" w:sz="4" w:space="0" w:color="000000"/>
            </w:tcBorders>
          </w:tcPr>
          <w:p>
            <w:pPr>
              <w:pStyle w:val="TAH"/>
              <w:rPr/>
            </w:pPr>
            <w:r>
              <w:rPr/>
              <w:t>Simulcast</w:t>
            </w:r>
          </w:p>
        </w:tc>
        <w:tc>
          <w:tcPr>
            <w:tcW w:w="2975" w:type="dxa"/>
            <w:tcBorders>
              <w:top w:val="single" w:sz="4" w:space="0" w:color="000000"/>
              <w:left w:val="single" w:sz="4" w:space="0" w:color="000000"/>
              <w:bottom w:val="single" w:sz="4" w:space="0" w:color="000000"/>
              <w:right w:val="single" w:sz="4" w:space="0" w:color="000000"/>
            </w:tcBorders>
          </w:tcPr>
          <w:p>
            <w:pPr>
              <w:pStyle w:val="TAH"/>
              <w:rPr/>
            </w:pPr>
            <w:r>
              <w:rPr/>
              <w:t>SHVC</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pPr>
            <w:r>
              <w:rPr/>
              <w:t>Uplink</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Active speaker</w:t>
            </w:r>
          </w:p>
        </w:tc>
        <w:tc>
          <w:tcPr>
            <w:tcW w:w="2301" w:type="dxa"/>
            <w:tcBorders>
              <w:top w:val="single" w:sz="4" w:space="0" w:color="000000"/>
              <w:left w:val="single" w:sz="4" w:space="0" w:color="000000"/>
              <w:bottom w:val="single" w:sz="4" w:space="0" w:color="000000"/>
              <w:right w:val="single" w:sz="4" w:space="0" w:color="000000"/>
            </w:tcBorders>
          </w:tcPr>
          <w:p>
            <w:pPr>
              <w:pStyle w:val="TAL"/>
              <w:rPr/>
            </w:pPr>
            <w:r>
              <w:rPr/>
              <w:t>H + M</w:t>
            </w:r>
          </w:p>
        </w:tc>
        <w:tc>
          <w:tcPr>
            <w:tcW w:w="2975" w:type="dxa"/>
            <w:tcBorders>
              <w:top w:val="single" w:sz="4" w:space="0" w:color="000000"/>
              <w:left w:val="single" w:sz="4" w:space="0" w:color="000000"/>
              <w:bottom w:val="single" w:sz="4" w:space="0" w:color="000000"/>
              <w:right w:val="single" w:sz="4" w:space="0" w:color="000000"/>
            </w:tcBorders>
          </w:tcPr>
          <w:p>
            <w:pPr>
              <w:pStyle w:val="TAL"/>
              <w:rPr/>
            </w:pPr>
            <w:r>
              <w:rPr/>
              <w:t>(H + M) * (1-a)</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Last active speaker</w:t>
            </w:r>
          </w:p>
        </w:tc>
        <w:tc>
          <w:tcPr>
            <w:tcW w:w="2301" w:type="dxa"/>
            <w:tcBorders>
              <w:top w:val="single" w:sz="4" w:space="0" w:color="000000"/>
              <w:left w:val="single" w:sz="4" w:space="0" w:color="000000"/>
              <w:bottom w:val="single" w:sz="4" w:space="0" w:color="000000"/>
              <w:right w:val="single" w:sz="4" w:space="0" w:color="000000"/>
            </w:tcBorders>
          </w:tcPr>
          <w:p>
            <w:pPr>
              <w:pStyle w:val="TAL"/>
              <w:rPr/>
            </w:pPr>
            <w:r>
              <w:rPr/>
              <w:t>H + T</w:t>
            </w:r>
          </w:p>
        </w:tc>
        <w:tc>
          <w:tcPr>
            <w:tcW w:w="2975" w:type="dxa"/>
            <w:tcBorders>
              <w:top w:val="single" w:sz="4" w:space="0" w:color="000000"/>
              <w:left w:val="single" w:sz="4" w:space="0" w:color="000000"/>
              <w:bottom w:val="single" w:sz="4" w:space="0" w:color="000000"/>
              <w:right w:val="single" w:sz="4" w:space="0" w:color="000000"/>
            </w:tcBorders>
          </w:tcPr>
          <w:p>
            <w:pPr>
              <w:pStyle w:val="TAL"/>
              <w:rPr/>
            </w:pPr>
            <w:r>
              <w:rPr/>
              <w:t>H + 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All other UEs</w:t>
            </w:r>
          </w:p>
        </w:tc>
        <w:tc>
          <w:tcPr>
            <w:tcW w:w="2301" w:type="dxa"/>
            <w:tcBorders>
              <w:top w:val="single" w:sz="4" w:space="0" w:color="000000"/>
              <w:left w:val="single" w:sz="4" w:space="0" w:color="000000"/>
              <w:bottom w:val="single" w:sz="4" w:space="0" w:color="000000"/>
              <w:right w:val="single" w:sz="4" w:space="0" w:color="000000"/>
            </w:tcBorders>
          </w:tcPr>
          <w:p>
            <w:pPr>
              <w:pStyle w:val="TAL"/>
              <w:rPr/>
            </w:pPr>
            <w:r>
              <w:rPr/>
              <w:t>(N-2) * T</w:t>
            </w:r>
          </w:p>
        </w:tc>
        <w:tc>
          <w:tcPr>
            <w:tcW w:w="2975" w:type="dxa"/>
            <w:tcBorders>
              <w:top w:val="single" w:sz="4" w:space="0" w:color="000000"/>
              <w:left w:val="single" w:sz="4" w:space="0" w:color="000000"/>
              <w:bottom w:val="single" w:sz="4" w:space="0" w:color="000000"/>
              <w:right w:val="single" w:sz="4" w:space="0" w:color="000000"/>
            </w:tcBorders>
          </w:tcPr>
          <w:p>
            <w:pPr>
              <w:pStyle w:val="TAL"/>
              <w:rPr/>
            </w:pPr>
            <w:r>
              <w:rPr/>
              <w:t>(N-2) * 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pPr>
            <w:r>
              <w:rPr/>
              <w:t xml:space="preserve">Downlink </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 xml:space="preserve">Premium UEs, not including current active speaker </w:t>
            </w:r>
          </w:p>
        </w:tc>
        <w:tc>
          <w:tcPr>
            <w:tcW w:w="2301"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0</w:t>
            </w:r>
            <w:r>
              <w:rPr/>
              <w:t>-1 ) * (H + T * (N-2))</w:t>
            </w:r>
          </w:p>
        </w:tc>
        <w:tc>
          <w:tcPr>
            <w:tcW w:w="2975"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0</w:t>
            </w:r>
            <w:r>
              <w:rPr/>
              <w:t>-1) * (H * (1+b) + T * (N-2))</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Current active speaker</w:t>
            </w:r>
          </w:p>
        </w:tc>
        <w:tc>
          <w:tcPr>
            <w:tcW w:w="2301" w:type="dxa"/>
            <w:tcBorders>
              <w:top w:val="single" w:sz="4" w:space="0" w:color="000000"/>
              <w:left w:val="single" w:sz="4" w:space="0" w:color="000000"/>
              <w:bottom w:val="single" w:sz="4" w:space="0" w:color="000000"/>
              <w:right w:val="single" w:sz="4" w:space="0" w:color="000000"/>
            </w:tcBorders>
          </w:tcPr>
          <w:p>
            <w:pPr>
              <w:pStyle w:val="TAL"/>
              <w:rPr/>
            </w:pPr>
            <w:r>
              <w:rPr/>
              <w:t>H + T * (N-2)</w:t>
            </w:r>
          </w:p>
        </w:tc>
        <w:tc>
          <w:tcPr>
            <w:tcW w:w="2975" w:type="dxa"/>
            <w:tcBorders>
              <w:top w:val="single" w:sz="4" w:space="0" w:color="000000"/>
              <w:left w:val="single" w:sz="4" w:space="0" w:color="000000"/>
              <w:bottom w:val="single" w:sz="4" w:space="0" w:color="000000"/>
              <w:right w:val="single" w:sz="4" w:space="0" w:color="000000"/>
            </w:tcBorders>
          </w:tcPr>
          <w:p>
            <w:pPr>
              <w:pStyle w:val="TAL"/>
              <w:rPr/>
            </w:pPr>
            <w:r>
              <w:rPr/>
              <w:t>H + T * (N-2)</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Normal UEs</w:t>
            </w:r>
          </w:p>
        </w:tc>
        <w:tc>
          <w:tcPr>
            <w:tcW w:w="2301"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1</w:t>
            </w:r>
            <w:r>
              <w:rPr/>
              <w:t xml:space="preserve"> * (M + T * (N-2))</w:t>
            </w:r>
          </w:p>
        </w:tc>
        <w:tc>
          <w:tcPr>
            <w:tcW w:w="2975"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1</w:t>
            </w:r>
            <w:r>
              <w:rPr/>
              <w:t xml:space="preserve"> * (M + T * (N-2))</w:t>
            </w:r>
          </w:p>
        </w:tc>
      </w:tr>
    </w:tbl>
    <w:p>
      <w:pPr>
        <w:pStyle w:val="Normal"/>
        <w:rPr/>
      </w:pPr>
      <w:r>
        <w:rPr/>
      </w:r>
    </w:p>
    <w:p>
      <w:pPr>
        <w:pStyle w:val="Normal"/>
        <w:rPr/>
      </w:pPr>
      <w:r>
        <w:rPr/>
        <w:t>Factoring in f, the relative cost of uplink vs downlink transmission, T_simul, the total bandwidth using simulcast, is derived as follows:</w:t>
      </w:r>
    </w:p>
    <w:p>
      <w:pPr>
        <w:pStyle w:val="Normal"/>
        <w:rPr/>
      </w:pPr>
      <w:r>
        <w:rPr>
          <w:lang w:val="fr-FR"/>
        </w:rPr>
        <w:t>T_simul = f*(H + M + H + T + (N-2)*T) + N</w:t>
      </w:r>
      <w:r>
        <w:rPr>
          <w:vertAlign w:val="subscript"/>
          <w:lang w:val="fr-FR"/>
        </w:rPr>
        <w:t>0</w:t>
      </w:r>
      <w:r>
        <w:rPr>
          <w:lang w:val="fr-FR"/>
        </w:rPr>
        <w:t>*(H + T * (N-2)) + N</w:t>
      </w:r>
      <w:r>
        <w:rPr>
          <w:vertAlign w:val="subscript"/>
          <w:lang w:val="fr-FR"/>
        </w:rPr>
        <w:t>1</w:t>
      </w:r>
      <w:r>
        <w:rPr>
          <w:lang w:val="fr-FR"/>
        </w:rPr>
        <w:t>*(M + T * (N-2))</w:t>
      </w:r>
    </w:p>
    <w:p>
      <w:pPr>
        <w:pStyle w:val="Normal"/>
        <w:rPr/>
      </w:pPr>
      <w:r>
        <w:rPr/>
        <w:t>And the following for T_shvc, the total bandwidth using SHVC:</w:t>
      </w:r>
    </w:p>
    <w:p>
      <w:pPr>
        <w:pStyle w:val="Normal"/>
        <w:ind w:left="990" w:hanging="990"/>
        <w:rPr/>
      </w:pPr>
      <w:r>
        <w:rPr>
          <w:lang w:val="fr-FR"/>
        </w:rPr>
        <w:t>T_shvc = f*((H + M)*(1-a) + H + T + (N-2)*T) + (N</w:t>
      </w:r>
      <w:r>
        <w:rPr>
          <w:vertAlign w:val="subscript"/>
          <w:lang w:val="fr-FR"/>
        </w:rPr>
        <w:t>0</w:t>
      </w:r>
      <w:r>
        <w:rPr>
          <w:lang w:val="fr-FR"/>
        </w:rPr>
        <w:t>-1)*(H*(1+b) + T * (N-2)) + (H + T * (N-2)) + N</w:t>
      </w:r>
      <w:r>
        <w:rPr>
          <w:vertAlign w:val="subscript"/>
          <w:lang w:val="fr-FR"/>
        </w:rPr>
        <w:t>1</w:t>
      </w:r>
      <w:r>
        <w:rPr>
          <w:lang w:val="fr-FR"/>
        </w:rPr>
        <w:t>*(M + T * (N-2))</w:t>
      </w:r>
    </w:p>
    <w:p>
      <w:pPr>
        <w:pStyle w:val="Normal"/>
        <w:rPr/>
      </w:pPr>
      <w:r>
        <w:rPr/>
        <w:t>Subtracting T_shvc from T_simul and simplifying the difference, the following is obtained:</w:t>
      </w:r>
    </w:p>
    <w:p>
      <w:pPr>
        <w:pStyle w:val="Normal"/>
        <w:rPr/>
      </w:pPr>
      <w:r>
        <w:rPr/>
        <w:t>T_simul – T_shvc</w:t>
      </w:r>
    </w:p>
    <w:p>
      <w:pPr>
        <w:pStyle w:val="Normal"/>
        <w:rPr/>
      </w:pPr>
      <w:r>
        <w:rPr/>
        <w:t>= (f*(H + M ) + (N</w:t>
      </w:r>
      <w:r>
        <w:rPr>
          <w:vertAlign w:val="subscript"/>
        </w:rPr>
        <w:t>0</w:t>
      </w:r>
      <w:r>
        <w:rPr/>
        <w:t>-1)*H) – (f*(H + M)*(1-a) + (N</w:t>
      </w:r>
      <w:r>
        <w:rPr>
          <w:vertAlign w:val="subscript"/>
        </w:rPr>
        <w:t>0</w:t>
      </w:r>
      <w:r>
        <w:rPr/>
        <w:t>-1)*H*(1+b))</w:t>
      </w:r>
    </w:p>
    <w:p>
      <w:pPr>
        <w:pStyle w:val="Normal"/>
        <w:rPr/>
      </w:pPr>
      <w:r>
        <w:rPr/>
        <w:t>= f * (H + M) * a – (N</w:t>
      </w:r>
      <w:r>
        <w:rPr>
          <w:vertAlign w:val="subscript"/>
        </w:rPr>
        <w:t>0</w:t>
      </w:r>
      <w:r>
        <w:rPr/>
        <w:t xml:space="preserve"> – 1) * H * b</w:t>
      </w:r>
    </w:p>
    <w:p>
      <w:pPr>
        <w:pStyle w:val="Normal"/>
        <w:rPr/>
      </w:pPr>
      <w:r>
        <w:rPr/>
        <w:t xml:space="preserve">Substituting a = 0.27, b = 0.24, M ≈ 0.5H (see the latest TR26.948 in </w:t>
      </w:r>
      <w:r>
        <w:rPr>
          <w:color w:val="000000"/>
        </w:rPr>
        <w:t>Tdoc S4-151084</w:t>
      </w:r>
      <w:r>
        <w:rPr/>
        <w:t>), and f = 2.375 (see Clause 7.2.1.6.2), the following is obtained:</w:t>
      </w:r>
    </w:p>
    <w:p>
      <w:pPr>
        <w:pStyle w:val="Normal"/>
        <w:rPr>
          <w:lang w:val="fr-FR"/>
        </w:rPr>
      </w:pPr>
      <w:r>
        <w:rPr>
          <w:lang w:val="fr-FR"/>
        </w:rPr>
        <w:t>T_simul – T_shvc</w:t>
      </w:r>
    </w:p>
    <w:p>
      <w:pPr>
        <w:pStyle w:val="Normal"/>
        <w:rPr/>
      </w:pPr>
      <w:r>
        <w:rPr>
          <w:lang w:val="fr-FR"/>
        </w:rPr>
        <w:t xml:space="preserve">≈ </w:t>
      </w:r>
      <w:r>
        <w:rPr>
          <w:lang w:val="fr-FR"/>
        </w:rPr>
        <w:t>0.64 (H + M) – 0.24 * (N</w:t>
      </w:r>
      <w:r>
        <w:rPr>
          <w:vertAlign w:val="subscript"/>
          <w:lang w:val="fr-FR"/>
        </w:rPr>
        <w:t>0</w:t>
      </w:r>
      <w:r>
        <w:rPr>
          <w:lang w:val="fr-FR"/>
        </w:rPr>
        <w:t xml:space="preserve"> – 1) * H</w:t>
      </w:r>
    </w:p>
    <w:p>
      <w:pPr>
        <w:pStyle w:val="Normal"/>
        <w:rPr/>
      </w:pPr>
      <w:r>
        <w:rPr/>
        <w:t xml:space="preserve">≈ </w:t>
      </w:r>
      <w:r>
        <w:rPr/>
        <w:t>0.96 H – 0.24 * (N</w:t>
      </w:r>
      <w:r>
        <w:rPr>
          <w:vertAlign w:val="subscript"/>
        </w:rPr>
        <w:t>0</w:t>
      </w:r>
      <w:r>
        <w:rPr/>
        <w:t xml:space="preserve"> – 1) * H</w:t>
      </w:r>
    </w:p>
    <w:p>
      <w:pPr>
        <w:pStyle w:val="Normal"/>
        <w:rPr/>
      </w:pPr>
      <w:r>
        <w:rPr/>
        <w:t>For SHVC to have overall bandwidth reduction over simulcast, that is, T_simul – T_shvc ≥ 0, there should be 5 or fewer premium UEs in the MMVC session, i.e. N</w:t>
      </w:r>
      <w:r>
        <w:rPr>
          <w:vertAlign w:val="subscript"/>
        </w:rPr>
        <w:t>0</w:t>
      </w:r>
      <w:r>
        <w:rPr/>
        <w:t xml:space="preserve"> ≤ 5 should be true. Otherwise, if N</w:t>
      </w:r>
      <w:r>
        <w:rPr>
          <w:vertAlign w:val="subscript"/>
        </w:rPr>
        <w:t>0</w:t>
      </w:r>
      <w:r>
        <w:rPr/>
        <w:t xml:space="preserve"> &gt; 5, then SHVC results in higher overall bandwidth than HEVC simulcast. Note that this is basically the same conclusion as above, since in the above analysis N</w:t>
      </w:r>
      <w:r>
        <w:rPr>
          <w:vertAlign w:val="subscript"/>
        </w:rPr>
        <w:t>0</w:t>
      </w:r>
      <w:r>
        <w:rPr/>
        <w:t xml:space="preserve"> does not include the current active speaker, whereas N</w:t>
      </w:r>
      <w:r>
        <w:rPr>
          <w:vertAlign w:val="subscript"/>
        </w:rPr>
        <w:t>0</w:t>
      </w:r>
      <w:r>
        <w:rPr/>
        <w:t xml:space="preserve"> here includes the current active speaker. </w:t>
      </w:r>
    </w:p>
    <w:p>
      <w:pPr>
        <w:pStyle w:val="Normal"/>
        <w:rPr/>
      </w:pPr>
      <w:r>
        <w:rPr/>
        <w:t xml:space="preserve">To summarize, </w:t>
      </w:r>
      <w:r>
        <w:rPr>
          <w:i/>
        </w:rPr>
        <w:t xml:space="preserve">for Case A, the conclusion is that, </w:t>
      </w:r>
      <w:r>
        <w:rPr/>
        <w:t>under the assumptions for this analysis,</w:t>
      </w:r>
      <w:r>
        <w:rPr>
          <w:i/>
        </w:rPr>
        <w:t xml:space="preserve"> SHVC outperforms simulcast if, excluding the current active speaker, an MMVC session has 4 or fewer premium UEs</w:t>
      </w:r>
      <w:r>
        <w:rPr/>
        <w:t>.</w:t>
      </w:r>
    </w:p>
    <w:p>
      <w:pPr>
        <w:pStyle w:val="H6"/>
        <w:rPr/>
      </w:pPr>
      <w:r>
        <w:rPr/>
        <w:t>7.2.1.6.3.3</w:t>
        <w:tab/>
        <w:t>Case B</w:t>
      </w:r>
    </w:p>
    <w:p>
      <w:pPr>
        <w:pStyle w:val="Normal"/>
        <w:rPr/>
      </w:pPr>
      <w:r>
        <w:rPr/>
        <w:t>No additional notations are necessary for Case B. Table 36 shows uplink/downlink bandwidth depending on the UE type and codec choice.</w:t>
      </w:r>
    </w:p>
    <w:p>
      <w:pPr>
        <w:pStyle w:val="TH"/>
        <w:rPr/>
      </w:pPr>
      <w:r>
        <w:rPr/>
        <w:t>Table 36: Uplink and downlink traffic using simulcast and SHVC for each UE type for Case B</w:t>
      </w:r>
    </w:p>
    <w:tbl>
      <w:tblPr>
        <w:tblW w:w="7938" w:type="dxa"/>
        <w:jc w:val="center"/>
        <w:tblInd w:w="0" w:type="dxa"/>
        <w:tblLayout w:type="fixed"/>
        <w:tblCellMar>
          <w:top w:w="0" w:type="dxa"/>
          <w:left w:w="108" w:type="dxa"/>
          <w:bottom w:w="0" w:type="dxa"/>
          <w:right w:w="108" w:type="dxa"/>
        </w:tblCellMar>
      </w:tblPr>
      <w:tblGrid>
        <w:gridCol w:w="1278"/>
        <w:gridCol w:w="2070"/>
        <w:gridCol w:w="2250"/>
        <w:gridCol w:w="2340"/>
      </w:tblGrid>
      <w:tr>
        <w:trPr/>
        <w:tc>
          <w:tcPr>
            <w:tcW w:w="1278"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UE type</w:t>
            </w:r>
          </w:p>
        </w:tc>
        <w:tc>
          <w:tcPr>
            <w:tcW w:w="225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Simulcast</w:t>
            </w:r>
          </w:p>
        </w:tc>
        <w:tc>
          <w:tcPr>
            <w:tcW w:w="234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SHVC</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Uplink</w:t>
            </w:r>
          </w:p>
        </w:tc>
        <w:tc>
          <w:tcPr>
            <w:tcW w:w="207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Active speaker</w:t>
            </w:r>
          </w:p>
        </w:tc>
        <w:tc>
          <w:tcPr>
            <w:tcW w:w="225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M</w:t>
            </w:r>
          </w:p>
        </w:tc>
        <w:tc>
          <w:tcPr>
            <w:tcW w:w="234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M</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Last active speaker</w:t>
            </w:r>
          </w:p>
        </w:tc>
        <w:tc>
          <w:tcPr>
            <w:tcW w:w="225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M + T</w:t>
            </w:r>
          </w:p>
        </w:tc>
        <w:tc>
          <w:tcPr>
            <w:tcW w:w="234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(M + T) * (1-a)</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All other UEs</w:t>
            </w:r>
          </w:p>
        </w:tc>
        <w:tc>
          <w:tcPr>
            <w:tcW w:w="225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(N-2) * T</w:t>
            </w:r>
          </w:p>
        </w:tc>
        <w:tc>
          <w:tcPr>
            <w:tcW w:w="234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(N-2) * 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 xml:space="preserve">Downlink </w:t>
            </w:r>
          </w:p>
        </w:tc>
        <w:tc>
          <w:tcPr>
            <w:tcW w:w="207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 xml:space="preserve">Current active speaker </w:t>
            </w:r>
          </w:p>
        </w:tc>
        <w:tc>
          <w:tcPr>
            <w:tcW w:w="225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M + T * (N-2)</w:t>
            </w:r>
          </w:p>
        </w:tc>
        <w:tc>
          <w:tcPr>
            <w:tcW w:w="234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M * (1+b) + T * (N-2)</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All other UEs</w:t>
            </w:r>
          </w:p>
        </w:tc>
        <w:tc>
          <w:tcPr>
            <w:tcW w:w="225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(N-1) * (M + T * (N-2))</w:t>
            </w:r>
          </w:p>
        </w:tc>
        <w:tc>
          <w:tcPr>
            <w:tcW w:w="2340"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pPr>
            <w:r>
              <w:rPr/>
              <w:t>(N-1) * (M + T * (N-2))</w:t>
            </w:r>
          </w:p>
        </w:tc>
      </w:tr>
    </w:tbl>
    <w:p>
      <w:pPr>
        <w:pStyle w:val="Normal"/>
        <w:rPr/>
      </w:pPr>
      <w:r>
        <w:rPr/>
      </w:r>
    </w:p>
    <w:p>
      <w:pPr>
        <w:pStyle w:val="Normal"/>
        <w:rPr/>
      </w:pPr>
      <w:r>
        <w:rPr/>
        <w:t>Factoring in f, the relative cost of uplink vs downlink transmission, T_simul, the total bandwidth using simulcast, is derived as follows:</w:t>
      </w:r>
    </w:p>
    <w:p>
      <w:pPr>
        <w:pStyle w:val="Normal"/>
        <w:rPr>
          <w:lang w:val="fr-FR"/>
        </w:rPr>
      </w:pPr>
      <w:r>
        <w:rPr>
          <w:lang w:val="fr-FR"/>
        </w:rPr>
        <w:t>T_simul = f*(M + M + T + (N-2)*T) + (M + T * (N-2)) + (N-1)*(M + T * (N-2))</w:t>
      </w:r>
    </w:p>
    <w:p>
      <w:pPr>
        <w:pStyle w:val="Normal"/>
        <w:rPr/>
      </w:pPr>
      <w:r>
        <w:rPr/>
        <w:t>And the following for T_shvc, the total bandwidth using SHVC:</w:t>
      </w:r>
    </w:p>
    <w:p>
      <w:pPr>
        <w:pStyle w:val="Normal"/>
        <w:rPr/>
      </w:pPr>
      <w:r>
        <w:rPr>
          <w:lang w:val="fr-FR"/>
        </w:rPr>
        <w:t>T_SHVC = f*(M + (M + T)*(1-a) + (N-2)*T) + (M*(1+b) + T * (N-2)) + (N-1)*(M + T * (N-2))</w:t>
      </w:r>
    </w:p>
    <w:p>
      <w:pPr>
        <w:pStyle w:val="Normal"/>
        <w:rPr/>
      </w:pPr>
      <w:r>
        <w:rPr/>
        <w:t>Subtracting T_SHVC from T_simul and simplifying the difference, the following is obtained:</w:t>
      </w:r>
    </w:p>
    <w:p>
      <w:pPr>
        <w:pStyle w:val="Normal"/>
        <w:rPr>
          <w:lang w:val="fr-FR"/>
        </w:rPr>
      </w:pPr>
      <w:r>
        <w:rPr>
          <w:lang w:val="fr-FR"/>
        </w:rPr>
        <w:t>T_simul – T_shvc</w:t>
      </w:r>
    </w:p>
    <w:p>
      <w:pPr>
        <w:pStyle w:val="Normal"/>
        <w:rPr>
          <w:lang w:val="fr-FR"/>
        </w:rPr>
      </w:pPr>
      <w:r>
        <w:rPr>
          <w:lang w:val="fr-FR"/>
        </w:rPr>
        <w:t>= (f*(M+T) + M) – ((f*(M+T)*(1-a) + M*(1+b))</w:t>
      </w:r>
    </w:p>
    <w:p>
      <w:pPr>
        <w:pStyle w:val="Normal"/>
        <w:rPr/>
      </w:pPr>
      <w:r>
        <w:rPr/>
        <w:t>= f * (M+T) * a – M * b</w:t>
      </w:r>
    </w:p>
    <w:p>
      <w:pPr>
        <w:pStyle w:val="Normal"/>
        <w:rPr/>
      </w:pPr>
      <w:r>
        <w:rPr/>
        <w:t xml:space="preserve">Substituting a = 0.067, b = 0.13, T ≈ 0.2M (see </w:t>
      </w:r>
      <w:r>
        <w:rPr>
          <w:color w:val="000000"/>
        </w:rPr>
        <w:t>Tdoc S4-151317</w:t>
      </w:r>
      <w:r>
        <w:rPr/>
        <w:t>), and f = 2.375 (see Clause 7.2.1.6.2), the following is obtained:</w:t>
      </w:r>
    </w:p>
    <w:p>
      <w:pPr>
        <w:pStyle w:val="Normal"/>
        <w:rPr>
          <w:lang w:val="fr-FR"/>
        </w:rPr>
      </w:pPr>
      <w:r>
        <w:rPr>
          <w:lang w:val="fr-FR"/>
        </w:rPr>
        <w:t>T_simul – T_shvc</w:t>
      </w:r>
    </w:p>
    <w:p>
      <w:pPr>
        <w:pStyle w:val="Normal"/>
        <w:rPr>
          <w:lang w:val="fr-FR"/>
        </w:rPr>
      </w:pPr>
      <w:r>
        <w:rPr>
          <w:lang w:val="fr-FR"/>
        </w:rPr>
        <w:t xml:space="preserve">≈ </w:t>
      </w:r>
      <w:r>
        <w:rPr>
          <w:lang w:val="fr-FR"/>
        </w:rPr>
        <w:t>0.16 (M + T) – 0.13 * M</w:t>
      </w:r>
    </w:p>
    <w:p>
      <w:pPr>
        <w:pStyle w:val="Normal"/>
        <w:rPr/>
      </w:pPr>
      <w:r>
        <w:rPr/>
        <w:t xml:space="preserve">≈ </w:t>
      </w:r>
      <w:r>
        <w:rPr/>
        <w:t xml:space="preserve">0.19 M – 0.13 M </w:t>
      </w:r>
    </w:p>
    <w:p>
      <w:pPr>
        <w:pStyle w:val="Normal"/>
        <w:rPr/>
      </w:pPr>
      <w:r>
        <w:rPr/>
        <w:t xml:space="preserve">≈ </w:t>
      </w:r>
      <w:r>
        <w:rPr/>
        <w:t xml:space="preserve">0.06 M </w:t>
      </w:r>
    </w:p>
    <w:p>
      <w:pPr>
        <w:pStyle w:val="Normal"/>
        <w:rPr/>
      </w:pPr>
      <w:r>
        <w:rPr/>
        <w:t xml:space="preserve">Note that the above T_simul – T_shvc is always greater than 0. In other words, under the assumptions for this analysis, </w:t>
      </w:r>
      <w:r>
        <w:rPr>
          <w:i/>
        </w:rPr>
        <w:t>SHVC always slightly outperforms simulcast for Case B</w:t>
      </w:r>
      <w:r>
        <w:rPr/>
        <w:t>.</w:t>
      </w:r>
    </w:p>
    <w:p>
      <w:pPr>
        <w:pStyle w:val="H6"/>
        <w:rPr/>
      </w:pPr>
      <w:r>
        <w:rPr/>
        <w:t>7.2.1.6.3.4</w:t>
        <w:tab/>
        <w:t>Case C</w:t>
      </w:r>
    </w:p>
    <w:p>
      <w:pPr>
        <w:pStyle w:val="Normal"/>
        <w:rPr/>
      </w:pPr>
      <w:r>
        <w:rPr/>
        <w:t>The following additional notations are defined for Case C:</w:t>
      </w:r>
    </w:p>
    <w:p>
      <w:pPr>
        <w:pStyle w:val="B1"/>
        <w:rPr/>
      </w:pPr>
      <w:r>
        <w:rPr>
          <w:b/>
        </w:rPr>
        <w:t>-</w:t>
        <w:tab/>
      </w:r>
      <w:r>
        <w:rPr/>
        <w:t>N</w:t>
      </w:r>
      <w:r>
        <w:rPr>
          <w:vertAlign w:val="subscript"/>
        </w:rPr>
        <w:t>0</w:t>
      </w:r>
      <w:r>
        <w:rPr/>
        <w:t>: total # of premium UEs receiving high quality video (not counting current active speaker)</w:t>
      </w:r>
    </w:p>
    <w:p>
      <w:pPr>
        <w:pStyle w:val="B1"/>
        <w:rPr/>
      </w:pPr>
      <w:r>
        <w:rPr>
          <w:b/>
        </w:rPr>
        <w:t>-</w:t>
        <w:tab/>
      </w:r>
      <w:r>
        <w:rPr/>
        <w:t>N</w:t>
      </w:r>
      <w:r>
        <w:rPr>
          <w:vertAlign w:val="subscript"/>
        </w:rPr>
        <w:t>1</w:t>
      </w:r>
      <w:r>
        <w:rPr/>
        <w:t>: total # of regular UEs and current active speaker</w:t>
      </w:r>
    </w:p>
    <w:p>
      <w:pPr>
        <w:pStyle w:val="Normal"/>
        <w:rPr/>
      </w:pPr>
      <w:r>
        <w:rPr/>
        <w:t>And substituting "a" and "b" as defined above with the following:</w:t>
      </w:r>
    </w:p>
    <w:p>
      <w:pPr>
        <w:pStyle w:val="B1"/>
        <w:rPr/>
      </w:pPr>
      <w:r>
        <w:rPr>
          <w:b/>
        </w:rPr>
        <w:t>-</w:t>
        <w:tab/>
      </w:r>
      <w:r>
        <w:rPr/>
        <w:t>a</w:t>
      </w:r>
      <w:r>
        <w:rPr>
          <w:vertAlign w:val="subscript"/>
        </w:rPr>
        <w:t>1</w:t>
      </w:r>
      <w:r>
        <w:rPr/>
        <w:t>: performance gain of SHVC over simulcast when coding the two video resolutions of the current active speaker (H and M)</w:t>
      </w:r>
    </w:p>
    <w:p>
      <w:pPr>
        <w:pStyle w:val="B1"/>
        <w:rPr/>
      </w:pPr>
      <w:r>
        <w:rPr>
          <w:b/>
        </w:rPr>
        <w:t>-</w:t>
        <w:tab/>
      </w:r>
      <w:r>
        <w:rPr/>
        <w:t>b</w:t>
      </w:r>
      <w:r>
        <w:rPr>
          <w:vertAlign w:val="subscript"/>
        </w:rPr>
        <w:t>1</w:t>
      </w:r>
      <w:r>
        <w:rPr/>
        <w:t>: performance penalty of SHVC versus single layer when coding the two video resolutions of the current active speaker (H and M)</w:t>
      </w:r>
    </w:p>
    <w:p>
      <w:pPr>
        <w:pStyle w:val="B1"/>
        <w:rPr/>
      </w:pPr>
      <w:r>
        <w:rPr>
          <w:b/>
        </w:rPr>
        <w:t>-</w:t>
        <w:tab/>
      </w:r>
      <w:r>
        <w:rPr/>
        <w:t>a</w:t>
      </w:r>
      <w:r>
        <w:rPr>
          <w:vertAlign w:val="subscript"/>
        </w:rPr>
        <w:t>2</w:t>
      </w:r>
      <w:r>
        <w:rPr/>
        <w:t>: performance gain of SHVC over simulcast when coding the two video resolutions of the past active speaker (M and T)</w:t>
      </w:r>
    </w:p>
    <w:p>
      <w:pPr>
        <w:pStyle w:val="B1"/>
        <w:rPr/>
      </w:pPr>
      <w:r>
        <w:rPr>
          <w:b/>
        </w:rPr>
        <w:t>-</w:t>
        <w:tab/>
      </w:r>
      <w:r>
        <w:rPr/>
        <w:t>b</w:t>
      </w:r>
      <w:r>
        <w:rPr>
          <w:vertAlign w:val="subscript"/>
        </w:rPr>
        <w:t>2</w:t>
      </w:r>
      <w:r>
        <w:rPr/>
        <w:t>: performance penalty of SHVC versus single layer when coding the two video resolutions of the past active speaker (M and T)</w:t>
      </w:r>
    </w:p>
    <w:p>
      <w:pPr>
        <w:pStyle w:val="Normal"/>
        <w:rPr/>
      </w:pPr>
      <w:r>
        <w:rPr/>
        <w:t>In this clause only the case when the current active speaker is not included in N</w:t>
      </w:r>
      <w:r>
        <w:rPr>
          <w:vertAlign w:val="subscript"/>
        </w:rPr>
        <w:t>0</w:t>
      </w:r>
      <w:r>
        <w:rPr/>
        <w:t xml:space="preserve"> is analysed, as the conclusion holds regardless of whether the current active speaker is included in N</w:t>
      </w:r>
      <w:r>
        <w:rPr>
          <w:vertAlign w:val="subscript"/>
        </w:rPr>
        <w:t>0</w:t>
      </w:r>
      <w:r>
        <w:rPr/>
        <w:t xml:space="preserve"> or not (as seen above in Clause 7.2.1.6.3.1).</w:t>
      </w:r>
    </w:p>
    <w:p>
      <w:pPr>
        <w:pStyle w:val="TH"/>
        <w:rPr/>
      </w:pPr>
      <w:r>
        <w:rPr/>
        <w:t>Table 37: Uplink and downlink traffic using simulcast and SHVC for each UE type for Case C</w:t>
      </w:r>
    </w:p>
    <w:tbl>
      <w:tblPr>
        <w:tblW w:w="8219" w:type="dxa"/>
        <w:jc w:val="center"/>
        <w:tblInd w:w="0" w:type="dxa"/>
        <w:tblLayout w:type="fixed"/>
        <w:tblCellMar>
          <w:top w:w="0" w:type="dxa"/>
          <w:left w:w="108" w:type="dxa"/>
          <w:bottom w:w="0" w:type="dxa"/>
          <w:right w:w="108" w:type="dxa"/>
        </w:tblCellMar>
      </w:tblPr>
      <w:tblGrid>
        <w:gridCol w:w="1278"/>
        <w:gridCol w:w="2070"/>
        <w:gridCol w:w="2211"/>
        <w:gridCol w:w="2660"/>
      </w:tblGrid>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H"/>
              <w:rPr/>
            </w:pPr>
            <w:r>
              <w:rPr/>
              <w:t>UE type</w:t>
            </w:r>
          </w:p>
        </w:tc>
        <w:tc>
          <w:tcPr>
            <w:tcW w:w="2211" w:type="dxa"/>
            <w:tcBorders>
              <w:top w:val="single" w:sz="4" w:space="0" w:color="000000"/>
              <w:left w:val="single" w:sz="4" w:space="0" w:color="000000"/>
              <w:bottom w:val="single" w:sz="4" w:space="0" w:color="000000"/>
              <w:right w:val="single" w:sz="4" w:space="0" w:color="000000"/>
            </w:tcBorders>
          </w:tcPr>
          <w:p>
            <w:pPr>
              <w:pStyle w:val="TAH"/>
              <w:rPr/>
            </w:pPr>
            <w:r>
              <w:rPr/>
              <w:t>Simulcast</w:t>
            </w:r>
          </w:p>
        </w:tc>
        <w:tc>
          <w:tcPr>
            <w:tcW w:w="2660" w:type="dxa"/>
            <w:tcBorders>
              <w:top w:val="single" w:sz="4" w:space="0" w:color="000000"/>
              <w:left w:val="single" w:sz="4" w:space="0" w:color="000000"/>
              <w:bottom w:val="single" w:sz="4" w:space="0" w:color="000000"/>
              <w:right w:val="single" w:sz="4" w:space="0" w:color="000000"/>
            </w:tcBorders>
          </w:tcPr>
          <w:p>
            <w:pPr>
              <w:pStyle w:val="TAH"/>
              <w:rPr/>
            </w:pPr>
            <w:r>
              <w:rPr/>
              <w:t>SHVC</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pPr>
            <w:r>
              <w:rPr/>
              <w:t>Uplink</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Active speaker</w:t>
            </w:r>
          </w:p>
        </w:tc>
        <w:tc>
          <w:tcPr>
            <w:tcW w:w="2211" w:type="dxa"/>
            <w:tcBorders>
              <w:top w:val="single" w:sz="4" w:space="0" w:color="000000"/>
              <w:left w:val="single" w:sz="4" w:space="0" w:color="000000"/>
              <w:bottom w:val="single" w:sz="4" w:space="0" w:color="000000"/>
              <w:right w:val="single" w:sz="4" w:space="0" w:color="000000"/>
            </w:tcBorders>
          </w:tcPr>
          <w:p>
            <w:pPr>
              <w:pStyle w:val="TAL"/>
              <w:rPr/>
            </w:pPr>
            <w:r>
              <w:rPr/>
              <w:t>H + M</w:t>
            </w:r>
          </w:p>
        </w:tc>
        <w:tc>
          <w:tcPr>
            <w:tcW w:w="2660" w:type="dxa"/>
            <w:tcBorders>
              <w:top w:val="single" w:sz="4" w:space="0" w:color="000000"/>
              <w:left w:val="single" w:sz="4" w:space="0" w:color="000000"/>
              <w:bottom w:val="single" w:sz="4" w:space="0" w:color="000000"/>
              <w:right w:val="single" w:sz="4" w:space="0" w:color="000000"/>
            </w:tcBorders>
          </w:tcPr>
          <w:p>
            <w:pPr>
              <w:pStyle w:val="TAL"/>
              <w:rPr/>
            </w:pPr>
            <w:r>
              <w:rPr/>
              <w:t>(H + M) * (1-a</w:t>
            </w:r>
            <w:r>
              <w:rPr>
                <w:vertAlign w:val="subscript"/>
              </w:rPr>
              <w:t>1</w:t>
            </w:r>
            <w:r>
              <w:rPr/>
              <w: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Last active speaker</w:t>
            </w:r>
          </w:p>
        </w:tc>
        <w:tc>
          <w:tcPr>
            <w:tcW w:w="2211" w:type="dxa"/>
            <w:tcBorders>
              <w:top w:val="single" w:sz="4" w:space="0" w:color="000000"/>
              <w:left w:val="single" w:sz="4" w:space="0" w:color="000000"/>
              <w:bottom w:val="single" w:sz="4" w:space="0" w:color="000000"/>
              <w:right w:val="single" w:sz="4" w:space="0" w:color="000000"/>
            </w:tcBorders>
          </w:tcPr>
          <w:p>
            <w:pPr>
              <w:pStyle w:val="TAL"/>
              <w:rPr/>
            </w:pPr>
            <w:r>
              <w:rPr/>
              <w:t>M + T</w:t>
            </w:r>
          </w:p>
        </w:tc>
        <w:tc>
          <w:tcPr>
            <w:tcW w:w="2660" w:type="dxa"/>
            <w:tcBorders>
              <w:top w:val="single" w:sz="4" w:space="0" w:color="000000"/>
              <w:left w:val="single" w:sz="4" w:space="0" w:color="000000"/>
              <w:bottom w:val="single" w:sz="4" w:space="0" w:color="000000"/>
              <w:right w:val="single" w:sz="4" w:space="0" w:color="000000"/>
            </w:tcBorders>
          </w:tcPr>
          <w:p>
            <w:pPr>
              <w:pStyle w:val="TAL"/>
              <w:rPr/>
            </w:pPr>
            <w:r>
              <w:rPr/>
              <w:t>(M + T) * (1-a</w:t>
            </w:r>
            <w:r>
              <w:rPr>
                <w:vertAlign w:val="subscript"/>
              </w:rPr>
              <w:t>2</w:t>
            </w:r>
            <w:r>
              <w:rPr/>
              <w: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All other UEs</w:t>
            </w:r>
          </w:p>
        </w:tc>
        <w:tc>
          <w:tcPr>
            <w:tcW w:w="2211" w:type="dxa"/>
            <w:tcBorders>
              <w:top w:val="single" w:sz="4" w:space="0" w:color="000000"/>
              <w:left w:val="single" w:sz="4" w:space="0" w:color="000000"/>
              <w:bottom w:val="single" w:sz="4" w:space="0" w:color="000000"/>
              <w:right w:val="single" w:sz="4" w:space="0" w:color="000000"/>
            </w:tcBorders>
          </w:tcPr>
          <w:p>
            <w:pPr>
              <w:pStyle w:val="TAL"/>
              <w:rPr/>
            </w:pPr>
            <w:r>
              <w:rPr/>
              <w:t>(N-2) * T</w:t>
            </w:r>
          </w:p>
        </w:tc>
        <w:tc>
          <w:tcPr>
            <w:tcW w:w="2660" w:type="dxa"/>
            <w:tcBorders>
              <w:top w:val="single" w:sz="4" w:space="0" w:color="000000"/>
              <w:left w:val="single" w:sz="4" w:space="0" w:color="000000"/>
              <w:bottom w:val="single" w:sz="4" w:space="0" w:color="000000"/>
              <w:right w:val="single" w:sz="4" w:space="0" w:color="000000"/>
            </w:tcBorders>
          </w:tcPr>
          <w:p>
            <w:pPr>
              <w:pStyle w:val="TAL"/>
              <w:rPr/>
            </w:pPr>
            <w:r>
              <w:rPr/>
              <w:t>(N-2) * 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pPr>
            <w:r>
              <w:rPr/>
              <w:t xml:space="preserve">Downlink </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Premium UEs</w:t>
            </w:r>
          </w:p>
        </w:tc>
        <w:tc>
          <w:tcPr>
            <w:tcW w:w="2211"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0</w:t>
            </w:r>
            <w:r>
              <w:rPr/>
              <w:t xml:space="preserve"> * (H + T * (N-2))</w:t>
            </w:r>
          </w:p>
        </w:tc>
        <w:tc>
          <w:tcPr>
            <w:tcW w:w="2660"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0</w:t>
            </w:r>
            <w:r>
              <w:rPr/>
              <w:t xml:space="preserve"> * (H * (1+b</w:t>
            </w:r>
            <w:r>
              <w:rPr>
                <w:vertAlign w:val="subscript"/>
              </w:rPr>
              <w:t>1</w:t>
            </w:r>
            <w:r>
              <w:rPr/>
              <w:t>) + T * (N-2))</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Current active speaker</w:t>
            </w:r>
          </w:p>
        </w:tc>
        <w:tc>
          <w:tcPr>
            <w:tcW w:w="2211" w:type="dxa"/>
            <w:tcBorders>
              <w:top w:val="single" w:sz="4" w:space="0" w:color="000000"/>
              <w:left w:val="single" w:sz="4" w:space="0" w:color="000000"/>
              <w:bottom w:val="single" w:sz="4" w:space="0" w:color="000000"/>
              <w:right w:val="single" w:sz="4" w:space="0" w:color="000000"/>
            </w:tcBorders>
          </w:tcPr>
          <w:p>
            <w:pPr>
              <w:pStyle w:val="TAL"/>
              <w:rPr/>
            </w:pPr>
            <w:r>
              <w:rPr/>
              <w:t>M + T * (N-2)</w:t>
            </w:r>
          </w:p>
        </w:tc>
        <w:tc>
          <w:tcPr>
            <w:tcW w:w="2660" w:type="dxa"/>
            <w:tcBorders>
              <w:top w:val="single" w:sz="4" w:space="0" w:color="000000"/>
              <w:left w:val="single" w:sz="4" w:space="0" w:color="000000"/>
              <w:bottom w:val="single" w:sz="4" w:space="0" w:color="000000"/>
              <w:right w:val="single" w:sz="4" w:space="0" w:color="000000"/>
            </w:tcBorders>
          </w:tcPr>
          <w:p>
            <w:pPr>
              <w:pStyle w:val="TAL"/>
              <w:rPr/>
            </w:pPr>
            <w:r>
              <w:rPr/>
              <w:t>M * (1+b</w:t>
            </w:r>
            <w:r>
              <w:rPr>
                <w:vertAlign w:val="subscript"/>
              </w:rPr>
              <w:t>2</w:t>
            </w:r>
            <w:r>
              <w:rPr/>
              <w:t>) + T * (N-2)</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t xml:space="preserve">All other UEs </w:t>
            </w:r>
          </w:p>
        </w:tc>
        <w:tc>
          <w:tcPr>
            <w:tcW w:w="2211"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1</w:t>
            </w:r>
            <w:r>
              <w:rPr/>
              <w:t>-1)* (M + T * (N-2))</w:t>
            </w:r>
          </w:p>
        </w:tc>
        <w:tc>
          <w:tcPr>
            <w:tcW w:w="2660" w:type="dxa"/>
            <w:tcBorders>
              <w:top w:val="single" w:sz="4" w:space="0" w:color="000000"/>
              <w:left w:val="single" w:sz="4" w:space="0" w:color="000000"/>
              <w:bottom w:val="single" w:sz="4" w:space="0" w:color="000000"/>
              <w:right w:val="single" w:sz="4" w:space="0" w:color="000000"/>
            </w:tcBorders>
          </w:tcPr>
          <w:p>
            <w:pPr>
              <w:pStyle w:val="TAL"/>
              <w:rPr/>
            </w:pPr>
            <w:r>
              <w:rPr/>
              <w:t>(N</w:t>
            </w:r>
            <w:r>
              <w:rPr>
                <w:vertAlign w:val="subscript"/>
              </w:rPr>
              <w:t>1</w:t>
            </w:r>
            <w:r>
              <w:rPr/>
              <w:t>-1) * (M + T * (N-2))</w:t>
            </w:r>
          </w:p>
        </w:tc>
      </w:tr>
    </w:tbl>
    <w:p>
      <w:pPr>
        <w:pStyle w:val="Normal"/>
        <w:rPr/>
      </w:pPr>
      <w:r>
        <w:rPr/>
      </w:r>
    </w:p>
    <w:p>
      <w:pPr>
        <w:pStyle w:val="Normal"/>
        <w:rPr/>
      </w:pPr>
      <w:r>
        <w:rPr/>
        <w:t>Factoring in f, the relative cost of uplink vs downlink transmission, T_simul, the total bandwidth using simulcast, is derived as follows:</w:t>
      </w:r>
    </w:p>
    <w:p>
      <w:pPr>
        <w:pStyle w:val="Normal"/>
        <w:ind w:left="1080" w:hanging="1080"/>
        <w:rPr/>
      </w:pPr>
      <w:r>
        <w:rPr>
          <w:lang w:val="fr-FR"/>
        </w:rPr>
        <w:t>T_simul = f*(H + M + M + T + (N-2)*T) + N</w:t>
      </w:r>
      <w:r>
        <w:rPr>
          <w:vertAlign w:val="subscript"/>
          <w:lang w:val="fr-FR"/>
        </w:rPr>
        <w:t>0</w:t>
      </w:r>
      <w:r>
        <w:rPr>
          <w:lang w:val="fr-FR"/>
        </w:rPr>
        <w:t>*(H + T * (N-2)) + M + T * (N-2) + (N</w:t>
      </w:r>
      <w:r>
        <w:rPr>
          <w:vertAlign w:val="subscript"/>
          <w:lang w:val="fr-FR"/>
        </w:rPr>
        <w:t>1</w:t>
      </w:r>
      <w:r>
        <w:rPr>
          <w:lang w:val="fr-FR"/>
        </w:rPr>
        <w:t>-1)*(M + T * (N-2))</w:t>
      </w:r>
    </w:p>
    <w:p>
      <w:pPr>
        <w:pStyle w:val="Normal"/>
        <w:rPr/>
      </w:pPr>
      <w:r>
        <w:rPr/>
        <w:t>And the following for T_shvc, the total bandwidth using SHVC:</w:t>
      </w:r>
    </w:p>
    <w:p>
      <w:pPr>
        <w:pStyle w:val="Normal"/>
        <w:ind w:left="1170" w:hanging="1170"/>
        <w:rPr/>
      </w:pPr>
      <w:r>
        <w:rPr>
          <w:lang w:val="fr-FR"/>
        </w:rPr>
        <w:t>T_SHVC = f*((H + M)*(1- a</w:t>
      </w:r>
      <w:r>
        <w:rPr>
          <w:vertAlign w:val="subscript"/>
          <w:lang w:val="fr-FR"/>
        </w:rPr>
        <w:t>1</w:t>
      </w:r>
      <w:r>
        <w:rPr>
          <w:lang w:val="fr-FR"/>
        </w:rPr>
        <w:t>) + (M + T)*(1- a</w:t>
      </w:r>
      <w:r>
        <w:rPr>
          <w:vertAlign w:val="subscript"/>
          <w:lang w:val="fr-FR"/>
        </w:rPr>
        <w:t>2</w:t>
      </w:r>
      <w:r>
        <w:rPr>
          <w:lang w:val="fr-FR"/>
        </w:rPr>
        <w:t>)+ (N-2)*T) + N</w:t>
      </w:r>
      <w:r>
        <w:rPr>
          <w:vertAlign w:val="subscript"/>
          <w:lang w:val="fr-FR"/>
        </w:rPr>
        <w:t>0</w:t>
      </w:r>
      <w:r>
        <w:rPr>
          <w:lang w:val="fr-FR"/>
        </w:rPr>
        <w:t>*(H*(1+b</w:t>
      </w:r>
      <w:r>
        <w:rPr>
          <w:vertAlign w:val="subscript"/>
          <w:lang w:val="fr-FR"/>
        </w:rPr>
        <w:t>1</w:t>
      </w:r>
      <w:r>
        <w:rPr>
          <w:lang w:val="fr-FR"/>
        </w:rPr>
        <w:t>) + T * (N-2)) + M * (1+b</w:t>
      </w:r>
      <w:r>
        <w:rPr>
          <w:vertAlign w:val="subscript"/>
          <w:lang w:val="fr-FR"/>
        </w:rPr>
        <w:t>2</w:t>
      </w:r>
      <w:r>
        <w:rPr>
          <w:lang w:val="fr-FR"/>
        </w:rPr>
        <w:t>) + T * (N-2) + (N</w:t>
      </w:r>
      <w:r>
        <w:rPr>
          <w:vertAlign w:val="subscript"/>
          <w:lang w:val="fr-FR"/>
        </w:rPr>
        <w:t>1</w:t>
      </w:r>
      <w:r>
        <w:rPr>
          <w:lang w:val="fr-FR"/>
        </w:rPr>
        <w:t>-1)*(M + T * (N-2))</w:t>
      </w:r>
    </w:p>
    <w:p>
      <w:pPr>
        <w:pStyle w:val="Normal"/>
        <w:rPr/>
      </w:pPr>
      <w:r>
        <w:rPr/>
        <w:t>Subtracting T_shvc from T_simul and simplifying the difference, the following is obtained:</w:t>
      </w:r>
    </w:p>
    <w:p>
      <w:pPr>
        <w:pStyle w:val="Normal"/>
        <w:rPr>
          <w:lang w:val="fr-FR"/>
        </w:rPr>
      </w:pPr>
      <w:r>
        <w:rPr>
          <w:lang w:val="fr-FR"/>
        </w:rPr>
        <w:t>T_simul – T_shvc</w:t>
      </w:r>
    </w:p>
    <w:p>
      <w:pPr>
        <w:pStyle w:val="Normal"/>
        <w:ind w:left="180" w:hanging="180"/>
        <w:rPr/>
      </w:pPr>
      <w:r>
        <w:rPr>
          <w:lang w:val="fr-FR"/>
        </w:rPr>
        <w:t>= f*(H + M + M + T) + N</w:t>
      </w:r>
      <w:r>
        <w:rPr>
          <w:vertAlign w:val="subscript"/>
          <w:lang w:val="fr-FR"/>
        </w:rPr>
        <w:t>0</w:t>
      </w:r>
      <w:r>
        <w:rPr>
          <w:lang w:val="fr-FR"/>
        </w:rPr>
        <w:t>*H + M – (f*((H + M)*(1- a</w:t>
      </w:r>
      <w:r>
        <w:rPr>
          <w:vertAlign w:val="subscript"/>
          <w:lang w:val="fr-FR"/>
        </w:rPr>
        <w:t>1</w:t>
      </w:r>
      <w:r>
        <w:rPr>
          <w:lang w:val="fr-FR"/>
        </w:rPr>
        <w:t>) + (M + T)*(1- a</w:t>
      </w:r>
      <w:r>
        <w:rPr>
          <w:vertAlign w:val="subscript"/>
          <w:lang w:val="fr-FR"/>
        </w:rPr>
        <w:t>2</w:t>
      </w:r>
      <w:r>
        <w:rPr>
          <w:lang w:val="fr-FR"/>
        </w:rPr>
        <w:t>)) + N</w:t>
      </w:r>
      <w:r>
        <w:rPr>
          <w:vertAlign w:val="subscript"/>
          <w:lang w:val="fr-FR"/>
        </w:rPr>
        <w:t>0</w:t>
      </w:r>
      <w:r>
        <w:rPr>
          <w:lang w:val="fr-FR"/>
        </w:rPr>
        <w:t>*H*(1+b</w:t>
      </w:r>
      <w:r>
        <w:rPr>
          <w:vertAlign w:val="subscript"/>
          <w:lang w:val="fr-FR"/>
        </w:rPr>
        <w:t>1</w:t>
      </w:r>
      <w:r>
        <w:rPr>
          <w:lang w:val="fr-FR"/>
        </w:rPr>
        <w:t>) + M*(1+b</w:t>
      </w:r>
      <w:r>
        <w:rPr>
          <w:vertAlign w:val="subscript"/>
          <w:lang w:val="fr-FR"/>
        </w:rPr>
        <w:t>2</w:t>
      </w:r>
      <w:r>
        <w:rPr>
          <w:lang w:val="fr-FR"/>
        </w:rPr>
        <w:t>))</w:t>
      </w:r>
    </w:p>
    <w:p>
      <w:pPr>
        <w:pStyle w:val="Normal"/>
        <w:rPr/>
      </w:pPr>
      <w:r>
        <w:rPr/>
        <w:t>= f * ((H+M) * a</w:t>
      </w:r>
      <w:r>
        <w:rPr>
          <w:vertAlign w:val="subscript"/>
        </w:rPr>
        <w:t>1</w:t>
      </w:r>
      <w:r>
        <w:rPr/>
        <w:t xml:space="preserve"> + (M+T)*a</w:t>
      </w:r>
      <w:r>
        <w:rPr>
          <w:vertAlign w:val="subscript"/>
        </w:rPr>
        <w:t>2</w:t>
      </w:r>
      <w:r>
        <w:rPr/>
        <w:t>) – N</w:t>
      </w:r>
      <w:r>
        <w:rPr>
          <w:vertAlign w:val="subscript"/>
        </w:rPr>
        <w:t>0</w:t>
      </w:r>
      <w:r>
        <w:rPr/>
        <w:t>*H*b</w:t>
      </w:r>
      <w:r>
        <w:rPr>
          <w:vertAlign w:val="subscript"/>
        </w:rPr>
        <w:t>1</w:t>
      </w:r>
      <w:r>
        <w:rPr/>
        <w:t xml:space="preserve"> – M * b</w:t>
      </w:r>
      <w:r>
        <w:rPr>
          <w:vertAlign w:val="subscript"/>
        </w:rPr>
        <w:t>2</w:t>
      </w:r>
    </w:p>
    <w:p>
      <w:pPr>
        <w:pStyle w:val="Normal"/>
        <w:rPr/>
      </w:pPr>
      <w:r>
        <w:rPr/>
        <w:t>Substituting a</w:t>
      </w:r>
      <w:r>
        <w:rPr>
          <w:vertAlign w:val="subscript"/>
        </w:rPr>
        <w:t xml:space="preserve">1 </w:t>
      </w:r>
      <w:r>
        <w:rPr/>
        <w:t>= 0.27, b</w:t>
      </w:r>
      <w:r>
        <w:rPr>
          <w:vertAlign w:val="subscript"/>
        </w:rPr>
        <w:t>1</w:t>
      </w:r>
      <w:r>
        <w:rPr/>
        <w:t xml:space="preserve"> = 0.24, M ≈ 0.5H (see the latest TR26.948 in </w:t>
      </w:r>
      <w:r>
        <w:rPr>
          <w:color w:val="000000"/>
        </w:rPr>
        <w:t>Tdoc S4-151084</w:t>
      </w:r>
      <w:r>
        <w:rPr/>
        <w:t>), a</w:t>
      </w:r>
      <w:r>
        <w:rPr>
          <w:vertAlign w:val="subscript"/>
        </w:rPr>
        <w:t>2</w:t>
      </w:r>
      <w:r>
        <w:rPr/>
        <w:t xml:space="preserve"> = 0.067, b</w:t>
      </w:r>
      <w:r>
        <w:rPr>
          <w:vertAlign w:val="subscript"/>
        </w:rPr>
        <w:t>2</w:t>
      </w:r>
      <w:r>
        <w:rPr/>
        <w:t xml:space="preserve"> = 0.13, T ≈ 0.2M ≈ 0.1H (see </w:t>
      </w:r>
      <w:r>
        <w:rPr>
          <w:color w:val="000000"/>
        </w:rPr>
        <w:t>Tdoc S4-151317</w:t>
      </w:r>
      <w:r>
        <w:rPr/>
        <w:t>), and f = 2.375 (see Clause 7.2.1.6.2), the following is obtained:</w:t>
      </w:r>
    </w:p>
    <w:p>
      <w:pPr>
        <w:pStyle w:val="Normal"/>
        <w:rPr>
          <w:lang w:val="fr-FR"/>
        </w:rPr>
      </w:pPr>
      <w:r>
        <w:rPr>
          <w:lang w:val="fr-FR"/>
        </w:rPr>
        <w:t>T_simul – T_shvc</w:t>
      </w:r>
    </w:p>
    <w:p>
      <w:pPr>
        <w:pStyle w:val="Normal"/>
        <w:rPr/>
      </w:pPr>
      <w:r>
        <w:rPr>
          <w:lang w:val="fr-FR"/>
        </w:rPr>
        <w:t xml:space="preserve">≈ </w:t>
      </w:r>
      <w:r>
        <w:rPr>
          <w:lang w:val="fr-FR"/>
        </w:rPr>
        <w:t>2.375 * (1.5H * 0.27 + 0.6H * 0.067) – N</w:t>
      </w:r>
      <w:r>
        <w:rPr>
          <w:vertAlign w:val="subscript"/>
          <w:lang w:val="fr-FR"/>
        </w:rPr>
        <w:t>0</w:t>
      </w:r>
      <w:r>
        <w:rPr>
          <w:lang w:val="fr-FR"/>
        </w:rPr>
        <w:t xml:space="preserve"> *H* 0.24 – 0.5*H*0.13</w:t>
      </w:r>
    </w:p>
    <w:p>
      <w:pPr>
        <w:pStyle w:val="Normal"/>
        <w:rPr/>
      </w:pPr>
      <w:r>
        <w:rPr/>
        <w:t xml:space="preserve">≈ </w:t>
      </w:r>
      <w:r>
        <w:rPr/>
        <w:t>1.057H – N</w:t>
      </w:r>
      <w:r>
        <w:rPr>
          <w:vertAlign w:val="subscript"/>
        </w:rPr>
        <w:t>0</w:t>
      </w:r>
      <w:r>
        <w:rPr/>
        <w:t>*H* 0.24 – 0.065*H</w:t>
      </w:r>
    </w:p>
    <w:p>
      <w:pPr>
        <w:pStyle w:val="Normal"/>
        <w:rPr/>
      </w:pPr>
      <w:r>
        <w:rPr/>
        <w:t xml:space="preserve">≈ </w:t>
      </w:r>
      <w:r>
        <w:rPr/>
        <w:t>0.99H – N</w:t>
      </w:r>
      <w:r>
        <w:rPr>
          <w:vertAlign w:val="subscript"/>
        </w:rPr>
        <w:t>0</w:t>
      </w:r>
      <w:r>
        <w:rPr/>
        <w:t>*H* 0.24</w:t>
      </w:r>
    </w:p>
    <w:p>
      <w:pPr>
        <w:pStyle w:val="Normal"/>
        <w:rPr/>
      </w:pPr>
      <w:r>
        <w:rPr/>
        <w:t>For SHVC to have overall bandwidth reduction over simulcast, that is, T_simul – T_shvc ≥ 0, there should be 4.13 or fewer premium UEs in the MMVC session, i.e. N</w:t>
      </w:r>
      <w:r>
        <w:rPr>
          <w:vertAlign w:val="subscript"/>
        </w:rPr>
        <w:t>0</w:t>
      </w:r>
      <w:r>
        <w:rPr/>
        <w:t xml:space="preserve"> ≤ 4.13 should be true. Otherwise, if N</w:t>
      </w:r>
      <w:r>
        <w:rPr>
          <w:vertAlign w:val="subscript"/>
        </w:rPr>
        <w:t>0</w:t>
      </w:r>
      <w:r>
        <w:rPr/>
        <w:t xml:space="preserve"> &gt; 4.13, then SHVC results in higher overall bandwidth than HEVC simulcast.</w:t>
      </w:r>
    </w:p>
    <w:p>
      <w:pPr>
        <w:pStyle w:val="Normal"/>
        <w:rPr/>
      </w:pPr>
      <w:r>
        <w:rPr/>
        <w:t xml:space="preserve">Therefore, </w:t>
      </w:r>
      <w:r>
        <w:rPr>
          <w:i/>
        </w:rPr>
        <w:t>the conclusion for Case C is similar to that for Case A</w:t>
      </w:r>
      <w:r>
        <w:rPr/>
        <w:t>.</w:t>
      </w:r>
    </w:p>
    <w:p>
      <w:pPr>
        <w:pStyle w:val="Heading3"/>
        <w:jc w:val="both"/>
        <w:rPr/>
      </w:pPr>
      <w:bookmarkStart w:id="90" w:name="__RefHeading___Toc517445378"/>
      <w:bookmarkEnd w:id="90"/>
      <w:r>
        <w:rPr/>
        <w:t>7.2.2</w:t>
        <w:tab/>
        <w:t>MBMS</w:t>
      </w:r>
    </w:p>
    <w:p>
      <w:pPr>
        <w:pStyle w:val="Heading4"/>
        <w:ind w:left="1418" w:hanging="1418"/>
        <w:jc w:val="both"/>
        <w:rPr/>
      </w:pPr>
      <w:bookmarkStart w:id="91" w:name="__RefHeading___Toc517445379"/>
      <w:bookmarkEnd w:id="91"/>
      <w:r>
        <w:rPr/>
        <w:t>7.2.2.0</w:t>
        <w:tab/>
        <w:t>General</w:t>
      </w:r>
    </w:p>
    <w:p>
      <w:pPr>
        <w:pStyle w:val="Normal"/>
        <w:rPr/>
      </w:pPr>
      <w:r>
        <w:rPr/>
        <w:t xml:space="preserve">In this clause, simulation results for the MBMS service are provided, comparing SHVC vs HEVC simulcast. It is assumed in this use case that all the premium UEs support SHVC. A particular value of the BD-rate decrease of SHVC comparing simulcast indicates how much less bandwidth, in percentage, is needed for transmission of the two-layer SHVC bitstream compared to transmission of both HEVC single-layer bitstreams, on average for the same quality of the higher resolution video. The comparison indicates the difference of the bandwidth requirements for SHVC vs simulcast in the network link between the Content Provider and the BM-SC, as well as the network link between the BM-SC and </w:t>
      </w:r>
      <w:r>
        <w:rPr>
          <w:lang w:eastAsia="ja-JP"/>
        </w:rPr>
        <w:t xml:space="preserve">GGSN (for GPRS) or MBMS-GW (for EPS) </w:t>
      </w:r>
      <w:r>
        <w:rPr/>
        <w:t>in the MBMS service when different qualities of the same video content are provided.</w:t>
      </w:r>
    </w:p>
    <w:p>
      <w:pPr>
        <w:pStyle w:val="Heading4"/>
        <w:ind w:left="1418" w:hanging="1418"/>
        <w:jc w:val="both"/>
        <w:rPr/>
      </w:pPr>
      <w:bookmarkStart w:id="92" w:name="__RefHeading___Toc517445380"/>
      <w:bookmarkEnd w:id="92"/>
      <w:r>
        <w:rPr/>
        <w:t>7.2.2.1</w:t>
        <w:tab/>
        <w:t>Results for aligned IRAP pictures case</w:t>
      </w:r>
    </w:p>
    <w:p>
      <w:pPr>
        <w:pStyle w:val="Normal"/>
        <w:rPr/>
      </w:pPr>
      <w:r>
        <w:rPr/>
        <w:t>Table 38 and Table 39 show the summary of the test results. For the given test condition, SHVC provides BD-rate gains up to 40.5% for Kimono sequences with QP different of 2 between the first layer (i.e. QP set of 22, 25, 28, 31) and the second layer (i.e. QP set of 24, 27, 30, 33). The overall average gain is 31.9% for QP delta 2.</w:t>
      </w:r>
    </w:p>
    <w:p>
      <w:pPr>
        <w:pStyle w:val="TH"/>
        <w:rPr/>
      </w:pPr>
      <w:r>
        <w:rPr/>
        <w:t>Table 38: MBMS IRAP aligned results class B (BL 720p – EL 1080p)</w:t>
      </w:r>
    </w:p>
    <w:tbl>
      <w:tblPr>
        <w:tblW w:w="6420" w:type="dxa"/>
        <w:jc w:val="center"/>
        <w:tblInd w:w="0" w:type="dxa"/>
        <w:tblLayout w:type="fixed"/>
        <w:tblCellMar>
          <w:top w:w="0" w:type="dxa"/>
          <w:left w:w="108" w:type="dxa"/>
          <w:bottom w:w="0" w:type="dxa"/>
          <w:right w:w="108" w:type="dxa"/>
        </w:tblCellMar>
      </w:tblPr>
      <w:tblGrid>
        <w:gridCol w:w="2240"/>
        <w:gridCol w:w="1219"/>
        <w:gridCol w:w="987"/>
        <w:gridCol w:w="987"/>
        <w:gridCol w:w="987"/>
      </w:tblGrid>
      <w:tr>
        <w:trPr>
          <w:trHeight w:val="300" w:hRule="atLeast"/>
        </w:trPr>
        <w:tc>
          <w:tcPr>
            <w:tcW w:w="22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Test Sequences</w:t>
            </w:r>
          </w:p>
        </w:tc>
        <w:tc>
          <w:tcPr>
            <w:tcW w:w="12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deltaQP</w:t>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BD-Rate Comparison</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SHVC Vs. Simulcast</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987" w:type="dxa"/>
            <w:tcBorders>
              <w:bottom w:val="single" w:sz="4" w:space="0" w:color="000000"/>
              <w:right w:val="single" w:sz="4" w:space="0" w:color="000000"/>
            </w:tcBorders>
            <w:vAlign w:val="bottom"/>
          </w:tcPr>
          <w:p>
            <w:pPr>
              <w:pStyle w:val="TAH"/>
              <w:rPr/>
            </w:pPr>
            <w:r>
              <w:rPr/>
              <w:t>Y</w:t>
            </w:r>
          </w:p>
        </w:tc>
        <w:tc>
          <w:tcPr>
            <w:tcW w:w="987" w:type="dxa"/>
            <w:tcBorders>
              <w:bottom w:val="single" w:sz="4" w:space="0" w:color="000000"/>
              <w:right w:val="single" w:sz="4" w:space="0" w:color="000000"/>
            </w:tcBorders>
            <w:vAlign w:val="bottom"/>
          </w:tcPr>
          <w:p>
            <w:pPr>
              <w:pStyle w:val="TAH"/>
              <w:rPr/>
            </w:pPr>
            <w:r>
              <w:rPr/>
              <w:t>U</w:t>
            </w:r>
          </w:p>
        </w:tc>
        <w:tc>
          <w:tcPr>
            <w:tcW w:w="987" w:type="dxa"/>
            <w:tcBorders>
              <w:bottom w:val="single" w:sz="4" w:space="0" w:color="000000"/>
              <w:right w:val="single" w:sz="4" w:space="0" w:color="000000"/>
            </w:tcBorders>
            <w:vAlign w:val="bottom"/>
          </w:tcPr>
          <w:p>
            <w:pPr>
              <w:pStyle w:val="TAH"/>
              <w:rPr/>
            </w:pPr>
            <w:r>
              <w:rPr/>
              <w:t>V</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-28.4%</w:t>
            </w:r>
          </w:p>
        </w:tc>
        <w:tc>
          <w:tcPr>
            <w:tcW w:w="987" w:type="dxa"/>
            <w:tcBorders/>
            <w:vAlign w:val="bottom"/>
          </w:tcPr>
          <w:p>
            <w:pPr>
              <w:pStyle w:val="TAL"/>
              <w:rPr/>
            </w:pPr>
            <w:r>
              <w:rPr/>
              <w:t>-20.9%</w:t>
            </w:r>
          </w:p>
        </w:tc>
        <w:tc>
          <w:tcPr>
            <w:tcW w:w="987" w:type="dxa"/>
            <w:tcBorders>
              <w:right w:val="single" w:sz="4" w:space="0" w:color="000000"/>
            </w:tcBorders>
            <w:vAlign w:val="bottom"/>
          </w:tcPr>
          <w:p>
            <w:pPr>
              <w:pStyle w:val="TAL"/>
              <w:rPr/>
            </w:pPr>
            <w:r>
              <w:rPr/>
              <w:t>-18.7%</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-19.5%</w:t>
            </w:r>
          </w:p>
        </w:tc>
        <w:tc>
          <w:tcPr>
            <w:tcW w:w="987" w:type="dxa"/>
            <w:tcBorders/>
            <w:vAlign w:val="bottom"/>
          </w:tcPr>
          <w:p>
            <w:pPr>
              <w:pStyle w:val="TAL"/>
              <w:rPr/>
            </w:pPr>
            <w:r>
              <w:rPr/>
              <w:t>-15.3%</w:t>
            </w:r>
          </w:p>
        </w:tc>
        <w:tc>
          <w:tcPr>
            <w:tcW w:w="987" w:type="dxa"/>
            <w:tcBorders>
              <w:right w:val="single" w:sz="4" w:space="0" w:color="000000"/>
            </w:tcBorders>
            <w:vAlign w:val="bottom"/>
          </w:tcPr>
          <w:p>
            <w:pPr>
              <w:pStyle w:val="TAL"/>
              <w:rPr/>
            </w:pPr>
            <w:r>
              <w:rPr/>
              <w:t>-15.1%</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-23.4%</w:t>
            </w:r>
          </w:p>
        </w:tc>
        <w:tc>
          <w:tcPr>
            <w:tcW w:w="987" w:type="dxa"/>
            <w:tcBorders/>
            <w:vAlign w:val="bottom"/>
          </w:tcPr>
          <w:p>
            <w:pPr>
              <w:pStyle w:val="TAL"/>
              <w:rPr/>
            </w:pPr>
            <w:r>
              <w:rPr/>
              <w:t>-19.2%</w:t>
            </w:r>
          </w:p>
        </w:tc>
        <w:tc>
          <w:tcPr>
            <w:tcW w:w="987" w:type="dxa"/>
            <w:tcBorders>
              <w:right w:val="single" w:sz="4" w:space="0" w:color="000000"/>
            </w:tcBorders>
            <w:vAlign w:val="bottom"/>
          </w:tcPr>
          <w:p>
            <w:pPr>
              <w:pStyle w:val="TAL"/>
              <w:rPr/>
            </w:pPr>
            <w:r>
              <w:rPr/>
              <w:t>-12.5%</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-26.5%</w:t>
            </w:r>
          </w:p>
        </w:tc>
        <w:tc>
          <w:tcPr>
            <w:tcW w:w="987" w:type="dxa"/>
            <w:tcBorders/>
            <w:vAlign w:val="bottom"/>
          </w:tcPr>
          <w:p>
            <w:pPr>
              <w:pStyle w:val="TAL"/>
              <w:rPr/>
            </w:pPr>
            <w:r>
              <w:rPr/>
              <w:t>-15.5%</w:t>
            </w:r>
          </w:p>
        </w:tc>
        <w:tc>
          <w:tcPr>
            <w:tcW w:w="987" w:type="dxa"/>
            <w:tcBorders>
              <w:right w:val="single" w:sz="4" w:space="0" w:color="000000"/>
            </w:tcBorders>
            <w:vAlign w:val="bottom"/>
          </w:tcPr>
          <w:p>
            <w:pPr>
              <w:pStyle w:val="TAL"/>
              <w:rPr/>
            </w:pPr>
            <w:r>
              <w:rPr/>
              <w:t>-15.9%</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-14.9%</w:t>
            </w:r>
          </w:p>
        </w:tc>
        <w:tc>
          <w:tcPr>
            <w:tcW w:w="987" w:type="dxa"/>
            <w:tcBorders/>
            <w:vAlign w:val="bottom"/>
          </w:tcPr>
          <w:p>
            <w:pPr>
              <w:pStyle w:val="TAL"/>
              <w:rPr/>
            </w:pPr>
            <w:r>
              <w:rPr/>
              <w:t>4.9%</w:t>
            </w:r>
          </w:p>
        </w:tc>
        <w:tc>
          <w:tcPr>
            <w:tcW w:w="987" w:type="dxa"/>
            <w:tcBorders>
              <w:right w:val="single" w:sz="4" w:space="0" w:color="000000"/>
            </w:tcBorders>
            <w:vAlign w:val="bottom"/>
          </w:tcPr>
          <w:p>
            <w:pPr>
              <w:pStyle w:val="TAL"/>
              <w:rPr/>
            </w:pPr>
            <w:r>
              <w:rPr/>
              <w:t>10.4%</w:t>
            </w:r>
          </w:p>
        </w:tc>
      </w:tr>
      <w:tr>
        <w:trPr>
          <w:trHeight w:val="300" w:hRule="atLeast"/>
        </w:trPr>
        <w:tc>
          <w:tcPr>
            <w:tcW w:w="3459" w:type="dxa"/>
            <w:gridSpan w:val="2"/>
            <w:tcBorders>
              <w:top w:val="single" w:sz="4" w:space="0" w:color="000000"/>
              <w:left w:val="single" w:sz="4" w:space="0" w:color="000000"/>
              <w:right w:val="single" w:sz="4" w:space="0" w:color="000000"/>
            </w:tcBorders>
            <w:vAlign w:val="bottom"/>
          </w:tcPr>
          <w:p>
            <w:pPr>
              <w:pStyle w:val="TAL"/>
              <w:rPr/>
            </w:pPr>
            <w:r>
              <w:rPr/>
              <w:t>Average</w:t>
            </w:r>
          </w:p>
        </w:tc>
        <w:tc>
          <w:tcPr>
            <w:tcW w:w="987" w:type="dxa"/>
            <w:tcBorders>
              <w:top w:val="single" w:sz="4" w:space="0" w:color="000000"/>
            </w:tcBorders>
            <w:vAlign w:val="bottom"/>
          </w:tcPr>
          <w:p>
            <w:pPr>
              <w:pStyle w:val="TAL"/>
              <w:rPr/>
            </w:pPr>
            <w:r>
              <w:rPr/>
              <w:t>-22.5%</w:t>
            </w:r>
          </w:p>
        </w:tc>
        <w:tc>
          <w:tcPr>
            <w:tcW w:w="987" w:type="dxa"/>
            <w:tcBorders>
              <w:top w:val="single" w:sz="4" w:space="0" w:color="000000"/>
            </w:tcBorders>
            <w:vAlign w:val="bottom"/>
          </w:tcPr>
          <w:p>
            <w:pPr>
              <w:pStyle w:val="TAL"/>
              <w:rPr/>
            </w:pPr>
            <w:r>
              <w:rPr/>
              <w:t>-13.2%</w:t>
            </w:r>
          </w:p>
        </w:tc>
        <w:tc>
          <w:tcPr>
            <w:tcW w:w="987" w:type="dxa"/>
            <w:tcBorders>
              <w:top w:val="single" w:sz="4" w:space="0" w:color="000000"/>
              <w:right w:val="single" w:sz="4" w:space="0" w:color="000000"/>
            </w:tcBorders>
            <w:vAlign w:val="bottom"/>
          </w:tcPr>
          <w:p>
            <w:pPr>
              <w:pStyle w:val="TAL"/>
              <w:rPr/>
            </w:pPr>
            <w:r>
              <w:rPr/>
              <w:t>-10.4%</w:t>
            </w:r>
          </w:p>
        </w:tc>
      </w:tr>
      <w:tr>
        <w:trPr>
          <w:trHeight w:val="300" w:hRule="atLeast"/>
        </w:trPr>
        <w:tc>
          <w:tcPr>
            <w:tcW w:w="2240" w:type="dxa"/>
            <w:tcBorders>
              <w:top w:val="single" w:sz="4" w:space="0" w:color="000000"/>
              <w:left w:val="single" w:sz="4" w:space="0" w:color="000000"/>
              <w:right w:val="single" w:sz="4" w:space="0" w:color="000000"/>
            </w:tcBorders>
            <w:vAlign w:val="bottom"/>
          </w:tcPr>
          <w:p>
            <w:pPr>
              <w:pStyle w:val="TAL"/>
              <w:rPr/>
            </w:pPr>
            <w:r>
              <w:rPr/>
              <w:t>Kimono</w:t>
            </w:r>
          </w:p>
        </w:tc>
        <w:tc>
          <w:tcPr>
            <w:tcW w:w="1219" w:type="dxa"/>
            <w:tcBorders>
              <w:top w:val="single" w:sz="4" w:space="0" w:color="000000"/>
              <w:right w:val="single" w:sz="4" w:space="0" w:color="000000"/>
            </w:tcBorders>
            <w:vAlign w:val="bottom"/>
          </w:tcPr>
          <w:p>
            <w:pPr>
              <w:pStyle w:val="TAL"/>
              <w:rPr/>
            </w:pPr>
            <w:r>
              <w:rPr/>
              <w:t>2</w:t>
            </w:r>
          </w:p>
        </w:tc>
        <w:tc>
          <w:tcPr>
            <w:tcW w:w="987" w:type="dxa"/>
            <w:tcBorders>
              <w:top w:val="single" w:sz="4" w:space="0" w:color="000000"/>
            </w:tcBorders>
            <w:vAlign w:val="bottom"/>
          </w:tcPr>
          <w:p>
            <w:pPr>
              <w:pStyle w:val="TAL"/>
              <w:rPr/>
            </w:pPr>
            <w:r>
              <w:rPr/>
              <w:t>-40.5%</w:t>
            </w:r>
          </w:p>
        </w:tc>
        <w:tc>
          <w:tcPr>
            <w:tcW w:w="987" w:type="dxa"/>
            <w:tcBorders>
              <w:top w:val="single" w:sz="4" w:space="0" w:color="000000"/>
            </w:tcBorders>
            <w:vAlign w:val="bottom"/>
          </w:tcPr>
          <w:p>
            <w:pPr>
              <w:pStyle w:val="TAL"/>
              <w:rPr/>
            </w:pPr>
            <w:r>
              <w:rPr/>
              <w:t>-34.5%</w:t>
            </w:r>
          </w:p>
        </w:tc>
        <w:tc>
          <w:tcPr>
            <w:tcW w:w="987" w:type="dxa"/>
            <w:tcBorders>
              <w:top w:val="single" w:sz="4" w:space="0" w:color="000000"/>
              <w:right w:val="single" w:sz="4" w:space="0" w:color="000000"/>
            </w:tcBorders>
            <w:vAlign w:val="bottom"/>
          </w:tcPr>
          <w:p>
            <w:pPr>
              <w:pStyle w:val="TAL"/>
              <w:rPr/>
            </w:pPr>
            <w:r>
              <w:rPr/>
              <w:t>-33.3%</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-28.9%</w:t>
            </w:r>
          </w:p>
        </w:tc>
        <w:tc>
          <w:tcPr>
            <w:tcW w:w="987" w:type="dxa"/>
            <w:tcBorders/>
            <w:vAlign w:val="bottom"/>
          </w:tcPr>
          <w:p>
            <w:pPr>
              <w:pStyle w:val="TAL"/>
              <w:rPr/>
            </w:pPr>
            <w:r>
              <w:rPr/>
              <w:t>-24.6%</w:t>
            </w:r>
          </w:p>
        </w:tc>
        <w:tc>
          <w:tcPr>
            <w:tcW w:w="987" w:type="dxa"/>
            <w:tcBorders>
              <w:right w:val="single" w:sz="4" w:space="0" w:color="000000"/>
            </w:tcBorders>
            <w:vAlign w:val="bottom"/>
          </w:tcPr>
          <w:p>
            <w:pPr>
              <w:pStyle w:val="TAL"/>
              <w:rPr/>
            </w:pPr>
            <w:r>
              <w:rPr/>
              <w:t>-25.2%</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-32.7%</w:t>
            </w:r>
          </w:p>
        </w:tc>
        <w:tc>
          <w:tcPr>
            <w:tcW w:w="987" w:type="dxa"/>
            <w:tcBorders/>
            <w:vAlign w:val="bottom"/>
          </w:tcPr>
          <w:p>
            <w:pPr>
              <w:pStyle w:val="TAL"/>
              <w:rPr/>
            </w:pPr>
            <w:r>
              <w:rPr/>
              <w:t>-30.5%</w:t>
            </w:r>
          </w:p>
        </w:tc>
        <w:tc>
          <w:tcPr>
            <w:tcW w:w="987" w:type="dxa"/>
            <w:tcBorders>
              <w:right w:val="single" w:sz="4" w:space="0" w:color="000000"/>
            </w:tcBorders>
            <w:vAlign w:val="bottom"/>
          </w:tcPr>
          <w:p>
            <w:pPr>
              <w:pStyle w:val="TAL"/>
              <w:rPr/>
            </w:pPr>
            <w:r>
              <w:rPr/>
              <w:t>-27.5%</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-36.1%</w:t>
            </w:r>
          </w:p>
        </w:tc>
        <w:tc>
          <w:tcPr>
            <w:tcW w:w="987" w:type="dxa"/>
            <w:tcBorders/>
            <w:vAlign w:val="bottom"/>
          </w:tcPr>
          <w:p>
            <w:pPr>
              <w:pStyle w:val="TAL"/>
              <w:rPr/>
            </w:pPr>
            <w:r>
              <w:rPr/>
              <w:t>-30.3%</w:t>
            </w:r>
          </w:p>
        </w:tc>
        <w:tc>
          <w:tcPr>
            <w:tcW w:w="987" w:type="dxa"/>
            <w:tcBorders>
              <w:right w:val="single" w:sz="4" w:space="0" w:color="000000"/>
            </w:tcBorders>
            <w:vAlign w:val="bottom"/>
          </w:tcPr>
          <w:p>
            <w:pPr>
              <w:pStyle w:val="TAL"/>
              <w:rPr/>
            </w:pPr>
            <w:r>
              <w:rPr/>
              <w:t>-29.8%</w:t>
            </w:r>
          </w:p>
        </w:tc>
      </w:tr>
      <w:tr>
        <w:trPr>
          <w:trHeight w:val="300" w:hRule="atLeast"/>
        </w:trPr>
        <w:tc>
          <w:tcPr>
            <w:tcW w:w="2240" w:type="dxa"/>
            <w:tcBorders>
              <w:left w:val="single" w:sz="4" w:space="0" w:color="000000"/>
              <w:bottom w:val="single" w:sz="4" w:space="0" w:color="000000"/>
              <w:right w:val="single" w:sz="4" w:space="0" w:color="000000"/>
            </w:tcBorders>
            <w:vAlign w:val="bottom"/>
          </w:tcPr>
          <w:p>
            <w:pPr>
              <w:pStyle w:val="TAL"/>
              <w:rPr/>
            </w:pPr>
            <w:r>
              <w:rPr/>
              <w:t>BQTerrace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L"/>
              <w:rPr/>
            </w:pPr>
            <w:r>
              <w:rPr/>
              <w:t>-21.5%</w:t>
            </w:r>
          </w:p>
        </w:tc>
        <w:tc>
          <w:tcPr>
            <w:tcW w:w="987" w:type="dxa"/>
            <w:tcBorders>
              <w:bottom w:val="single" w:sz="4" w:space="0" w:color="000000"/>
            </w:tcBorders>
            <w:vAlign w:val="bottom"/>
          </w:tcPr>
          <w:p>
            <w:pPr>
              <w:pStyle w:val="TAL"/>
              <w:rPr/>
            </w:pPr>
            <w:r>
              <w:rPr/>
              <w:t>-11.2%</w:t>
            </w:r>
          </w:p>
        </w:tc>
        <w:tc>
          <w:tcPr>
            <w:tcW w:w="987" w:type="dxa"/>
            <w:tcBorders>
              <w:bottom w:val="single" w:sz="4" w:space="0" w:color="000000"/>
              <w:right w:val="single" w:sz="4" w:space="0" w:color="000000"/>
            </w:tcBorders>
            <w:vAlign w:val="bottom"/>
          </w:tcPr>
          <w:p>
            <w:pPr>
              <w:pStyle w:val="TAL"/>
              <w:rPr/>
            </w:pPr>
            <w:r>
              <w:rPr/>
              <w:t>-10.5%</w:t>
            </w:r>
          </w:p>
        </w:tc>
      </w:tr>
      <w:tr>
        <w:trPr>
          <w:trHeight w:val="300" w:hRule="atLeast"/>
        </w:trPr>
        <w:tc>
          <w:tcPr>
            <w:tcW w:w="3459" w:type="dxa"/>
            <w:gridSpan w:val="2"/>
            <w:tcBorders>
              <w:left w:val="single" w:sz="4" w:space="0" w:color="000000"/>
              <w:bottom w:val="single" w:sz="4" w:space="0" w:color="000000"/>
              <w:right w:val="single" w:sz="4" w:space="0" w:color="000000"/>
            </w:tcBorders>
            <w:vAlign w:val="bottom"/>
          </w:tcPr>
          <w:p>
            <w:pPr>
              <w:pStyle w:val="TAL"/>
              <w:rPr/>
            </w:pPr>
            <w:r>
              <w:rPr/>
              <w:t>Average</w:t>
            </w:r>
          </w:p>
        </w:tc>
        <w:tc>
          <w:tcPr>
            <w:tcW w:w="987" w:type="dxa"/>
            <w:tcBorders>
              <w:bottom w:val="single" w:sz="4" w:space="0" w:color="000000"/>
            </w:tcBorders>
            <w:vAlign w:val="bottom"/>
          </w:tcPr>
          <w:p>
            <w:pPr>
              <w:pStyle w:val="TAL"/>
              <w:rPr/>
            </w:pPr>
            <w:r>
              <w:rPr/>
              <w:t>-31.9%</w:t>
            </w:r>
          </w:p>
        </w:tc>
        <w:tc>
          <w:tcPr>
            <w:tcW w:w="987" w:type="dxa"/>
            <w:tcBorders>
              <w:bottom w:val="single" w:sz="4" w:space="0" w:color="000000"/>
            </w:tcBorders>
            <w:vAlign w:val="bottom"/>
          </w:tcPr>
          <w:p>
            <w:pPr>
              <w:pStyle w:val="TAL"/>
              <w:rPr/>
            </w:pPr>
            <w:r>
              <w:rPr/>
              <w:t>-26.2%</w:t>
            </w:r>
          </w:p>
        </w:tc>
        <w:tc>
          <w:tcPr>
            <w:tcW w:w="987" w:type="dxa"/>
            <w:tcBorders>
              <w:bottom w:val="single" w:sz="4" w:space="0" w:color="000000"/>
              <w:right w:val="single" w:sz="4" w:space="0" w:color="000000"/>
            </w:tcBorders>
            <w:vAlign w:val="bottom"/>
          </w:tcPr>
          <w:p>
            <w:pPr>
              <w:pStyle w:val="TAL"/>
              <w:rPr/>
            </w:pPr>
            <w:r>
              <w:rPr/>
              <w:t>-25.3%</w:t>
            </w:r>
          </w:p>
        </w:tc>
      </w:tr>
    </w:tbl>
    <w:p>
      <w:pPr>
        <w:pStyle w:val="Normal"/>
        <w:rPr/>
      </w:pPr>
      <w:r>
        <w:rPr/>
      </w:r>
    </w:p>
    <w:p>
      <w:pPr>
        <w:pStyle w:val="Normal"/>
        <w:rPr/>
      </w:pPr>
      <w:r>
        <w:rPr/>
        <w:t>For the configuration where the first layer and the second layer have spatial resolutions of 540p and 1080p, respectively, the performance of SHVC drops. The BD-rate gain is up to 27%. The overall average gain is 18.7% for QP delta 2. This is an expected result as a higher spatial resolution ratio between the first layer and the second layer means lower cross-layer correlation.</w:t>
      </w:r>
    </w:p>
    <w:p>
      <w:pPr>
        <w:pStyle w:val="TH"/>
        <w:rPr/>
      </w:pPr>
      <w:r>
        <w:rPr/>
        <w:t>Table 39: MBMS IRAP aligned results class B (BL 540p – EL 1080p)</w:t>
      </w:r>
    </w:p>
    <w:tbl>
      <w:tblPr>
        <w:tblW w:w="6420" w:type="dxa"/>
        <w:jc w:val="center"/>
        <w:tblInd w:w="0" w:type="dxa"/>
        <w:tblLayout w:type="fixed"/>
        <w:tblCellMar>
          <w:top w:w="0" w:type="dxa"/>
          <w:left w:w="108" w:type="dxa"/>
          <w:bottom w:w="0" w:type="dxa"/>
          <w:right w:w="108" w:type="dxa"/>
        </w:tblCellMar>
      </w:tblPr>
      <w:tblGrid>
        <w:gridCol w:w="2240"/>
        <w:gridCol w:w="1219"/>
        <w:gridCol w:w="987"/>
        <w:gridCol w:w="987"/>
        <w:gridCol w:w="987"/>
      </w:tblGrid>
      <w:tr>
        <w:trPr>
          <w:trHeight w:val="300" w:hRule="atLeast"/>
        </w:trPr>
        <w:tc>
          <w:tcPr>
            <w:tcW w:w="22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Test Sequences</w:t>
            </w:r>
          </w:p>
        </w:tc>
        <w:tc>
          <w:tcPr>
            <w:tcW w:w="12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deltaQP</w:t>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BD-Rate Comparison</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SHVC Vs. Simulcast</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987" w:type="dxa"/>
            <w:tcBorders>
              <w:bottom w:val="single" w:sz="4" w:space="0" w:color="000000"/>
              <w:right w:val="single" w:sz="4" w:space="0" w:color="000000"/>
            </w:tcBorders>
            <w:vAlign w:val="bottom"/>
          </w:tcPr>
          <w:p>
            <w:pPr>
              <w:pStyle w:val="TAH"/>
              <w:rPr/>
            </w:pPr>
            <w:r>
              <w:rPr/>
              <w:t>Y</w:t>
            </w:r>
          </w:p>
        </w:tc>
        <w:tc>
          <w:tcPr>
            <w:tcW w:w="987" w:type="dxa"/>
            <w:tcBorders>
              <w:bottom w:val="single" w:sz="4" w:space="0" w:color="000000"/>
              <w:right w:val="single" w:sz="4" w:space="0" w:color="000000"/>
            </w:tcBorders>
            <w:vAlign w:val="bottom"/>
          </w:tcPr>
          <w:p>
            <w:pPr>
              <w:pStyle w:val="TAH"/>
              <w:rPr/>
            </w:pPr>
            <w:r>
              <w:rPr/>
              <w:t>U</w:t>
            </w:r>
          </w:p>
        </w:tc>
        <w:tc>
          <w:tcPr>
            <w:tcW w:w="987" w:type="dxa"/>
            <w:tcBorders>
              <w:bottom w:val="single" w:sz="4" w:space="0" w:color="000000"/>
              <w:right w:val="single" w:sz="4" w:space="0" w:color="000000"/>
            </w:tcBorders>
            <w:vAlign w:val="bottom"/>
          </w:tcPr>
          <w:p>
            <w:pPr>
              <w:pStyle w:val="TAH"/>
              <w:rPr/>
            </w:pPr>
            <w:r>
              <w:rPr/>
              <w:t>V</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-19.2%</w:t>
            </w:r>
          </w:p>
        </w:tc>
        <w:tc>
          <w:tcPr>
            <w:tcW w:w="987" w:type="dxa"/>
            <w:tcBorders/>
            <w:vAlign w:val="bottom"/>
          </w:tcPr>
          <w:p>
            <w:pPr>
              <w:pStyle w:val="TAL"/>
              <w:rPr/>
            </w:pPr>
            <w:r>
              <w:rPr/>
              <w:t>-11.9%</w:t>
            </w:r>
          </w:p>
        </w:tc>
        <w:tc>
          <w:tcPr>
            <w:tcW w:w="987" w:type="dxa"/>
            <w:tcBorders>
              <w:right w:val="single" w:sz="4" w:space="0" w:color="000000"/>
            </w:tcBorders>
            <w:vAlign w:val="bottom"/>
          </w:tcPr>
          <w:p>
            <w:pPr>
              <w:pStyle w:val="TAL"/>
              <w:rPr/>
            </w:pPr>
            <w:r>
              <w:rPr/>
              <w:t>-9.5%</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-10.2%</w:t>
            </w:r>
          </w:p>
        </w:tc>
        <w:tc>
          <w:tcPr>
            <w:tcW w:w="987" w:type="dxa"/>
            <w:tcBorders/>
            <w:vAlign w:val="bottom"/>
          </w:tcPr>
          <w:p>
            <w:pPr>
              <w:pStyle w:val="TAL"/>
              <w:rPr/>
            </w:pPr>
            <w:r>
              <w:rPr/>
              <w:t>-8.5%</w:t>
            </w:r>
          </w:p>
        </w:tc>
        <w:tc>
          <w:tcPr>
            <w:tcW w:w="987" w:type="dxa"/>
            <w:tcBorders>
              <w:right w:val="single" w:sz="4" w:space="0" w:color="000000"/>
            </w:tcBorders>
            <w:vAlign w:val="bottom"/>
          </w:tcPr>
          <w:p>
            <w:pPr>
              <w:pStyle w:val="TAL"/>
              <w:rPr/>
            </w:pPr>
            <w:r>
              <w:rPr/>
              <w:t>-8.7%</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-13.7%</w:t>
            </w:r>
          </w:p>
        </w:tc>
        <w:tc>
          <w:tcPr>
            <w:tcW w:w="987" w:type="dxa"/>
            <w:tcBorders/>
            <w:vAlign w:val="bottom"/>
          </w:tcPr>
          <w:p>
            <w:pPr>
              <w:pStyle w:val="TAL"/>
              <w:rPr/>
            </w:pPr>
            <w:r>
              <w:rPr/>
              <w:t>-9.7%</w:t>
            </w:r>
          </w:p>
        </w:tc>
        <w:tc>
          <w:tcPr>
            <w:tcW w:w="987" w:type="dxa"/>
            <w:tcBorders>
              <w:right w:val="single" w:sz="4" w:space="0" w:color="000000"/>
            </w:tcBorders>
            <w:vAlign w:val="bottom"/>
          </w:tcPr>
          <w:p>
            <w:pPr>
              <w:pStyle w:val="TAL"/>
              <w:rPr/>
            </w:pPr>
            <w:r>
              <w:rPr/>
              <w:t>-3.9%</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-16.6%</w:t>
            </w:r>
          </w:p>
        </w:tc>
        <w:tc>
          <w:tcPr>
            <w:tcW w:w="987" w:type="dxa"/>
            <w:tcBorders/>
            <w:vAlign w:val="bottom"/>
          </w:tcPr>
          <w:p>
            <w:pPr>
              <w:pStyle w:val="TAL"/>
              <w:rPr/>
            </w:pPr>
            <w:r>
              <w:rPr/>
              <w:t>-4.9%</w:t>
            </w:r>
          </w:p>
        </w:tc>
        <w:tc>
          <w:tcPr>
            <w:tcW w:w="987" w:type="dxa"/>
            <w:tcBorders>
              <w:right w:val="single" w:sz="4" w:space="0" w:color="000000"/>
            </w:tcBorders>
            <w:vAlign w:val="bottom"/>
          </w:tcPr>
          <w:p>
            <w:pPr>
              <w:pStyle w:val="TAL"/>
              <w:rPr/>
            </w:pPr>
            <w:r>
              <w:rPr/>
              <w:t>-6.1%</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-7.7%</w:t>
            </w:r>
          </w:p>
        </w:tc>
        <w:tc>
          <w:tcPr>
            <w:tcW w:w="987" w:type="dxa"/>
            <w:tcBorders/>
            <w:vAlign w:val="bottom"/>
          </w:tcPr>
          <w:p>
            <w:pPr>
              <w:pStyle w:val="TAL"/>
              <w:rPr/>
            </w:pPr>
            <w:r>
              <w:rPr/>
              <w:t>1.7%</w:t>
            </w:r>
          </w:p>
        </w:tc>
        <w:tc>
          <w:tcPr>
            <w:tcW w:w="987" w:type="dxa"/>
            <w:tcBorders>
              <w:right w:val="single" w:sz="4" w:space="0" w:color="000000"/>
            </w:tcBorders>
            <w:vAlign w:val="bottom"/>
          </w:tcPr>
          <w:p>
            <w:pPr>
              <w:pStyle w:val="TAL"/>
              <w:rPr/>
            </w:pPr>
            <w:r>
              <w:rPr/>
              <w:t>6.2%</w:t>
            </w:r>
          </w:p>
        </w:tc>
      </w:tr>
      <w:tr>
        <w:trPr>
          <w:trHeight w:val="300" w:hRule="atLeast"/>
        </w:trPr>
        <w:tc>
          <w:tcPr>
            <w:tcW w:w="3459" w:type="dxa"/>
            <w:gridSpan w:val="2"/>
            <w:tcBorders>
              <w:top w:val="single" w:sz="4" w:space="0" w:color="000000"/>
              <w:left w:val="single" w:sz="4" w:space="0" w:color="000000"/>
              <w:right w:val="single" w:sz="4" w:space="0" w:color="000000"/>
            </w:tcBorders>
            <w:vAlign w:val="bottom"/>
          </w:tcPr>
          <w:p>
            <w:pPr>
              <w:pStyle w:val="TAL"/>
              <w:rPr/>
            </w:pPr>
            <w:r>
              <w:rPr/>
              <w:t>Average</w:t>
            </w:r>
          </w:p>
        </w:tc>
        <w:tc>
          <w:tcPr>
            <w:tcW w:w="987" w:type="dxa"/>
            <w:tcBorders>
              <w:top w:val="single" w:sz="4" w:space="0" w:color="000000"/>
            </w:tcBorders>
            <w:vAlign w:val="bottom"/>
          </w:tcPr>
          <w:p>
            <w:pPr>
              <w:pStyle w:val="TAL"/>
              <w:rPr/>
            </w:pPr>
            <w:r>
              <w:rPr/>
              <w:t>-13.5%</w:t>
            </w:r>
          </w:p>
        </w:tc>
        <w:tc>
          <w:tcPr>
            <w:tcW w:w="987" w:type="dxa"/>
            <w:tcBorders>
              <w:top w:val="single" w:sz="4" w:space="0" w:color="000000"/>
            </w:tcBorders>
            <w:vAlign w:val="bottom"/>
          </w:tcPr>
          <w:p>
            <w:pPr>
              <w:pStyle w:val="TAL"/>
              <w:rPr/>
            </w:pPr>
            <w:r>
              <w:rPr/>
              <w:t>-6.7%</w:t>
            </w:r>
          </w:p>
        </w:tc>
        <w:tc>
          <w:tcPr>
            <w:tcW w:w="987" w:type="dxa"/>
            <w:tcBorders>
              <w:top w:val="single" w:sz="4" w:space="0" w:color="000000"/>
              <w:right w:val="single" w:sz="4" w:space="0" w:color="000000"/>
            </w:tcBorders>
            <w:vAlign w:val="bottom"/>
          </w:tcPr>
          <w:p>
            <w:pPr>
              <w:pStyle w:val="TAL"/>
              <w:rPr/>
            </w:pPr>
            <w:r>
              <w:rPr/>
              <w:t>-4.4%</w:t>
            </w:r>
          </w:p>
        </w:tc>
      </w:tr>
      <w:tr>
        <w:trPr>
          <w:trHeight w:val="300" w:hRule="atLeast"/>
        </w:trPr>
        <w:tc>
          <w:tcPr>
            <w:tcW w:w="2240" w:type="dxa"/>
            <w:tcBorders>
              <w:top w:val="single" w:sz="4" w:space="0" w:color="000000"/>
              <w:left w:val="single" w:sz="4" w:space="0" w:color="000000"/>
              <w:right w:val="single" w:sz="4" w:space="0" w:color="000000"/>
            </w:tcBorders>
            <w:vAlign w:val="bottom"/>
          </w:tcPr>
          <w:p>
            <w:pPr>
              <w:pStyle w:val="TAL"/>
              <w:rPr/>
            </w:pPr>
            <w:r>
              <w:rPr/>
              <w:t>Kimono</w:t>
            </w:r>
          </w:p>
        </w:tc>
        <w:tc>
          <w:tcPr>
            <w:tcW w:w="1219" w:type="dxa"/>
            <w:tcBorders>
              <w:top w:val="single" w:sz="4" w:space="0" w:color="000000"/>
              <w:right w:val="single" w:sz="4" w:space="0" w:color="000000"/>
            </w:tcBorders>
            <w:vAlign w:val="bottom"/>
          </w:tcPr>
          <w:p>
            <w:pPr>
              <w:pStyle w:val="TAL"/>
              <w:rPr/>
            </w:pPr>
            <w:r>
              <w:rPr/>
              <w:t>2</w:t>
            </w:r>
          </w:p>
        </w:tc>
        <w:tc>
          <w:tcPr>
            <w:tcW w:w="987" w:type="dxa"/>
            <w:tcBorders>
              <w:top w:val="single" w:sz="4" w:space="0" w:color="000000"/>
            </w:tcBorders>
            <w:vAlign w:val="bottom"/>
          </w:tcPr>
          <w:p>
            <w:pPr>
              <w:pStyle w:val="TAL"/>
              <w:rPr/>
            </w:pPr>
            <w:r>
              <w:rPr/>
              <w:t>-27.0%</w:t>
            </w:r>
          </w:p>
        </w:tc>
        <w:tc>
          <w:tcPr>
            <w:tcW w:w="987" w:type="dxa"/>
            <w:tcBorders>
              <w:top w:val="single" w:sz="4" w:space="0" w:color="000000"/>
            </w:tcBorders>
            <w:vAlign w:val="bottom"/>
          </w:tcPr>
          <w:p>
            <w:pPr>
              <w:pStyle w:val="TAL"/>
              <w:rPr/>
            </w:pPr>
            <w:r>
              <w:rPr/>
              <w:t>-18.9%</w:t>
            </w:r>
          </w:p>
        </w:tc>
        <w:tc>
          <w:tcPr>
            <w:tcW w:w="987" w:type="dxa"/>
            <w:tcBorders>
              <w:top w:val="single" w:sz="4" w:space="0" w:color="000000"/>
              <w:right w:val="single" w:sz="4" w:space="0" w:color="000000"/>
            </w:tcBorders>
            <w:vAlign w:val="bottom"/>
          </w:tcPr>
          <w:p>
            <w:pPr>
              <w:pStyle w:val="TAL"/>
              <w:rPr/>
            </w:pPr>
            <w:r>
              <w:rPr/>
              <w:t>-16.8%</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-14.8%</w:t>
            </w:r>
          </w:p>
        </w:tc>
        <w:tc>
          <w:tcPr>
            <w:tcW w:w="987" w:type="dxa"/>
            <w:tcBorders/>
            <w:vAlign w:val="bottom"/>
          </w:tcPr>
          <w:p>
            <w:pPr>
              <w:pStyle w:val="TAL"/>
              <w:rPr/>
            </w:pPr>
            <w:r>
              <w:rPr/>
              <w:t>-12.0%</w:t>
            </w:r>
          </w:p>
        </w:tc>
        <w:tc>
          <w:tcPr>
            <w:tcW w:w="987" w:type="dxa"/>
            <w:tcBorders>
              <w:right w:val="single" w:sz="4" w:space="0" w:color="000000"/>
            </w:tcBorders>
            <w:vAlign w:val="bottom"/>
          </w:tcPr>
          <w:p>
            <w:pPr>
              <w:pStyle w:val="TAL"/>
              <w:rPr/>
            </w:pPr>
            <w:r>
              <w:rPr/>
              <w:t>-12.1%</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-18.4%</w:t>
            </w:r>
          </w:p>
        </w:tc>
        <w:tc>
          <w:tcPr>
            <w:tcW w:w="987" w:type="dxa"/>
            <w:tcBorders/>
            <w:vAlign w:val="bottom"/>
          </w:tcPr>
          <w:p>
            <w:pPr>
              <w:pStyle w:val="TAL"/>
              <w:rPr/>
            </w:pPr>
            <w:r>
              <w:rPr/>
              <w:t>-14.4%</w:t>
            </w:r>
          </w:p>
        </w:tc>
        <w:tc>
          <w:tcPr>
            <w:tcW w:w="987" w:type="dxa"/>
            <w:tcBorders>
              <w:right w:val="single" w:sz="4" w:space="0" w:color="000000"/>
            </w:tcBorders>
            <w:vAlign w:val="bottom"/>
          </w:tcPr>
          <w:p>
            <w:pPr>
              <w:pStyle w:val="TAL"/>
              <w:rPr/>
            </w:pPr>
            <w:r>
              <w:rPr/>
              <w:t>-10.3%</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-23.0%</w:t>
            </w:r>
          </w:p>
        </w:tc>
        <w:tc>
          <w:tcPr>
            <w:tcW w:w="987" w:type="dxa"/>
            <w:tcBorders/>
            <w:vAlign w:val="bottom"/>
          </w:tcPr>
          <w:p>
            <w:pPr>
              <w:pStyle w:val="TAL"/>
              <w:rPr/>
            </w:pPr>
            <w:r>
              <w:rPr/>
              <w:t>-12.5%</w:t>
            </w:r>
          </w:p>
        </w:tc>
        <w:tc>
          <w:tcPr>
            <w:tcW w:w="987" w:type="dxa"/>
            <w:tcBorders>
              <w:right w:val="single" w:sz="4" w:space="0" w:color="000000"/>
            </w:tcBorders>
            <w:vAlign w:val="bottom"/>
          </w:tcPr>
          <w:p>
            <w:pPr>
              <w:pStyle w:val="TAL"/>
              <w:rPr/>
            </w:pPr>
            <w:r>
              <w:rPr/>
              <w:t>-13.0%</w:t>
            </w:r>
          </w:p>
        </w:tc>
      </w:tr>
      <w:tr>
        <w:trPr>
          <w:trHeight w:val="300" w:hRule="atLeast"/>
        </w:trPr>
        <w:tc>
          <w:tcPr>
            <w:tcW w:w="2240" w:type="dxa"/>
            <w:tcBorders>
              <w:left w:val="single" w:sz="4" w:space="0" w:color="000000"/>
              <w:bottom w:val="single" w:sz="4" w:space="0" w:color="000000"/>
              <w:right w:val="single" w:sz="4" w:space="0" w:color="000000"/>
            </w:tcBorders>
            <w:vAlign w:val="bottom"/>
          </w:tcPr>
          <w:p>
            <w:pPr>
              <w:pStyle w:val="TAL"/>
              <w:rPr/>
            </w:pPr>
            <w:r>
              <w:rPr/>
              <w:t>BQTerrace</w:t>
            </w:r>
          </w:p>
        </w:tc>
        <w:tc>
          <w:tcPr>
            <w:tcW w:w="1219" w:type="dxa"/>
            <w:tcBorders>
              <w:bottom w:val="single" w:sz="4" w:space="0" w:color="000000"/>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L"/>
              <w:rPr/>
            </w:pPr>
            <w:r>
              <w:rPr/>
              <w:t>-10.2%</w:t>
            </w:r>
          </w:p>
        </w:tc>
        <w:tc>
          <w:tcPr>
            <w:tcW w:w="987" w:type="dxa"/>
            <w:tcBorders>
              <w:bottom w:val="single" w:sz="4" w:space="0" w:color="000000"/>
            </w:tcBorders>
            <w:vAlign w:val="bottom"/>
          </w:tcPr>
          <w:p>
            <w:pPr>
              <w:pStyle w:val="TAL"/>
              <w:rPr/>
            </w:pPr>
            <w:r>
              <w:rPr/>
              <w:t>-2.1%</w:t>
            </w:r>
          </w:p>
        </w:tc>
        <w:tc>
          <w:tcPr>
            <w:tcW w:w="987" w:type="dxa"/>
            <w:tcBorders>
              <w:bottom w:val="single" w:sz="4" w:space="0" w:color="000000"/>
              <w:right w:val="single" w:sz="4" w:space="0" w:color="000000"/>
            </w:tcBorders>
            <w:vAlign w:val="bottom"/>
          </w:tcPr>
          <w:p>
            <w:pPr>
              <w:pStyle w:val="TAL"/>
              <w:rPr/>
            </w:pPr>
            <w:r>
              <w:rPr/>
              <w:t>0.1%</w:t>
            </w:r>
          </w:p>
        </w:tc>
      </w:tr>
      <w:tr>
        <w:trPr>
          <w:trHeight w:val="300" w:hRule="atLeast"/>
        </w:trPr>
        <w:tc>
          <w:tcPr>
            <w:tcW w:w="3459" w:type="dxa"/>
            <w:gridSpan w:val="2"/>
            <w:tcBorders>
              <w:left w:val="single" w:sz="4" w:space="0" w:color="000000"/>
              <w:bottom w:val="single" w:sz="4" w:space="0" w:color="000000"/>
              <w:right w:val="single" w:sz="4" w:space="0" w:color="000000"/>
            </w:tcBorders>
            <w:vAlign w:val="bottom"/>
          </w:tcPr>
          <w:p>
            <w:pPr>
              <w:pStyle w:val="TAL"/>
              <w:rPr/>
            </w:pPr>
            <w:r>
              <w:rPr/>
              <w:t>Average</w:t>
            </w:r>
          </w:p>
        </w:tc>
        <w:tc>
          <w:tcPr>
            <w:tcW w:w="987" w:type="dxa"/>
            <w:tcBorders>
              <w:top w:val="single" w:sz="4" w:space="0" w:color="000000"/>
              <w:left w:val="single" w:sz="4" w:space="0" w:color="000000"/>
              <w:bottom w:val="single" w:sz="4" w:space="0" w:color="000000"/>
            </w:tcBorders>
            <w:vAlign w:val="bottom"/>
          </w:tcPr>
          <w:p>
            <w:pPr>
              <w:pStyle w:val="TAL"/>
              <w:rPr/>
            </w:pPr>
            <w:r>
              <w:rPr/>
              <w:t>-18.7%</w:t>
            </w:r>
          </w:p>
        </w:tc>
        <w:tc>
          <w:tcPr>
            <w:tcW w:w="987" w:type="dxa"/>
            <w:tcBorders>
              <w:top w:val="single" w:sz="4" w:space="0" w:color="000000"/>
              <w:bottom w:val="single" w:sz="4" w:space="0" w:color="000000"/>
            </w:tcBorders>
            <w:vAlign w:val="bottom"/>
          </w:tcPr>
          <w:p>
            <w:pPr>
              <w:pStyle w:val="TAL"/>
              <w:rPr/>
            </w:pPr>
            <w:r>
              <w:rPr/>
              <w:t>-12.0%</w:t>
            </w:r>
          </w:p>
        </w:tc>
        <w:tc>
          <w:tcPr>
            <w:tcW w:w="987" w:type="dxa"/>
            <w:tcBorders>
              <w:top w:val="single" w:sz="4" w:space="0" w:color="000000"/>
              <w:bottom w:val="single" w:sz="4" w:space="0" w:color="000000"/>
              <w:right w:val="single" w:sz="4" w:space="0" w:color="000000"/>
            </w:tcBorders>
            <w:vAlign w:val="bottom"/>
          </w:tcPr>
          <w:p>
            <w:pPr>
              <w:pStyle w:val="TAL"/>
              <w:rPr/>
            </w:pPr>
            <w:r>
              <w:rPr/>
              <w:t>-10.4%</w:t>
            </w:r>
          </w:p>
        </w:tc>
      </w:tr>
    </w:tbl>
    <w:p>
      <w:pPr>
        <w:pStyle w:val="Normal"/>
        <w:rPr>
          <w:lang w:eastAsia="ko-KR"/>
        </w:rPr>
      </w:pPr>
      <w:r>
        <w:rPr>
          <w:lang w:eastAsia="ko-KR"/>
        </w:rPr>
      </w:r>
    </w:p>
    <w:p>
      <w:pPr>
        <w:pStyle w:val="Heading4"/>
        <w:ind w:left="1418" w:hanging="1418"/>
        <w:jc w:val="both"/>
        <w:rPr/>
      </w:pPr>
      <w:bookmarkStart w:id="93" w:name="__RefHeading___Toc517445381"/>
      <w:bookmarkEnd w:id="93"/>
      <w:r>
        <w:rPr/>
        <w:t>7.2.2.2</w:t>
        <w:tab/>
        <w:t>Results for non-aligned IRAP pictures case</w:t>
      </w:r>
    </w:p>
    <w:p>
      <w:pPr>
        <w:pStyle w:val="Normal"/>
        <w:rPr/>
      </w:pPr>
      <w:r>
        <w:rPr/>
        <w:t>SHVC supports a so-call step-wise up-switching feature by allowing IRAP pictures in the second layer occurs less frequently than IRAP pictures in the first layer. For example, IRAP pictures in the first layer occur every 2 seconds whereas IRAP pictures in the second layer occur every 4 seconds. This feature can improve the coding efficiency of SHVC while still allowing the same joining time interval (e.g. every 2 seconds) compared to simulcast.</w:t>
      </w:r>
    </w:p>
    <w:p>
      <w:pPr>
        <w:pStyle w:val="Normal"/>
        <w:rPr/>
      </w:pPr>
      <w:r>
        <w:rPr/>
        <w:t>Figure 20 illustrates the effect of step-wise up-switching when a user changes channel at the worst case scenario. In the best case scenario, the first immediate IRAP pictures in both layers after a user switches channel are aligned. In the worst case scenario, the first immediate IRAP pictures in both layers after a user switches channel are not aligned, the user would see base service for a short period of time until the next IRAP occurs in the second layer.</w:t>
      </w:r>
    </w:p>
    <w:p>
      <w:pPr>
        <w:pStyle w:val="TH"/>
        <w:rPr/>
      </w:pPr>
      <w:r>
        <w:rPr/>
        <w:drawing>
          <wp:inline distT="0" distB="0" distL="0" distR="0">
            <wp:extent cx="5937885" cy="2200275"/>
            <wp:effectExtent l="0" t="0" r="0" b="0"/>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32"/>
                    <a:srcRect l="-4" t="-10" r="-4" b="-10"/>
                    <a:stretch>
                      <a:fillRect/>
                    </a:stretch>
                  </pic:blipFill>
                  <pic:spPr bwMode="auto">
                    <a:xfrm>
                      <a:off x="0" y="0"/>
                      <a:ext cx="5937885" cy="2200275"/>
                    </a:xfrm>
                    <a:prstGeom prst="rect">
                      <a:avLst/>
                    </a:prstGeom>
                  </pic:spPr>
                </pic:pic>
              </a:graphicData>
            </a:graphic>
          </wp:inline>
        </w:drawing>
      </w:r>
    </w:p>
    <w:p>
      <w:pPr>
        <w:pStyle w:val="TF"/>
        <w:rPr/>
      </w:pPr>
      <w:r>
        <w:rPr/>
        <w:t>Figure 20: Effect of step-wise up-switching to channel switching</w:t>
      </w:r>
    </w:p>
    <w:p>
      <w:pPr>
        <w:pStyle w:val="Normal"/>
        <w:rPr/>
      </w:pPr>
      <w:r>
        <w:rPr/>
        <w:t>Table 40 and Table 41 show the summary of the test results. For the given test condition, SHVC provides BD-rate gains up to 40.6%. The overall average gain is 32.9% for QP delta 2.</w:t>
      </w:r>
    </w:p>
    <w:p>
      <w:pPr>
        <w:pStyle w:val="Normal"/>
        <w:rPr/>
      </w:pPr>
      <w:r>
        <w:rPr/>
        <w:t>In similar trend as reported for IRAP aligned case, for the configuration where the first layer and the second layer have spatial resolutions of 540p and 1080p, respectively, the performance of SHVC drops. The BD-rate gain is up to 26.8%. The overall average gain is 20% for QP delta 2.</w:t>
      </w:r>
    </w:p>
    <w:p>
      <w:pPr>
        <w:pStyle w:val="TH"/>
        <w:rPr/>
      </w:pPr>
      <w:r>
        <w:rPr/>
        <w:t>Table 40: MBMS IRAP non-aligned Class B (BL 720p – EL 1080p)</w:t>
      </w:r>
    </w:p>
    <w:tbl>
      <w:tblPr>
        <w:tblW w:w="6420" w:type="dxa"/>
        <w:jc w:val="center"/>
        <w:tblInd w:w="0" w:type="dxa"/>
        <w:tblLayout w:type="fixed"/>
        <w:tblCellMar>
          <w:top w:w="0" w:type="dxa"/>
          <w:left w:w="108" w:type="dxa"/>
          <w:bottom w:w="0" w:type="dxa"/>
          <w:right w:w="108" w:type="dxa"/>
        </w:tblCellMar>
      </w:tblPr>
      <w:tblGrid>
        <w:gridCol w:w="2240"/>
        <w:gridCol w:w="1219"/>
        <w:gridCol w:w="987"/>
        <w:gridCol w:w="987"/>
        <w:gridCol w:w="987"/>
      </w:tblGrid>
      <w:tr>
        <w:trPr>
          <w:trHeight w:val="300" w:hRule="atLeast"/>
        </w:trPr>
        <w:tc>
          <w:tcPr>
            <w:tcW w:w="22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Test Sequences</w:t>
            </w:r>
          </w:p>
        </w:tc>
        <w:tc>
          <w:tcPr>
            <w:tcW w:w="12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deltaQP</w:t>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BD-Rate Comparison</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SHVC Vs. Simulcast</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987" w:type="dxa"/>
            <w:tcBorders>
              <w:bottom w:val="single" w:sz="4" w:space="0" w:color="000000"/>
              <w:right w:val="single" w:sz="4" w:space="0" w:color="000000"/>
            </w:tcBorders>
            <w:vAlign w:val="bottom"/>
          </w:tcPr>
          <w:p>
            <w:pPr>
              <w:pStyle w:val="TAH"/>
              <w:rPr/>
            </w:pPr>
            <w:r>
              <w:rPr/>
              <w:t>Y</w:t>
            </w:r>
          </w:p>
        </w:tc>
        <w:tc>
          <w:tcPr>
            <w:tcW w:w="987" w:type="dxa"/>
            <w:tcBorders>
              <w:bottom w:val="single" w:sz="4" w:space="0" w:color="000000"/>
              <w:right w:val="single" w:sz="4" w:space="0" w:color="000000"/>
            </w:tcBorders>
            <w:vAlign w:val="bottom"/>
          </w:tcPr>
          <w:p>
            <w:pPr>
              <w:pStyle w:val="TAH"/>
              <w:rPr/>
            </w:pPr>
            <w:r>
              <w:rPr/>
              <w:t>U</w:t>
            </w:r>
          </w:p>
        </w:tc>
        <w:tc>
          <w:tcPr>
            <w:tcW w:w="987" w:type="dxa"/>
            <w:tcBorders>
              <w:bottom w:val="single" w:sz="4" w:space="0" w:color="000000"/>
              <w:right w:val="single" w:sz="4" w:space="0" w:color="000000"/>
            </w:tcBorders>
            <w:vAlign w:val="bottom"/>
          </w:tcPr>
          <w:p>
            <w:pPr>
              <w:pStyle w:val="TAH"/>
              <w:rPr/>
            </w:pPr>
            <w:r>
              <w:rPr/>
              <w:t>V</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-28.4%</w:t>
            </w:r>
          </w:p>
        </w:tc>
        <w:tc>
          <w:tcPr>
            <w:tcW w:w="987" w:type="dxa"/>
            <w:tcBorders/>
            <w:vAlign w:val="bottom"/>
          </w:tcPr>
          <w:p>
            <w:pPr>
              <w:pStyle w:val="TAL"/>
              <w:rPr/>
            </w:pPr>
            <w:r>
              <w:rPr/>
              <w:t>-20.7%</w:t>
            </w:r>
          </w:p>
        </w:tc>
        <w:tc>
          <w:tcPr>
            <w:tcW w:w="987" w:type="dxa"/>
            <w:tcBorders>
              <w:right w:val="single" w:sz="4" w:space="0" w:color="000000"/>
            </w:tcBorders>
            <w:vAlign w:val="bottom"/>
          </w:tcPr>
          <w:p>
            <w:pPr>
              <w:pStyle w:val="TAL"/>
              <w:rPr/>
            </w:pPr>
            <w:r>
              <w:rPr/>
              <w:t>-18.3%</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-20.2%</w:t>
            </w:r>
          </w:p>
        </w:tc>
        <w:tc>
          <w:tcPr>
            <w:tcW w:w="987" w:type="dxa"/>
            <w:tcBorders/>
            <w:vAlign w:val="bottom"/>
          </w:tcPr>
          <w:p>
            <w:pPr>
              <w:pStyle w:val="TAL"/>
              <w:rPr/>
            </w:pPr>
            <w:r>
              <w:rPr/>
              <w:t>-15.9%</w:t>
            </w:r>
          </w:p>
        </w:tc>
        <w:tc>
          <w:tcPr>
            <w:tcW w:w="987" w:type="dxa"/>
            <w:tcBorders>
              <w:right w:val="single" w:sz="4" w:space="0" w:color="000000"/>
            </w:tcBorders>
            <w:vAlign w:val="bottom"/>
          </w:tcPr>
          <w:p>
            <w:pPr>
              <w:pStyle w:val="TAL"/>
              <w:rPr/>
            </w:pPr>
            <w:r>
              <w:rPr/>
              <w:t>-15.2%</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-25.4%</w:t>
            </w:r>
          </w:p>
        </w:tc>
        <w:tc>
          <w:tcPr>
            <w:tcW w:w="987" w:type="dxa"/>
            <w:tcBorders/>
            <w:vAlign w:val="bottom"/>
          </w:tcPr>
          <w:p>
            <w:pPr>
              <w:pStyle w:val="TAL"/>
              <w:rPr/>
            </w:pPr>
            <w:r>
              <w:rPr/>
              <w:t>-21.4%</w:t>
            </w:r>
          </w:p>
        </w:tc>
        <w:tc>
          <w:tcPr>
            <w:tcW w:w="987" w:type="dxa"/>
            <w:tcBorders>
              <w:right w:val="single" w:sz="4" w:space="0" w:color="000000"/>
            </w:tcBorders>
            <w:vAlign w:val="bottom"/>
          </w:tcPr>
          <w:p>
            <w:pPr>
              <w:pStyle w:val="TAL"/>
              <w:rPr/>
            </w:pPr>
            <w:r>
              <w:rPr/>
              <w:t>-14.5%</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-26.8%</w:t>
            </w:r>
          </w:p>
        </w:tc>
        <w:tc>
          <w:tcPr>
            <w:tcW w:w="987" w:type="dxa"/>
            <w:tcBorders/>
            <w:vAlign w:val="bottom"/>
          </w:tcPr>
          <w:p>
            <w:pPr>
              <w:pStyle w:val="TAL"/>
              <w:rPr/>
            </w:pPr>
            <w:r>
              <w:rPr/>
              <w:t>-15.8%</w:t>
            </w:r>
          </w:p>
        </w:tc>
        <w:tc>
          <w:tcPr>
            <w:tcW w:w="987" w:type="dxa"/>
            <w:tcBorders>
              <w:right w:val="single" w:sz="4" w:space="0" w:color="000000"/>
            </w:tcBorders>
            <w:vAlign w:val="bottom"/>
          </w:tcPr>
          <w:p>
            <w:pPr>
              <w:pStyle w:val="TAL"/>
              <w:rPr/>
            </w:pPr>
            <w:r>
              <w:rPr/>
              <w:t>-16.2%</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-16.6%</w:t>
            </w:r>
          </w:p>
        </w:tc>
        <w:tc>
          <w:tcPr>
            <w:tcW w:w="987" w:type="dxa"/>
            <w:tcBorders/>
            <w:vAlign w:val="bottom"/>
          </w:tcPr>
          <w:p>
            <w:pPr>
              <w:pStyle w:val="TAL"/>
              <w:rPr/>
            </w:pPr>
            <w:r>
              <w:rPr/>
              <w:t>3.0%</w:t>
            </w:r>
          </w:p>
        </w:tc>
        <w:tc>
          <w:tcPr>
            <w:tcW w:w="987" w:type="dxa"/>
            <w:tcBorders>
              <w:right w:val="single" w:sz="4" w:space="0" w:color="000000"/>
            </w:tcBorders>
            <w:vAlign w:val="bottom"/>
          </w:tcPr>
          <w:p>
            <w:pPr>
              <w:pStyle w:val="TAL"/>
              <w:rPr/>
            </w:pPr>
            <w:r>
              <w:rPr/>
              <w:t>7.5%</w:t>
            </w:r>
          </w:p>
        </w:tc>
      </w:tr>
      <w:tr>
        <w:trPr>
          <w:trHeight w:val="300" w:hRule="atLeast"/>
        </w:trPr>
        <w:tc>
          <w:tcPr>
            <w:tcW w:w="3459" w:type="dxa"/>
            <w:gridSpan w:val="2"/>
            <w:tcBorders>
              <w:top w:val="single" w:sz="4" w:space="0" w:color="000000"/>
              <w:left w:val="single" w:sz="4" w:space="0" w:color="000000"/>
              <w:right w:val="single" w:sz="4" w:space="0" w:color="000000"/>
            </w:tcBorders>
            <w:vAlign w:val="bottom"/>
          </w:tcPr>
          <w:p>
            <w:pPr>
              <w:pStyle w:val="TAL"/>
              <w:rPr/>
            </w:pPr>
            <w:r>
              <w:rPr/>
              <w:t>Average</w:t>
            </w:r>
          </w:p>
        </w:tc>
        <w:tc>
          <w:tcPr>
            <w:tcW w:w="987" w:type="dxa"/>
            <w:tcBorders>
              <w:top w:val="single" w:sz="4" w:space="0" w:color="000000"/>
            </w:tcBorders>
            <w:vAlign w:val="bottom"/>
          </w:tcPr>
          <w:p>
            <w:pPr>
              <w:pStyle w:val="TAL"/>
              <w:rPr/>
            </w:pPr>
            <w:r>
              <w:rPr/>
              <w:t>-23.5%</w:t>
            </w:r>
          </w:p>
        </w:tc>
        <w:tc>
          <w:tcPr>
            <w:tcW w:w="987" w:type="dxa"/>
            <w:tcBorders>
              <w:top w:val="single" w:sz="4" w:space="0" w:color="000000"/>
            </w:tcBorders>
            <w:vAlign w:val="bottom"/>
          </w:tcPr>
          <w:p>
            <w:pPr>
              <w:pStyle w:val="TAL"/>
              <w:rPr/>
            </w:pPr>
            <w:r>
              <w:rPr/>
              <w:t>-14.2%</w:t>
            </w:r>
          </w:p>
        </w:tc>
        <w:tc>
          <w:tcPr>
            <w:tcW w:w="987" w:type="dxa"/>
            <w:tcBorders>
              <w:top w:val="single" w:sz="4" w:space="0" w:color="000000"/>
              <w:right w:val="single" w:sz="4" w:space="0" w:color="000000"/>
            </w:tcBorders>
            <w:vAlign w:val="bottom"/>
          </w:tcPr>
          <w:p>
            <w:pPr>
              <w:pStyle w:val="TAL"/>
              <w:rPr/>
            </w:pPr>
            <w:r>
              <w:rPr/>
              <w:t>-11.3%</w:t>
            </w:r>
          </w:p>
        </w:tc>
      </w:tr>
      <w:tr>
        <w:trPr>
          <w:trHeight w:val="300" w:hRule="atLeast"/>
        </w:trPr>
        <w:tc>
          <w:tcPr>
            <w:tcW w:w="2240" w:type="dxa"/>
            <w:tcBorders>
              <w:top w:val="single" w:sz="4" w:space="0" w:color="000000"/>
              <w:left w:val="single" w:sz="4" w:space="0" w:color="000000"/>
              <w:right w:val="single" w:sz="4" w:space="0" w:color="000000"/>
            </w:tcBorders>
            <w:vAlign w:val="bottom"/>
          </w:tcPr>
          <w:p>
            <w:pPr>
              <w:pStyle w:val="TAL"/>
              <w:rPr/>
            </w:pPr>
            <w:r>
              <w:rPr/>
              <w:t>Kimono</w:t>
            </w:r>
          </w:p>
        </w:tc>
        <w:tc>
          <w:tcPr>
            <w:tcW w:w="1219" w:type="dxa"/>
            <w:tcBorders>
              <w:top w:val="single" w:sz="4" w:space="0" w:color="000000"/>
              <w:right w:val="single" w:sz="4" w:space="0" w:color="000000"/>
            </w:tcBorders>
            <w:vAlign w:val="bottom"/>
          </w:tcPr>
          <w:p>
            <w:pPr>
              <w:pStyle w:val="TAL"/>
              <w:rPr/>
            </w:pPr>
            <w:r>
              <w:rPr/>
              <w:t>2</w:t>
            </w:r>
          </w:p>
        </w:tc>
        <w:tc>
          <w:tcPr>
            <w:tcW w:w="987" w:type="dxa"/>
            <w:tcBorders>
              <w:top w:val="single" w:sz="4" w:space="0" w:color="000000"/>
            </w:tcBorders>
            <w:vAlign w:val="bottom"/>
          </w:tcPr>
          <w:p>
            <w:pPr>
              <w:pStyle w:val="TAL"/>
              <w:rPr/>
            </w:pPr>
            <w:r>
              <w:rPr/>
              <w:t>-40.6%</w:t>
            </w:r>
          </w:p>
        </w:tc>
        <w:tc>
          <w:tcPr>
            <w:tcW w:w="987" w:type="dxa"/>
            <w:tcBorders>
              <w:top w:val="single" w:sz="4" w:space="0" w:color="000000"/>
            </w:tcBorders>
            <w:vAlign w:val="bottom"/>
          </w:tcPr>
          <w:p>
            <w:pPr>
              <w:pStyle w:val="TAL"/>
              <w:rPr/>
            </w:pPr>
            <w:r>
              <w:rPr/>
              <w:t>-34.5%</w:t>
            </w:r>
          </w:p>
        </w:tc>
        <w:tc>
          <w:tcPr>
            <w:tcW w:w="987" w:type="dxa"/>
            <w:tcBorders>
              <w:top w:val="single" w:sz="4" w:space="0" w:color="000000"/>
              <w:right w:val="single" w:sz="4" w:space="0" w:color="000000"/>
            </w:tcBorders>
            <w:vAlign w:val="bottom"/>
          </w:tcPr>
          <w:p>
            <w:pPr>
              <w:pStyle w:val="TAL"/>
              <w:rPr/>
            </w:pPr>
            <w:r>
              <w:rPr/>
              <w:t>-33.1%</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-29.6%</w:t>
            </w:r>
          </w:p>
        </w:tc>
        <w:tc>
          <w:tcPr>
            <w:tcW w:w="987" w:type="dxa"/>
            <w:tcBorders/>
            <w:vAlign w:val="bottom"/>
          </w:tcPr>
          <w:p>
            <w:pPr>
              <w:pStyle w:val="TAL"/>
              <w:rPr/>
            </w:pPr>
            <w:r>
              <w:rPr/>
              <w:t>-25.2%</w:t>
            </w:r>
          </w:p>
        </w:tc>
        <w:tc>
          <w:tcPr>
            <w:tcW w:w="987" w:type="dxa"/>
            <w:tcBorders>
              <w:right w:val="single" w:sz="4" w:space="0" w:color="000000"/>
            </w:tcBorders>
            <w:vAlign w:val="bottom"/>
          </w:tcPr>
          <w:p>
            <w:pPr>
              <w:pStyle w:val="TAL"/>
              <w:rPr/>
            </w:pPr>
            <w:r>
              <w:rPr/>
              <w:t>-25.4%</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-34.3%</w:t>
            </w:r>
          </w:p>
        </w:tc>
        <w:tc>
          <w:tcPr>
            <w:tcW w:w="987" w:type="dxa"/>
            <w:tcBorders/>
            <w:vAlign w:val="bottom"/>
          </w:tcPr>
          <w:p>
            <w:pPr>
              <w:pStyle w:val="TAL"/>
              <w:rPr/>
            </w:pPr>
            <w:r>
              <w:rPr/>
              <w:t>-32.2%</w:t>
            </w:r>
          </w:p>
        </w:tc>
        <w:tc>
          <w:tcPr>
            <w:tcW w:w="987" w:type="dxa"/>
            <w:tcBorders>
              <w:right w:val="single" w:sz="4" w:space="0" w:color="000000"/>
            </w:tcBorders>
            <w:vAlign w:val="bottom"/>
          </w:tcPr>
          <w:p>
            <w:pPr>
              <w:pStyle w:val="TAL"/>
              <w:rPr/>
            </w:pPr>
            <w:r>
              <w:rPr/>
              <w:t>-29.0%</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-36.4%</w:t>
            </w:r>
          </w:p>
        </w:tc>
        <w:tc>
          <w:tcPr>
            <w:tcW w:w="987" w:type="dxa"/>
            <w:tcBorders/>
            <w:vAlign w:val="bottom"/>
          </w:tcPr>
          <w:p>
            <w:pPr>
              <w:pStyle w:val="TAL"/>
              <w:rPr/>
            </w:pPr>
            <w:r>
              <w:rPr/>
              <w:t>-30.5%</w:t>
            </w:r>
          </w:p>
        </w:tc>
        <w:tc>
          <w:tcPr>
            <w:tcW w:w="987" w:type="dxa"/>
            <w:tcBorders>
              <w:right w:val="single" w:sz="4" w:space="0" w:color="000000"/>
            </w:tcBorders>
            <w:vAlign w:val="bottom"/>
          </w:tcPr>
          <w:p>
            <w:pPr>
              <w:pStyle w:val="TAL"/>
              <w:rPr/>
            </w:pPr>
            <w:r>
              <w:rPr/>
              <w:t>-30.1%</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2</w:t>
            </w:r>
          </w:p>
        </w:tc>
        <w:tc>
          <w:tcPr>
            <w:tcW w:w="987" w:type="dxa"/>
            <w:tcBorders>
              <w:bottom w:val="single" w:sz="4" w:space="0" w:color="000000"/>
            </w:tcBorders>
            <w:vAlign w:val="bottom"/>
          </w:tcPr>
          <w:p>
            <w:pPr>
              <w:pStyle w:val="TAL"/>
              <w:rPr/>
            </w:pPr>
            <w:r>
              <w:rPr/>
              <w:t>-23.4%</w:t>
            </w:r>
          </w:p>
        </w:tc>
        <w:tc>
          <w:tcPr>
            <w:tcW w:w="987" w:type="dxa"/>
            <w:tcBorders>
              <w:bottom w:val="single" w:sz="4" w:space="0" w:color="000000"/>
            </w:tcBorders>
            <w:vAlign w:val="bottom"/>
          </w:tcPr>
          <w:p>
            <w:pPr>
              <w:pStyle w:val="TAL"/>
              <w:rPr/>
            </w:pPr>
            <w:r>
              <w:rPr/>
              <w:t>-13.1%</w:t>
            </w:r>
          </w:p>
        </w:tc>
        <w:tc>
          <w:tcPr>
            <w:tcW w:w="987" w:type="dxa"/>
            <w:tcBorders>
              <w:bottom w:val="single" w:sz="4" w:space="0" w:color="000000"/>
              <w:right w:val="single" w:sz="4" w:space="0" w:color="000000"/>
            </w:tcBorders>
            <w:vAlign w:val="bottom"/>
          </w:tcPr>
          <w:p>
            <w:pPr>
              <w:pStyle w:val="TAL"/>
              <w:rPr/>
            </w:pPr>
            <w:r>
              <w:rPr/>
              <w:t>-13.5%</w:t>
            </w:r>
          </w:p>
        </w:tc>
      </w:tr>
      <w:tr>
        <w:trPr>
          <w:trHeight w:val="300" w:hRule="atLeast"/>
        </w:trPr>
        <w:tc>
          <w:tcPr>
            <w:tcW w:w="3459" w:type="dxa"/>
            <w:gridSpan w:val="2"/>
            <w:tcBorders>
              <w:top w:val="single" w:sz="4" w:space="0" w:color="000000"/>
              <w:left w:val="single" w:sz="4" w:space="0" w:color="000000"/>
              <w:bottom w:val="single" w:sz="4" w:space="0" w:color="000000"/>
              <w:right w:val="single" w:sz="4" w:space="0" w:color="000000"/>
            </w:tcBorders>
            <w:vAlign w:val="bottom"/>
          </w:tcPr>
          <w:p>
            <w:pPr>
              <w:pStyle w:val="TAL"/>
              <w:rPr/>
            </w:pPr>
            <w:r>
              <w:rPr/>
              <w:t>Average</w:t>
            </w:r>
          </w:p>
        </w:tc>
        <w:tc>
          <w:tcPr>
            <w:tcW w:w="987" w:type="dxa"/>
            <w:tcBorders>
              <w:top w:val="single" w:sz="4" w:space="0" w:color="000000"/>
              <w:left w:val="single" w:sz="4" w:space="0" w:color="000000"/>
              <w:bottom w:val="single" w:sz="4" w:space="0" w:color="000000"/>
            </w:tcBorders>
            <w:vAlign w:val="bottom"/>
          </w:tcPr>
          <w:p>
            <w:pPr>
              <w:pStyle w:val="TAL"/>
              <w:rPr/>
            </w:pPr>
            <w:r>
              <w:rPr/>
              <w:t>-32.9%</w:t>
            </w:r>
          </w:p>
        </w:tc>
        <w:tc>
          <w:tcPr>
            <w:tcW w:w="987" w:type="dxa"/>
            <w:tcBorders>
              <w:top w:val="single" w:sz="4" w:space="0" w:color="000000"/>
              <w:bottom w:val="single" w:sz="4" w:space="0" w:color="000000"/>
            </w:tcBorders>
            <w:vAlign w:val="bottom"/>
          </w:tcPr>
          <w:p>
            <w:pPr>
              <w:pStyle w:val="TAL"/>
              <w:rPr/>
            </w:pPr>
            <w:r>
              <w:rPr/>
              <w:t>-27.1%</w:t>
            </w:r>
          </w:p>
        </w:tc>
        <w:tc>
          <w:tcPr>
            <w:tcW w:w="987" w:type="dxa"/>
            <w:tcBorders>
              <w:top w:val="single" w:sz="4" w:space="0" w:color="000000"/>
              <w:bottom w:val="single" w:sz="4" w:space="0" w:color="000000"/>
              <w:right w:val="single" w:sz="4" w:space="0" w:color="000000"/>
            </w:tcBorders>
            <w:vAlign w:val="bottom"/>
          </w:tcPr>
          <w:p>
            <w:pPr>
              <w:pStyle w:val="TAL"/>
              <w:rPr/>
            </w:pPr>
            <w:r>
              <w:rPr/>
              <w:t>-26.2%</w:t>
            </w:r>
          </w:p>
        </w:tc>
      </w:tr>
    </w:tbl>
    <w:p>
      <w:pPr>
        <w:pStyle w:val="Normal"/>
        <w:rPr/>
      </w:pPr>
      <w:r>
        <w:rPr/>
      </w:r>
    </w:p>
    <w:p>
      <w:pPr>
        <w:pStyle w:val="TH"/>
        <w:rPr/>
      </w:pPr>
      <w:r>
        <w:rPr/>
        <w:t>Table 41: MBMS IRAP non-aligned Class B (BL 540p – EL 1080p)</w:t>
      </w:r>
    </w:p>
    <w:tbl>
      <w:tblPr>
        <w:tblW w:w="6420" w:type="dxa"/>
        <w:jc w:val="center"/>
        <w:tblInd w:w="0" w:type="dxa"/>
        <w:tblLayout w:type="fixed"/>
        <w:tblCellMar>
          <w:top w:w="0" w:type="dxa"/>
          <w:left w:w="108" w:type="dxa"/>
          <w:bottom w:w="0" w:type="dxa"/>
          <w:right w:w="108" w:type="dxa"/>
        </w:tblCellMar>
      </w:tblPr>
      <w:tblGrid>
        <w:gridCol w:w="2240"/>
        <w:gridCol w:w="1219"/>
        <w:gridCol w:w="987"/>
        <w:gridCol w:w="987"/>
        <w:gridCol w:w="987"/>
      </w:tblGrid>
      <w:tr>
        <w:trPr>
          <w:trHeight w:val="300" w:hRule="atLeast"/>
        </w:trPr>
        <w:tc>
          <w:tcPr>
            <w:tcW w:w="22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Test Sequences</w:t>
            </w:r>
          </w:p>
        </w:tc>
        <w:tc>
          <w:tcPr>
            <w:tcW w:w="12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deltaQP</w:t>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BD-Rate Comparison</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2961" w:type="dxa"/>
            <w:gridSpan w:val="3"/>
            <w:tcBorders>
              <w:top w:val="single" w:sz="4" w:space="0" w:color="000000"/>
              <w:bottom w:val="single" w:sz="4" w:space="0" w:color="000000"/>
              <w:right w:val="single" w:sz="4" w:space="0" w:color="000000"/>
            </w:tcBorders>
            <w:vAlign w:val="bottom"/>
          </w:tcPr>
          <w:p>
            <w:pPr>
              <w:pStyle w:val="TAH"/>
              <w:rPr/>
            </w:pPr>
            <w:r>
              <w:rPr/>
              <w:t>SHVC Vs. Simulcast</w:t>
            </w:r>
          </w:p>
        </w:tc>
      </w:tr>
      <w:tr>
        <w:trPr>
          <w:trHeight w:val="300" w:hRule="atLeast"/>
        </w:trPr>
        <w:tc>
          <w:tcPr>
            <w:tcW w:w="22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sz w:val="22"/>
                <w:szCs w:val="22"/>
              </w:rPr>
            </w:pPr>
            <w:r>
              <w:rPr>
                <w:bCs/>
                <w:sz w:val="22"/>
                <w:szCs w:val="22"/>
              </w:rPr>
            </w:r>
          </w:p>
        </w:tc>
        <w:tc>
          <w:tcPr>
            <w:tcW w:w="12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bCs/>
              </w:rPr>
            </w:pPr>
            <w:r>
              <w:rPr>
                <w:bCs/>
              </w:rPr>
            </w:r>
          </w:p>
        </w:tc>
        <w:tc>
          <w:tcPr>
            <w:tcW w:w="987" w:type="dxa"/>
            <w:tcBorders>
              <w:bottom w:val="single" w:sz="4" w:space="0" w:color="000000"/>
              <w:right w:val="single" w:sz="4" w:space="0" w:color="000000"/>
            </w:tcBorders>
            <w:vAlign w:val="bottom"/>
          </w:tcPr>
          <w:p>
            <w:pPr>
              <w:pStyle w:val="TAH"/>
              <w:rPr/>
            </w:pPr>
            <w:r>
              <w:rPr/>
              <w:t>Y</w:t>
            </w:r>
          </w:p>
        </w:tc>
        <w:tc>
          <w:tcPr>
            <w:tcW w:w="987" w:type="dxa"/>
            <w:tcBorders>
              <w:bottom w:val="single" w:sz="4" w:space="0" w:color="000000"/>
              <w:right w:val="single" w:sz="4" w:space="0" w:color="000000"/>
            </w:tcBorders>
            <w:vAlign w:val="bottom"/>
          </w:tcPr>
          <w:p>
            <w:pPr>
              <w:pStyle w:val="TAH"/>
              <w:rPr/>
            </w:pPr>
            <w:r>
              <w:rPr/>
              <w:t>U</w:t>
            </w:r>
          </w:p>
        </w:tc>
        <w:tc>
          <w:tcPr>
            <w:tcW w:w="987" w:type="dxa"/>
            <w:tcBorders>
              <w:bottom w:val="single" w:sz="4" w:space="0" w:color="000000"/>
              <w:right w:val="single" w:sz="4" w:space="0" w:color="000000"/>
            </w:tcBorders>
            <w:vAlign w:val="bottom"/>
          </w:tcPr>
          <w:p>
            <w:pPr>
              <w:pStyle w:val="TAH"/>
              <w:rPr/>
            </w:pPr>
            <w:r>
              <w:rPr/>
              <w:t>V</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-18.9%</w:t>
            </w:r>
          </w:p>
        </w:tc>
        <w:tc>
          <w:tcPr>
            <w:tcW w:w="987" w:type="dxa"/>
            <w:tcBorders/>
            <w:vAlign w:val="bottom"/>
          </w:tcPr>
          <w:p>
            <w:pPr>
              <w:pStyle w:val="TAL"/>
              <w:rPr/>
            </w:pPr>
            <w:r>
              <w:rPr/>
              <w:t>-11.0%</w:t>
            </w:r>
          </w:p>
        </w:tc>
        <w:tc>
          <w:tcPr>
            <w:tcW w:w="987" w:type="dxa"/>
            <w:tcBorders>
              <w:right w:val="single" w:sz="4" w:space="0" w:color="000000"/>
            </w:tcBorders>
            <w:vAlign w:val="bottom"/>
          </w:tcPr>
          <w:p>
            <w:pPr>
              <w:pStyle w:val="TAL"/>
              <w:rPr/>
            </w:pPr>
            <w:r>
              <w:rPr/>
              <w:t>-8.5%</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-11.7%</w:t>
            </w:r>
          </w:p>
        </w:tc>
        <w:tc>
          <w:tcPr>
            <w:tcW w:w="987" w:type="dxa"/>
            <w:tcBorders/>
            <w:vAlign w:val="bottom"/>
          </w:tcPr>
          <w:p>
            <w:pPr>
              <w:pStyle w:val="TAL"/>
              <w:rPr/>
            </w:pPr>
            <w:r>
              <w:rPr/>
              <w:t>-9.6%</w:t>
            </w:r>
          </w:p>
        </w:tc>
        <w:tc>
          <w:tcPr>
            <w:tcW w:w="987" w:type="dxa"/>
            <w:tcBorders>
              <w:right w:val="single" w:sz="4" w:space="0" w:color="000000"/>
            </w:tcBorders>
            <w:vAlign w:val="bottom"/>
          </w:tcPr>
          <w:p>
            <w:pPr>
              <w:pStyle w:val="TAL"/>
              <w:rPr/>
            </w:pPr>
            <w:r>
              <w:rPr/>
              <w:t>-9.0%</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-16.3%</w:t>
            </w:r>
          </w:p>
        </w:tc>
        <w:tc>
          <w:tcPr>
            <w:tcW w:w="987" w:type="dxa"/>
            <w:tcBorders/>
            <w:vAlign w:val="bottom"/>
          </w:tcPr>
          <w:p>
            <w:pPr>
              <w:pStyle w:val="TAL"/>
              <w:rPr/>
            </w:pPr>
            <w:r>
              <w:rPr/>
              <w:t>-12.8%</w:t>
            </w:r>
          </w:p>
        </w:tc>
        <w:tc>
          <w:tcPr>
            <w:tcW w:w="987" w:type="dxa"/>
            <w:tcBorders>
              <w:right w:val="single" w:sz="4" w:space="0" w:color="000000"/>
            </w:tcBorders>
            <w:vAlign w:val="bottom"/>
          </w:tcPr>
          <w:p>
            <w:pPr>
              <w:pStyle w:val="TAL"/>
              <w:rPr/>
            </w:pPr>
            <w:r>
              <w:rPr/>
              <w:t>-6.4%</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-17.0%</w:t>
            </w:r>
          </w:p>
        </w:tc>
        <w:tc>
          <w:tcPr>
            <w:tcW w:w="987" w:type="dxa"/>
            <w:tcBorders/>
            <w:vAlign w:val="bottom"/>
          </w:tcPr>
          <w:p>
            <w:pPr>
              <w:pStyle w:val="TAL"/>
              <w:rPr/>
            </w:pPr>
            <w:r>
              <w:rPr/>
              <w:t>-5.0%</w:t>
            </w:r>
          </w:p>
        </w:tc>
        <w:tc>
          <w:tcPr>
            <w:tcW w:w="987" w:type="dxa"/>
            <w:tcBorders>
              <w:right w:val="single" w:sz="4" w:space="0" w:color="000000"/>
            </w:tcBorders>
            <w:vAlign w:val="bottom"/>
          </w:tcPr>
          <w:p>
            <w:pPr>
              <w:pStyle w:val="TAL"/>
              <w:rPr/>
            </w:pPr>
            <w:r>
              <w:rPr/>
              <w:t>-6.5%</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0</w:t>
            </w:r>
          </w:p>
        </w:tc>
        <w:tc>
          <w:tcPr>
            <w:tcW w:w="987" w:type="dxa"/>
            <w:tcBorders/>
            <w:vAlign w:val="bottom"/>
          </w:tcPr>
          <w:p>
            <w:pPr>
              <w:pStyle w:val="TAL"/>
              <w:rPr/>
            </w:pPr>
            <w:r>
              <w:rPr/>
              <w:t>-10.1%</w:t>
            </w:r>
          </w:p>
        </w:tc>
        <w:tc>
          <w:tcPr>
            <w:tcW w:w="987" w:type="dxa"/>
            <w:tcBorders/>
            <w:vAlign w:val="bottom"/>
          </w:tcPr>
          <w:p>
            <w:pPr>
              <w:pStyle w:val="TAL"/>
              <w:rPr/>
            </w:pPr>
            <w:r>
              <w:rPr/>
              <w:t>-0.1%</w:t>
            </w:r>
          </w:p>
        </w:tc>
        <w:tc>
          <w:tcPr>
            <w:tcW w:w="987" w:type="dxa"/>
            <w:tcBorders>
              <w:right w:val="single" w:sz="4" w:space="0" w:color="000000"/>
            </w:tcBorders>
            <w:vAlign w:val="bottom"/>
          </w:tcPr>
          <w:p>
            <w:pPr>
              <w:pStyle w:val="TAL"/>
              <w:rPr/>
            </w:pPr>
            <w:r>
              <w:rPr/>
              <w:t>3.4%</w:t>
            </w:r>
          </w:p>
        </w:tc>
      </w:tr>
      <w:tr>
        <w:trPr>
          <w:trHeight w:val="300" w:hRule="atLeast"/>
        </w:trPr>
        <w:tc>
          <w:tcPr>
            <w:tcW w:w="3459" w:type="dxa"/>
            <w:gridSpan w:val="2"/>
            <w:tcBorders>
              <w:top w:val="single" w:sz="4" w:space="0" w:color="000000"/>
              <w:left w:val="single" w:sz="4" w:space="0" w:color="000000"/>
              <w:bottom w:val="single" w:sz="4" w:space="0" w:color="000000"/>
              <w:right w:val="single" w:sz="4" w:space="0" w:color="000000"/>
            </w:tcBorders>
            <w:vAlign w:val="bottom"/>
          </w:tcPr>
          <w:p>
            <w:pPr>
              <w:pStyle w:val="TAL"/>
              <w:rPr/>
            </w:pPr>
            <w:r>
              <w:rPr/>
              <w:t>Average</w:t>
            </w:r>
          </w:p>
        </w:tc>
        <w:tc>
          <w:tcPr>
            <w:tcW w:w="987" w:type="dxa"/>
            <w:tcBorders>
              <w:top w:val="single" w:sz="4" w:space="0" w:color="000000"/>
            </w:tcBorders>
            <w:vAlign w:val="bottom"/>
          </w:tcPr>
          <w:p>
            <w:pPr>
              <w:pStyle w:val="TAL"/>
              <w:rPr/>
            </w:pPr>
            <w:r>
              <w:rPr/>
              <w:t>-14.8%</w:t>
            </w:r>
          </w:p>
        </w:tc>
        <w:tc>
          <w:tcPr>
            <w:tcW w:w="987" w:type="dxa"/>
            <w:tcBorders>
              <w:top w:val="single" w:sz="4" w:space="0" w:color="000000"/>
            </w:tcBorders>
            <w:vAlign w:val="bottom"/>
          </w:tcPr>
          <w:p>
            <w:pPr>
              <w:pStyle w:val="TAL"/>
              <w:rPr/>
            </w:pPr>
            <w:r>
              <w:rPr/>
              <w:t>-7.7%</w:t>
            </w:r>
          </w:p>
        </w:tc>
        <w:tc>
          <w:tcPr>
            <w:tcW w:w="987" w:type="dxa"/>
            <w:tcBorders>
              <w:top w:val="single" w:sz="4" w:space="0" w:color="000000"/>
              <w:right w:val="single" w:sz="4" w:space="0" w:color="000000"/>
            </w:tcBorders>
            <w:vAlign w:val="bottom"/>
          </w:tcPr>
          <w:p>
            <w:pPr>
              <w:pStyle w:val="TAL"/>
              <w:rPr/>
            </w:pPr>
            <w:r>
              <w:rPr/>
              <w:t>-5.4%</w:t>
            </w:r>
          </w:p>
        </w:tc>
      </w:tr>
      <w:tr>
        <w:trPr>
          <w:trHeight w:val="300" w:hRule="atLeast"/>
        </w:trPr>
        <w:tc>
          <w:tcPr>
            <w:tcW w:w="2240" w:type="dxa"/>
            <w:tcBorders>
              <w:left w:val="single" w:sz="4" w:space="0" w:color="000000"/>
              <w:right w:val="single" w:sz="4" w:space="0" w:color="000000"/>
            </w:tcBorders>
            <w:vAlign w:val="bottom"/>
          </w:tcPr>
          <w:p>
            <w:pPr>
              <w:pStyle w:val="TAL"/>
              <w:rPr/>
            </w:pPr>
            <w:r>
              <w:rPr/>
              <w:t>Kimono</w:t>
            </w:r>
          </w:p>
        </w:tc>
        <w:tc>
          <w:tcPr>
            <w:tcW w:w="1219" w:type="dxa"/>
            <w:tcBorders>
              <w:right w:val="single" w:sz="4" w:space="0" w:color="000000"/>
            </w:tcBorders>
            <w:vAlign w:val="bottom"/>
          </w:tcPr>
          <w:p>
            <w:pPr>
              <w:pStyle w:val="TAL"/>
              <w:rPr/>
            </w:pPr>
            <w:r>
              <w:rPr/>
              <w:t>2</w:t>
            </w:r>
          </w:p>
        </w:tc>
        <w:tc>
          <w:tcPr>
            <w:tcW w:w="987" w:type="dxa"/>
            <w:tcBorders>
              <w:top w:val="single" w:sz="4" w:space="0" w:color="000000"/>
            </w:tcBorders>
            <w:vAlign w:val="bottom"/>
          </w:tcPr>
          <w:p>
            <w:pPr>
              <w:pStyle w:val="TAL"/>
              <w:rPr/>
            </w:pPr>
            <w:r>
              <w:rPr/>
              <w:t>-26.8%</w:t>
            </w:r>
          </w:p>
        </w:tc>
        <w:tc>
          <w:tcPr>
            <w:tcW w:w="987" w:type="dxa"/>
            <w:tcBorders>
              <w:top w:val="single" w:sz="4" w:space="0" w:color="000000"/>
            </w:tcBorders>
            <w:vAlign w:val="bottom"/>
          </w:tcPr>
          <w:p>
            <w:pPr>
              <w:pStyle w:val="TAL"/>
              <w:rPr/>
            </w:pPr>
            <w:r>
              <w:rPr/>
              <w:t>-18.3%</w:t>
            </w:r>
          </w:p>
        </w:tc>
        <w:tc>
          <w:tcPr>
            <w:tcW w:w="987" w:type="dxa"/>
            <w:tcBorders>
              <w:top w:val="single" w:sz="4" w:space="0" w:color="000000"/>
              <w:right w:val="single" w:sz="4" w:space="0" w:color="000000"/>
            </w:tcBorders>
            <w:vAlign w:val="bottom"/>
          </w:tcPr>
          <w:p>
            <w:pPr>
              <w:pStyle w:val="TAL"/>
              <w:rPr/>
            </w:pPr>
            <w:r>
              <w:rPr/>
              <w:t>-16.0%</w:t>
            </w:r>
          </w:p>
        </w:tc>
      </w:tr>
      <w:tr>
        <w:trPr>
          <w:trHeight w:val="300" w:hRule="atLeast"/>
        </w:trPr>
        <w:tc>
          <w:tcPr>
            <w:tcW w:w="2240" w:type="dxa"/>
            <w:tcBorders>
              <w:left w:val="single" w:sz="4" w:space="0" w:color="000000"/>
              <w:right w:val="single" w:sz="4" w:space="0" w:color="000000"/>
            </w:tcBorders>
            <w:vAlign w:val="bottom"/>
          </w:tcPr>
          <w:p>
            <w:pPr>
              <w:pStyle w:val="TAL"/>
              <w:rPr/>
            </w:pPr>
            <w:r>
              <w:rPr/>
              <w:t>ParkScene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-15.9%</w:t>
            </w:r>
          </w:p>
        </w:tc>
        <w:tc>
          <w:tcPr>
            <w:tcW w:w="987" w:type="dxa"/>
            <w:tcBorders/>
            <w:vAlign w:val="bottom"/>
          </w:tcPr>
          <w:p>
            <w:pPr>
              <w:pStyle w:val="TAL"/>
              <w:rPr/>
            </w:pPr>
            <w:r>
              <w:rPr/>
              <w:t>-13.1%</w:t>
            </w:r>
          </w:p>
        </w:tc>
        <w:tc>
          <w:tcPr>
            <w:tcW w:w="987" w:type="dxa"/>
            <w:tcBorders>
              <w:right w:val="single" w:sz="4" w:space="0" w:color="000000"/>
            </w:tcBorders>
            <w:vAlign w:val="bottom"/>
          </w:tcPr>
          <w:p>
            <w:pPr>
              <w:pStyle w:val="TAL"/>
              <w:rPr/>
            </w:pPr>
            <w:r>
              <w:rPr/>
              <w:t>-12.7%</w:t>
            </w:r>
          </w:p>
        </w:tc>
      </w:tr>
      <w:tr>
        <w:trPr>
          <w:trHeight w:val="300" w:hRule="atLeast"/>
        </w:trPr>
        <w:tc>
          <w:tcPr>
            <w:tcW w:w="2240" w:type="dxa"/>
            <w:tcBorders>
              <w:left w:val="single" w:sz="4" w:space="0" w:color="000000"/>
              <w:right w:val="single" w:sz="4" w:space="0" w:color="000000"/>
            </w:tcBorders>
            <w:vAlign w:val="bottom"/>
          </w:tcPr>
          <w:p>
            <w:pPr>
              <w:pStyle w:val="TAL"/>
              <w:rPr/>
            </w:pPr>
            <w:r>
              <w:rPr/>
              <w:t>Cactus</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-20.6%</w:t>
            </w:r>
          </w:p>
        </w:tc>
        <w:tc>
          <w:tcPr>
            <w:tcW w:w="987" w:type="dxa"/>
            <w:tcBorders/>
            <w:vAlign w:val="bottom"/>
          </w:tcPr>
          <w:p>
            <w:pPr>
              <w:pStyle w:val="TAL"/>
              <w:rPr/>
            </w:pPr>
            <w:r>
              <w:rPr/>
              <w:t>-17.0%</w:t>
            </w:r>
          </w:p>
        </w:tc>
        <w:tc>
          <w:tcPr>
            <w:tcW w:w="987" w:type="dxa"/>
            <w:tcBorders>
              <w:right w:val="single" w:sz="4" w:space="0" w:color="000000"/>
            </w:tcBorders>
            <w:vAlign w:val="bottom"/>
          </w:tcPr>
          <w:p>
            <w:pPr>
              <w:pStyle w:val="TAL"/>
              <w:rPr/>
            </w:pPr>
            <w:r>
              <w:rPr/>
              <w:t>-12.5%</w:t>
            </w:r>
          </w:p>
        </w:tc>
      </w:tr>
      <w:tr>
        <w:trPr>
          <w:trHeight w:val="300" w:hRule="atLeast"/>
        </w:trPr>
        <w:tc>
          <w:tcPr>
            <w:tcW w:w="2240" w:type="dxa"/>
            <w:tcBorders>
              <w:left w:val="single" w:sz="4" w:space="0" w:color="000000"/>
              <w:right w:val="single" w:sz="4" w:space="0" w:color="000000"/>
            </w:tcBorders>
            <w:vAlign w:val="bottom"/>
          </w:tcPr>
          <w:p>
            <w:pPr>
              <w:pStyle w:val="TAL"/>
              <w:rPr/>
            </w:pPr>
            <w:r>
              <w:rPr/>
              <w:t>BasketballDrive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-23.4%</w:t>
            </w:r>
          </w:p>
        </w:tc>
        <w:tc>
          <w:tcPr>
            <w:tcW w:w="987" w:type="dxa"/>
            <w:tcBorders/>
            <w:vAlign w:val="bottom"/>
          </w:tcPr>
          <w:p>
            <w:pPr>
              <w:pStyle w:val="TAL"/>
              <w:rPr/>
            </w:pPr>
            <w:r>
              <w:rPr/>
              <w:t>-12.7%</w:t>
            </w:r>
          </w:p>
        </w:tc>
        <w:tc>
          <w:tcPr>
            <w:tcW w:w="987" w:type="dxa"/>
            <w:tcBorders>
              <w:right w:val="single" w:sz="4" w:space="0" w:color="000000"/>
            </w:tcBorders>
            <w:vAlign w:val="bottom"/>
          </w:tcPr>
          <w:p>
            <w:pPr>
              <w:pStyle w:val="TAL"/>
              <w:rPr/>
            </w:pPr>
            <w:r>
              <w:rPr/>
              <w:t>-13.3%</w:t>
            </w:r>
          </w:p>
        </w:tc>
      </w:tr>
      <w:tr>
        <w:trPr>
          <w:trHeight w:val="300" w:hRule="atLeast"/>
        </w:trPr>
        <w:tc>
          <w:tcPr>
            <w:tcW w:w="2240" w:type="dxa"/>
            <w:tcBorders>
              <w:left w:val="single" w:sz="4" w:space="0" w:color="000000"/>
              <w:right w:val="single" w:sz="4" w:space="0" w:color="000000"/>
            </w:tcBorders>
            <w:vAlign w:val="bottom"/>
          </w:tcPr>
          <w:p>
            <w:pPr>
              <w:pStyle w:val="TAL"/>
              <w:rPr/>
            </w:pPr>
            <w:r>
              <w:rPr/>
              <w:t>BQTerrace</w:t>
            </w:r>
          </w:p>
        </w:tc>
        <w:tc>
          <w:tcPr>
            <w:tcW w:w="1219" w:type="dxa"/>
            <w:tcBorders>
              <w:right w:val="single" w:sz="4" w:space="0" w:color="000000"/>
            </w:tcBorders>
            <w:vAlign w:val="bottom"/>
          </w:tcPr>
          <w:p>
            <w:pPr>
              <w:pStyle w:val="TAL"/>
              <w:rPr/>
            </w:pPr>
            <w:r>
              <w:rPr/>
              <w:t>2</w:t>
            </w:r>
          </w:p>
        </w:tc>
        <w:tc>
          <w:tcPr>
            <w:tcW w:w="987" w:type="dxa"/>
            <w:tcBorders/>
            <w:vAlign w:val="bottom"/>
          </w:tcPr>
          <w:p>
            <w:pPr>
              <w:pStyle w:val="TAL"/>
              <w:rPr/>
            </w:pPr>
            <w:r>
              <w:rPr/>
              <w:t>-13.2%</w:t>
            </w:r>
          </w:p>
        </w:tc>
        <w:tc>
          <w:tcPr>
            <w:tcW w:w="987" w:type="dxa"/>
            <w:tcBorders/>
            <w:vAlign w:val="bottom"/>
          </w:tcPr>
          <w:p>
            <w:pPr>
              <w:pStyle w:val="TAL"/>
              <w:rPr/>
            </w:pPr>
            <w:r>
              <w:rPr/>
              <w:t>-4.8%</w:t>
            </w:r>
          </w:p>
        </w:tc>
        <w:tc>
          <w:tcPr>
            <w:tcW w:w="987" w:type="dxa"/>
            <w:tcBorders>
              <w:right w:val="single" w:sz="4" w:space="0" w:color="000000"/>
            </w:tcBorders>
            <w:vAlign w:val="bottom"/>
          </w:tcPr>
          <w:p>
            <w:pPr>
              <w:pStyle w:val="TAL"/>
              <w:rPr/>
            </w:pPr>
            <w:r>
              <w:rPr/>
              <w:t>-3.5%</w:t>
            </w:r>
          </w:p>
        </w:tc>
      </w:tr>
      <w:tr>
        <w:trPr>
          <w:trHeight w:val="300" w:hRule="atLeast"/>
        </w:trPr>
        <w:tc>
          <w:tcPr>
            <w:tcW w:w="3459" w:type="dxa"/>
            <w:gridSpan w:val="2"/>
            <w:tcBorders>
              <w:top w:val="single" w:sz="4" w:space="0" w:color="000000"/>
              <w:left w:val="single" w:sz="4" w:space="0" w:color="000000"/>
              <w:bottom w:val="single" w:sz="4" w:space="0" w:color="000000"/>
              <w:right w:val="single" w:sz="4" w:space="0" w:color="000000"/>
            </w:tcBorders>
            <w:vAlign w:val="bottom"/>
          </w:tcPr>
          <w:p>
            <w:pPr>
              <w:pStyle w:val="TAL"/>
              <w:rPr/>
            </w:pPr>
            <w:r>
              <w:rPr/>
              <w:t>Average</w:t>
            </w:r>
          </w:p>
        </w:tc>
        <w:tc>
          <w:tcPr>
            <w:tcW w:w="987" w:type="dxa"/>
            <w:tcBorders>
              <w:top w:val="single" w:sz="4" w:space="0" w:color="000000"/>
              <w:bottom w:val="single" w:sz="4" w:space="0" w:color="000000"/>
            </w:tcBorders>
            <w:vAlign w:val="bottom"/>
          </w:tcPr>
          <w:p>
            <w:pPr>
              <w:pStyle w:val="TAL"/>
              <w:rPr/>
            </w:pPr>
            <w:r>
              <w:rPr/>
              <w:t>-20.0%</w:t>
            </w:r>
          </w:p>
        </w:tc>
        <w:tc>
          <w:tcPr>
            <w:tcW w:w="987" w:type="dxa"/>
            <w:tcBorders>
              <w:top w:val="single" w:sz="4" w:space="0" w:color="000000"/>
              <w:bottom w:val="single" w:sz="4" w:space="0" w:color="000000"/>
            </w:tcBorders>
            <w:vAlign w:val="bottom"/>
          </w:tcPr>
          <w:p>
            <w:pPr>
              <w:pStyle w:val="TAL"/>
              <w:rPr/>
            </w:pPr>
            <w:r>
              <w:rPr/>
              <w:t>-13.2%</w:t>
            </w:r>
          </w:p>
        </w:tc>
        <w:tc>
          <w:tcPr>
            <w:tcW w:w="987" w:type="dxa"/>
            <w:tcBorders>
              <w:top w:val="single" w:sz="4" w:space="0" w:color="000000"/>
              <w:bottom w:val="single" w:sz="4" w:space="0" w:color="000000"/>
              <w:right w:val="single" w:sz="4" w:space="0" w:color="000000"/>
            </w:tcBorders>
            <w:vAlign w:val="bottom"/>
          </w:tcPr>
          <w:p>
            <w:pPr>
              <w:pStyle w:val="TAL"/>
              <w:rPr/>
            </w:pPr>
            <w:r>
              <w:rPr/>
              <w:t>-11.6%</w:t>
            </w:r>
          </w:p>
        </w:tc>
      </w:tr>
    </w:tbl>
    <w:p>
      <w:pPr>
        <w:pStyle w:val="Normal"/>
        <w:rPr/>
      </w:pPr>
      <w:r>
        <w:rPr/>
      </w:r>
    </w:p>
    <w:p>
      <w:pPr>
        <w:pStyle w:val="Heading3"/>
        <w:rPr/>
      </w:pPr>
      <w:bookmarkStart w:id="94" w:name="__RefHeading___Toc517445382"/>
      <w:bookmarkEnd w:id="94"/>
      <w:r>
        <w:rPr/>
        <w:t>7.2.3</w:t>
        <w:tab/>
        <w:t>3GP-DASH</w:t>
      </w:r>
    </w:p>
    <w:p>
      <w:pPr>
        <w:pStyle w:val="Heading4"/>
        <w:ind w:left="1418" w:hanging="1418"/>
        <w:jc w:val="both"/>
        <w:rPr/>
      </w:pPr>
      <w:bookmarkStart w:id="95" w:name="__RefHeading___Toc517445383"/>
      <w:bookmarkEnd w:id="95"/>
      <w:r>
        <w:rPr/>
        <w:t>7.2.3.0</w:t>
        <w:tab/>
        <w:t>General</w:t>
      </w:r>
    </w:p>
    <w:p>
      <w:pPr>
        <w:pStyle w:val="Normal"/>
        <w:rPr/>
      </w:pPr>
      <w:r>
        <w:rPr/>
        <w:t>In this clause, simulation results for the 3GP-DASH service are provided, comparing SHVC vs HEVC simulcast. A particular value of the BD-rate decrease of SHVC comparing simulcast indicates how much less bandwidth, in percentage, is needed for transmission of the three-layer SHVC bitstream compared to transmission of all three HEVC single-layer bitstreams, on average for the same quality of the highest resolution video. The comparison indicates the difference of the bandwidth requirements for SHVC vs simulcast in the network link between the origin server and the caches/proxies.</w:t>
      </w:r>
    </w:p>
    <w:p>
      <w:pPr>
        <w:pStyle w:val="Normal"/>
        <w:rPr/>
      </w:pPr>
      <w:r>
        <w:rPr>
          <w:lang w:eastAsia="ko-KR"/>
        </w:rPr>
        <w:t xml:space="preserve">The temporal scalability is enabled in 3GP-DASH test. There are 4 temporal sub-layers of the hierarchic-B coding structure with GOP length 8 as illustrated in </w:t>
      </w:r>
      <w:r>
        <w:rPr/>
        <w:t>Figure 21</w:t>
      </w:r>
      <w:r>
        <w:rPr>
          <w:lang w:eastAsia="ko-KR"/>
        </w:rPr>
        <w:t>. The results of using different number of temporal sub-layers for the inter-layer prediction are provided.</w:t>
      </w:r>
    </w:p>
    <w:p>
      <w:pPr>
        <w:pStyle w:val="TH"/>
        <w:rPr/>
      </w:pPr>
      <w:r>
        <w:rPr/>
        <w:drawing>
          <wp:inline distT="0" distB="0" distL="0" distR="0">
            <wp:extent cx="5943600" cy="1986915"/>
            <wp:effectExtent l="0" t="0" r="0" b="0"/>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33"/>
                    <a:srcRect l="-6" t="-18" r="-6" b="-18"/>
                    <a:stretch>
                      <a:fillRect/>
                    </a:stretch>
                  </pic:blipFill>
                  <pic:spPr bwMode="auto">
                    <a:xfrm>
                      <a:off x="0" y="0"/>
                      <a:ext cx="5943600" cy="1986915"/>
                    </a:xfrm>
                    <a:prstGeom prst="rect">
                      <a:avLst/>
                    </a:prstGeom>
                  </pic:spPr>
                </pic:pic>
              </a:graphicData>
            </a:graphic>
          </wp:inline>
        </w:drawing>
      </w:r>
    </w:p>
    <w:p>
      <w:pPr>
        <w:pStyle w:val="TF"/>
        <w:rPr/>
      </w:pPr>
      <w:r>
        <w:rPr/>
        <w:t>Figure 21: Temporal sub-layers of hierarchic-B coding structure</w:t>
      </w:r>
    </w:p>
    <w:p>
      <w:pPr>
        <w:pStyle w:val="Normal"/>
        <w:rPr/>
      </w:pPr>
      <w:r>
        <w:rPr>
          <w:lang w:eastAsia="ko-KR"/>
        </w:rPr>
        <w:t>There are 2 IRAP distance options. For cross-layer IRAP aligned option, both base layer and enhancement layer share the same IRAP distance (approximately 4 seconds). For the cross-layer IRAP non-aligned option, the base layer IRAP distance is approximately 4 seconds while the enhancement layer IRAP distance is 2 seconds in order to support quick up-switch to the high quality video. Each IRAP picture type is CRA except for the first IRAP which uses IDR.</w:t>
      </w:r>
    </w:p>
    <w:p>
      <w:pPr>
        <w:pStyle w:val="Normal"/>
        <w:rPr/>
      </w:pPr>
      <w:r>
        <w:rPr>
          <w:lang w:eastAsia="ko-KR"/>
        </w:rPr>
        <w:t>Each enhancement layer uses it immediate lower layer as its reference layer for the inter-layer prediction. E.g. the 1</w:t>
      </w:r>
      <w:r>
        <w:rPr>
          <w:vertAlign w:val="superscript"/>
          <w:lang w:eastAsia="ko-KR"/>
        </w:rPr>
        <w:t>st</w:t>
      </w:r>
      <w:r>
        <w:rPr>
          <w:lang w:eastAsia="ko-KR"/>
        </w:rPr>
        <w:t xml:space="preserve"> enhancement layer uses base layer as its reference layer, and 2</w:t>
      </w:r>
      <w:r>
        <w:rPr>
          <w:vertAlign w:val="superscript"/>
          <w:lang w:eastAsia="ko-KR"/>
        </w:rPr>
        <w:t>nd</w:t>
      </w:r>
      <w:r>
        <w:rPr>
          <w:lang w:eastAsia="ko-KR"/>
        </w:rPr>
        <w:t xml:space="preserve"> enhancement layer uses the 1</w:t>
      </w:r>
      <w:r>
        <w:rPr>
          <w:vertAlign w:val="superscript"/>
          <w:lang w:eastAsia="ko-KR"/>
        </w:rPr>
        <w:t>st</w:t>
      </w:r>
      <w:r>
        <w:rPr>
          <w:lang w:eastAsia="ko-KR"/>
        </w:rPr>
        <w:t xml:space="preserve"> enhancement layer as its reference layer.</w:t>
      </w:r>
    </w:p>
    <w:p>
      <w:pPr>
        <w:pStyle w:val="Heading4"/>
        <w:ind w:left="1418" w:hanging="1418"/>
        <w:jc w:val="both"/>
        <w:rPr/>
      </w:pPr>
      <w:bookmarkStart w:id="96" w:name="__RefHeading___Toc517445384"/>
      <w:bookmarkEnd w:id="96"/>
      <w:r>
        <w:rPr/>
        <w:t>7.2.3.1</w:t>
        <w:tab/>
        <w:t>Results for aligned IRAP pictures case</w:t>
      </w:r>
    </w:p>
    <w:p>
      <w:pPr>
        <w:pStyle w:val="Normal"/>
        <w:rPr/>
      </w:pPr>
      <w:r>
        <w:rPr>
          <w:lang w:eastAsia="ko-KR"/>
        </w:rPr>
        <w:t xml:space="preserve">BD-rate results for cross-layer RAP aligned cases are presented in </w:t>
      </w:r>
      <w:r>
        <w:rPr/>
        <w:t>Table 42</w:t>
      </w:r>
      <w:r>
        <w:rPr>
          <w:lang w:eastAsia="ko-KR"/>
        </w:rPr>
        <w:t xml:space="preserve"> to </w:t>
      </w:r>
      <w:r>
        <w:rPr/>
        <w:t>Table 45</w:t>
      </w:r>
      <w:r>
        <w:rPr>
          <w:lang w:eastAsia="ko-KR"/>
        </w:rPr>
        <w:t>.</w:t>
      </w:r>
    </w:p>
    <w:p>
      <w:pPr>
        <w:pStyle w:val="Normal"/>
        <w:rPr/>
      </w:pPr>
      <w:r>
        <w:rPr>
          <w:lang w:eastAsia="ko-KR"/>
        </w:rPr>
        <w:t>The overall BD-rate decrease of SHVC comparing to simulcast is between 18.1% and 31.94% depending on the deltaQP value and number of temporal sub-layers to be used for inter-layer prediction. The max gain can be up to 41.5%.</w:t>
      </w:r>
    </w:p>
    <w:p>
      <w:pPr>
        <w:pStyle w:val="Normal"/>
        <w:rPr/>
      </w:pPr>
      <w:r>
        <w:rPr/>
        <w:t>Table 42</w:t>
      </w:r>
      <w:r>
        <w:rPr>
          <w:lang w:eastAsia="ko-KR"/>
        </w:rPr>
        <w:t xml:space="preserve"> shows the results when temporal sub-layer 0 can be used for inter-layer prediction (ILP).</w:t>
      </w:r>
    </w:p>
    <w:p>
      <w:pPr>
        <w:pStyle w:val="TH"/>
        <w:rPr/>
      </w:pPr>
      <w:r>
        <w:rPr/>
        <w:t>Table 42: 3GP-DASH IRAP aligned simulation results (option 2)</w:t>
      </w:r>
    </w:p>
    <w:tbl>
      <w:tblPr>
        <w:tblW w:w="7848" w:type="dxa"/>
        <w:jc w:val="center"/>
        <w:tblInd w:w="0" w:type="dxa"/>
        <w:tblLayout w:type="fixed"/>
        <w:tblCellMar>
          <w:top w:w="0" w:type="dxa"/>
          <w:left w:w="108" w:type="dxa"/>
          <w:bottom w:w="0" w:type="dxa"/>
          <w:right w:w="108" w:type="dxa"/>
        </w:tblCellMar>
      </w:tblPr>
      <w:tblGrid>
        <w:gridCol w:w="2265"/>
        <w:gridCol w:w="1353"/>
        <w:gridCol w:w="1350"/>
        <w:gridCol w:w="1350"/>
        <w:gridCol w:w="1530"/>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Aligned</w:t>
            </w:r>
          </w:p>
        </w:tc>
        <w:tc>
          <w:tcPr>
            <w:tcW w:w="5583"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Simulcast</w:t>
            </w:r>
          </w:p>
        </w:tc>
      </w:tr>
      <w:tr>
        <w:trPr/>
        <w:tc>
          <w:tcPr>
            <w:tcW w:w="2265"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35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53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2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353"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-24.8%</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-19.0%</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-19.7%</w:t>
            </w:r>
          </w:p>
        </w:tc>
      </w:tr>
      <w:tr>
        <w:trPr/>
        <w:tc>
          <w:tcPr>
            <w:tcW w:w="22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353"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-17.3%</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-14.5%</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-14.5%</w:t>
            </w:r>
          </w:p>
        </w:tc>
      </w:tr>
      <w:tr>
        <w:trPr/>
        <w:tc>
          <w:tcPr>
            <w:tcW w:w="22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353"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-18.3%</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-14.0%</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-10.5%</w:t>
            </w:r>
          </w:p>
        </w:tc>
      </w:tr>
      <w:tr>
        <w:trPr/>
        <w:tc>
          <w:tcPr>
            <w:tcW w:w="22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353"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-16.6%</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-10.9%</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-13.5%</w:t>
            </w:r>
          </w:p>
        </w:tc>
      </w:tr>
      <w:tr>
        <w:trPr/>
        <w:tc>
          <w:tcPr>
            <w:tcW w:w="2265"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353"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-13.5%</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0.4%</w:t>
            </w:r>
          </w:p>
        </w:tc>
        <w:tc>
          <w:tcPr>
            <w:tcW w:w="1530" w:type="dxa"/>
            <w:tcBorders>
              <w:top w:val="single" w:sz="4" w:space="0" w:color="000000"/>
              <w:left w:val="single" w:sz="4" w:space="0" w:color="000000"/>
              <w:bottom w:val="single" w:sz="12" w:space="0" w:color="000000"/>
              <w:right w:val="single" w:sz="4" w:space="0" w:color="000000"/>
            </w:tcBorders>
          </w:tcPr>
          <w:p>
            <w:pPr>
              <w:pStyle w:val="TAL"/>
              <w:rPr/>
            </w:pPr>
            <w:r>
              <w:rPr/>
              <w:t>10.3%</w:t>
            </w:r>
          </w:p>
        </w:tc>
      </w:tr>
      <w:tr>
        <w:trPr/>
        <w:tc>
          <w:tcPr>
            <w:tcW w:w="361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-18.10%</w:t>
            </w:r>
          </w:p>
        </w:tc>
        <w:tc>
          <w:tcPr>
            <w:tcW w:w="1350" w:type="dxa"/>
            <w:tcBorders>
              <w:top w:val="single" w:sz="12" w:space="0" w:color="000000"/>
              <w:bottom w:val="single" w:sz="12" w:space="0" w:color="000000"/>
            </w:tcBorders>
          </w:tcPr>
          <w:p>
            <w:pPr>
              <w:pStyle w:val="TAL"/>
              <w:rPr/>
            </w:pPr>
            <w:r>
              <w:rPr/>
              <w:t>-11.60%</w:t>
            </w:r>
          </w:p>
        </w:tc>
        <w:tc>
          <w:tcPr>
            <w:tcW w:w="1530" w:type="dxa"/>
            <w:tcBorders>
              <w:top w:val="single" w:sz="12" w:space="0" w:color="000000"/>
              <w:bottom w:val="single" w:sz="12" w:space="0" w:color="000000"/>
              <w:right w:val="single" w:sz="12" w:space="0" w:color="000000"/>
            </w:tcBorders>
          </w:tcPr>
          <w:p>
            <w:pPr>
              <w:pStyle w:val="TAL"/>
              <w:rPr/>
            </w:pPr>
            <w:r>
              <w:rPr/>
              <w:t>-9.58%</w:t>
            </w:r>
          </w:p>
        </w:tc>
      </w:tr>
      <w:tr>
        <w:trPr/>
        <w:tc>
          <w:tcPr>
            <w:tcW w:w="2265"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353"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-31.8%</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-27.1%</w:t>
            </w:r>
          </w:p>
        </w:tc>
        <w:tc>
          <w:tcPr>
            <w:tcW w:w="1530" w:type="dxa"/>
            <w:tcBorders>
              <w:top w:val="single" w:sz="12" w:space="0" w:color="000000"/>
              <w:left w:val="single" w:sz="4" w:space="0" w:color="000000"/>
              <w:bottom w:val="single" w:sz="4" w:space="0" w:color="000000"/>
              <w:right w:val="single" w:sz="4" w:space="0" w:color="000000"/>
            </w:tcBorders>
          </w:tcPr>
          <w:p>
            <w:pPr>
              <w:pStyle w:val="TAL"/>
              <w:rPr/>
            </w:pPr>
            <w:r>
              <w:rPr/>
              <w:t>-27.8%</w:t>
            </w:r>
          </w:p>
        </w:tc>
      </w:tr>
      <w:tr>
        <w:trPr/>
        <w:tc>
          <w:tcPr>
            <w:tcW w:w="22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353"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-24.1%</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-21.9%</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-22.0%</w:t>
            </w:r>
          </w:p>
        </w:tc>
      </w:tr>
      <w:tr>
        <w:trPr/>
        <w:tc>
          <w:tcPr>
            <w:tcW w:w="22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353"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-23.9%</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-21.1%</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-18.4%</w:t>
            </w:r>
          </w:p>
        </w:tc>
      </w:tr>
      <w:tr>
        <w:trPr/>
        <w:tc>
          <w:tcPr>
            <w:tcW w:w="22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353"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-21.8%</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-17.0%</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-19.7%</w:t>
            </w:r>
          </w:p>
        </w:tc>
      </w:tr>
      <w:tr>
        <w:trPr/>
        <w:tc>
          <w:tcPr>
            <w:tcW w:w="2265" w:type="dxa"/>
            <w:tcBorders>
              <w:top w:val="single" w:sz="4" w:space="0" w:color="000000"/>
              <w:left w:val="single" w:sz="4" w:space="0" w:color="000000"/>
              <w:bottom w:val="single" w:sz="12" w:space="0" w:color="000000"/>
              <w:right w:val="single" w:sz="4" w:space="0" w:color="000000"/>
            </w:tcBorders>
          </w:tcPr>
          <w:p>
            <w:pPr>
              <w:pStyle w:val="TAL"/>
              <w:rPr/>
            </w:pPr>
            <w:r>
              <w:rPr>
                <w:lang w:eastAsia="ko-KR"/>
              </w:rPr>
              <w:t>BQTerrace</w:t>
            </w:r>
          </w:p>
        </w:tc>
        <w:tc>
          <w:tcPr>
            <w:tcW w:w="1353"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-19.2%</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-9.9%</w:t>
            </w:r>
          </w:p>
        </w:tc>
        <w:tc>
          <w:tcPr>
            <w:tcW w:w="1530" w:type="dxa"/>
            <w:tcBorders>
              <w:top w:val="single" w:sz="4" w:space="0" w:color="000000"/>
              <w:left w:val="single" w:sz="4" w:space="0" w:color="000000"/>
              <w:bottom w:val="single" w:sz="12" w:space="0" w:color="000000"/>
              <w:right w:val="single" w:sz="4" w:space="0" w:color="000000"/>
            </w:tcBorders>
          </w:tcPr>
          <w:p>
            <w:pPr>
              <w:pStyle w:val="TAL"/>
              <w:rPr/>
            </w:pPr>
            <w:r>
              <w:rPr/>
              <w:t>-4.2%</w:t>
            </w:r>
          </w:p>
        </w:tc>
      </w:tr>
      <w:tr>
        <w:trPr/>
        <w:tc>
          <w:tcPr>
            <w:tcW w:w="361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-24.16%</w:t>
            </w:r>
          </w:p>
        </w:tc>
        <w:tc>
          <w:tcPr>
            <w:tcW w:w="1350" w:type="dxa"/>
            <w:tcBorders>
              <w:top w:val="single" w:sz="12" w:space="0" w:color="000000"/>
              <w:bottom w:val="single" w:sz="12" w:space="0" w:color="000000"/>
            </w:tcBorders>
          </w:tcPr>
          <w:p>
            <w:pPr>
              <w:pStyle w:val="TAL"/>
              <w:rPr/>
            </w:pPr>
            <w:r>
              <w:rPr/>
              <w:t>-19.40%</w:t>
            </w:r>
          </w:p>
        </w:tc>
        <w:tc>
          <w:tcPr>
            <w:tcW w:w="1530" w:type="dxa"/>
            <w:tcBorders>
              <w:top w:val="single" w:sz="12" w:space="0" w:color="000000"/>
              <w:bottom w:val="single" w:sz="12" w:space="0" w:color="000000"/>
              <w:right w:val="single" w:sz="12" w:space="0" w:color="000000"/>
            </w:tcBorders>
          </w:tcPr>
          <w:p>
            <w:pPr>
              <w:pStyle w:val="TAL"/>
              <w:rPr/>
            </w:pPr>
            <w:r>
              <w:rPr/>
              <w:t>-18.42%</w:t>
            </w:r>
          </w:p>
        </w:tc>
      </w:tr>
    </w:tbl>
    <w:p>
      <w:pPr>
        <w:pStyle w:val="Normal"/>
        <w:rPr>
          <w:lang w:eastAsia="ko-KR"/>
        </w:rPr>
      </w:pPr>
      <w:r>
        <w:rPr>
          <w:lang w:eastAsia="ko-KR"/>
        </w:rPr>
      </w:r>
    </w:p>
    <w:p>
      <w:pPr>
        <w:pStyle w:val="Normal"/>
        <w:rPr/>
      </w:pPr>
      <w:r>
        <w:rPr/>
        <w:t>Table 43</w:t>
      </w:r>
      <w:r>
        <w:rPr>
          <w:lang w:eastAsia="ko-KR"/>
        </w:rPr>
        <w:t xml:space="preserve"> shows the results when temporal sub-layer 0 and 1 can be used for ILP.</w:t>
      </w:r>
    </w:p>
    <w:p>
      <w:pPr>
        <w:pStyle w:val="TH"/>
        <w:rPr/>
      </w:pPr>
      <w:r>
        <w:rPr/>
        <w:t>Table 43: 3GP-DASH IRAP aligned simulation results (option 3)</w:t>
      </w:r>
    </w:p>
    <w:tbl>
      <w:tblPr>
        <w:tblW w:w="7848" w:type="dxa"/>
        <w:jc w:val="center"/>
        <w:tblInd w:w="0" w:type="dxa"/>
        <w:tblLayout w:type="fixed"/>
        <w:tblCellMar>
          <w:top w:w="0" w:type="dxa"/>
          <w:left w:w="108" w:type="dxa"/>
          <w:bottom w:w="0" w:type="dxa"/>
          <w:right w:w="108" w:type="dxa"/>
        </w:tblCellMar>
      </w:tblPr>
      <w:tblGrid>
        <w:gridCol w:w="2268"/>
        <w:gridCol w:w="1350"/>
        <w:gridCol w:w="1260"/>
        <w:gridCol w:w="1440"/>
        <w:gridCol w:w="1530"/>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Aligned</w:t>
            </w:r>
          </w:p>
        </w:tc>
        <w:tc>
          <w:tcPr>
            <w:tcW w:w="5580"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Simulcast</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26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53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Kimono</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-28.4%</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-21.3%</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-20.8%</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-18.7%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-14.8%</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-14.5%</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-21.5%</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-16.6%</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-11.0%</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-21.1%</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-12.3%</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-15.1%</w:t>
            </w:r>
          </w:p>
        </w:tc>
      </w:tr>
      <w:tr>
        <w:trPr/>
        <w:tc>
          <w:tcPr>
            <w:tcW w:w="22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-14.9%</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3.7%</w:t>
            </w:r>
          </w:p>
        </w:tc>
        <w:tc>
          <w:tcPr>
            <w:tcW w:w="1530" w:type="dxa"/>
            <w:tcBorders>
              <w:top w:val="single" w:sz="4" w:space="0" w:color="000000"/>
              <w:left w:val="single" w:sz="4" w:space="0" w:color="000000"/>
              <w:bottom w:val="single" w:sz="12" w:space="0" w:color="000000"/>
              <w:right w:val="single" w:sz="4" w:space="0" w:color="000000"/>
            </w:tcBorders>
          </w:tcPr>
          <w:p>
            <w:pPr>
              <w:pStyle w:val="TAL"/>
              <w:rPr/>
            </w:pPr>
            <w:r>
              <w:rPr/>
              <w:t>13.8%</w:t>
            </w:r>
          </w:p>
        </w:tc>
      </w:tr>
      <w:tr>
        <w:trPr/>
        <w:tc>
          <w:tcPr>
            <w:tcW w:w="361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260" w:type="dxa"/>
            <w:tcBorders>
              <w:top w:val="single" w:sz="12" w:space="0" w:color="000000"/>
              <w:bottom w:val="single" w:sz="12" w:space="0" w:color="000000"/>
            </w:tcBorders>
          </w:tcPr>
          <w:p>
            <w:pPr>
              <w:pStyle w:val="TAL"/>
              <w:rPr/>
            </w:pPr>
            <w:r>
              <w:rPr/>
              <w:t>-20.92%</w:t>
            </w:r>
          </w:p>
        </w:tc>
        <w:tc>
          <w:tcPr>
            <w:tcW w:w="1440" w:type="dxa"/>
            <w:tcBorders>
              <w:top w:val="single" w:sz="12" w:space="0" w:color="000000"/>
              <w:bottom w:val="single" w:sz="12" w:space="0" w:color="000000"/>
            </w:tcBorders>
          </w:tcPr>
          <w:p>
            <w:pPr>
              <w:pStyle w:val="TAL"/>
              <w:rPr/>
            </w:pPr>
            <w:r>
              <w:rPr/>
              <w:t>-12.26%</w:t>
            </w:r>
          </w:p>
        </w:tc>
        <w:tc>
          <w:tcPr>
            <w:tcW w:w="1530" w:type="dxa"/>
            <w:tcBorders>
              <w:top w:val="single" w:sz="12" w:space="0" w:color="000000"/>
              <w:bottom w:val="single" w:sz="12" w:space="0" w:color="000000"/>
              <w:right w:val="single" w:sz="12" w:space="0" w:color="000000"/>
            </w:tcBorders>
          </w:tcPr>
          <w:p>
            <w:pPr>
              <w:pStyle w:val="TAL"/>
              <w:rPr/>
            </w:pPr>
            <w:r>
              <w:rPr/>
              <w:t>-9.52%</w:t>
            </w:r>
          </w:p>
        </w:tc>
      </w:tr>
      <w:tr>
        <w:trPr/>
        <w:tc>
          <w:tcPr>
            <w:tcW w:w="2268"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12" w:space="0" w:color="000000"/>
              <w:left w:val="single" w:sz="4" w:space="0" w:color="000000"/>
              <w:bottom w:val="single" w:sz="4" w:space="0" w:color="000000"/>
              <w:right w:val="single" w:sz="4" w:space="0" w:color="000000"/>
            </w:tcBorders>
          </w:tcPr>
          <w:p>
            <w:pPr>
              <w:pStyle w:val="TAL"/>
              <w:rPr/>
            </w:pPr>
            <w:r>
              <w:rPr/>
              <w:t>-36.8%</w:t>
            </w:r>
          </w:p>
        </w:tc>
        <w:tc>
          <w:tcPr>
            <w:tcW w:w="1440" w:type="dxa"/>
            <w:tcBorders>
              <w:top w:val="single" w:sz="12" w:space="0" w:color="000000"/>
              <w:left w:val="single" w:sz="4" w:space="0" w:color="000000"/>
              <w:bottom w:val="single" w:sz="4" w:space="0" w:color="000000"/>
              <w:right w:val="single" w:sz="4" w:space="0" w:color="000000"/>
            </w:tcBorders>
          </w:tcPr>
          <w:p>
            <w:pPr>
              <w:pStyle w:val="TAL"/>
              <w:rPr/>
            </w:pPr>
            <w:r>
              <w:rPr/>
              <w:t>-29.4%</w:t>
            </w:r>
          </w:p>
        </w:tc>
        <w:tc>
          <w:tcPr>
            <w:tcW w:w="1530" w:type="dxa"/>
            <w:tcBorders>
              <w:top w:val="single" w:sz="12" w:space="0" w:color="000000"/>
              <w:left w:val="single" w:sz="4" w:space="0" w:color="000000"/>
              <w:bottom w:val="single" w:sz="4" w:space="0" w:color="000000"/>
              <w:right w:val="single" w:sz="4" w:space="0" w:color="000000"/>
            </w:tcBorders>
          </w:tcPr>
          <w:p>
            <w:pPr>
              <w:pStyle w:val="TAL"/>
              <w:rPr/>
            </w:pPr>
            <w:r>
              <w:rPr/>
              <w:t>-28.5%</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-26.1%</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-22.1%</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-22.0%</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-28.2%</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-24.3%</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-20.5%</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-27.9%</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-20.1%</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-22.5%</w:t>
            </w:r>
          </w:p>
        </w:tc>
      </w:tr>
      <w:tr>
        <w:trPr/>
        <w:tc>
          <w:tcPr>
            <w:tcW w:w="2268"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260" w:type="dxa"/>
            <w:tcBorders>
              <w:top w:val="single" w:sz="4" w:space="0" w:color="000000"/>
              <w:left w:val="single" w:sz="4" w:space="0" w:color="000000"/>
              <w:bottom w:val="single" w:sz="12" w:space="0" w:color="000000"/>
              <w:right w:val="single" w:sz="4" w:space="0" w:color="000000"/>
            </w:tcBorders>
          </w:tcPr>
          <w:p>
            <w:pPr>
              <w:pStyle w:val="TAL"/>
              <w:rPr/>
            </w:pPr>
            <w:r>
              <w:rPr/>
              <w:t>-21.0%</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-8.8%</w:t>
            </w:r>
          </w:p>
        </w:tc>
        <w:tc>
          <w:tcPr>
            <w:tcW w:w="1530" w:type="dxa"/>
            <w:tcBorders>
              <w:top w:val="single" w:sz="4" w:space="0" w:color="000000"/>
              <w:left w:val="single" w:sz="4" w:space="0" w:color="000000"/>
              <w:bottom w:val="single" w:sz="12" w:space="0" w:color="000000"/>
              <w:right w:val="single" w:sz="4" w:space="0" w:color="000000"/>
            </w:tcBorders>
          </w:tcPr>
          <w:p>
            <w:pPr>
              <w:pStyle w:val="TAL"/>
              <w:rPr/>
            </w:pPr>
            <w:r>
              <w:rPr/>
              <w:t>-4.0%</w:t>
            </w:r>
          </w:p>
        </w:tc>
      </w:tr>
      <w:tr>
        <w:trPr/>
        <w:tc>
          <w:tcPr>
            <w:tcW w:w="361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260" w:type="dxa"/>
            <w:tcBorders>
              <w:top w:val="single" w:sz="12" w:space="0" w:color="000000"/>
              <w:bottom w:val="single" w:sz="12" w:space="0" w:color="000000"/>
            </w:tcBorders>
          </w:tcPr>
          <w:p>
            <w:pPr>
              <w:pStyle w:val="TAL"/>
              <w:rPr/>
            </w:pPr>
            <w:r>
              <w:rPr/>
              <w:t>-28.00%</w:t>
            </w:r>
          </w:p>
        </w:tc>
        <w:tc>
          <w:tcPr>
            <w:tcW w:w="1440" w:type="dxa"/>
            <w:tcBorders>
              <w:top w:val="single" w:sz="12" w:space="0" w:color="000000"/>
              <w:bottom w:val="single" w:sz="12" w:space="0" w:color="000000"/>
            </w:tcBorders>
          </w:tcPr>
          <w:p>
            <w:pPr>
              <w:pStyle w:val="TAL"/>
              <w:rPr/>
            </w:pPr>
            <w:r>
              <w:rPr/>
              <w:t>-20.94%</w:t>
            </w:r>
          </w:p>
        </w:tc>
        <w:tc>
          <w:tcPr>
            <w:tcW w:w="1530" w:type="dxa"/>
            <w:tcBorders>
              <w:top w:val="single" w:sz="12" w:space="0" w:color="000000"/>
              <w:bottom w:val="single" w:sz="12" w:space="0" w:color="000000"/>
              <w:right w:val="single" w:sz="12" w:space="0" w:color="000000"/>
            </w:tcBorders>
          </w:tcPr>
          <w:p>
            <w:pPr>
              <w:pStyle w:val="TAL"/>
              <w:rPr/>
            </w:pPr>
            <w:r>
              <w:rPr/>
              <w:t>-19.50%</w:t>
            </w:r>
          </w:p>
        </w:tc>
      </w:tr>
    </w:tbl>
    <w:p>
      <w:pPr>
        <w:pStyle w:val="Normal"/>
        <w:rPr>
          <w:lang w:eastAsia="ko-KR"/>
        </w:rPr>
      </w:pPr>
      <w:r>
        <w:rPr>
          <w:lang w:eastAsia="ko-KR"/>
        </w:rPr>
      </w:r>
    </w:p>
    <w:p>
      <w:pPr>
        <w:pStyle w:val="Normal"/>
        <w:rPr/>
      </w:pPr>
      <w:r>
        <w:rPr/>
        <w:t>Table 44</w:t>
      </w:r>
      <w:r>
        <w:rPr>
          <w:lang w:eastAsia="ko-KR"/>
        </w:rPr>
        <w:t xml:space="preserve"> shows the results when temporal sub-layer 0, 1 and 2 can be used for ILP.</w:t>
      </w:r>
    </w:p>
    <w:p>
      <w:pPr>
        <w:pStyle w:val="TH"/>
        <w:rPr/>
      </w:pPr>
      <w:r>
        <w:rPr/>
        <w:t>Table 44: 3GP-DASH IRAP aligned simulation results (option 4)</w:t>
      </w:r>
    </w:p>
    <w:tbl>
      <w:tblPr>
        <w:tblW w:w="8748" w:type="dxa"/>
        <w:jc w:val="center"/>
        <w:tblInd w:w="0" w:type="dxa"/>
        <w:tblLayout w:type="fixed"/>
        <w:tblCellMar>
          <w:top w:w="0" w:type="dxa"/>
          <w:left w:w="108" w:type="dxa"/>
          <w:bottom w:w="0" w:type="dxa"/>
          <w:right w:w="108" w:type="dxa"/>
        </w:tblCellMar>
      </w:tblPr>
      <w:tblGrid>
        <w:gridCol w:w="2803"/>
        <w:gridCol w:w="1535"/>
        <w:gridCol w:w="1350"/>
        <w:gridCol w:w="1350"/>
        <w:gridCol w:w="171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Aligned</w:t>
            </w:r>
          </w:p>
        </w:tc>
        <w:tc>
          <w:tcPr>
            <w:tcW w:w="5945"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53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-30.4%</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-22.6%</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-20.9%</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-19.6%</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-15.0%</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-14.4%</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-23.8%</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-18.6%</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-11.1%</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-25.9%</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-13.5%</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-16.2%</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535"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-16.0%</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7.0%</w:t>
            </w:r>
          </w:p>
        </w:tc>
        <w:tc>
          <w:tcPr>
            <w:tcW w:w="1710" w:type="dxa"/>
            <w:tcBorders>
              <w:top w:val="single" w:sz="4" w:space="0" w:color="000000"/>
              <w:left w:val="single" w:sz="4" w:space="0" w:color="000000"/>
              <w:bottom w:val="single" w:sz="12" w:space="0" w:color="000000"/>
              <w:right w:val="single" w:sz="4" w:space="0" w:color="000000"/>
            </w:tcBorders>
          </w:tcPr>
          <w:p>
            <w:pPr>
              <w:pStyle w:val="TAL"/>
              <w:rPr/>
            </w:pPr>
            <w:r>
              <w:rPr/>
              <w:t>16.0%</w:t>
            </w:r>
          </w:p>
        </w:tc>
      </w:tr>
      <w:tr>
        <w:trPr/>
        <w:tc>
          <w:tcPr>
            <w:tcW w:w="433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-23.14%</w:t>
            </w:r>
          </w:p>
        </w:tc>
        <w:tc>
          <w:tcPr>
            <w:tcW w:w="1350" w:type="dxa"/>
            <w:tcBorders>
              <w:top w:val="single" w:sz="12" w:space="0" w:color="000000"/>
              <w:bottom w:val="single" w:sz="12" w:space="0" w:color="000000"/>
            </w:tcBorders>
          </w:tcPr>
          <w:p>
            <w:pPr>
              <w:pStyle w:val="TAL"/>
              <w:rPr/>
            </w:pPr>
            <w:r>
              <w:rPr/>
              <w:t>-12.54%</w:t>
            </w:r>
          </w:p>
        </w:tc>
        <w:tc>
          <w:tcPr>
            <w:tcW w:w="1710" w:type="dxa"/>
            <w:tcBorders>
              <w:top w:val="single" w:sz="12" w:space="0" w:color="000000"/>
              <w:bottom w:val="single" w:sz="12" w:space="0" w:color="000000"/>
              <w:right w:val="single" w:sz="12" w:space="0" w:color="000000"/>
            </w:tcBorders>
          </w:tcPr>
          <w:p>
            <w:pPr>
              <w:pStyle w:val="TAL"/>
              <w:rPr/>
            </w:pPr>
            <w:r>
              <w:rPr/>
              <w:t>-9.32%</w:t>
            </w:r>
          </w:p>
        </w:tc>
      </w:tr>
      <w:tr>
        <w:trPr/>
        <w:tc>
          <w:tcPr>
            <w:tcW w:w="2803"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535"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-40.6%</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-31.8%</w:t>
            </w:r>
          </w:p>
        </w:tc>
        <w:tc>
          <w:tcPr>
            <w:tcW w:w="1710" w:type="dxa"/>
            <w:tcBorders>
              <w:top w:val="single" w:sz="12" w:space="0" w:color="000000"/>
              <w:left w:val="single" w:sz="4" w:space="0" w:color="000000"/>
              <w:bottom w:val="single" w:sz="4" w:space="0" w:color="000000"/>
              <w:right w:val="single" w:sz="4" w:space="0" w:color="000000"/>
            </w:tcBorders>
          </w:tcPr>
          <w:p>
            <w:pPr>
              <w:pStyle w:val="TAL"/>
              <w:rPr/>
            </w:pPr>
            <w:r>
              <w:rPr/>
              <w:t>-29.9%</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-27.6%</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-22.8%</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-22.5%</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-31.4%</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-26.9%</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-22.5%</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-34.1%</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-23.4%</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-25.5%</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535"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-22.1%</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-8.0%</w:t>
            </w:r>
          </w:p>
        </w:tc>
        <w:tc>
          <w:tcPr>
            <w:tcW w:w="1710" w:type="dxa"/>
            <w:tcBorders>
              <w:top w:val="single" w:sz="4" w:space="0" w:color="000000"/>
              <w:left w:val="single" w:sz="4" w:space="0" w:color="000000"/>
              <w:bottom w:val="single" w:sz="12" w:space="0" w:color="000000"/>
              <w:right w:val="single" w:sz="4" w:space="0" w:color="000000"/>
            </w:tcBorders>
          </w:tcPr>
          <w:p>
            <w:pPr>
              <w:pStyle w:val="TAL"/>
              <w:rPr/>
            </w:pPr>
            <w:r>
              <w:rPr/>
              <w:t>-4.4%</w:t>
            </w:r>
          </w:p>
        </w:tc>
      </w:tr>
      <w:tr>
        <w:trPr/>
        <w:tc>
          <w:tcPr>
            <w:tcW w:w="433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-31.16%</w:t>
            </w:r>
          </w:p>
        </w:tc>
        <w:tc>
          <w:tcPr>
            <w:tcW w:w="1350" w:type="dxa"/>
            <w:tcBorders>
              <w:top w:val="single" w:sz="12" w:space="0" w:color="000000"/>
              <w:bottom w:val="single" w:sz="12" w:space="0" w:color="000000"/>
            </w:tcBorders>
          </w:tcPr>
          <w:p>
            <w:pPr>
              <w:pStyle w:val="TAL"/>
              <w:rPr/>
            </w:pPr>
            <w:r>
              <w:rPr/>
              <w:t>-22.58%</w:t>
            </w:r>
          </w:p>
        </w:tc>
        <w:tc>
          <w:tcPr>
            <w:tcW w:w="1710" w:type="dxa"/>
            <w:tcBorders>
              <w:top w:val="single" w:sz="12" w:space="0" w:color="000000"/>
              <w:bottom w:val="single" w:sz="12" w:space="0" w:color="000000"/>
              <w:right w:val="single" w:sz="12" w:space="0" w:color="000000"/>
            </w:tcBorders>
          </w:tcPr>
          <w:p>
            <w:pPr>
              <w:pStyle w:val="TAL"/>
              <w:rPr/>
            </w:pPr>
            <w:r>
              <w:rPr/>
              <w:t>-20.96%</w:t>
            </w:r>
          </w:p>
        </w:tc>
      </w:tr>
    </w:tbl>
    <w:p>
      <w:pPr>
        <w:pStyle w:val="Normal"/>
        <w:rPr>
          <w:lang w:eastAsia="ko-KR"/>
        </w:rPr>
      </w:pPr>
      <w:r>
        <w:rPr>
          <w:lang w:eastAsia="ko-KR"/>
        </w:rPr>
      </w:r>
    </w:p>
    <w:p>
      <w:pPr>
        <w:pStyle w:val="Normal"/>
        <w:rPr/>
      </w:pPr>
      <w:r>
        <w:rPr/>
        <w:t>Table 45</w:t>
      </w:r>
      <w:r>
        <w:rPr>
          <w:lang w:eastAsia="ko-KR"/>
        </w:rPr>
        <w:t xml:space="preserve"> shows the results when all pictures of the reference layers can be used for ILP.</w:t>
      </w:r>
    </w:p>
    <w:p>
      <w:pPr>
        <w:pStyle w:val="TH"/>
        <w:rPr/>
      </w:pPr>
      <w:r>
        <w:rPr/>
        <w:t>Table 45: 3GP-DASH IRAP aligned simulation results (option 1)</w:t>
      </w:r>
    </w:p>
    <w:tbl>
      <w:tblPr>
        <w:tblW w:w="8748" w:type="dxa"/>
        <w:jc w:val="center"/>
        <w:tblInd w:w="0" w:type="dxa"/>
        <w:tblLayout w:type="fixed"/>
        <w:tblCellMar>
          <w:top w:w="0" w:type="dxa"/>
          <w:left w:w="108" w:type="dxa"/>
          <w:bottom w:w="0" w:type="dxa"/>
          <w:right w:w="108" w:type="dxa"/>
        </w:tblCellMar>
      </w:tblPr>
      <w:tblGrid>
        <w:gridCol w:w="2803"/>
        <w:gridCol w:w="1535"/>
        <w:gridCol w:w="1350"/>
        <w:gridCol w:w="1350"/>
        <w:gridCol w:w="171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Aligned</w:t>
            </w:r>
          </w:p>
        </w:tc>
        <w:tc>
          <w:tcPr>
            <w:tcW w:w="5945"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53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71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-30.0%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-21.4%</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-18.7%</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-19.5%</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-14.7%</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-14.0%</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-23.8%</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-18.1%</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-9.7%</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-27.5%</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-11.4%</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-13.7%</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535"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-15.9%</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8.4%</w:t>
            </w:r>
          </w:p>
        </w:tc>
        <w:tc>
          <w:tcPr>
            <w:tcW w:w="1710" w:type="dxa"/>
            <w:tcBorders>
              <w:top w:val="single" w:sz="4" w:space="0" w:color="000000"/>
              <w:left w:val="single" w:sz="4" w:space="0" w:color="000000"/>
              <w:bottom w:val="single" w:sz="12" w:space="0" w:color="000000"/>
              <w:right w:val="single" w:sz="4" w:space="0" w:color="000000"/>
            </w:tcBorders>
          </w:tcPr>
          <w:p>
            <w:pPr>
              <w:pStyle w:val="TAL"/>
              <w:rPr/>
            </w:pPr>
            <w:r>
              <w:rPr/>
              <w:t>17.1%</w:t>
            </w:r>
          </w:p>
        </w:tc>
      </w:tr>
      <w:tr>
        <w:trPr/>
        <w:tc>
          <w:tcPr>
            <w:tcW w:w="433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-23.34%</w:t>
            </w:r>
          </w:p>
        </w:tc>
        <w:tc>
          <w:tcPr>
            <w:tcW w:w="1350" w:type="dxa"/>
            <w:tcBorders>
              <w:top w:val="single" w:sz="12" w:space="0" w:color="000000"/>
              <w:bottom w:val="single" w:sz="12" w:space="0" w:color="000000"/>
            </w:tcBorders>
          </w:tcPr>
          <w:p>
            <w:pPr>
              <w:pStyle w:val="TAL"/>
              <w:rPr/>
            </w:pPr>
            <w:r>
              <w:rPr/>
              <w:t>-11.44%</w:t>
            </w:r>
          </w:p>
        </w:tc>
        <w:tc>
          <w:tcPr>
            <w:tcW w:w="1710" w:type="dxa"/>
            <w:tcBorders>
              <w:top w:val="single" w:sz="12" w:space="0" w:color="000000"/>
              <w:bottom w:val="single" w:sz="12" w:space="0" w:color="000000"/>
              <w:right w:val="single" w:sz="12" w:space="0" w:color="000000"/>
            </w:tcBorders>
          </w:tcPr>
          <w:p>
            <w:pPr>
              <w:pStyle w:val="TAL"/>
              <w:rPr/>
            </w:pPr>
            <w:r>
              <w:rPr/>
              <w:t>-7.80%</w:t>
            </w:r>
          </w:p>
        </w:tc>
      </w:tr>
      <w:tr>
        <w:trPr/>
        <w:tc>
          <w:tcPr>
            <w:tcW w:w="2803"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535"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-41.5%</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-32.7%</w:t>
            </w:r>
          </w:p>
        </w:tc>
        <w:tc>
          <w:tcPr>
            <w:tcW w:w="1710" w:type="dxa"/>
            <w:tcBorders>
              <w:top w:val="single" w:sz="12" w:space="0" w:color="000000"/>
              <w:left w:val="single" w:sz="4" w:space="0" w:color="000000"/>
              <w:bottom w:val="single" w:sz="4" w:space="0" w:color="000000"/>
              <w:right w:val="single" w:sz="4" w:space="0" w:color="000000"/>
            </w:tcBorders>
          </w:tcPr>
          <w:p>
            <w:pPr>
              <w:pStyle w:val="TAL"/>
              <w:rPr/>
            </w:pPr>
            <w:r>
              <w:rPr/>
              <w:t>-30.0%</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-27.7%</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-23.0%</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-22.7%</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-32.1%</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-27.6%</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-22.9%</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53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-36.6%</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-24.2%</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t>-25.5%</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535"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-21.8%</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-7.6%</w:t>
            </w:r>
          </w:p>
        </w:tc>
        <w:tc>
          <w:tcPr>
            <w:tcW w:w="1710" w:type="dxa"/>
            <w:tcBorders>
              <w:top w:val="single" w:sz="4" w:space="0" w:color="000000"/>
              <w:left w:val="single" w:sz="4" w:space="0" w:color="000000"/>
              <w:bottom w:val="single" w:sz="12" w:space="0" w:color="000000"/>
              <w:right w:val="single" w:sz="4" w:space="0" w:color="000000"/>
            </w:tcBorders>
          </w:tcPr>
          <w:p>
            <w:pPr>
              <w:pStyle w:val="TAL"/>
              <w:rPr/>
            </w:pPr>
            <w:r>
              <w:rPr/>
              <w:t>-4.0%</w:t>
            </w:r>
          </w:p>
        </w:tc>
      </w:tr>
      <w:tr>
        <w:trPr/>
        <w:tc>
          <w:tcPr>
            <w:tcW w:w="433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-31.94%</w:t>
            </w:r>
          </w:p>
        </w:tc>
        <w:tc>
          <w:tcPr>
            <w:tcW w:w="1350" w:type="dxa"/>
            <w:tcBorders>
              <w:top w:val="single" w:sz="12" w:space="0" w:color="000000"/>
              <w:bottom w:val="single" w:sz="12" w:space="0" w:color="000000"/>
            </w:tcBorders>
          </w:tcPr>
          <w:p>
            <w:pPr>
              <w:pStyle w:val="TAL"/>
              <w:rPr/>
            </w:pPr>
            <w:r>
              <w:rPr/>
              <w:t>-23.02%</w:t>
            </w:r>
          </w:p>
        </w:tc>
        <w:tc>
          <w:tcPr>
            <w:tcW w:w="1710" w:type="dxa"/>
            <w:tcBorders>
              <w:top w:val="single" w:sz="12" w:space="0" w:color="000000"/>
              <w:bottom w:val="single" w:sz="12" w:space="0" w:color="000000"/>
              <w:right w:val="single" w:sz="12" w:space="0" w:color="000000"/>
            </w:tcBorders>
          </w:tcPr>
          <w:p>
            <w:pPr>
              <w:pStyle w:val="TAL"/>
              <w:rPr/>
            </w:pPr>
            <w:r>
              <w:rPr/>
              <w:t>-21.02%</w:t>
            </w:r>
          </w:p>
        </w:tc>
      </w:tr>
    </w:tbl>
    <w:p>
      <w:pPr>
        <w:pStyle w:val="Normal"/>
        <w:rPr/>
      </w:pPr>
      <w:r>
        <w:rPr/>
      </w:r>
    </w:p>
    <w:p>
      <w:pPr>
        <w:pStyle w:val="Heading4"/>
        <w:ind w:left="1418" w:hanging="1418"/>
        <w:jc w:val="both"/>
        <w:rPr/>
      </w:pPr>
      <w:bookmarkStart w:id="97" w:name="__RefHeading___Toc517445385"/>
      <w:bookmarkEnd w:id="97"/>
      <w:r>
        <w:rPr/>
        <w:t>7.2.3.2</w:t>
        <w:tab/>
        <w:t>Results for non-aligned IRAP pictures case</w:t>
      </w:r>
    </w:p>
    <w:p>
      <w:pPr>
        <w:pStyle w:val="Normal"/>
        <w:rPr/>
      </w:pPr>
      <w:r>
        <w:rPr>
          <w:lang w:eastAsia="ko-KR"/>
        </w:rPr>
        <w:t xml:space="preserve">BD-rate results for cross-layer RAP aligned cases are presented in </w:t>
      </w:r>
      <w:r>
        <w:rPr/>
        <w:t>Table 46</w:t>
      </w:r>
      <w:r>
        <w:rPr>
          <w:lang w:eastAsia="ko-KR"/>
        </w:rPr>
        <w:t xml:space="preserve"> to </w:t>
      </w:r>
      <w:r>
        <w:rPr/>
        <w:t>Table 49</w:t>
      </w:r>
      <w:r>
        <w:rPr>
          <w:lang w:eastAsia="ko-KR"/>
        </w:rPr>
        <w:t>.</w:t>
      </w:r>
    </w:p>
    <w:p>
      <w:pPr>
        <w:pStyle w:val="Normal"/>
        <w:rPr/>
      </w:pPr>
      <w:r>
        <w:rPr>
          <w:lang w:eastAsia="ko-KR"/>
        </w:rPr>
        <w:t>The overall BD-rate decrease of SHVC comparing to simulcast is between 18.56% and 32.20% depending on the deltaQP value and number of temporal sub-layers to be used for inter-layer prediction. The max gain can be up to 41.2%.</w:t>
      </w:r>
    </w:p>
    <w:p>
      <w:pPr>
        <w:pStyle w:val="TH"/>
        <w:rPr/>
      </w:pPr>
      <w:r>
        <w:rPr/>
        <w:t>Table 46: 3GP-DASH IRAP non-aligned simulation results (option 2)</w:t>
      </w:r>
    </w:p>
    <w:tbl>
      <w:tblPr>
        <w:tblW w:w="8298" w:type="dxa"/>
        <w:jc w:val="center"/>
        <w:tblInd w:w="0" w:type="dxa"/>
        <w:tblLayout w:type="fixed"/>
        <w:tblCellMar>
          <w:top w:w="0" w:type="dxa"/>
          <w:left w:w="108" w:type="dxa"/>
          <w:bottom w:w="0" w:type="dxa"/>
          <w:right w:w="108" w:type="dxa"/>
        </w:tblCellMar>
      </w:tblPr>
      <w:tblGrid>
        <w:gridCol w:w="2803"/>
        <w:gridCol w:w="1265"/>
        <w:gridCol w:w="1350"/>
        <w:gridCol w:w="1440"/>
        <w:gridCol w:w="144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Non-Aligned</w:t>
            </w:r>
          </w:p>
        </w:tc>
        <w:tc>
          <w:tcPr>
            <w:tcW w:w="5495" w:type="dxa"/>
            <w:gridSpan w:val="4"/>
            <w:tcBorders>
              <w:top w:val="single" w:sz="4" w:space="0" w:color="000000"/>
              <w:left w:val="single" w:sz="4" w:space="0" w:color="000000"/>
              <w:bottom w:val="single" w:sz="4" w:space="0" w:color="000000"/>
              <w:right w:val="single" w:sz="4" w:space="0" w:color="000000"/>
            </w:tcBorders>
          </w:tcPr>
          <w:p>
            <w:pPr>
              <w:pStyle w:val="TAH"/>
              <w:rPr/>
            </w:pPr>
            <w:r>
              <w:rPr>
                <w:lang w:eastAsia="ko-KR"/>
              </w:rPr>
              <w:t>SHVC vs.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26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-24.9%</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-18.7%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-19.3%</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-18.3%</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-15.1%</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-15.1%</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-19.0%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-14.6%</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-11.2%</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-16.6%</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-10.7%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-13.3%</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265"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-14.0%</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-0.4%</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9.4%</w:t>
            </w:r>
          </w:p>
        </w:tc>
      </w:tr>
      <w:tr>
        <w:trPr/>
        <w:tc>
          <w:tcPr>
            <w:tcW w:w="406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-18.56%</w:t>
            </w:r>
          </w:p>
        </w:tc>
        <w:tc>
          <w:tcPr>
            <w:tcW w:w="1440" w:type="dxa"/>
            <w:tcBorders>
              <w:top w:val="single" w:sz="12" w:space="0" w:color="000000"/>
              <w:bottom w:val="single" w:sz="12" w:space="0" w:color="000000"/>
            </w:tcBorders>
          </w:tcPr>
          <w:p>
            <w:pPr>
              <w:pStyle w:val="TAL"/>
              <w:rPr/>
            </w:pPr>
            <w:r>
              <w:rPr/>
              <w:t>-11.90%</w:t>
            </w:r>
          </w:p>
        </w:tc>
        <w:tc>
          <w:tcPr>
            <w:tcW w:w="1440" w:type="dxa"/>
            <w:tcBorders>
              <w:top w:val="single" w:sz="12" w:space="0" w:color="000000"/>
              <w:bottom w:val="single" w:sz="12" w:space="0" w:color="000000"/>
              <w:right w:val="single" w:sz="12" w:space="0" w:color="000000"/>
            </w:tcBorders>
          </w:tcPr>
          <w:p>
            <w:pPr>
              <w:pStyle w:val="TAL"/>
              <w:rPr/>
            </w:pPr>
            <w:r>
              <w:rPr/>
              <w:t>-9.90%</w:t>
            </w:r>
          </w:p>
        </w:tc>
      </w:tr>
      <w:tr>
        <w:trPr/>
        <w:tc>
          <w:tcPr>
            <w:tcW w:w="2803"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265"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-31.6%</w:t>
            </w:r>
          </w:p>
        </w:tc>
        <w:tc>
          <w:tcPr>
            <w:tcW w:w="1440" w:type="dxa"/>
            <w:tcBorders>
              <w:top w:val="single" w:sz="12" w:space="0" w:color="000000"/>
              <w:left w:val="single" w:sz="4" w:space="0" w:color="000000"/>
              <w:bottom w:val="single" w:sz="4" w:space="0" w:color="000000"/>
              <w:right w:val="single" w:sz="4" w:space="0" w:color="000000"/>
            </w:tcBorders>
          </w:tcPr>
          <w:p>
            <w:pPr>
              <w:pStyle w:val="TAL"/>
              <w:rPr/>
            </w:pPr>
            <w:r>
              <w:rPr/>
              <w:t>-26.3%</w:t>
            </w:r>
          </w:p>
        </w:tc>
        <w:tc>
          <w:tcPr>
            <w:tcW w:w="1440" w:type="dxa"/>
            <w:tcBorders>
              <w:top w:val="single" w:sz="12" w:space="0" w:color="000000"/>
              <w:left w:val="single" w:sz="4" w:space="0" w:color="000000"/>
              <w:bottom w:val="single" w:sz="4" w:space="0" w:color="000000"/>
              <w:right w:val="single" w:sz="4" w:space="0" w:color="000000"/>
            </w:tcBorders>
          </w:tcPr>
          <w:p>
            <w:pPr>
              <w:pStyle w:val="TAL"/>
              <w:rPr/>
            </w:pPr>
            <w:r>
              <w:rPr/>
              <w:t>-26.9%</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-25.1%</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-22.4%</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-22.5%</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-25.0%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-21.8%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-19.2%</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-21.8%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-16.8%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-19.4%</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265"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-20.1%</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-10.5%</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-5.4%</w:t>
            </w:r>
          </w:p>
        </w:tc>
      </w:tr>
      <w:tr>
        <w:trPr/>
        <w:tc>
          <w:tcPr>
            <w:tcW w:w="406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-24.72%</w:t>
            </w:r>
          </w:p>
        </w:tc>
        <w:tc>
          <w:tcPr>
            <w:tcW w:w="1440" w:type="dxa"/>
            <w:tcBorders>
              <w:top w:val="single" w:sz="12" w:space="0" w:color="000000"/>
              <w:bottom w:val="single" w:sz="12" w:space="0" w:color="000000"/>
            </w:tcBorders>
          </w:tcPr>
          <w:p>
            <w:pPr>
              <w:pStyle w:val="TAL"/>
              <w:rPr/>
            </w:pPr>
            <w:r>
              <w:rPr/>
              <w:t>-19.56%</w:t>
            </w:r>
          </w:p>
        </w:tc>
        <w:tc>
          <w:tcPr>
            <w:tcW w:w="1440" w:type="dxa"/>
            <w:tcBorders>
              <w:top w:val="single" w:sz="12" w:space="0" w:color="000000"/>
              <w:bottom w:val="single" w:sz="12" w:space="0" w:color="000000"/>
              <w:right w:val="single" w:sz="12" w:space="0" w:color="000000"/>
            </w:tcBorders>
          </w:tcPr>
          <w:p>
            <w:pPr>
              <w:pStyle w:val="TAL"/>
              <w:rPr/>
            </w:pPr>
            <w:r>
              <w:rPr/>
              <w:t>-18.68%</w:t>
            </w:r>
          </w:p>
        </w:tc>
      </w:tr>
    </w:tbl>
    <w:p>
      <w:pPr>
        <w:pStyle w:val="Normal"/>
        <w:rPr>
          <w:lang w:eastAsia="ko-KR"/>
        </w:rPr>
      </w:pPr>
      <w:r>
        <w:rPr>
          <w:lang w:eastAsia="ko-KR"/>
        </w:rPr>
      </w:r>
    </w:p>
    <w:p>
      <w:pPr>
        <w:pStyle w:val="TH"/>
        <w:rPr/>
      </w:pPr>
      <w:r>
        <w:rPr/>
        <w:t>Table 47: 3GP-DASH IRAP non-aligned simulation results (option 3)</w:t>
      </w:r>
    </w:p>
    <w:tbl>
      <w:tblPr>
        <w:tblW w:w="8298" w:type="dxa"/>
        <w:jc w:val="center"/>
        <w:tblInd w:w="0" w:type="dxa"/>
        <w:tblLayout w:type="fixed"/>
        <w:tblCellMar>
          <w:top w:w="0" w:type="dxa"/>
          <w:left w:w="108" w:type="dxa"/>
          <w:bottom w:w="0" w:type="dxa"/>
          <w:right w:w="108" w:type="dxa"/>
        </w:tblCellMar>
      </w:tblPr>
      <w:tblGrid>
        <w:gridCol w:w="2803"/>
        <w:gridCol w:w="1265"/>
        <w:gridCol w:w="1350"/>
        <w:gridCol w:w="1440"/>
        <w:gridCol w:w="144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pPr>
            <w:r>
              <w:rPr>
                <w:lang w:eastAsia="ko-KR"/>
              </w:rPr>
              <w:t>IRAP Non-Aligned</w:t>
            </w:r>
          </w:p>
        </w:tc>
        <w:tc>
          <w:tcPr>
            <w:tcW w:w="5495"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26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-28.3%</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-20.8%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-20.2%</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-19.6%</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-15.3%</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-15.0%</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-22.0%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-16.9%</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-11.4%</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-21.0%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-11.9%</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-14.6%</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265"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-15.4%</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3.3%</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13.5%</w:t>
            </w:r>
          </w:p>
        </w:tc>
      </w:tr>
      <w:tr>
        <w:trPr/>
        <w:tc>
          <w:tcPr>
            <w:tcW w:w="406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-21.26%</w:t>
            </w:r>
          </w:p>
        </w:tc>
        <w:tc>
          <w:tcPr>
            <w:tcW w:w="1440" w:type="dxa"/>
            <w:tcBorders>
              <w:top w:val="single" w:sz="12" w:space="0" w:color="000000"/>
              <w:bottom w:val="single" w:sz="12" w:space="0" w:color="000000"/>
            </w:tcBorders>
          </w:tcPr>
          <w:p>
            <w:pPr>
              <w:pStyle w:val="TAL"/>
              <w:rPr/>
            </w:pPr>
            <w:r>
              <w:rPr/>
              <w:t>-12.32%</w:t>
            </w:r>
          </w:p>
        </w:tc>
        <w:tc>
          <w:tcPr>
            <w:tcW w:w="1440" w:type="dxa"/>
            <w:tcBorders>
              <w:top w:val="single" w:sz="12" w:space="0" w:color="000000"/>
              <w:bottom w:val="single" w:sz="12" w:space="0" w:color="000000"/>
              <w:right w:val="single" w:sz="12" w:space="0" w:color="000000"/>
            </w:tcBorders>
          </w:tcPr>
          <w:p>
            <w:pPr>
              <w:pStyle w:val="TAL"/>
              <w:rPr/>
            </w:pPr>
            <w:r>
              <w:rPr/>
              <w:t>-9.54%</w:t>
            </w:r>
          </w:p>
        </w:tc>
      </w:tr>
      <w:tr>
        <w:trPr/>
        <w:tc>
          <w:tcPr>
            <w:tcW w:w="2803"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265"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-36.6%</w:t>
            </w:r>
          </w:p>
        </w:tc>
        <w:tc>
          <w:tcPr>
            <w:tcW w:w="1440" w:type="dxa"/>
            <w:tcBorders>
              <w:top w:val="single" w:sz="12" w:space="0" w:color="000000"/>
              <w:left w:val="single" w:sz="4" w:space="0" w:color="000000"/>
              <w:bottom w:val="single" w:sz="4" w:space="0" w:color="000000"/>
              <w:right w:val="single" w:sz="4" w:space="0" w:color="000000"/>
            </w:tcBorders>
          </w:tcPr>
          <w:p>
            <w:pPr>
              <w:pStyle w:val="TAL"/>
              <w:rPr/>
            </w:pPr>
            <w:r>
              <w:rPr/>
              <w:t>-28.4%</w:t>
            </w:r>
          </w:p>
        </w:tc>
        <w:tc>
          <w:tcPr>
            <w:tcW w:w="1440" w:type="dxa"/>
            <w:tcBorders>
              <w:top w:val="single" w:sz="12" w:space="0" w:color="000000"/>
              <w:left w:val="single" w:sz="4" w:space="0" w:color="000000"/>
              <w:bottom w:val="single" w:sz="4" w:space="0" w:color="000000"/>
              <w:right w:val="single" w:sz="4" w:space="0" w:color="000000"/>
            </w:tcBorders>
          </w:tcPr>
          <w:p>
            <w:pPr>
              <w:pStyle w:val="TAL"/>
              <w:rPr/>
            </w:pPr>
            <w:r>
              <w:rPr/>
              <w:t>-27.3%</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-27.0%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-22.4%</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-22.3%</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-28.9%</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-24.6%</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-20.9%</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-27.8%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-19.7%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-22.1%</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265"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-21.7%</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-9.1%</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-5.2%</w:t>
            </w:r>
          </w:p>
        </w:tc>
      </w:tr>
      <w:tr>
        <w:trPr/>
        <w:tc>
          <w:tcPr>
            <w:tcW w:w="406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-28.40%</w:t>
            </w:r>
          </w:p>
        </w:tc>
        <w:tc>
          <w:tcPr>
            <w:tcW w:w="1440" w:type="dxa"/>
            <w:tcBorders>
              <w:top w:val="single" w:sz="12" w:space="0" w:color="000000"/>
              <w:bottom w:val="single" w:sz="12" w:space="0" w:color="000000"/>
            </w:tcBorders>
          </w:tcPr>
          <w:p>
            <w:pPr>
              <w:pStyle w:val="TAL"/>
              <w:rPr/>
            </w:pPr>
            <w:r>
              <w:rPr/>
              <w:t>-20.84%</w:t>
            </w:r>
          </w:p>
        </w:tc>
        <w:tc>
          <w:tcPr>
            <w:tcW w:w="1440" w:type="dxa"/>
            <w:tcBorders>
              <w:top w:val="single" w:sz="12" w:space="0" w:color="000000"/>
              <w:bottom w:val="single" w:sz="12" w:space="0" w:color="000000"/>
              <w:right w:val="single" w:sz="12" w:space="0" w:color="000000"/>
            </w:tcBorders>
          </w:tcPr>
          <w:p>
            <w:pPr>
              <w:pStyle w:val="TAL"/>
              <w:rPr/>
            </w:pPr>
            <w:r>
              <w:rPr/>
              <w:t>-19.56%</w:t>
            </w:r>
          </w:p>
        </w:tc>
      </w:tr>
    </w:tbl>
    <w:p>
      <w:pPr>
        <w:pStyle w:val="TH"/>
        <w:rPr/>
      </w:pPr>
      <w:r>
        <w:rPr/>
      </w:r>
    </w:p>
    <w:p>
      <w:pPr>
        <w:pStyle w:val="TH"/>
        <w:rPr/>
      </w:pPr>
      <w:r>
        <w:rPr/>
        <w:t>Table 48: 3GP-DASH IRAP non-aligned simulation results (option 4)</w:t>
      </w:r>
    </w:p>
    <w:tbl>
      <w:tblPr>
        <w:tblW w:w="8298" w:type="dxa"/>
        <w:jc w:val="center"/>
        <w:tblInd w:w="0" w:type="dxa"/>
        <w:tblLayout w:type="fixed"/>
        <w:tblCellMar>
          <w:top w:w="0" w:type="dxa"/>
          <w:left w:w="108" w:type="dxa"/>
          <w:bottom w:w="0" w:type="dxa"/>
          <w:right w:w="108" w:type="dxa"/>
        </w:tblCellMar>
      </w:tblPr>
      <w:tblGrid>
        <w:gridCol w:w="2803"/>
        <w:gridCol w:w="1265"/>
        <w:gridCol w:w="1350"/>
        <w:gridCol w:w="1440"/>
        <w:gridCol w:w="144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pPr>
            <w:r>
              <w:rPr>
                <w:lang w:eastAsia="ko-KR"/>
              </w:rPr>
              <w:t>IRAP Non-Aligned</w:t>
            </w:r>
          </w:p>
        </w:tc>
        <w:tc>
          <w:tcPr>
            <w:tcW w:w="5495"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26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-30.4%</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-20.2%</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-20.5%</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-15.4%</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-14.7%</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-24.2%</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-18.8%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-11.4%</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-25.8%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-13.0%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-15.7%</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265"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-16.4%</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6.6%</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15.5%</w:t>
            </w:r>
          </w:p>
        </w:tc>
      </w:tr>
      <w:tr>
        <w:trPr/>
        <w:tc>
          <w:tcPr>
            <w:tcW w:w="406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-23.46%</w:t>
            </w:r>
          </w:p>
        </w:tc>
        <w:tc>
          <w:tcPr>
            <w:tcW w:w="1440" w:type="dxa"/>
            <w:tcBorders>
              <w:top w:val="single" w:sz="12" w:space="0" w:color="000000"/>
              <w:bottom w:val="single" w:sz="12" w:space="0" w:color="000000"/>
            </w:tcBorders>
          </w:tcPr>
          <w:p>
            <w:pPr>
              <w:pStyle w:val="TAL"/>
              <w:rPr/>
            </w:pPr>
            <w:r>
              <w:rPr/>
              <w:t>-12.52%</w:t>
            </w:r>
          </w:p>
        </w:tc>
        <w:tc>
          <w:tcPr>
            <w:tcW w:w="1440" w:type="dxa"/>
            <w:tcBorders>
              <w:top w:val="single" w:sz="12" w:space="0" w:color="000000"/>
              <w:bottom w:val="single" w:sz="12" w:space="0" w:color="000000"/>
              <w:right w:val="single" w:sz="12" w:space="0" w:color="000000"/>
            </w:tcBorders>
          </w:tcPr>
          <w:p>
            <w:pPr>
              <w:pStyle w:val="TAL"/>
              <w:rPr/>
            </w:pPr>
            <w:r>
              <w:rPr/>
              <w:t>-9.30%</w:t>
            </w:r>
          </w:p>
        </w:tc>
      </w:tr>
      <w:tr>
        <w:trPr/>
        <w:tc>
          <w:tcPr>
            <w:tcW w:w="2803" w:type="dxa"/>
            <w:tcBorders>
              <w:top w:val="single" w:sz="12"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265"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-40.4%</w:t>
            </w:r>
          </w:p>
        </w:tc>
        <w:tc>
          <w:tcPr>
            <w:tcW w:w="1440" w:type="dxa"/>
            <w:tcBorders>
              <w:top w:val="single" w:sz="12" w:space="0" w:color="000000"/>
              <w:left w:val="single" w:sz="4" w:space="0" w:color="000000"/>
              <w:bottom w:val="single" w:sz="4" w:space="0" w:color="000000"/>
              <w:right w:val="single" w:sz="4" w:space="0" w:color="000000"/>
            </w:tcBorders>
          </w:tcPr>
          <w:p>
            <w:pPr>
              <w:pStyle w:val="TAL"/>
              <w:rPr/>
            </w:pPr>
            <w:r>
              <w:rPr/>
              <w:t>-30.7%</w:t>
            </w:r>
          </w:p>
        </w:tc>
        <w:tc>
          <w:tcPr>
            <w:tcW w:w="1440" w:type="dxa"/>
            <w:tcBorders>
              <w:top w:val="single" w:sz="12" w:space="0" w:color="000000"/>
              <w:left w:val="single" w:sz="4" w:space="0" w:color="000000"/>
              <w:bottom w:val="single" w:sz="4" w:space="0" w:color="000000"/>
              <w:right w:val="single" w:sz="4" w:space="0" w:color="000000"/>
            </w:tcBorders>
          </w:tcPr>
          <w:p>
            <w:pPr>
              <w:pStyle w:val="TAL"/>
              <w:rPr/>
            </w:pPr>
            <w:r>
              <w:rPr/>
              <w:t>-28.5%</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-28.4%</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-22.9%</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-22.6%</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-31.8%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-27.1%</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-22.8%</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2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-34.0%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-22.8%</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-24.9%</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265"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-22.8%</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-8.4%</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-5.4%</w:t>
            </w:r>
          </w:p>
        </w:tc>
      </w:tr>
      <w:tr>
        <w:trPr/>
        <w:tc>
          <w:tcPr>
            <w:tcW w:w="406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350" w:type="dxa"/>
            <w:tcBorders>
              <w:top w:val="single" w:sz="12" w:space="0" w:color="000000"/>
              <w:bottom w:val="single" w:sz="12" w:space="0" w:color="000000"/>
            </w:tcBorders>
          </w:tcPr>
          <w:p>
            <w:pPr>
              <w:pStyle w:val="TAL"/>
              <w:rPr/>
            </w:pPr>
            <w:r>
              <w:rPr/>
              <w:t>-31.48%</w:t>
            </w:r>
          </w:p>
        </w:tc>
        <w:tc>
          <w:tcPr>
            <w:tcW w:w="1440" w:type="dxa"/>
            <w:tcBorders>
              <w:top w:val="single" w:sz="12" w:space="0" w:color="000000"/>
              <w:bottom w:val="single" w:sz="12" w:space="0" w:color="000000"/>
            </w:tcBorders>
          </w:tcPr>
          <w:p>
            <w:pPr>
              <w:pStyle w:val="TAL"/>
              <w:rPr/>
            </w:pPr>
            <w:r>
              <w:rPr/>
              <w:t>-22.38%</w:t>
            </w:r>
          </w:p>
        </w:tc>
        <w:tc>
          <w:tcPr>
            <w:tcW w:w="1440" w:type="dxa"/>
            <w:tcBorders>
              <w:top w:val="single" w:sz="12" w:space="0" w:color="000000"/>
              <w:bottom w:val="single" w:sz="12" w:space="0" w:color="000000"/>
              <w:right w:val="single" w:sz="12" w:space="0" w:color="000000"/>
            </w:tcBorders>
          </w:tcPr>
          <w:p>
            <w:pPr>
              <w:pStyle w:val="TAL"/>
              <w:rPr/>
            </w:pPr>
            <w:r>
              <w:rPr/>
              <w:t>-20.84%</w:t>
            </w:r>
          </w:p>
        </w:tc>
      </w:tr>
    </w:tbl>
    <w:p>
      <w:pPr>
        <w:pStyle w:val="Normal"/>
        <w:rPr/>
      </w:pPr>
      <w:r>
        <w:rPr/>
      </w:r>
    </w:p>
    <w:p>
      <w:pPr>
        <w:pStyle w:val="TH"/>
        <w:rPr/>
      </w:pPr>
      <w:r>
        <w:rPr/>
        <w:t>Table 49: 3GP-DASH IRAP non-aligned simulation results (option 1)</w:t>
      </w:r>
    </w:p>
    <w:tbl>
      <w:tblPr>
        <w:tblW w:w="8478" w:type="dxa"/>
        <w:jc w:val="center"/>
        <w:tblInd w:w="0" w:type="dxa"/>
        <w:tblLayout w:type="fixed"/>
        <w:tblCellMar>
          <w:top w:w="0" w:type="dxa"/>
          <w:left w:w="108" w:type="dxa"/>
          <w:bottom w:w="0" w:type="dxa"/>
          <w:right w:w="108" w:type="dxa"/>
        </w:tblCellMar>
      </w:tblPr>
      <w:tblGrid>
        <w:gridCol w:w="2803"/>
        <w:gridCol w:w="1355"/>
        <w:gridCol w:w="1530"/>
        <w:gridCol w:w="1350"/>
        <w:gridCol w:w="1440"/>
      </w:tblGrid>
      <w:tr>
        <w:trPr/>
        <w:tc>
          <w:tcPr>
            <w:tcW w:w="2803"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IRAP Non-Aligned</w:t>
            </w:r>
          </w:p>
        </w:tc>
        <w:tc>
          <w:tcPr>
            <w:tcW w:w="5675" w:type="dxa"/>
            <w:gridSpan w:val="4"/>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SHVC vs. Simulcast</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35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deltaQP</w:t>
            </w:r>
          </w:p>
        </w:tc>
        <w:tc>
          <w:tcPr>
            <w:tcW w:w="153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Y</w:t>
            </w:r>
          </w:p>
        </w:tc>
        <w:tc>
          <w:tcPr>
            <w:tcW w:w="135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U</w:t>
            </w:r>
          </w:p>
        </w:tc>
        <w:tc>
          <w:tcPr>
            <w:tcW w:w="1440"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V</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Kimono</w:t>
            </w:r>
          </w:p>
        </w:tc>
        <w:tc>
          <w:tcPr>
            <w:tcW w:w="135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-30.0%</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-20.7%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-17.9%</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35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-20.3%</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-15.1%</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-14.4%</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35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-24.1%</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-18.3%</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-9.7%</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355"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-27.3%</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-10.7%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-12.9%</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355" w:type="dxa"/>
            <w:tcBorders>
              <w:top w:val="single" w:sz="4" w:space="0" w:color="000000"/>
              <w:left w:val="single" w:sz="4" w:space="0" w:color="000000"/>
              <w:bottom w:val="single" w:sz="12" w:space="0" w:color="000000"/>
              <w:right w:val="single" w:sz="4" w:space="0" w:color="000000"/>
            </w:tcBorders>
          </w:tcPr>
          <w:p>
            <w:pPr>
              <w:pStyle w:val="TAL"/>
              <w:rPr/>
            </w:pPr>
            <w:r>
              <w:rPr/>
              <w:t>0</w:t>
            </w:r>
          </w:p>
        </w:tc>
        <w:tc>
          <w:tcPr>
            <w:tcW w:w="1530" w:type="dxa"/>
            <w:tcBorders>
              <w:top w:val="single" w:sz="4" w:space="0" w:color="000000"/>
              <w:left w:val="single" w:sz="4" w:space="0" w:color="000000"/>
              <w:bottom w:val="single" w:sz="12" w:space="0" w:color="000000"/>
              <w:right w:val="single" w:sz="4" w:space="0" w:color="000000"/>
            </w:tcBorders>
          </w:tcPr>
          <w:p>
            <w:pPr>
              <w:pStyle w:val="TAL"/>
              <w:rPr/>
            </w:pPr>
            <w:r>
              <w:rPr/>
              <w:t>-16.4%</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8.2%</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17.0%</w:t>
            </w:r>
          </w:p>
        </w:tc>
      </w:tr>
      <w:tr>
        <w:trPr/>
        <w:tc>
          <w:tcPr>
            <w:tcW w:w="415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530" w:type="dxa"/>
            <w:tcBorders>
              <w:top w:val="single" w:sz="12" w:space="0" w:color="000000"/>
              <w:bottom w:val="single" w:sz="12" w:space="0" w:color="000000"/>
            </w:tcBorders>
          </w:tcPr>
          <w:p>
            <w:pPr>
              <w:pStyle w:val="TAL"/>
              <w:rPr/>
            </w:pPr>
            <w:r>
              <w:rPr/>
              <w:t>-23.62%</w:t>
            </w:r>
          </w:p>
        </w:tc>
        <w:tc>
          <w:tcPr>
            <w:tcW w:w="1350" w:type="dxa"/>
            <w:tcBorders>
              <w:top w:val="single" w:sz="12" w:space="0" w:color="000000"/>
              <w:bottom w:val="single" w:sz="12" w:space="0" w:color="000000"/>
            </w:tcBorders>
          </w:tcPr>
          <w:p>
            <w:pPr>
              <w:pStyle w:val="TAL"/>
              <w:rPr/>
            </w:pPr>
            <w:r>
              <w:rPr/>
              <w:t>-11.32%</w:t>
            </w:r>
          </w:p>
        </w:tc>
        <w:tc>
          <w:tcPr>
            <w:tcW w:w="1440" w:type="dxa"/>
            <w:tcBorders>
              <w:top w:val="single" w:sz="12" w:space="0" w:color="000000"/>
              <w:bottom w:val="single" w:sz="12" w:space="0" w:color="000000"/>
              <w:right w:val="single" w:sz="12" w:space="0" w:color="000000"/>
            </w:tcBorders>
          </w:tcPr>
          <w:p>
            <w:pPr>
              <w:pStyle w:val="TAL"/>
              <w:rPr/>
            </w:pPr>
            <w:r>
              <w:rPr/>
              <w:t>-7.58%</w:t>
            </w:r>
          </w:p>
        </w:tc>
      </w:tr>
      <w:tr>
        <w:trPr/>
        <w:tc>
          <w:tcPr>
            <w:tcW w:w="2803" w:type="dxa"/>
            <w:tcBorders>
              <w:top w:val="single" w:sz="12" w:space="0" w:color="000000"/>
              <w:left w:val="single" w:sz="4" w:space="0" w:color="000000"/>
              <w:bottom w:val="single" w:sz="4" w:space="0" w:color="000000"/>
              <w:right w:val="single" w:sz="4" w:space="0" w:color="000000"/>
            </w:tcBorders>
          </w:tcPr>
          <w:p>
            <w:pPr>
              <w:pStyle w:val="TAL"/>
              <w:rPr/>
            </w:pPr>
            <w:r>
              <w:rPr>
                <w:lang w:eastAsia="ko-KR"/>
              </w:rPr>
              <w:t>Kimono</w:t>
            </w:r>
          </w:p>
        </w:tc>
        <w:tc>
          <w:tcPr>
            <w:tcW w:w="1355" w:type="dxa"/>
            <w:tcBorders>
              <w:top w:val="single" w:sz="12" w:space="0" w:color="000000"/>
              <w:left w:val="single" w:sz="4" w:space="0" w:color="000000"/>
              <w:bottom w:val="single" w:sz="4" w:space="0" w:color="000000"/>
              <w:right w:val="single" w:sz="4" w:space="0" w:color="000000"/>
            </w:tcBorders>
          </w:tcPr>
          <w:p>
            <w:pPr>
              <w:pStyle w:val="TAL"/>
              <w:rPr/>
            </w:pPr>
            <w:r>
              <w:rPr/>
              <w:t>2</w:t>
            </w:r>
          </w:p>
        </w:tc>
        <w:tc>
          <w:tcPr>
            <w:tcW w:w="1530" w:type="dxa"/>
            <w:tcBorders>
              <w:top w:val="single" w:sz="12" w:space="0" w:color="000000"/>
              <w:left w:val="single" w:sz="4" w:space="0" w:color="000000"/>
              <w:bottom w:val="single" w:sz="4" w:space="0" w:color="000000"/>
              <w:right w:val="single" w:sz="4" w:space="0" w:color="000000"/>
            </w:tcBorders>
          </w:tcPr>
          <w:p>
            <w:pPr>
              <w:pStyle w:val="TAL"/>
              <w:rPr/>
            </w:pPr>
            <w:r>
              <w:rPr/>
              <w:t>-41.2%</w:t>
            </w:r>
          </w:p>
        </w:tc>
        <w:tc>
          <w:tcPr>
            <w:tcW w:w="1350" w:type="dxa"/>
            <w:tcBorders>
              <w:top w:val="single" w:sz="12" w:space="0" w:color="000000"/>
              <w:left w:val="single" w:sz="4" w:space="0" w:color="000000"/>
              <w:bottom w:val="single" w:sz="4" w:space="0" w:color="000000"/>
              <w:right w:val="single" w:sz="4" w:space="0" w:color="000000"/>
            </w:tcBorders>
          </w:tcPr>
          <w:p>
            <w:pPr>
              <w:pStyle w:val="TAL"/>
              <w:rPr/>
            </w:pPr>
            <w:r>
              <w:rPr/>
              <w:t>-31.5%</w:t>
            </w:r>
          </w:p>
        </w:tc>
        <w:tc>
          <w:tcPr>
            <w:tcW w:w="1440" w:type="dxa"/>
            <w:tcBorders>
              <w:top w:val="single" w:sz="12" w:space="0" w:color="000000"/>
              <w:left w:val="single" w:sz="4" w:space="0" w:color="000000"/>
              <w:bottom w:val="single" w:sz="4" w:space="0" w:color="000000"/>
              <w:right w:val="single" w:sz="4" w:space="0" w:color="000000"/>
            </w:tcBorders>
          </w:tcPr>
          <w:p>
            <w:pPr>
              <w:pStyle w:val="TAL"/>
              <w:rPr/>
            </w:pPr>
            <w:r>
              <w:rPr/>
              <w:t>-28.6%</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ParkScene</w:t>
            </w:r>
          </w:p>
        </w:tc>
        <w:tc>
          <w:tcPr>
            <w:tcW w:w="135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-28.4%</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-23.0%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-22.6%</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Cactus</w:t>
            </w:r>
          </w:p>
        </w:tc>
        <w:tc>
          <w:tcPr>
            <w:tcW w:w="135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-32.5%</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-27.6%</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-22.9%</w:t>
            </w:r>
          </w:p>
        </w:tc>
      </w:tr>
      <w:tr>
        <w:trPr/>
        <w:tc>
          <w:tcPr>
            <w:tcW w:w="28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BasketballDrive</w:t>
            </w:r>
          </w:p>
        </w:tc>
        <w:tc>
          <w:tcPr>
            <w:tcW w:w="135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-36.4%</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t>-23.5%</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-24.7%</w:t>
            </w:r>
          </w:p>
        </w:tc>
      </w:tr>
      <w:tr>
        <w:trPr/>
        <w:tc>
          <w:tcPr>
            <w:tcW w:w="2803" w:type="dxa"/>
            <w:tcBorders>
              <w:top w:val="single" w:sz="4" w:space="0" w:color="000000"/>
              <w:left w:val="single" w:sz="4" w:space="0" w:color="000000"/>
              <w:bottom w:val="single" w:sz="12" w:space="0" w:color="000000"/>
              <w:right w:val="single" w:sz="4" w:space="0" w:color="000000"/>
            </w:tcBorders>
          </w:tcPr>
          <w:p>
            <w:pPr>
              <w:pStyle w:val="TAL"/>
              <w:rPr>
                <w:lang w:eastAsia="ko-KR"/>
              </w:rPr>
            </w:pPr>
            <w:r>
              <w:rPr>
                <w:lang w:eastAsia="ko-KR"/>
              </w:rPr>
              <w:t>BQTerrace</w:t>
            </w:r>
          </w:p>
        </w:tc>
        <w:tc>
          <w:tcPr>
            <w:tcW w:w="1355" w:type="dxa"/>
            <w:tcBorders>
              <w:top w:val="single" w:sz="4" w:space="0" w:color="000000"/>
              <w:left w:val="single" w:sz="4" w:space="0" w:color="000000"/>
              <w:bottom w:val="single" w:sz="12" w:space="0" w:color="000000"/>
              <w:right w:val="single" w:sz="4" w:space="0" w:color="000000"/>
            </w:tcBorders>
          </w:tcPr>
          <w:p>
            <w:pPr>
              <w:pStyle w:val="TAL"/>
              <w:rPr/>
            </w:pPr>
            <w:r>
              <w:rPr/>
              <w:t>2</w:t>
            </w:r>
          </w:p>
        </w:tc>
        <w:tc>
          <w:tcPr>
            <w:tcW w:w="1530" w:type="dxa"/>
            <w:tcBorders>
              <w:top w:val="single" w:sz="4" w:space="0" w:color="000000"/>
              <w:left w:val="single" w:sz="4" w:space="0" w:color="000000"/>
              <w:bottom w:val="single" w:sz="12" w:space="0" w:color="000000"/>
              <w:right w:val="single" w:sz="4" w:space="0" w:color="000000"/>
            </w:tcBorders>
          </w:tcPr>
          <w:p>
            <w:pPr>
              <w:pStyle w:val="TAL"/>
              <w:rPr/>
            </w:pPr>
            <w:r>
              <w:rPr/>
              <w:t>-22.5%</w:t>
            </w:r>
          </w:p>
        </w:tc>
        <w:tc>
          <w:tcPr>
            <w:tcW w:w="1350" w:type="dxa"/>
            <w:tcBorders>
              <w:top w:val="single" w:sz="4" w:space="0" w:color="000000"/>
              <w:left w:val="single" w:sz="4" w:space="0" w:color="000000"/>
              <w:bottom w:val="single" w:sz="12" w:space="0" w:color="000000"/>
              <w:right w:val="single" w:sz="4" w:space="0" w:color="000000"/>
            </w:tcBorders>
          </w:tcPr>
          <w:p>
            <w:pPr>
              <w:pStyle w:val="TAL"/>
              <w:rPr/>
            </w:pPr>
            <w:r>
              <w:rPr/>
              <w:t>-7.9%</w:t>
            </w:r>
          </w:p>
        </w:tc>
        <w:tc>
          <w:tcPr>
            <w:tcW w:w="1440" w:type="dxa"/>
            <w:tcBorders>
              <w:top w:val="single" w:sz="4" w:space="0" w:color="000000"/>
              <w:left w:val="single" w:sz="4" w:space="0" w:color="000000"/>
              <w:bottom w:val="single" w:sz="12" w:space="0" w:color="000000"/>
              <w:right w:val="single" w:sz="4" w:space="0" w:color="000000"/>
            </w:tcBorders>
          </w:tcPr>
          <w:p>
            <w:pPr>
              <w:pStyle w:val="TAL"/>
              <w:rPr/>
            </w:pPr>
            <w:r>
              <w:rPr/>
              <w:t>-4.9%</w:t>
            </w:r>
          </w:p>
        </w:tc>
      </w:tr>
      <w:tr>
        <w:trPr/>
        <w:tc>
          <w:tcPr>
            <w:tcW w:w="4158" w:type="dxa"/>
            <w:gridSpan w:val="2"/>
            <w:tcBorders>
              <w:top w:val="single" w:sz="12" w:space="0" w:color="000000"/>
              <w:left w:val="single" w:sz="12" w:space="0" w:color="000000"/>
              <w:bottom w:val="single" w:sz="12" w:space="0" w:color="000000"/>
            </w:tcBorders>
          </w:tcPr>
          <w:p>
            <w:pPr>
              <w:pStyle w:val="TAL"/>
              <w:rPr>
                <w:rFonts w:ascii="Calibri" w:hAnsi="Calibri" w:cs="Calibri"/>
                <w:lang w:eastAsia="ko-KR"/>
              </w:rPr>
            </w:pPr>
            <w:r>
              <w:rPr>
                <w:lang w:eastAsia="ko-KR"/>
              </w:rPr>
              <w:t>Average</w:t>
            </w:r>
          </w:p>
        </w:tc>
        <w:tc>
          <w:tcPr>
            <w:tcW w:w="1530" w:type="dxa"/>
            <w:tcBorders>
              <w:top w:val="single" w:sz="12" w:space="0" w:color="000000"/>
              <w:bottom w:val="single" w:sz="12" w:space="0" w:color="000000"/>
            </w:tcBorders>
          </w:tcPr>
          <w:p>
            <w:pPr>
              <w:pStyle w:val="TAL"/>
              <w:rPr/>
            </w:pPr>
            <w:r>
              <w:rPr/>
              <w:t>-32.20%</w:t>
            </w:r>
          </w:p>
        </w:tc>
        <w:tc>
          <w:tcPr>
            <w:tcW w:w="1350" w:type="dxa"/>
            <w:tcBorders>
              <w:top w:val="single" w:sz="12" w:space="0" w:color="000000"/>
              <w:bottom w:val="single" w:sz="12" w:space="0" w:color="000000"/>
            </w:tcBorders>
          </w:tcPr>
          <w:p>
            <w:pPr>
              <w:pStyle w:val="TAL"/>
              <w:rPr/>
            </w:pPr>
            <w:r>
              <w:rPr/>
              <w:t>-22.70%</w:t>
            </w:r>
          </w:p>
        </w:tc>
        <w:tc>
          <w:tcPr>
            <w:tcW w:w="1440" w:type="dxa"/>
            <w:tcBorders>
              <w:top w:val="single" w:sz="12" w:space="0" w:color="000000"/>
              <w:bottom w:val="single" w:sz="12" w:space="0" w:color="000000"/>
              <w:right w:val="single" w:sz="12" w:space="0" w:color="000000"/>
            </w:tcBorders>
          </w:tcPr>
          <w:p>
            <w:pPr>
              <w:pStyle w:val="TAL"/>
              <w:rPr/>
            </w:pPr>
            <w:r>
              <w:rPr/>
              <w:t>-20.74%</w:t>
            </w:r>
          </w:p>
        </w:tc>
      </w:tr>
    </w:tbl>
    <w:p>
      <w:pPr>
        <w:pStyle w:val="Normal"/>
        <w:rPr/>
      </w:pPr>
      <w:r>
        <w:rPr/>
      </w:r>
    </w:p>
    <w:p>
      <w:pPr>
        <w:pStyle w:val="Heading1"/>
        <w:ind w:left="1134" w:hanging="1134"/>
        <w:rPr/>
      </w:pPr>
      <w:bookmarkStart w:id="98" w:name="__RefHeading___Toc517445386"/>
      <w:bookmarkEnd w:id="98"/>
      <w:r>
        <w:rPr/>
        <w:t>8</w:t>
        <w:tab/>
        <w:t>Conclusions</w:t>
      </w:r>
    </w:p>
    <w:p>
      <w:pPr>
        <w:pStyle w:val="Heading2"/>
        <w:rPr/>
      </w:pPr>
      <w:bookmarkStart w:id="99" w:name="__RefHeading___Toc517445387"/>
      <w:bookmarkEnd w:id="99"/>
      <w:r>
        <w:rPr/>
        <w:t>8.1</w:t>
        <w:tab/>
        <w:t>Introduction</w:t>
      </w:r>
    </w:p>
    <w:p>
      <w:pPr>
        <w:pStyle w:val="Normal"/>
        <w:rPr>
          <w:lang w:eastAsia="zh-CN"/>
        </w:rPr>
      </w:pPr>
      <w:r>
        <w:rPr/>
        <w:t>The technical report provides deep technical analyses of different new use cases in the context of 3GPP multimedia services. Based on the analyses and the results, SHVC can provide technical benefits in different scenarios and circumstances. Therefore, whenever new use cases and scenarios, either those documented in the TR or new ones, are considered within emerging 3GPP services, SHVC may be an attractive candidate to be considered for such cases.</w:t>
      </w:r>
    </w:p>
    <w:p>
      <w:pPr>
        <w:pStyle w:val="Normal"/>
        <w:spacing w:before="0" w:after="120"/>
        <w:rPr/>
      </w:pPr>
      <w:r>
        <w:rPr>
          <w:color w:val="000000"/>
        </w:rPr>
        <w:t xml:space="preserve">The remainder of this clause provides the conclusions of the use cases, test results and analyses for </w:t>
      </w:r>
      <w:r>
        <w:rPr/>
        <w:t>multi-stream multiparty video conferencing (MMVC), IMS based telepresence, MBMS and 3GP-DASH.</w:t>
      </w:r>
    </w:p>
    <w:p>
      <w:pPr>
        <w:pStyle w:val="Heading2"/>
        <w:rPr/>
      </w:pPr>
      <w:bookmarkStart w:id="100" w:name="__RefHeading___Toc517445388"/>
      <w:bookmarkEnd w:id="100"/>
      <w:r>
        <w:rPr/>
        <w:t>8.2</w:t>
        <w:tab/>
        <w:t>MMVC and IMS based telepresence</w:t>
      </w:r>
    </w:p>
    <w:p>
      <w:pPr>
        <w:pStyle w:val="Normal"/>
        <w:rPr/>
      </w:pPr>
      <w:r>
        <w:rPr/>
        <w:t>Both HEVC simulcast and SHVC can be used as the video codec solution in the multi-stream multiparty video conferencing (MMVC) service, in the context of the MTSI service, for the heterogeneous-device MMVC use case and the heterogeneous-bandwidth MMVC use case described in clauses 6.1.1 and 6.1.2, respectively. These use cases are currently not fully supported by TS 26.114 [4].</w:t>
      </w:r>
    </w:p>
    <w:p>
      <w:pPr>
        <w:pStyle w:val="Normal"/>
        <w:rPr/>
      </w:pPr>
      <w:r>
        <w:rPr/>
        <w:t>As shown in clause 6.1.4, using SHVC can reduce uplink bandwidth for UEs that send different versions of its video for display as the main video (as opposed to thumbnail video) by other UEs, at the cost of increased downlink bandwidth and decoding complexity for UEs that display a high resolution main video. For these use cases, uplink bandwidth reduction is an important benefit. As reported in clause 6.1.4, an average uplink bandwidth saving of about 27% can be achieved, and the corresponding reported average downlink bandwidth cost for those UEs affected was about 24%. The increase in decoding complexity for those UEs affected is roughly the percentage of the number of samples in the lower resolution video relative to that in the higher resolution video. The complexity of SHVC encoding is typically less than that of simulcast encoding (see clause 6.1.4.4).</w:t>
      </w:r>
    </w:p>
    <w:p>
      <w:pPr>
        <w:pStyle w:val="Normal"/>
        <w:spacing w:before="0" w:after="120"/>
        <w:rPr/>
      </w:pPr>
      <w:r>
        <w:rPr/>
        <w:t>When the previous active speaker sends both medium and thumbnail video, but uses SHVC for encoding with the thumbnail video being the base layer, additional gain for SHVC is achieved. For the scenario with 240p resolution thumbnail (i.e., 3x in both width and height relative to the 720p resolution), the average BD-rate decrease for SHVC comparing to HEVC simulcast was around 6.7%, and the BD-rate increase for SHVC comparing to HEVC single layer coding (720p) was around 13.1%. For the scenario with 360p resolution thumbnail (i.e., 2x in both width and height relative to the 720p resolution), the average BD-rate decrease for SHVC comparing to HEVC simulcast was around 18.3%, and the BD-rate increase for SHVC comparing to HEVC single layer coding (720p) was around 19.2%.</w:t>
      </w:r>
    </w:p>
    <w:p>
      <w:pPr>
        <w:pStyle w:val="Normal"/>
        <w:rPr/>
      </w:pPr>
      <w:r>
        <w:rPr/>
        <w:t>The cost/benefit of using SHVC vs. simulcast by taking into account the numbers of premium and regular UEs in an MMVC session was analysed in Clause 7.2.1.6. Three cases were considered; the conclusion for each of these three cases is summarized as follows:</w:t>
      </w:r>
    </w:p>
    <w:p>
      <w:pPr>
        <w:pStyle w:val="B1"/>
        <w:rPr/>
      </w:pPr>
      <w:r>
        <w:rPr>
          <w:b/>
        </w:rPr>
        <w:t>-</w:t>
        <w:tab/>
      </w:r>
      <w:r>
        <w:rPr/>
        <w:t>Case A: a high resolution and a medium resolution video for the current active speaker are coded using either SHVC or HEVC simulcast. For this case, if there are 4 or fewer premium UEs (not including the current active speaker) in the MMVC session, then SHVC outperforms simulcast under the assumptions for the analysis.</w:t>
      </w:r>
    </w:p>
    <w:p>
      <w:pPr>
        <w:pStyle w:val="B1"/>
        <w:rPr/>
      </w:pPr>
      <w:r>
        <w:rPr>
          <w:b/>
        </w:rPr>
        <w:t>-</w:t>
        <w:tab/>
      </w:r>
      <w:r>
        <w:rPr/>
        <w:t>Case B: a medium resolution video and a thumbnail video for the previous active speaker are coded using either SHVC or HEVC simulcast. For this case, SHVC always slightly outperforms simulcast under the assumptions for the analysis.</w:t>
      </w:r>
    </w:p>
    <w:p>
      <w:pPr>
        <w:pStyle w:val="B1"/>
        <w:rPr/>
      </w:pPr>
      <w:r>
        <w:rPr>
          <w:b/>
        </w:rPr>
        <w:t>-</w:t>
        <w:tab/>
      </w:r>
      <w:r>
        <w:rPr/>
        <w:t>Case C: a combination of Case A and Case B, where a high resolution and a medium resolution video for the current active speaker are coded using either SHVC or HEVC simulcast, and a medium resolution video and a thumbnail video for the previous active speaker are coded using either SHVC or HEVC simulcast. For this case, if there are 4.13 or fewer premium UEs (not including the current active speaker) in the MMVC session, then SHVC outperforms simulcast under the assumptions for the analysis.</w:t>
      </w:r>
    </w:p>
    <w:p>
      <w:pPr>
        <w:pStyle w:val="Normal"/>
        <w:rPr/>
      </w:pPr>
      <w:r>
        <w:rPr/>
        <w:t>The MMVC use cases and the above conclusion also apply to the IMS based telepresence service. These use cases are currently not fully supported by TR 26.923 [17].</w:t>
      </w:r>
    </w:p>
    <w:p>
      <w:pPr>
        <w:pStyle w:val="Heading2"/>
        <w:rPr/>
      </w:pPr>
      <w:bookmarkStart w:id="101" w:name="__RefHeading___Toc517445389"/>
      <w:bookmarkEnd w:id="101"/>
      <w:r>
        <w:rPr/>
        <w:t>8.3</w:t>
        <w:tab/>
        <w:t>MBMS</w:t>
      </w:r>
    </w:p>
    <w:p>
      <w:pPr>
        <w:pStyle w:val="Normal"/>
        <w:rPr/>
      </w:pPr>
      <w:r>
        <w:rPr/>
        <w:t>Both HEVC simulcast and SHVC can be used as the video codec solution in the MBMS service for the differentiated-service use case described in clause 6.2.1. This use case is currently not fully supported by TS 26.346 [3].</w:t>
      </w:r>
    </w:p>
    <w:p>
      <w:pPr>
        <w:pStyle w:val="Normal"/>
        <w:rPr/>
      </w:pPr>
      <w:r>
        <w:rPr/>
        <w:t xml:space="preserve">As shown in clause 6.2.3, using SHVC can reduce bandwidth for transmitting the encoded video streams from the content provider, through </w:t>
      </w:r>
      <w:r>
        <w:rPr>
          <w:lang w:eastAsia="ko-KR"/>
        </w:rPr>
        <w:t xml:space="preserve">BM-SC, </w:t>
      </w:r>
      <w:r>
        <w:rPr/>
        <w:t>MBMS-GW and eNodeB, all the way to the UEs, at the cost of increased decoding complexity for UEs that consume the premium service. As reported in clause 6.2.3 Table 12 (for IRAP non-aligned Class B (BL 720p – EL 1080p)), an average bandwidth saving of 32.9% can be achieved. The increase in decoding complexity for UEs that consume the premium service is roughly the percentage of the number of samples in the lower resolution video relative to that in the higher resolution video. The complexity of SHVC encoding is typically less than that of simulcast encoding (see clause 6.2.3.3).</w:t>
      </w:r>
    </w:p>
    <w:p>
      <w:pPr>
        <w:pStyle w:val="Heading2"/>
        <w:rPr/>
      </w:pPr>
      <w:bookmarkStart w:id="102" w:name="__RefHeading___Toc517445390"/>
      <w:bookmarkEnd w:id="102"/>
      <w:r>
        <w:rPr/>
        <w:t>8.4</w:t>
        <w:tab/>
        <w:t>3GP-DASH</w:t>
      </w:r>
    </w:p>
    <w:p>
      <w:pPr>
        <w:pStyle w:val="Normal"/>
        <w:rPr/>
      </w:pPr>
      <w:r>
        <w:rPr/>
        <w:t>Both HEVC simulcast and SHVC can be used as the video codec solution in the 3GP-DASH service for the use case described in clause 6.3.1. This use case is currently not fully supported by TS 26.247 [1].</w:t>
      </w:r>
    </w:p>
    <w:p>
      <w:pPr>
        <w:pStyle w:val="Normal"/>
        <w:rPr/>
      </w:pPr>
      <w:r>
        <w:rPr/>
        <w:t>As shown in clause 6.3.3, using SHVC can reduce bandwidth for transmitting the encoded streams from the origin server to caches, at the cost of increased downlink bandwidth and decoding complexity for UEs rendering any video Representation beyond the lowest video Representation. As reported in clause 6.3.3, an average bandwidth saving of about 24% can be achieved, and the corresponding reported average downlink bandwidth cost was about 25%. The increase in decoding complexity is roughly the percentage of the sum of the number of samples in the videos of the lower Representations relative to the number of samples in the video of the highest Representation. The complexity of SHVC encoding is typically less than that of simulcast encoding (see clause 6.3.3.4).</w:t>
      </w:r>
      <w:r>
        <w:br w:type="page"/>
      </w:r>
    </w:p>
    <w:p>
      <w:pPr>
        <w:pStyle w:val="Heading9"/>
        <w:rPr/>
      </w:pPr>
      <w:bookmarkStart w:id="103" w:name="__RefHeading___Toc517445391"/>
      <w:bookmarkStart w:id="104" w:name="historyclause"/>
      <w:bookmarkEnd w:id="103"/>
      <w:bookmarkEnd w:id="104"/>
      <w:r>
        <w:rPr/>
        <w:t xml:space="preserve">Annex </w:t>
      </w:r>
      <w:r>
        <w:rPr>
          <w:lang w:eastAsia="ko-KR"/>
        </w:rPr>
        <w:t>A</w:t>
      </w:r>
      <w:r>
        <w:rPr/>
        <w:t>:</w:t>
        <w:br/>
        <w:t>Change history</w:t>
      </w:r>
    </w:p>
    <w:p>
      <w:pPr>
        <w:pStyle w:val="TH"/>
        <w:rPr/>
      </w:pPr>
      <w:r>
        <w:rPr/>
      </w:r>
      <w:bookmarkStart w:id="105" w:name="historyclause"/>
      <w:bookmarkStart w:id="106" w:name="historyclause"/>
      <w:bookmarkEnd w:id="106"/>
    </w:p>
    <w:tbl>
      <w:tblPr>
        <w:tblW w:w="9639" w:type="dxa"/>
        <w:jc w:val="left"/>
        <w:tblInd w:w="-5" w:type="dxa"/>
        <w:tblLayout w:type="fixed"/>
        <w:tblCellMar>
          <w:top w:w="0" w:type="dxa"/>
          <w:left w:w="28" w:type="dxa"/>
          <w:bottom w:w="0" w:type="dxa"/>
          <w:right w:w="40" w:type="dxa"/>
        </w:tblCellMar>
      </w:tblPr>
      <w:tblGrid>
        <w:gridCol w:w="800"/>
        <w:gridCol w:w="730"/>
        <w:gridCol w:w="1022"/>
        <w:gridCol w:w="375"/>
        <w:gridCol w:w="428"/>
        <w:gridCol w:w="4867"/>
        <w:gridCol w:w="709"/>
        <w:gridCol w:w="708"/>
      </w:tblGrid>
      <w:tr>
        <w:trPr>
          <w:cantSplit w:val="true"/>
        </w:trPr>
        <w:tc>
          <w:tcPr>
            <w:tcW w:w="9639" w:type="dxa"/>
            <w:gridSpan w:val="8"/>
            <w:tcBorders>
              <w:top w:val="single" w:sz="4" w:space="0" w:color="000000"/>
              <w:left w:val="single" w:sz="4" w:space="0" w:color="000000"/>
              <w:right w:val="single" w:sz="4" w:space="0" w:color="000000"/>
            </w:tcBorders>
          </w:tcPr>
          <w:p>
            <w:pPr>
              <w:pStyle w:val="TAL"/>
              <w:snapToGrid w:val="false"/>
              <w:jc w:val="center"/>
              <w:rPr/>
            </w:pPr>
            <w:r>
              <w:rPr>
                <w:b/>
              </w:rPr>
              <w:t>Change history</w:t>
            </w:r>
          </w:p>
        </w:tc>
      </w:tr>
      <w:tr>
        <w:trPr>
          <w:cantSplit w:val="true"/>
        </w:trPr>
        <w:tc>
          <w:tcPr>
            <w:tcW w:w="800" w:type="dxa"/>
            <w:tcBorders>
              <w:top w:val="single" w:sz="4" w:space="0" w:color="000000"/>
              <w:left w:val="single" w:sz="4" w:space="0" w:color="000000"/>
              <w:bottom w:val="single" w:sz="4" w:space="0" w:color="000000"/>
            </w:tcBorders>
          </w:tcPr>
          <w:p>
            <w:pPr>
              <w:pStyle w:val="TAL"/>
              <w:snapToGrid w:val="false"/>
              <w:rPr>
                <w:b/>
                <w:b/>
                <w:sz w:val="16"/>
              </w:rPr>
            </w:pPr>
            <w:r>
              <w:rPr>
                <w:b/>
                <w:sz w:val="16"/>
              </w:rPr>
              <w:t>Date</w:t>
            </w:r>
          </w:p>
        </w:tc>
        <w:tc>
          <w:tcPr>
            <w:tcW w:w="730" w:type="dxa"/>
            <w:tcBorders>
              <w:top w:val="single" w:sz="4" w:space="0" w:color="000000"/>
              <w:left w:val="single" w:sz="4" w:space="0" w:color="000000"/>
              <w:bottom w:val="single" w:sz="4" w:space="0" w:color="000000"/>
            </w:tcBorders>
          </w:tcPr>
          <w:p>
            <w:pPr>
              <w:pStyle w:val="TAL"/>
              <w:snapToGrid w:val="false"/>
              <w:rPr>
                <w:b/>
                <w:b/>
                <w:sz w:val="16"/>
              </w:rPr>
            </w:pPr>
            <w:r>
              <w:rPr>
                <w:b/>
                <w:sz w:val="16"/>
              </w:rPr>
              <w:t>TSG #</w:t>
            </w:r>
          </w:p>
        </w:tc>
        <w:tc>
          <w:tcPr>
            <w:tcW w:w="1022" w:type="dxa"/>
            <w:tcBorders>
              <w:top w:val="single" w:sz="4" w:space="0" w:color="000000"/>
              <w:left w:val="single" w:sz="4" w:space="0" w:color="000000"/>
              <w:bottom w:val="single" w:sz="4" w:space="0" w:color="000000"/>
            </w:tcBorders>
          </w:tcPr>
          <w:p>
            <w:pPr>
              <w:pStyle w:val="TAL"/>
              <w:snapToGrid w:val="false"/>
              <w:rPr>
                <w:b/>
                <w:b/>
                <w:sz w:val="16"/>
              </w:rPr>
            </w:pPr>
            <w:r>
              <w:rPr>
                <w:b/>
                <w:sz w:val="16"/>
              </w:rPr>
              <w:t>TSG Doc.</w:t>
            </w:r>
          </w:p>
        </w:tc>
        <w:tc>
          <w:tcPr>
            <w:tcW w:w="375" w:type="dxa"/>
            <w:tcBorders>
              <w:top w:val="single" w:sz="4" w:space="0" w:color="000000"/>
              <w:left w:val="single" w:sz="4" w:space="0" w:color="000000"/>
              <w:bottom w:val="single" w:sz="4" w:space="0" w:color="000000"/>
            </w:tcBorders>
          </w:tcPr>
          <w:p>
            <w:pPr>
              <w:pStyle w:val="TAL"/>
              <w:snapToGrid w:val="false"/>
              <w:rPr>
                <w:b/>
                <w:b/>
                <w:sz w:val="16"/>
              </w:rPr>
            </w:pPr>
            <w:r>
              <w:rPr>
                <w:b/>
                <w:sz w:val="16"/>
              </w:rPr>
              <w:t>CR</w:t>
            </w:r>
          </w:p>
        </w:tc>
        <w:tc>
          <w:tcPr>
            <w:tcW w:w="428" w:type="dxa"/>
            <w:tcBorders>
              <w:top w:val="single" w:sz="4" w:space="0" w:color="000000"/>
              <w:left w:val="single" w:sz="4" w:space="0" w:color="000000"/>
              <w:bottom w:val="single" w:sz="4" w:space="0" w:color="000000"/>
            </w:tcBorders>
          </w:tcPr>
          <w:p>
            <w:pPr>
              <w:pStyle w:val="TAL"/>
              <w:snapToGrid w:val="false"/>
              <w:rPr>
                <w:b/>
                <w:b/>
                <w:sz w:val="16"/>
              </w:rPr>
            </w:pPr>
            <w:r>
              <w:rPr>
                <w:b/>
                <w:sz w:val="16"/>
              </w:rPr>
              <w:t>Rev</w:t>
            </w:r>
          </w:p>
        </w:tc>
        <w:tc>
          <w:tcPr>
            <w:tcW w:w="4867" w:type="dxa"/>
            <w:tcBorders>
              <w:top w:val="single" w:sz="4" w:space="0" w:color="000000"/>
              <w:left w:val="single" w:sz="4" w:space="0" w:color="000000"/>
              <w:bottom w:val="single" w:sz="4" w:space="0" w:color="000000"/>
            </w:tcBorders>
          </w:tcPr>
          <w:p>
            <w:pPr>
              <w:pStyle w:val="TAL"/>
              <w:snapToGrid w:val="false"/>
              <w:rPr>
                <w:b/>
                <w:b/>
                <w:sz w:val="16"/>
              </w:rPr>
            </w:pPr>
            <w:r>
              <w:rPr>
                <w:b/>
                <w:sz w:val="16"/>
              </w:rPr>
              <w:t>Subject/Comment</w:t>
            </w:r>
          </w:p>
        </w:tc>
        <w:tc>
          <w:tcPr>
            <w:tcW w:w="709" w:type="dxa"/>
            <w:tcBorders>
              <w:top w:val="single" w:sz="4" w:space="0" w:color="000000"/>
              <w:left w:val="single" w:sz="4" w:space="0" w:color="000000"/>
              <w:bottom w:val="single" w:sz="4" w:space="0" w:color="000000"/>
            </w:tcBorders>
          </w:tcPr>
          <w:p>
            <w:pPr>
              <w:pStyle w:val="TAL"/>
              <w:snapToGrid w:val="false"/>
              <w:rPr>
                <w:b/>
                <w:b/>
                <w:sz w:val="16"/>
              </w:rPr>
            </w:pPr>
            <w:r>
              <w:rPr>
                <w:b/>
                <w:sz w:val="16"/>
              </w:rPr>
              <w:t>Old</w:t>
            </w:r>
          </w:p>
        </w:tc>
        <w:tc>
          <w:tcPr>
            <w:tcW w:w="708" w:type="dxa"/>
            <w:tcBorders>
              <w:top w:val="single" w:sz="4" w:space="0" w:color="000000"/>
              <w:left w:val="single" w:sz="4" w:space="0" w:color="000000"/>
              <w:bottom w:val="single" w:sz="4" w:space="0" w:color="000000"/>
              <w:right w:val="single" w:sz="4" w:space="0" w:color="000000"/>
            </w:tcBorders>
          </w:tcPr>
          <w:p>
            <w:pPr>
              <w:pStyle w:val="TAL"/>
              <w:snapToGrid w:val="false"/>
              <w:rPr>
                <w:b/>
                <w:b/>
                <w:sz w:val="16"/>
              </w:rPr>
            </w:pPr>
            <w:r>
              <w:rPr>
                <w:b/>
                <w:sz w:val="16"/>
              </w:rPr>
              <w:t>New</w:t>
            </w:r>
          </w:p>
        </w:tc>
      </w:tr>
      <w:tr>
        <w:trPr>
          <w:cantSplit w:val="true"/>
        </w:trPr>
        <w:tc>
          <w:tcPr>
            <w:tcW w:w="800" w:type="dxa"/>
            <w:tcBorders>
              <w:top w:val="single" w:sz="4" w:space="0" w:color="000000"/>
              <w:left w:val="single" w:sz="4" w:space="0" w:color="000000"/>
              <w:bottom w:val="single" w:sz="4" w:space="0" w:color="000000"/>
            </w:tcBorders>
          </w:tcPr>
          <w:p>
            <w:pPr>
              <w:pStyle w:val="TAL"/>
              <w:rPr/>
            </w:pPr>
            <w:r>
              <w:rPr/>
              <w:t>09-2015</w:t>
            </w:r>
          </w:p>
        </w:tc>
        <w:tc>
          <w:tcPr>
            <w:tcW w:w="730" w:type="dxa"/>
            <w:tcBorders>
              <w:top w:val="single" w:sz="4" w:space="0" w:color="000000"/>
              <w:left w:val="single" w:sz="4" w:space="0" w:color="000000"/>
              <w:bottom w:val="single" w:sz="4" w:space="0" w:color="000000"/>
            </w:tcBorders>
          </w:tcPr>
          <w:p>
            <w:pPr>
              <w:pStyle w:val="TAL"/>
              <w:jc w:val="center"/>
              <w:rPr/>
            </w:pPr>
            <w:r>
              <w:rPr/>
              <w:t>69</w:t>
            </w:r>
          </w:p>
        </w:tc>
        <w:tc>
          <w:tcPr>
            <w:tcW w:w="1022" w:type="dxa"/>
            <w:tcBorders>
              <w:top w:val="single" w:sz="4" w:space="0" w:color="000000"/>
              <w:left w:val="single" w:sz="4" w:space="0" w:color="000000"/>
              <w:bottom w:val="single" w:sz="4" w:space="0" w:color="000000"/>
            </w:tcBorders>
          </w:tcPr>
          <w:p>
            <w:pPr>
              <w:pStyle w:val="TAL"/>
              <w:rPr/>
            </w:pPr>
            <w:r>
              <w:rPr/>
              <w:t>SP-150457</w:t>
            </w:r>
          </w:p>
        </w:tc>
        <w:tc>
          <w:tcPr>
            <w:tcW w:w="375" w:type="dxa"/>
            <w:tcBorders>
              <w:top w:val="single" w:sz="4" w:space="0" w:color="000000"/>
              <w:left w:val="single" w:sz="4" w:space="0" w:color="000000"/>
              <w:bottom w:val="single" w:sz="4" w:space="0" w:color="000000"/>
            </w:tcBorders>
          </w:tcPr>
          <w:p>
            <w:pPr>
              <w:pStyle w:val="TAL"/>
              <w:snapToGrid w:val="false"/>
              <w:rPr/>
            </w:pPr>
            <w:r>
              <w:rPr/>
            </w:r>
          </w:p>
        </w:tc>
        <w:tc>
          <w:tcPr>
            <w:tcW w:w="428" w:type="dxa"/>
            <w:tcBorders>
              <w:top w:val="single" w:sz="4" w:space="0" w:color="000000"/>
              <w:left w:val="single" w:sz="4" w:space="0" w:color="000000"/>
              <w:bottom w:val="single" w:sz="4" w:space="0" w:color="000000"/>
            </w:tcBorders>
          </w:tcPr>
          <w:p>
            <w:pPr>
              <w:pStyle w:val="TAL"/>
              <w:snapToGrid w:val="false"/>
              <w:rPr/>
            </w:pPr>
            <w:r>
              <w:rPr/>
            </w:r>
          </w:p>
        </w:tc>
        <w:tc>
          <w:tcPr>
            <w:tcW w:w="4867" w:type="dxa"/>
            <w:tcBorders>
              <w:top w:val="single" w:sz="4" w:space="0" w:color="000000"/>
              <w:left w:val="single" w:sz="4" w:space="0" w:color="000000"/>
              <w:bottom w:val="single" w:sz="4" w:space="0" w:color="000000"/>
            </w:tcBorders>
          </w:tcPr>
          <w:p>
            <w:pPr>
              <w:pStyle w:val="TAL"/>
              <w:rPr/>
            </w:pPr>
            <w:r>
              <w:rPr/>
              <w:t>Presented to TSG SA#69 (for information)</w:t>
            </w:r>
          </w:p>
        </w:tc>
        <w:tc>
          <w:tcPr>
            <w:tcW w:w="709" w:type="dxa"/>
            <w:tcBorders>
              <w:top w:val="single" w:sz="4" w:space="0" w:color="000000"/>
              <w:left w:val="single" w:sz="4" w:space="0" w:color="000000"/>
              <w:bottom w:val="single" w:sz="4" w:space="0" w:color="000000"/>
            </w:tcBorders>
          </w:tcPr>
          <w:p>
            <w:pPr>
              <w:pStyle w:val="TAL"/>
              <w:snapToGrid w:val="false"/>
              <w:rPr/>
            </w:pPr>
            <w:r>
              <w:rPr/>
            </w:r>
          </w:p>
        </w:tc>
        <w:tc>
          <w:tcPr>
            <w:tcW w:w="708" w:type="dxa"/>
            <w:tcBorders>
              <w:top w:val="single" w:sz="4" w:space="0" w:color="000000"/>
              <w:left w:val="single" w:sz="4" w:space="0" w:color="000000"/>
              <w:bottom w:val="single" w:sz="4" w:space="0" w:color="000000"/>
              <w:right w:val="single" w:sz="4" w:space="0" w:color="000000"/>
            </w:tcBorders>
          </w:tcPr>
          <w:p>
            <w:pPr>
              <w:pStyle w:val="TAL"/>
              <w:rPr/>
            </w:pPr>
            <w:r>
              <w:rPr/>
              <w:t>1.0.0</w:t>
            </w:r>
          </w:p>
        </w:tc>
      </w:tr>
      <w:tr>
        <w:trPr>
          <w:cantSplit w:val="true"/>
        </w:trPr>
        <w:tc>
          <w:tcPr>
            <w:tcW w:w="800" w:type="dxa"/>
            <w:tcBorders>
              <w:top w:val="single" w:sz="4" w:space="0" w:color="000000"/>
              <w:left w:val="single" w:sz="4" w:space="0" w:color="000000"/>
              <w:bottom w:val="single" w:sz="4" w:space="0" w:color="000000"/>
            </w:tcBorders>
          </w:tcPr>
          <w:p>
            <w:pPr>
              <w:pStyle w:val="TAL"/>
              <w:rPr/>
            </w:pPr>
            <w:r>
              <w:rPr/>
              <w:t>12-2015</w:t>
            </w:r>
          </w:p>
        </w:tc>
        <w:tc>
          <w:tcPr>
            <w:tcW w:w="730" w:type="dxa"/>
            <w:tcBorders>
              <w:top w:val="single" w:sz="4" w:space="0" w:color="000000"/>
              <w:left w:val="single" w:sz="4" w:space="0" w:color="000000"/>
              <w:bottom w:val="single" w:sz="4" w:space="0" w:color="000000"/>
            </w:tcBorders>
          </w:tcPr>
          <w:p>
            <w:pPr>
              <w:pStyle w:val="TAL"/>
              <w:jc w:val="center"/>
              <w:rPr/>
            </w:pPr>
            <w:r>
              <w:rPr/>
              <w:t>70</w:t>
            </w:r>
          </w:p>
        </w:tc>
        <w:tc>
          <w:tcPr>
            <w:tcW w:w="1022" w:type="dxa"/>
            <w:tcBorders>
              <w:top w:val="single" w:sz="4" w:space="0" w:color="000000"/>
              <w:left w:val="single" w:sz="4" w:space="0" w:color="000000"/>
              <w:bottom w:val="single" w:sz="4" w:space="0" w:color="000000"/>
            </w:tcBorders>
          </w:tcPr>
          <w:p>
            <w:pPr>
              <w:pStyle w:val="TAL"/>
              <w:rPr/>
            </w:pPr>
            <w:r>
              <w:rPr/>
              <w:t>SP-150667</w:t>
            </w:r>
          </w:p>
        </w:tc>
        <w:tc>
          <w:tcPr>
            <w:tcW w:w="375" w:type="dxa"/>
            <w:tcBorders>
              <w:top w:val="single" w:sz="4" w:space="0" w:color="000000"/>
              <w:left w:val="single" w:sz="4" w:space="0" w:color="000000"/>
              <w:bottom w:val="single" w:sz="4" w:space="0" w:color="000000"/>
            </w:tcBorders>
          </w:tcPr>
          <w:p>
            <w:pPr>
              <w:pStyle w:val="TAL"/>
              <w:snapToGrid w:val="false"/>
              <w:rPr/>
            </w:pPr>
            <w:r>
              <w:rPr/>
            </w:r>
          </w:p>
        </w:tc>
        <w:tc>
          <w:tcPr>
            <w:tcW w:w="428" w:type="dxa"/>
            <w:tcBorders>
              <w:top w:val="single" w:sz="4" w:space="0" w:color="000000"/>
              <w:left w:val="single" w:sz="4" w:space="0" w:color="000000"/>
              <w:bottom w:val="single" w:sz="4" w:space="0" w:color="000000"/>
            </w:tcBorders>
          </w:tcPr>
          <w:p>
            <w:pPr>
              <w:pStyle w:val="TAL"/>
              <w:snapToGrid w:val="false"/>
              <w:rPr/>
            </w:pPr>
            <w:r>
              <w:rPr/>
            </w:r>
          </w:p>
        </w:tc>
        <w:tc>
          <w:tcPr>
            <w:tcW w:w="4867" w:type="dxa"/>
            <w:tcBorders>
              <w:top w:val="single" w:sz="4" w:space="0" w:color="000000"/>
              <w:left w:val="single" w:sz="4" w:space="0" w:color="000000"/>
              <w:bottom w:val="single" w:sz="4" w:space="0" w:color="000000"/>
            </w:tcBorders>
          </w:tcPr>
          <w:p>
            <w:pPr>
              <w:pStyle w:val="TAL"/>
              <w:rPr/>
            </w:pPr>
            <w:r>
              <w:rPr/>
              <w:t>Presented to TSG SA#70 (for approval)</w:t>
            </w:r>
          </w:p>
        </w:tc>
        <w:tc>
          <w:tcPr>
            <w:tcW w:w="709" w:type="dxa"/>
            <w:tcBorders>
              <w:top w:val="single" w:sz="4" w:space="0" w:color="000000"/>
              <w:left w:val="single" w:sz="4" w:space="0" w:color="000000"/>
              <w:bottom w:val="single" w:sz="4" w:space="0" w:color="000000"/>
            </w:tcBorders>
          </w:tcPr>
          <w:p>
            <w:pPr>
              <w:pStyle w:val="TAL"/>
              <w:rPr/>
            </w:pPr>
            <w:r>
              <w:rPr/>
              <w:t>1.0.0</w:t>
            </w:r>
          </w:p>
        </w:tc>
        <w:tc>
          <w:tcPr>
            <w:tcW w:w="708" w:type="dxa"/>
            <w:tcBorders>
              <w:top w:val="single" w:sz="4" w:space="0" w:color="000000"/>
              <w:left w:val="single" w:sz="4" w:space="0" w:color="000000"/>
              <w:bottom w:val="single" w:sz="4" w:space="0" w:color="000000"/>
              <w:right w:val="single" w:sz="4" w:space="0" w:color="000000"/>
            </w:tcBorders>
          </w:tcPr>
          <w:p>
            <w:pPr>
              <w:pStyle w:val="TAL"/>
              <w:rPr/>
            </w:pPr>
            <w:r>
              <w:rPr/>
              <w:t>2.0.0</w:t>
            </w:r>
          </w:p>
        </w:tc>
      </w:tr>
      <w:tr>
        <w:trPr>
          <w:cantSplit w:val="true"/>
        </w:trPr>
        <w:tc>
          <w:tcPr>
            <w:tcW w:w="800" w:type="dxa"/>
            <w:tcBorders>
              <w:top w:val="single" w:sz="4" w:space="0" w:color="000000"/>
              <w:left w:val="single" w:sz="4" w:space="0" w:color="000000"/>
              <w:bottom w:val="single" w:sz="4" w:space="0" w:color="000000"/>
            </w:tcBorders>
          </w:tcPr>
          <w:p>
            <w:pPr>
              <w:pStyle w:val="TAL"/>
              <w:rPr/>
            </w:pPr>
            <w:r>
              <w:rPr/>
              <w:t>12-2015</w:t>
            </w:r>
          </w:p>
        </w:tc>
        <w:tc>
          <w:tcPr>
            <w:tcW w:w="730" w:type="dxa"/>
            <w:tcBorders>
              <w:top w:val="single" w:sz="4" w:space="0" w:color="000000"/>
              <w:left w:val="single" w:sz="4" w:space="0" w:color="000000"/>
              <w:bottom w:val="single" w:sz="4" w:space="0" w:color="000000"/>
            </w:tcBorders>
          </w:tcPr>
          <w:p>
            <w:pPr>
              <w:pStyle w:val="TAL"/>
              <w:jc w:val="center"/>
              <w:rPr/>
            </w:pPr>
            <w:r>
              <w:rPr/>
              <w:t>70</w:t>
            </w:r>
          </w:p>
        </w:tc>
        <w:tc>
          <w:tcPr>
            <w:tcW w:w="1022" w:type="dxa"/>
            <w:tcBorders>
              <w:top w:val="single" w:sz="4" w:space="0" w:color="000000"/>
              <w:left w:val="single" w:sz="4" w:space="0" w:color="000000"/>
              <w:bottom w:val="single" w:sz="4" w:space="0" w:color="000000"/>
            </w:tcBorders>
          </w:tcPr>
          <w:p>
            <w:pPr>
              <w:pStyle w:val="TAL"/>
              <w:snapToGrid w:val="false"/>
              <w:rPr/>
            </w:pPr>
            <w:r>
              <w:rPr/>
            </w:r>
          </w:p>
        </w:tc>
        <w:tc>
          <w:tcPr>
            <w:tcW w:w="375" w:type="dxa"/>
            <w:tcBorders>
              <w:top w:val="single" w:sz="4" w:space="0" w:color="000000"/>
              <w:left w:val="single" w:sz="4" w:space="0" w:color="000000"/>
              <w:bottom w:val="single" w:sz="4" w:space="0" w:color="000000"/>
            </w:tcBorders>
          </w:tcPr>
          <w:p>
            <w:pPr>
              <w:pStyle w:val="TAL"/>
              <w:snapToGrid w:val="false"/>
              <w:rPr/>
            </w:pPr>
            <w:r>
              <w:rPr/>
            </w:r>
          </w:p>
        </w:tc>
        <w:tc>
          <w:tcPr>
            <w:tcW w:w="428" w:type="dxa"/>
            <w:tcBorders>
              <w:top w:val="single" w:sz="4" w:space="0" w:color="000000"/>
              <w:left w:val="single" w:sz="4" w:space="0" w:color="000000"/>
              <w:bottom w:val="single" w:sz="4" w:space="0" w:color="000000"/>
            </w:tcBorders>
          </w:tcPr>
          <w:p>
            <w:pPr>
              <w:pStyle w:val="TAL"/>
              <w:snapToGrid w:val="false"/>
              <w:rPr/>
            </w:pPr>
            <w:r>
              <w:rPr/>
            </w:r>
          </w:p>
        </w:tc>
        <w:tc>
          <w:tcPr>
            <w:tcW w:w="4867" w:type="dxa"/>
            <w:tcBorders>
              <w:top w:val="single" w:sz="4" w:space="0" w:color="000000"/>
              <w:left w:val="single" w:sz="4" w:space="0" w:color="000000"/>
              <w:bottom w:val="single" w:sz="4" w:space="0" w:color="000000"/>
            </w:tcBorders>
          </w:tcPr>
          <w:p>
            <w:pPr>
              <w:pStyle w:val="TAL"/>
              <w:rPr/>
            </w:pPr>
            <w:r>
              <w:rPr/>
              <w:t>Approved at TSG SA#70</w:t>
            </w:r>
          </w:p>
        </w:tc>
        <w:tc>
          <w:tcPr>
            <w:tcW w:w="709" w:type="dxa"/>
            <w:tcBorders>
              <w:top w:val="single" w:sz="4" w:space="0" w:color="000000"/>
              <w:left w:val="single" w:sz="4" w:space="0" w:color="000000"/>
              <w:bottom w:val="single" w:sz="4" w:space="0" w:color="000000"/>
            </w:tcBorders>
          </w:tcPr>
          <w:p>
            <w:pPr>
              <w:pStyle w:val="TAL"/>
              <w:rPr/>
            </w:pPr>
            <w:r>
              <w:rPr/>
              <w:t>2.0.0</w:t>
            </w:r>
          </w:p>
        </w:tc>
        <w:tc>
          <w:tcPr>
            <w:tcW w:w="708" w:type="dxa"/>
            <w:tcBorders>
              <w:top w:val="single" w:sz="4" w:space="0" w:color="000000"/>
              <w:left w:val="single" w:sz="4" w:space="0" w:color="000000"/>
              <w:bottom w:val="single" w:sz="4" w:space="0" w:color="000000"/>
              <w:right w:val="single" w:sz="4" w:space="0" w:color="000000"/>
            </w:tcBorders>
          </w:tcPr>
          <w:p>
            <w:pPr>
              <w:pStyle w:val="TAL"/>
              <w:rPr/>
            </w:pPr>
            <w:r>
              <w:rPr/>
              <w:t>13.0.0</w:t>
            </w:r>
          </w:p>
        </w:tc>
      </w:tr>
    </w:tbl>
    <w:p>
      <w:pPr>
        <w:pStyle w:val="Normal"/>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678"/>
        <w:gridCol w:w="992"/>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Cs w:val="18"/>
              </w:rPr>
            </w:pPr>
            <w:r>
              <w:rPr>
                <w:color w:val="000000"/>
                <w:szCs w:val="18"/>
                <w:lang w:val="en-AU"/>
              </w:rPr>
              <w:t>Version for Release 14</w:t>
            </w:r>
          </w:p>
        </w:tc>
        <w:tc>
          <w:tcPr>
            <w:tcW w:w="992"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Cs w:val="18"/>
              </w:rPr>
            </w:pPr>
            <w:r>
              <w:rPr>
                <w:szCs w:val="18"/>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Cs w:val="18"/>
              </w:rPr>
            </w:pPr>
            <w:r>
              <w:rPr>
                <w:szCs w:val="18"/>
              </w:rPr>
              <w: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Cs w:val="18"/>
                <w:lang w:val="en-AU"/>
              </w:rPr>
            </w:pPr>
            <w:r>
              <w:rPr>
                <w:color w:val="000000"/>
                <w:szCs w:val="18"/>
                <w:lang w:val="en-AU"/>
              </w:rPr>
              <w:t>Version for Release 15</w:t>
            </w:r>
          </w:p>
        </w:tc>
        <w:tc>
          <w:tcPr>
            <w:tcW w:w="992" w:type="dxa"/>
            <w:tcBorders>
              <w:top w:val="single" w:sz="12" w:space="0" w:color="000000"/>
              <w:left w:val="single" w:sz="6" w:space="0" w:color="000000"/>
              <w:bottom w:val="single" w:sz="12" w:space="0" w:color="000000"/>
              <w:right w:val="single" w:sz="6" w:space="0" w:color="000000"/>
            </w:tcBorders>
            <w:shd w:fill="FFFFFF" w:val="clear"/>
          </w:tcPr>
          <w:p>
            <w:pPr>
              <w:pStyle w:val="TAC"/>
              <w:rPr>
                <w:szCs w:val="18"/>
              </w:rPr>
            </w:pPr>
            <w:r>
              <w:rPr>
                <w:szCs w:val="18"/>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Cs w:val="18"/>
                <w:lang w:val="en-AU"/>
              </w:rPr>
            </w:pPr>
            <w:r>
              <w:rPr>
                <w:color w:val="000000"/>
                <w:szCs w:val="18"/>
                <w:lang w:val="en-AU"/>
              </w:rPr>
              <w:t>Update to Rel-16 version (MCC)</w:t>
            </w:r>
          </w:p>
        </w:tc>
        <w:tc>
          <w:tcPr>
            <w:tcW w:w="992" w:type="dxa"/>
            <w:tcBorders>
              <w:top w:val="single" w:sz="12" w:space="0" w:color="000000"/>
              <w:left w:val="single" w:sz="6" w:space="0" w:color="000000"/>
              <w:bottom w:val="single" w:sz="6" w:space="0" w:color="000000"/>
              <w:right w:val="single" w:sz="6" w:space="0" w:color="000000"/>
            </w:tcBorders>
            <w:shd w:fill="FFFFFF" w:val="clear"/>
          </w:tcPr>
          <w:p>
            <w:pPr>
              <w:pStyle w:val="TAC"/>
              <w:rPr>
                <w:b/>
                <w:b/>
                <w:szCs w:val="18"/>
              </w:rPr>
            </w:pPr>
            <w:r>
              <w:rPr>
                <w:b/>
                <w:szCs w:val="18"/>
              </w:rPr>
              <w:t>16.0.0</w:t>
            </w:r>
          </w:p>
        </w:tc>
      </w:tr>
    </w:tbl>
    <w:p>
      <w:pPr>
        <w:pStyle w:val="Normal"/>
        <w:rPr/>
      </w:pPr>
      <w:r>
        <w:rPr/>
      </w:r>
    </w:p>
    <w:p>
      <w:pPr>
        <w:pStyle w:val="Normal"/>
        <w:widowControl/>
        <w:overflowPunct w:val="false"/>
        <w:autoSpaceDE w:val="false"/>
        <w:bidi w:val="0"/>
        <w:spacing w:before="0" w:after="180"/>
        <w:textAlignment w:val="baseline"/>
        <w:rPr/>
      </w:pPr>
      <w:r>
        <w:rPr/>
      </w:r>
    </w:p>
    <w:sectPr>
      <w:headerReference w:type="default" r:id="rId34"/>
      <w:footerReference w:type="default" r:id="rId3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Cambria">
    <w:charset w:val="00"/>
    <w:family w:val="roman"/>
    <w:pitch w:val="variable"/>
  </w:font>
  <w:font w:name="Times">
    <w:altName w:val="Times New Roman"/>
    <w:charset w:val="00"/>
    <w:family w:val="roman"/>
    <w:pitch w:val="variable"/>
  </w:font>
  <w:font w:name="GulimChe">
    <w:charset w:val="81"/>
    <w:family w:val="modern"/>
    <w:pitch w:val="default"/>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93">
              <wp:simplePos x="0" y="0"/>
              <wp:positionH relativeFrom="margin">
                <wp:align>right</wp:align>
              </wp:positionH>
              <wp:positionV relativeFrom="paragraph">
                <wp:posOffset>635</wp:posOffset>
              </wp:positionV>
              <wp:extent cx="1824990" cy="131445"/>
              <wp:effectExtent l="0" t="0" r="0" b="0"/>
              <wp:wrapSquare wrapText="largest"/>
              <wp:docPr id="28"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26.948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26.948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3">
              <wp:simplePos x="0" y="0"/>
              <wp:positionH relativeFrom="margin">
                <wp:align>center</wp:align>
              </wp:positionH>
              <wp:positionV relativeFrom="paragraph">
                <wp:posOffset>635</wp:posOffset>
              </wp:positionV>
              <wp:extent cx="127635" cy="131445"/>
              <wp:effectExtent l="0" t="0" r="0" b="0"/>
              <wp:wrapSquare wrapText="largest"/>
              <wp:docPr id="29"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61</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3">
              <wp:simplePos x="0" y="0"/>
              <wp:positionH relativeFrom="margin">
                <wp:align>left</wp:align>
              </wp:positionH>
              <wp:positionV relativeFrom="paragraph">
                <wp:posOffset>635</wp:posOffset>
              </wp:positionV>
              <wp:extent cx="591820" cy="131445"/>
              <wp:effectExtent l="0" t="0" r="0" b="0"/>
              <wp:wrapSquare wrapText="largest"/>
              <wp:docPr id="3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style>
  <w:style w:type="character" w:styleId="WW8Num12z3">
    <w:name w:val="WW8Num12z3"/>
    <w:qFormat/>
    <w:rPr>
      <w:rFonts w:ascii="Times New Roman" w:hAnsi="Times New Roman" w:eastAsia="Times New Roman" w:cs="Times New Roman"/>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3">
    <w:name w:val="WW8Num17z3"/>
    <w:qFormat/>
    <w:rPr>
      <w:rFonts w:ascii="Times New Roman" w:hAnsi="Times New Roman" w:eastAsia="Times New Roman" w:cs="Times New Roman"/>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1z0">
    <w:name w:val="WW8Num21z0"/>
    <w:qFormat/>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8z0">
    <w:name w:val="WW8Num28z0"/>
    <w:qFormat/>
    <w:rPr/>
  </w:style>
  <w:style w:type="character" w:styleId="WW8Num29z3">
    <w:name w:val="WW8Num29z3"/>
    <w:qFormat/>
    <w:rPr>
      <w:rFonts w:ascii="Times New Roman" w:hAnsi="Times New Roman" w:eastAsia="Times New Roman" w:cs="Times New Roman"/>
    </w:rPr>
  </w:style>
  <w:style w:type="character" w:styleId="WW8Num30z0">
    <w:name w:val="WW8Num30z0"/>
    <w:qFormat/>
    <w:rPr/>
  </w:style>
  <w:style w:type="character" w:styleId="WW8Num32z0">
    <w:name w:val="WW8Num32z0"/>
    <w:qFormat/>
    <w:rPr/>
  </w:style>
  <w:style w:type="character" w:styleId="WW8Num34z0">
    <w:name w:val="WW8Num34z0"/>
    <w:qFormat/>
    <w:rPr>
      <w:lang w:val="en-GB"/>
    </w:rPr>
  </w:style>
  <w:style w:type="character" w:styleId="WW8Num36z0">
    <w:name w:val="WW8Num36z0"/>
    <w:qFormat/>
    <w:rPr>
      <w:lang w:val="en-GB"/>
    </w:rPr>
  </w:style>
  <w:style w:type="character" w:styleId="WW8Num37z0">
    <w:name w:val="WW8Num37z0"/>
    <w:qFormat/>
    <w:rPr/>
  </w:style>
  <w:style w:type="character" w:styleId="WW8Num38z0">
    <w:name w:val="WW8Num38z0"/>
    <w:qFormat/>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DefaultParagraphFont">
    <w:name w:val="Default Paragraph Font"/>
    <w:qFormat/>
    <w:rPr/>
  </w:style>
  <w:style w:type="character" w:styleId="Heading1Char">
    <w:name w:val="Heading 1 Char"/>
    <w:qFormat/>
    <w:rPr>
      <w:rFonts w:ascii="Arial" w:hAnsi="Arial" w:eastAsia="Times New Roman" w:cs="Arial"/>
      <w:sz w:val="36"/>
      <w:lang w:bidi="ar-SA"/>
    </w:rPr>
  </w:style>
  <w:style w:type="character" w:styleId="Heading2Char">
    <w:name w:val="Heading 2 Char"/>
    <w:qFormat/>
    <w:rPr>
      <w:rFonts w:ascii="Arial" w:hAnsi="Arial" w:eastAsia="Times New Roman" w:cs="Arial"/>
      <w:sz w:val="32"/>
    </w:rPr>
  </w:style>
  <w:style w:type="character" w:styleId="Heading3Char">
    <w:name w:val="Heading 3 Char"/>
    <w:qFormat/>
    <w:rPr>
      <w:rFonts w:ascii="Arial" w:hAnsi="Arial" w:eastAsia="Times New Roman" w:cs="Arial"/>
      <w:sz w:val="28"/>
    </w:rPr>
  </w:style>
  <w:style w:type="character" w:styleId="ZGSM">
    <w:name w:val="ZGSM"/>
    <w:qFormat/>
    <w:rPr/>
  </w:style>
  <w:style w:type="character" w:styleId="FooterChar">
    <w:name w:val="Footer Char"/>
    <w:qFormat/>
    <w:rPr>
      <w:rFonts w:ascii="Arial" w:hAnsi="Arial" w:eastAsia="Times New Roman" w:cs="Arial"/>
      <w:b/>
      <w:i/>
      <w:sz w:val="18"/>
      <w:lang w:val="en-US" w:eastAsia="en-US"/>
    </w:rPr>
  </w:style>
  <w:style w:type="character" w:styleId="FootnoteCharacters">
    <w:name w:val="Footnote Characters"/>
    <w:qFormat/>
    <w:rPr>
      <w:b/>
      <w:sz w:val="16"/>
      <w:vertAlign w:val="superscript"/>
    </w:rPr>
  </w:style>
  <w:style w:type="character" w:styleId="FootnoteTextChar">
    <w:name w:val="Footnote Text Char"/>
    <w:qFormat/>
    <w:rPr>
      <w:rFonts w:eastAsia="Times New Roman"/>
      <w:sz w:val="16"/>
    </w:rPr>
  </w:style>
  <w:style w:type="character" w:styleId="EXChar">
    <w:name w:val="EX Char"/>
    <w:qFormat/>
    <w:rPr>
      <w:rFonts w:eastAsia="Times New Roman"/>
    </w:rPr>
  </w:style>
  <w:style w:type="character" w:styleId="B1Char">
    <w:name w:val="B1 Char"/>
    <w:qFormat/>
    <w:rPr>
      <w:rFonts w:eastAsia="Times New Roman"/>
    </w:rPr>
  </w:style>
  <w:style w:type="character" w:styleId="BalloonTextChar">
    <w:name w:val="Balloon Text Char"/>
    <w:qFormat/>
    <w:rPr>
      <w:rFonts w:ascii="Tahoma" w:hAnsi="Tahoma" w:cs="Tahoma"/>
      <w:sz w:val="16"/>
      <w:szCs w:val="16"/>
    </w:rPr>
  </w:style>
  <w:style w:type="character" w:styleId="CaptionChar1">
    <w:name w:val="Caption Char1"/>
    <w:qFormat/>
    <w:rPr>
      <w:rFonts w:eastAsia="Times New Roman"/>
      <w:b/>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CommentTextChar">
    <w:name w:val="Comment Text Char"/>
    <w:qFormat/>
    <w:rPr>
      <w:lang w:val="en-GB"/>
    </w:rPr>
  </w:style>
  <w:style w:type="character" w:styleId="WWFootnoteCharacters">
    <w:name w:val="WW-Footnote Characters"/>
    <w:qFormat/>
    <w:rPr>
      <w:b/>
      <w:sz w:val="16"/>
      <w:vertAlign w:val="superscript"/>
    </w:rPr>
  </w:style>
  <w:style w:type="character" w:styleId="SchwacheHervorhebung">
    <w:name w:val="Schwache Hervorhebung"/>
    <w:qFormat/>
    <w:rPr>
      <w:i/>
      <w:iCs/>
      <w:color w:val="808080"/>
    </w:rPr>
  </w:style>
  <w:style w:type="character" w:styleId="ObjetducommentaireCar">
    <w:name w:val="Objet du commentaire Car"/>
    <w:basedOn w:val="CommentTextChar"/>
    <w:qFormat/>
    <w:rPr/>
  </w:style>
  <w:style w:type="character" w:styleId="TitleChar">
    <w:name w:val="Title Char"/>
    <w:qFormat/>
    <w:rPr>
      <w:rFonts w:ascii="Cambria" w:hAnsi="Cambria" w:eastAsia="SimSun;宋体" w:cs="Times New Roman"/>
      <w:b/>
      <w:bCs/>
      <w:kern w:val="2"/>
      <w:sz w:val="32"/>
      <w:szCs w:val="32"/>
      <w:lang w:val="en-GB"/>
    </w:rPr>
  </w:style>
  <w:style w:type="character" w:styleId="BodyTextIndentChar">
    <w:name w:val="Body Text Indent Char"/>
    <w:qFormat/>
    <w:rPr>
      <w:lang w:val="en-GB"/>
    </w:rPr>
  </w:style>
  <w:style w:type="character" w:styleId="Emphasis">
    <w:name w:val="Emphasis"/>
    <w:qFormat/>
    <w:rPr>
      <w:i/>
      <w:iCs/>
    </w:rPr>
  </w:style>
  <w:style w:type="character" w:styleId="EndnoteTextChar">
    <w:name w:val="Endnote Text Char"/>
    <w:qFormat/>
    <w:rPr>
      <w:rFonts w:eastAsia="Times New Roman"/>
      <w:lang w:val="en-GB"/>
    </w:rPr>
  </w:style>
  <w:style w:type="character" w:styleId="EndnoteCharacters">
    <w:name w:val="Endnote Characters"/>
    <w:qFormat/>
    <w:rPr>
      <w:vertAlign w:val="superscript"/>
    </w:rPr>
  </w:style>
  <w:style w:type="character" w:styleId="Bibref">
    <w:name w:val="bib ref"/>
    <w:qFormat/>
    <w:rPr>
      <w:rFonts w:ascii="Times" w:hAnsi="Times" w:cs="Times"/>
      <w:color w:val="FF0000"/>
      <w:position w:val="0"/>
      <w:sz w:val="16"/>
      <w:sz w:val="16"/>
      <w:vertAlign w:val="baseline"/>
    </w:rPr>
  </w:style>
  <w:style w:type="character" w:styleId="MemberType">
    <w:name w:val="MemberType"/>
    <w:qFormat/>
    <w:rPr>
      <w:rFonts w:ascii="Times New Roman" w:hAnsi="Times New Roman" w:cs="Times New Roman"/>
      <w:i/>
      <w:iCs/>
      <w:sz w:val="22"/>
      <w:szCs w:val="2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mbria" w:hAnsi="Cambria" w:eastAsia="SimSun;宋体" w:cs="Cambria"/>
      <w:b/>
      <w:bCs/>
      <w:kern w:val="2"/>
      <w:sz w:val="32"/>
      <w:szCs w:val="3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lang w:val="en-US"/>
    </w:rPr>
  </w:style>
  <w:style w:type="paragraph" w:styleId="Footnote">
    <w:name w:val="Footnote Text"/>
    <w:basedOn w:val="Normal"/>
    <w:pPr>
      <w:keepLines/>
      <w:ind w:left="454" w:hanging="454"/>
    </w:pPr>
    <w:rPr>
      <w:sz w:val="16"/>
      <w:lang w:val="en-US"/>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alloonText">
    <w:name w:val="Balloon Text"/>
    <w:basedOn w:val="Normal"/>
    <w:qFormat/>
    <w:pPr>
      <w:spacing w:before="0" w:after="0"/>
    </w:pPr>
    <w:rPr>
      <w:rFonts w:ascii="Tahoma" w:hAnsi="Tahoma" w:eastAsia="Malgun Gothic" w:cs="Tahoma"/>
      <w:sz w:val="16"/>
      <w:szCs w:val="1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rFonts w:eastAsia="Malgun Gothic"/>
    </w:rPr>
  </w:style>
  <w:style w:type="paragraph" w:styleId="FL">
    <w:name w:val="FL"/>
    <w:basedOn w:val="Normal"/>
    <w:qFormat/>
    <w:pPr>
      <w:keepNext w:val="true"/>
      <w:keepLines/>
      <w:spacing w:before="60" w:after="180"/>
      <w:jc w:val="center"/>
    </w:pPr>
    <w:rPr>
      <w:rFonts w:ascii="Arial" w:hAnsi="Arial" w:cs="Arial"/>
      <w:b/>
    </w:rPr>
  </w:style>
  <w:style w:type="paragraph" w:styleId="Revision1">
    <w:name w:val="Revision1"/>
    <w:qFormat/>
    <w:pPr>
      <w:widowControl/>
      <w:bidi w:val="0"/>
    </w:pPr>
    <w:rPr>
      <w:rFonts w:ascii="Times New Roman" w:hAnsi="Times New Roman" w:eastAsia="Times New Roman" w:cs="Times New Roman"/>
      <w:color w:val="auto"/>
      <w:sz w:val="20"/>
      <w:szCs w:val="20"/>
      <w:lang w:val="en-GB" w:bidi="ar-SA" w:eastAsia="zh-CN"/>
    </w:rPr>
  </w:style>
  <w:style w:type="paragraph" w:styleId="CommentSubject">
    <w:name w:val="Comment Subject"/>
    <w:basedOn w:val="CommentText"/>
    <w:next w:val="CommentText"/>
    <w:qFormat/>
    <w:pPr/>
    <w:rPr>
      <w:b/>
      <w:bCs/>
    </w:rPr>
  </w:style>
  <w:style w:type="paragraph" w:styleId="ColorfulShadingAccent11">
    <w:name w:val="Colorful Shading - Accent 11"/>
    <w:qFormat/>
    <w:pPr>
      <w:widowControl/>
      <w:bidi w:val="0"/>
    </w:pPr>
    <w:rPr>
      <w:rFonts w:ascii="Times New Roman" w:hAnsi="Times New Roman" w:eastAsia="Malgun Gothic" w:cs="Times New Roman"/>
      <w:color w:val="auto"/>
      <w:sz w:val="20"/>
      <w:szCs w:val="20"/>
      <w:lang w:val="en-GB" w:bidi="ar-SA" w:eastAsia="zh-CN"/>
    </w:rPr>
  </w:style>
  <w:style w:type="paragraph" w:styleId="NormalWeb">
    <w:name w:val="Normal (Web)"/>
    <w:basedOn w:val="Normal"/>
    <w:qFormat/>
    <w:pPr>
      <w:overflowPunct w:val="true"/>
      <w:autoSpaceDE w:val="true"/>
      <w:spacing w:before="75" w:after="75"/>
      <w:textAlignment w:val="auto"/>
    </w:pPr>
    <w:rPr>
      <w:rFonts w:ascii="GulimChe" w:hAnsi="GulimChe" w:eastAsia="GulimChe" w:cs="Gulim;굴림"/>
      <w:sz w:val="18"/>
      <w:szCs w:val="18"/>
      <w:lang w:val="en-US" w:eastAsia="ko-KR"/>
    </w:rPr>
  </w:style>
  <w:style w:type="paragraph" w:styleId="TextBodyIndent">
    <w:name w:val="Body Text Indent"/>
    <w:basedOn w:val="Normal"/>
    <w:pPr>
      <w:overflowPunct w:val="true"/>
      <w:autoSpaceDE w:val="true"/>
      <w:spacing w:before="0" w:after="120"/>
      <w:ind w:left="283" w:hanging="0"/>
      <w:textAlignment w:val="auto"/>
    </w:pPr>
    <w:rPr>
      <w:rFonts w:eastAsia="Malgun Gothic"/>
    </w:rPr>
  </w:style>
  <w:style w:type="paragraph" w:styleId="ListParagraph">
    <w:name w:val="List Paragraph"/>
    <w:basedOn w:val="Normal"/>
    <w:qFormat/>
    <w:pPr>
      <w:overflowPunct w:val="true"/>
      <w:autoSpaceDE w:val="true"/>
      <w:spacing w:lineRule="auto" w:line="360" w:before="120" w:after="0"/>
      <w:ind w:left="720" w:hanging="0"/>
      <w:contextualSpacing/>
      <w:jc w:val="both"/>
      <w:textAlignment w:val="auto"/>
    </w:pPr>
    <w:rPr>
      <w:rFonts w:eastAsia="MS Mincho;ＭＳ 明朝"/>
      <w:szCs w:val="24"/>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Endnote">
    <w:name w:val="Endnote Text"/>
    <w:basedOn w:val="Normal"/>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png"/><Relationship Id="rId8" Type="http://schemas.openxmlformats.org/officeDocument/2006/relationships/oleObject" Target="embeddings/oleObject1.bin"/><Relationship Id="rId9" Type="http://schemas.openxmlformats.org/officeDocument/2006/relationships/image" Target="media/image5.wmf"/><Relationship Id="rId10" Type="http://schemas.openxmlformats.org/officeDocument/2006/relationships/oleObject" Target="embeddings/oleObject2.bin"/><Relationship Id="rId11" Type="http://schemas.openxmlformats.org/officeDocument/2006/relationships/image" Target="media/image6.wmf"/><Relationship Id="rId12" Type="http://schemas.openxmlformats.org/officeDocument/2006/relationships/oleObject" Target="embeddings/oleObject3.bin"/><Relationship Id="rId13" Type="http://schemas.openxmlformats.org/officeDocument/2006/relationships/image" Target="media/image7.wmf"/><Relationship Id="rId14" Type="http://schemas.openxmlformats.org/officeDocument/2006/relationships/oleObject" Target="embeddings/oleObject4.bin"/><Relationship Id="rId15" Type="http://schemas.openxmlformats.org/officeDocument/2006/relationships/image" Target="media/image8.wmf"/><Relationship Id="rId16" Type="http://schemas.openxmlformats.org/officeDocument/2006/relationships/oleObject" Target="embeddings/oleObject5.bin"/><Relationship Id="rId17" Type="http://schemas.openxmlformats.org/officeDocument/2006/relationships/image" Target="media/image9.wmf"/><Relationship Id="rId18" Type="http://schemas.openxmlformats.org/officeDocument/2006/relationships/oleObject" Target="embeddings/oleObject6.bin"/><Relationship Id="rId19" Type="http://schemas.openxmlformats.org/officeDocument/2006/relationships/image" Target="media/image10.wmf"/><Relationship Id="rId20" Type="http://schemas.openxmlformats.org/officeDocument/2006/relationships/oleObject" Target="embeddings/oleObject7.bin"/><Relationship Id="rId21" Type="http://schemas.openxmlformats.org/officeDocument/2006/relationships/image" Target="media/image11.wmf"/><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wmf"/><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2020-07-20T14:26:00Z</dcterms:created>
  <dc:creator>TSG SA WG4 Codec</dc:creator>
  <dc:description/>
  <cp:keywords/>
  <dc:language>en-US</dc:language>
  <cp:lastModifiedBy>S4-200951_CR-0500</cp:lastModifiedBy>
  <dcterms:modified xsi:type="dcterms:W3CDTF">2020-07-20T14:26:00Z</dcterms:modified>
  <cp:revision>2</cp:revision>
  <dc:subject>3GPP TR 26.948 Study on Video Enhancements in 3GPP Multimedia Services (Release 16)</dc:subject>
  <dc:title>3GPP TR 26.948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