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9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0"/>
        <w:ind w:left="794" w:hanging="794"/>
        <w:rPr/>
      </w:pPr>
      <w:r>
        <w:rPr/>
        <w:t>Summary</w:t>
      </w:r>
    </w:p>
    <w:p>
      <w:pPr>
        <w:pStyle w:val="Normal"/>
        <w:ind w:left="360" w:right="360" w:hanging="0"/>
        <w:rPr>
          <w:sz w:val="20"/>
        </w:rPr>
      </w:pPr>
      <w:r>
        <w:rPr>
          <w:sz w:val="20"/>
        </w:rPr>
        <w:t>This document describes the results of Experiments 1 and 2 of the 14kHz Low-Complexity Audio Coding Algorithm at 24, 32 and 48 kbps Extension to ITU-T G.722.1 Subjective Characterisation Tests performed by France Telecom. In the following, this codec will be called, for convenience, "G.722.1C".  The test was performed according to the ITU-T Characterisation Test Plan using the processed speech material provided by France Telecom.</w:t>
      </w:r>
    </w:p>
    <w:p>
      <w:pPr>
        <w:pStyle w:val="Normal"/>
        <w:ind w:left="360" w:right="360" w:hanging="0"/>
        <w:rPr/>
      </w:pPr>
      <w:r>
        <w:rPr>
          <w:sz w:val="20"/>
        </w:rPr>
        <w:t xml:space="preserve">In experiment 1, G.722.1C met all performance requirements for a 99% and 95% confidence interval (those requirements were relative to the reference codec MPEG4 AAC-LD) and moreover it is even scored better than AAC-LD at 24 and 32 kbps. </w:t>
      </w:r>
    </w:p>
    <w:p>
      <w:pPr>
        <w:pStyle w:val="Normal"/>
        <w:ind w:left="360" w:right="360" w:hanging="0"/>
        <w:rPr>
          <w:sz w:val="20"/>
        </w:rPr>
      </w:pPr>
      <w:r>
        <w:rPr>
          <w:sz w:val="20"/>
        </w:rPr>
        <w:t>For the characterisation test, in experiment 1, G.722.1C was also compared to other reference codecs, with the following results:</w:t>
      </w:r>
    </w:p>
    <w:p>
      <w:pPr>
        <w:pStyle w:val="Normal"/>
        <w:ind w:left="360" w:right="360" w:hanging="0"/>
        <w:rPr/>
      </w:pPr>
      <w:r>
        <w:rPr>
          <w:sz w:val="20"/>
        </w:rPr>
        <w:t>G.722.1C is scored worse than the 3GPP extended AMRWB codec and worse than the 3GPP enhanced aacPlus codec for a 95% confidence interval at 24 kbps.</w:t>
      </w:r>
    </w:p>
    <w:p>
      <w:pPr>
        <w:pStyle w:val="Normal"/>
        <w:ind w:left="360" w:right="360" w:hanging="0"/>
        <w:rPr/>
      </w:pPr>
      <w:r>
        <w:rPr>
          <w:sz w:val="20"/>
        </w:rPr>
        <w:t>G.722.1C is scored not worse than the 3GPP extended AMRWB codec and not worse than the 3GPP enhanced aacPlus codec for a 95% confidence interval at 32 kbps.</w:t>
      </w:r>
    </w:p>
    <w:p>
      <w:pPr>
        <w:pStyle w:val="Normal"/>
        <w:ind w:left="360" w:right="360" w:hanging="0"/>
        <w:rPr/>
      </w:pPr>
      <w:r>
        <w:rPr>
          <w:sz w:val="20"/>
        </w:rPr>
        <w:t>In experiment 2, G.722.1C met all performance requirements for a 99% and 95% confidence interval (those requirements were relative to the reference codec MPEG4 AAC-LD) and moreover it is even scored better than AAC-LD in most of the cases. For the characterisation test, in experiment 2, G.722.1C was also compared to other reference codecs, with the following results:</w:t>
      </w:r>
    </w:p>
    <w:p>
      <w:pPr>
        <w:pStyle w:val="Normal"/>
        <w:ind w:left="360" w:right="360" w:hanging="0"/>
        <w:rPr/>
      </w:pPr>
      <w:r>
        <w:rPr>
          <w:sz w:val="20"/>
        </w:rPr>
        <w:t>G.722.1C is scored worse than the 3GPP extended AMRWB codec for a 99% and 95% confidence interval in most of the cases.</w:t>
      </w:r>
    </w:p>
    <w:p>
      <w:pPr>
        <w:pStyle w:val="Normal"/>
        <w:ind w:left="360" w:right="360" w:hanging="0"/>
        <w:rPr/>
      </w:pPr>
      <w:r>
        <w:rPr>
          <w:sz w:val="20"/>
        </w:rPr>
        <w:t>G.722.1C is scored not worse than the 3GPP enhanced aacPlus codec for a 99% and 95% confidence interval in most of the cases.</w:t>
      </w:r>
    </w:p>
    <w:p>
      <w:pPr>
        <w:pStyle w:val="Heading1"/>
        <w:ind w:left="794" w:hanging="794"/>
        <w:rPr/>
      </w:pPr>
      <w:r>
        <w:rPr/>
        <w:t>Contributors</w:t>
      </w:r>
    </w:p>
    <w:p>
      <w:pPr>
        <w:pStyle w:val="Normal"/>
        <w:rPr>
          <w:sz w:val="20"/>
        </w:rPr>
      </w:pPr>
      <w:r>
        <w:rPr>
          <w:sz w:val="20"/>
        </w:rPr>
        <w:t>This document has been reviewed by the ITU-T Q7/12 experts group under the chairmanship of the two Q7/12 Rapporteurs in liaison with ITU-T Q10/16.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b/>
          <w:sz w:val="20"/>
          <w:u w:val="single"/>
        </w:rPr>
        <w:t>Q7/12 Rapporteurs</w:t>
      </w:r>
      <w:r>
        <w:rPr/>
        <w:t>:</w:t>
      </w:r>
    </w:p>
    <w:tbl>
      <w:tblPr>
        <w:tblW w:w="8363" w:type="dxa"/>
        <w:jc w:val="left"/>
        <w:tblInd w:w="-72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118"/>
        <w:gridCol w:w="5245"/>
      </w:tblGrid>
      <w:tr>
        <w:trPr>
          <w:trHeight w:val="357" w:hRule="atLeast"/>
          <w:cantSplit w:val="true"/>
        </w:trPr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Catherine Quinquis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>France Telecom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>France</w:t>
            </w:r>
          </w:p>
        </w:tc>
        <w:tc>
          <w:tcPr>
            <w:tcW w:w="52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Tel: +33 2 96 05 14 93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>Fax: +33 2 96 05 3530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Email: </w:t>
            </w:r>
            <w:hyperlink r:id="rId2">
              <w:r>
                <w:rPr>
                  <w:rStyle w:val="InternetLink"/>
                  <w:sz w:val="20"/>
                </w:rPr>
                <w:t>catherine.quinquis@francetelecom.com</w:t>
              </w:r>
            </w:hyperlink>
          </w:p>
        </w:tc>
      </w:tr>
      <w:tr>
        <w:trPr>
          <w:trHeight w:val="357" w:hRule="atLeast"/>
          <w:cantSplit w:val="true"/>
        </w:trPr>
        <w:tc>
          <w:tcPr>
            <w:tcW w:w="311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>Paolo Usai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>ETSI</w:t>
            </w:r>
          </w:p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>France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  <w:t>Tel: +33 4 92 94 42 36</w:t>
            </w:r>
          </w:p>
          <w:p>
            <w:pPr>
              <w:pStyle w:val="Normal"/>
              <w:spacing w:before="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Fax: +33 4 92 94 52 06</w:t>
            </w:r>
          </w:p>
          <w:p>
            <w:pPr>
              <w:pStyle w:val="Normal"/>
              <w:spacing w:before="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Email: </w:t>
            </w:r>
            <w:hyperlink r:id="rId3">
              <w:r>
                <w:rPr>
                  <w:rStyle w:val="InternetLink"/>
                  <w:sz w:val="20"/>
                </w:rPr>
                <w:t>paolo.usai@etsi.org</w:t>
              </w:r>
            </w:hyperlink>
          </w:p>
        </w:tc>
      </w:tr>
    </w:tbl>
    <w:p>
      <w:pPr>
        <w:pStyle w:val="Normal"/>
        <w:ind w:left="360" w:right="360" w:hanging="0"/>
        <w:rPr>
          <w:sz w:val="20"/>
        </w:rPr>
      </w:pPr>
      <w:r>
        <w:rPr>
          <w:sz w:val="20"/>
        </w:rPr>
      </w:r>
    </w:p>
    <w:p>
      <w:pPr>
        <w:pStyle w:val="Heading1"/>
        <w:ind w:left="794" w:hanging="794"/>
        <w:rPr/>
      </w:pPr>
      <w:r>
        <w:rPr/>
        <w:t>Experiment 1</w:t>
      </w:r>
    </w:p>
    <w:p>
      <w:pPr>
        <w:pStyle w:val="Normal"/>
        <w:rPr>
          <w:sz w:val="20"/>
        </w:rPr>
      </w:pPr>
      <w:r>
        <w:rPr>
          <w:sz w:val="20"/>
        </w:rPr>
        <w:t>France Telecom tested G.722.1C for Experiment 1 of the Characterisation Test according to the specifications in the Characterisation Test Plan. France Telecom provided the processed speech material used in this experiment.</w:t>
      </w:r>
    </w:p>
    <w:p>
      <w:pPr>
        <w:pStyle w:val="Normal"/>
        <w:rPr>
          <w:sz w:val="20"/>
        </w:rPr>
      </w:pPr>
      <w:r>
        <w:rPr>
          <w:sz w:val="20"/>
        </w:rPr>
        <w:t xml:space="preserve">The codec performance was assessed for clean speech. The Experiment was performed using the 5-point scale ACR method with P.341extension-weighted speech. </w:t>
      </w:r>
    </w:p>
    <w:p>
      <w:pPr>
        <w:pStyle w:val="Normal"/>
        <w:rPr>
          <w:sz w:val="20"/>
        </w:rPr>
      </w:pPr>
      <w:r>
        <w:rPr>
          <w:sz w:val="20"/>
        </w:rPr>
        <w:t>Source speech for Experiment 1 was a sub-set of the French France Telecom listening lab speech database and consisted of 5 different sentence-pairs for each of the three male and three female talkers. France Telecom was also responsible for the processing of the source speech through all the Experiment 1 conditions, which are indicated in Table 1.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1</w:t>
      </w:r>
      <w:r>
        <w:rPr>
          <w:sz w:val="20"/>
        </w:rPr>
        <w:t xml:space="preserve"> - Conditions for Experiment 1</w:t>
      </w:r>
    </w:p>
    <w:tbl>
      <w:tblPr>
        <w:tblW w:w="6804" w:type="dxa"/>
        <w:jc w:val="center"/>
        <w:tblInd w:w="0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2268"/>
        <w:gridCol w:w="4536"/>
      </w:tblGrid>
      <w:tr>
        <w:trPr/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Condition</w:t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C01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Direct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MNRU Q=58dB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C03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MNRU Q=50dB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C04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MNRU Q=42dB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C05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MNRU Q=34dB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C06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MNRU Q=26dB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C07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MNRU Q=18dB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C08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Candidate codec at 24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C09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MPEG-4 AAC-LD at 24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C10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3GPP extended AMRWB at 24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3GPP enhanced aacPlus at 24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C12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Candidate codec at 32kbps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C13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MPEG-4 AAC-LD at 32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C14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3GPP extended AMRWB at 32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C15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3GPP enhanced aacPlus at 32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C16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Candidate codec at 48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C17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MPEG-4 AAC-LD at 48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C18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MPEG-4 AAC-LD at 64 kbps 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 xml:space="preserve">The 32 non-expert French-speaking listeners (nominally balanced for gender) were arranged in four groups of 8 listeners who used headphones. The speech material was presented binaurally. The listening level was calibrated to generate a nominal listening level of -73dB SPL for a file at -26 dBov played on the computer.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The randomization sequences were used for Experiment 1. Votes were collected through a computer terminal and saved to a central computer, where the data were analyzed at 99% and 95% confidence interval.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The results of Experiment 1 are in table 2</w:t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2</w:t>
      </w:r>
      <w:r>
        <w:rPr>
          <w:sz w:val="20"/>
        </w:rPr>
        <w:t xml:space="preserve"> – Mos scores for Experiment 1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1000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77"/>
        <w:gridCol w:w="1404"/>
        <w:gridCol w:w="1404"/>
        <w:gridCol w:w="1404"/>
        <w:gridCol w:w="1404"/>
        <w:gridCol w:w="1404"/>
        <w:gridCol w:w="1404"/>
      </w:tblGrid>
      <w:tr>
        <w:trPr>
          <w:trHeight w:val="247" w:hRule="atLeast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</w:rPr>
            </w:pPr>
            <w:r>
              <w:rPr>
                <w:rFonts w:eastAsia="Times New Roman"/>
                <w:color w:val="000000"/>
                <w:sz w:val="20"/>
                <w:lang w:eastAsia="ja-JP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MOS score on male speakers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 male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MOS score on female speakers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 female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MOS score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4.52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0.72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4.21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0.77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3.72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4.03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0.86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0.83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2.95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2.69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0.95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1.89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1.70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1.79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0.76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1.25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0.56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1.19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0.51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1.22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0.54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3.39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3.52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0.92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2.85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2.86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2.86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0.94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4.24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0.78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3.71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0.85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0.93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3.41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3.41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0.96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4.00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3.74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0.80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4.26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4.22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229225" cy="34766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238750" cy="35833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248275" cy="43529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b"/>
        <w:rPr/>
      </w:pPr>
      <w:r>
        <w:rPr/>
      </w:r>
    </w:p>
    <w:p>
      <w:pPr>
        <w:pStyle w:val="Headingb"/>
        <w:rPr/>
      </w:pPr>
      <w:r>
        <w:rPr/>
        <w:t>Verification of requirements for experiment 1: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3</w:t>
      </w:r>
      <w:r>
        <w:rPr>
          <w:sz w:val="20"/>
        </w:rPr>
        <w:t xml:space="preserve"> – Requirements for Experiment 1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83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5155"/>
      </w:tblGrid>
      <w:tr>
        <w:trPr>
          <w:cantSplit w:val="true"/>
        </w:trPr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Quality with clean speech </w:t>
            </w:r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1) at 24 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24 kbit/s ( 99% confidence level)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2) at 32kbit/s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32 kbit/s ( 99% confidence level)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3) at 48 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48 kbit/s ( 99% confidence level)</w:t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/>
      </w:pPr>
      <w:r>
        <w:rPr>
          <w:sz w:val="20"/>
        </w:rPr>
        <w:t>The comparisons are made between pairs of mean opinion scores Y</w:t>
      </w:r>
      <w:r>
        <w:rPr>
          <w:position w:val="-6"/>
          <w:sz w:val="20"/>
        </w:rPr>
        <w:t>ref</w:t>
      </w:r>
      <w:r>
        <w:rPr>
          <w:sz w:val="20"/>
        </w:rPr>
        <w:t>and Y</w:t>
      </w:r>
      <w:r>
        <w:rPr>
          <w:position w:val="-6"/>
          <w:sz w:val="20"/>
        </w:rPr>
        <w:t>test</w:t>
      </w:r>
      <w:r>
        <w:rPr>
          <w:sz w:val="20"/>
        </w:rPr>
        <w:t>, having standard deviations s</w:t>
      </w:r>
      <w:r>
        <w:rPr>
          <w:position w:val="-6"/>
          <w:sz w:val="20"/>
        </w:rPr>
        <w:t>ref</w:t>
      </w:r>
      <w:r>
        <w:rPr>
          <w:sz w:val="20"/>
        </w:rPr>
        <w:t xml:space="preserve"> and s</w:t>
      </w:r>
      <w:r>
        <w:rPr>
          <w:position w:val="-6"/>
          <w:sz w:val="20"/>
        </w:rPr>
        <w:t>test</w:t>
      </w:r>
      <w:r>
        <w:rPr>
          <w:sz w:val="20"/>
        </w:rPr>
        <w:t>.</w:t>
      </w:r>
    </w:p>
    <w:p>
      <w:pPr>
        <w:pStyle w:val="Normal"/>
        <w:rPr>
          <w:sz w:val="20"/>
        </w:rPr>
      </w:pPr>
      <w:r>
        <w:rPr>
          <w:sz w:val="20"/>
        </w:rPr>
        <w:t xml:space="preserve">Therefore, the test codec is not worse than the reference codec if: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ind w:left="1416" w:firstLine="70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test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ref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-t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1-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)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ref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test</m:t>
                    </m:r>
                  </m:sub>
                </m:sSub>
              </m:den>
            </m:f>
          </m:e>
        </m:rad>
      </m:oMath>
      <w:r>
        <w:rPr/>
        <w:t xml:space="preserve"> </w:t>
      </w:r>
    </w:p>
    <w:p>
      <w:pPr>
        <w:pStyle w:val="Normal"/>
        <w:ind w:left="1416" w:firstLine="708"/>
        <w:rPr/>
      </w:pPr>
      <w:r>
        <w:rPr/>
      </w:r>
    </w:p>
    <w:p>
      <w:pPr>
        <w:pStyle w:val="Normal"/>
        <w:rPr/>
      </w:pPr>
      <w:r>
        <w:rPr>
          <w:sz w:val="20"/>
        </w:rPr>
        <w:t>where n</w:t>
      </w:r>
      <w:r>
        <w:rPr>
          <w:position w:val="-12"/>
          <w:sz w:val="20"/>
        </w:rPr>
        <w:t>ref</w:t>
      </w:r>
      <w:r>
        <w:rPr>
          <w:sz w:val="20"/>
        </w:rPr>
        <w:t xml:space="preserve"> and n</w:t>
      </w:r>
      <w:r>
        <w:rPr>
          <w:position w:val="-12"/>
          <w:sz w:val="20"/>
        </w:rPr>
        <w:t>test</w:t>
      </w:r>
      <w:r>
        <w:rPr>
          <w:sz w:val="20"/>
        </w:rPr>
        <w:t xml:space="preserve"> are the numbers of observations for each mean, (1-α) is the confidence level, ν = n</w:t>
      </w:r>
      <w:r>
        <w:rPr>
          <w:position w:val="-6"/>
          <w:sz w:val="20"/>
        </w:rPr>
        <w:t>ref</w:t>
      </w:r>
      <w:r>
        <w:rPr>
          <w:sz w:val="20"/>
        </w:rPr>
        <w:t>+n</w:t>
      </w:r>
      <w:r>
        <w:rPr>
          <w:position w:val="-6"/>
          <w:sz w:val="20"/>
        </w:rPr>
        <w:t>test</w:t>
      </w:r>
      <w:r>
        <w:rPr>
          <w:sz w:val="20"/>
        </w:rPr>
        <w:t>-2 is the number of degrees of freedom</w:t>
      </w:r>
      <w:r>
        <w:rPr>
          <w:position w:val="-6"/>
          <w:sz w:val="20"/>
        </w:rPr>
        <w:t xml:space="preserve">, </w:t>
      </w:r>
      <w:r>
        <w:rPr>
          <w:sz w:val="20"/>
        </w:rPr>
        <w:t>and s</w:t>
      </w:r>
      <w:r>
        <w:rPr>
          <w:position w:val="-6"/>
          <w:sz w:val="20"/>
        </w:rPr>
        <w:t>o</w:t>
      </w:r>
      <w:r>
        <w:rPr>
          <w:position w:val="6"/>
          <w:sz w:val="20"/>
        </w:rPr>
        <w:t>2</w:t>
      </w:r>
      <w:r>
        <w:rPr>
          <w:sz w:val="20"/>
        </w:rPr>
        <w:t xml:space="preserve"> is the pooled estimator of the common variance s</w:t>
      </w:r>
      <w:r>
        <w:rPr>
          <w:position w:val="6"/>
          <w:sz w:val="20"/>
        </w:rPr>
        <w:t>2</w:t>
      </w:r>
      <w:r>
        <w:rPr>
          <w:sz w:val="20"/>
        </w:rPr>
        <w:t xml:space="preserve"> given by: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)</m:t>
              </m:r>
            </m:den>
          </m:f>
        </m:oMath>
      </m:oMathPara>
    </w:p>
    <w:p>
      <w:pPr>
        <w:pStyle w:val="Normal"/>
        <w:rPr/>
      </w:pPr>
      <w:r>
        <w:rPr>
          <w:sz w:val="20"/>
        </w:rPr>
        <w:t xml:space="preserve">For a confidence level of 99%,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341</m:t>
        </m:r>
      </m:oMath>
      <w:r>
        <w:rPr>
          <w:sz w:val="20"/>
        </w:rPr>
        <w:t xml:space="preserve">, the test codec is not worse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≥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294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rPr/>
      </w:pPr>
      <w:r>
        <w:rPr>
          <w:sz w:val="20"/>
        </w:rPr>
        <w:t xml:space="preserve">For a confidence level of 95%,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653</m:t>
        </m:r>
      </m:oMath>
      <w:r>
        <w:rPr>
          <w:sz w:val="20"/>
        </w:rPr>
        <w:t xml:space="preserve">, the test codec is not worse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≥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207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>
          <w:sz w:val="20"/>
        </w:rPr>
        <w:t>G.722.1C passes all requirements for a 99% confidence interval as can be shown in table 4. It is also scored not worse than the reference codec MPEG AAC-LD for a 95% confidence interval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 xml:space="preserve">Compared with the other reference codecs, G.722.1C is worse than 3GPP enhanced aacPlus at 24 kbps for a 95% confidence interval. G.722.1C is worse than 3GPP extended AMRWB at 24 kbps for a for a 95% confidence interval. G.722.1C is not worse than 3GPP enhanced aacPlus at 32 kbps for a 95% confidence interval. G.722.1C is not worse than 3GPP extended AMRWB at 32 kbps for a for a 95% confidence interval.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4</w:t>
      </w:r>
      <w:r>
        <w:rPr>
          <w:sz w:val="20"/>
        </w:rPr>
        <w:t xml:space="preserve"> – Comparison with "not worse than" criterion for Experiment 1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896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15"/>
        <w:gridCol w:w="1157"/>
        <w:gridCol w:w="1158"/>
        <w:gridCol w:w="1158"/>
        <w:gridCol w:w="1157"/>
        <w:gridCol w:w="1158"/>
        <w:gridCol w:w="1158"/>
      </w:tblGrid>
      <w:tr>
        <w:trPr>
          <w:trHeight w:val="247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Condition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 xml:space="preserve">Mean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Not worse than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At 99% CI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Not worse than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95% CI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3.52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2.86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2.67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sz w:val="20"/>
              </w:rPr>
              <w:t>2.72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sz w:val="20"/>
              </w:rPr>
              <w:t>3.99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3.49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sz w:val="20"/>
              </w:rPr>
              <w:t>3.54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3.41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3.22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sz w:val="20"/>
              </w:rPr>
              <w:t>3.27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3.72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sz w:val="20"/>
              </w:rPr>
              <w:t>3.78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sz w:val="20"/>
              </w:rPr>
              <w:t>3.72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sz w:val="20"/>
              </w:rPr>
              <w:t>4.00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64kbps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4.00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sz w:val="20"/>
              </w:rPr>
              <w:t>4.05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The comparisons are made between pairs of mean opinion scores Y</w:t>
      </w:r>
      <w:r>
        <w:rPr>
          <w:position w:val="-6"/>
          <w:sz w:val="20"/>
        </w:rPr>
        <w:t>ref</w:t>
      </w:r>
      <w:r>
        <w:rPr>
          <w:sz w:val="20"/>
        </w:rPr>
        <w:t>and Y</w:t>
      </w:r>
      <w:r>
        <w:rPr>
          <w:position w:val="-6"/>
          <w:sz w:val="20"/>
        </w:rPr>
        <w:t>test</w:t>
      </w:r>
      <w:r>
        <w:rPr>
          <w:sz w:val="20"/>
        </w:rPr>
        <w:t>, having standard deviations s</w:t>
      </w:r>
      <w:r>
        <w:rPr>
          <w:position w:val="-6"/>
          <w:sz w:val="20"/>
        </w:rPr>
        <w:t>ref</w:t>
      </w:r>
      <w:r>
        <w:rPr>
          <w:sz w:val="20"/>
        </w:rPr>
        <w:t xml:space="preserve"> and s</w:t>
      </w:r>
      <w:r>
        <w:rPr>
          <w:position w:val="-6"/>
          <w:sz w:val="20"/>
        </w:rPr>
        <w:t>test</w:t>
      </w:r>
      <w:r>
        <w:rPr>
          <w:sz w:val="20"/>
        </w:rPr>
        <w:t>.</w:t>
      </w:r>
    </w:p>
    <w:p>
      <w:pPr>
        <w:pStyle w:val="Normal"/>
        <w:rPr>
          <w:sz w:val="20"/>
        </w:rPr>
      </w:pPr>
      <w:r>
        <w:rPr>
          <w:sz w:val="20"/>
        </w:rPr>
        <w:t xml:space="preserve">Therefore, the test codec is better than the reference codec if: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ind w:left="1416" w:firstLine="70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test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ref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1-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)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ref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test</m:t>
                    </m:r>
                  </m:sub>
                </m:sSub>
              </m:den>
            </m:f>
          </m:e>
        </m:rad>
      </m:oMath>
      <w:r>
        <w:rPr/>
        <w:t xml:space="preserve"> </w:t>
      </w:r>
    </w:p>
    <w:p>
      <w:pPr>
        <w:pStyle w:val="Normal"/>
        <w:ind w:left="1416" w:firstLine="708"/>
        <w:rPr/>
      </w:pPr>
      <w:r>
        <w:rPr/>
      </w:r>
    </w:p>
    <w:p>
      <w:pPr>
        <w:pStyle w:val="Normal"/>
        <w:rPr/>
      </w:pPr>
      <w:r>
        <w:rPr>
          <w:sz w:val="20"/>
        </w:rPr>
        <w:t>where n</w:t>
      </w:r>
      <w:r>
        <w:rPr>
          <w:position w:val="-12"/>
          <w:sz w:val="20"/>
        </w:rPr>
        <w:t>ref</w:t>
      </w:r>
      <w:r>
        <w:rPr>
          <w:sz w:val="20"/>
        </w:rPr>
        <w:t xml:space="preserve"> and n</w:t>
      </w:r>
      <w:r>
        <w:rPr>
          <w:position w:val="-12"/>
          <w:sz w:val="20"/>
        </w:rPr>
        <w:t>test</w:t>
      </w:r>
      <w:r>
        <w:rPr>
          <w:sz w:val="20"/>
        </w:rPr>
        <w:t xml:space="preserve"> are the numbers of observations for each mean, (1-α) is the confidence level, ν = n</w:t>
      </w:r>
      <w:r>
        <w:rPr>
          <w:position w:val="-6"/>
          <w:sz w:val="20"/>
        </w:rPr>
        <w:t>ref</w:t>
      </w:r>
      <w:r>
        <w:rPr>
          <w:sz w:val="20"/>
        </w:rPr>
        <w:t>+n</w:t>
      </w:r>
      <w:r>
        <w:rPr>
          <w:position w:val="-6"/>
          <w:sz w:val="20"/>
        </w:rPr>
        <w:t>test</w:t>
      </w:r>
      <w:r>
        <w:rPr>
          <w:sz w:val="20"/>
        </w:rPr>
        <w:t>-2 is the number of degrees of freedom</w:t>
      </w:r>
      <w:r>
        <w:rPr>
          <w:position w:val="-6"/>
          <w:sz w:val="20"/>
        </w:rPr>
        <w:t xml:space="preserve">, </w:t>
      </w:r>
      <w:r>
        <w:rPr>
          <w:sz w:val="20"/>
        </w:rPr>
        <w:t>and s</w:t>
      </w:r>
      <w:r>
        <w:rPr>
          <w:position w:val="-6"/>
          <w:sz w:val="20"/>
        </w:rPr>
        <w:t>o</w:t>
      </w:r>
      <w:r>
        <w:rPr>
          <w:position w:val="6"/>
          <w:sz w:val="20"/>
        </w:rPr>
        <w:t>2</w:t>
      </w:r>
      <w:r>
        <w:rPr>
          <w:sz w:val="20"/>
        </w:rPr>
        <w:t xml:space="preserve"> is the pooled estimator of the common variance s</w:t>
      </w:r>
      <w:r>
        <w:rPr>
          <w:position w:val="6"/>
          <w:sz w:val="20"/>
        </w:rPr>
        <w:t>2</w:t>
      </w:r>
      <w:r>
        <w:rPr>
          <w:sz w:val="20"/>
        </w:rPr>
        <w:t xml:space="preserve"> given by: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)</m:t>
              </m:r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99%,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341</m:t>
        </m:r>
      </m:oMath>
      <w:r>
        <w:rPr>
          <w:sz w:val="20"/>
        </w:rPr>
        <w:t xml:space="preserve">, the test codec is better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&gt;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294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95%,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653</m:t>
        </m:r>
      </m:oMath>
      <w:r>
        <w:rPr>
          <w:sz w:val="20"/>
        </w:rPr>
        <w:t xml:space="preserve">, the test codec is better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&gt;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207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>In table 5, it is shown that G.722.1C is better than the reference codec MPEG AAC-LD for a 95% confidence interval at the same bit rate for 24kbps and 32 kbps.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5</w:t>
      </w:r>
      <w:r>
        <w:rPr>
          <w:sz w:val="20"/>
        </w:rPr>
        <w:t xml:space="preserve"> – Comparison with "better than" criterion for Experiment 1</w:t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tbl>
      <w:tblPr>
        <w:tblW w:w="896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15"/>
        <w:gridCol w:w="1157"/>
        <w:gridCol w:w="1158"/>
        <w:gridCol w:w="1158"/>
        <w:gridCol w:w="1157"/>
        <w:gridCol w:w="1158"/>
        <w:gridCol w:w="1158"/>
      </w:tblGrid>
      <w:tr>
        <w:trPr>
          <w:trHeight w:val="247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Condition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 xml:space="preserve">Mean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Better than at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99% CI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Better than at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95% CI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ascii="Arial" w:hAnsi="Arial" w:eastAsia="SimSun;宋体" w:cs="Arial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Arial" w:ascii="Arial" w:hAnsi="Arial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Cut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3.52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AAC-LD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2.86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/>
            </w:pPr>
            <w:r>
              <w:rPr>
                <w:sz w:val="20"/>
              </w:rPr>
              <w:t>3.05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3.00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AMRWB+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/>
            </w:pPr>
            <w:r>
              <w:rPr>
                <w:sz w:val="20"/>
              </w:rPr>
              <w:t>4.29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4.24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AacPlus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/>
            </w:pPr>
            <w:r>
              <w:rPr>
                <w:sz w:val="20"/>
              </w:rPr>
              <w:t>3.86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Cut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AAC-LD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3.41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/>
            </w:pPr>
            <w:r>
              <w:rPr>
                <w:sz w:val="20"/>
              </w:rPr>
              <w:t>3.61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3.55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AMRWB+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/>
            </w:pPr>
            <w:r>
              <w:rPr>
                <w:sz w:val="20"/>
              </w:rPr>
              <w:t>4.09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4.03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AacPlus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/>
            </w:pPr>
            <w:r>
              <w:rPr>
                <w:sz w:val="20"/>
              </w:rPr>
              <w:t>4.02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Cut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AAC-LD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/>
            </w:pPr>
            <w:r>
              <w:rPr>
                <w:sz w:val="20"/>
              </w:rPr>
              <w:t>4.30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4.24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AAC-LD at 64kbps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/>
            </w:pPr>
            <w:r>
              <w:rPr>
                <w:sz w:val="20"/>
              </w:rPr>
              <w:t>4.35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textAlignment w:val="baseline"/>
              <w:rPr>
                <w:sz w:val="20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Heading1"/>
        <w:ind w:left="794" w:hanging="794"/>
        <w:rPr/>
      </w:pPr>
      <w:r>
        <w:rPr/>
        <w:t>Experiment 2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France Telecom tested G.722.1C for Experiment 2 of the Characterisation Test according to the specifications in the Characterisation Test Plan. France Telecom provided the processed speech material used in this experiment.</w:t>
      </w:r>
    </w:p>
    <w:p>
      <w:pPr>
        <w:pStyle w:val="Normal"/>
        <w:rPr>
          <w:sz w:val="20"/>
        </w:rPr>
      </w:pPr>
      <w:r>
        <w:rPr>
          <w:sz w:val="20"/>
        </w:rPr>
        <w:t xml:space="preserve">The codec performance was assessed for reverberant noisy speech. The Experiment was performed using the 5-point scale DCR method with P.341extension-weighted speech. </w:t>
      </w:r>
    </w:p>
    <w:p>
      <w:pPr>
        <w:pStyle w:val="Normal"/>
        <w:rPr>
          <w:sz w:val="20"/>
        </w:rPr>
      </w:pPr>
      <w:r>
        <w:rPr>
          <w:sz w:val="20"/>
        </w:rPr>
        <w:t>Source speech for Experiment 2 was a sub-set of the French France Telecom listening lab speech database and consisted of 5 different sentence-pairs for each of the three male and three female talkers. France Telecom was also responsible for the processing of the source speech through all the Experiment 2 conditions, which are indicated in Table 6.</w:t>
      </w:r>
    </w:p>
    <w:p>
      <w:pPr>
        <w:pStyle w:val="Normal"/>
        <w:rPr>
          <w:sz w:val="20"/>
        </w:rPr>
      </w:pPr>
      <w:r>
        <w:rPr>
          <w:sz w:val="20"/>
        </w:rPr>
        <w:t>Office noise as well as interfering talker condition were also generated by France Telecom.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6</w:t>
      </w:r>
      <w:r>
        <w:rPr>
          <w:sz w:val="20"/>
        </w:rPr>
        <w:t xml:space="preserve"> - Conditions for Experiment 2</w:t>
      </w:r>
    </w:p>
    <w:tbl>
      <w:tblPr>
        <w:tblW w:w="6804" w:type="dxa"/>
        <w:jc w:val="center"/>
        <w:tblInd w:w="0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2268"/>
        <w:gridCol w:w="4536"/>
      </w:tblGrid>
      <w:tr>
        <w:trPr/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Condition</w:t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C01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Direct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MNRU Q=58dB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C03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MNRU Q=50dB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C04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MNRU Q=42dB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C05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MNRU Q=34dB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C06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MNRU Q=26dB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C07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MNRU Q=18dB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C08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Candidate codec at 24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C09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MPEG-4 AAC-LD at 24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C10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3GPP extended AMRWB at 24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3GPP enhanced aacPlus at 24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C12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Candidate codec at 32kbps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C13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MPEG-4 AAC-LD at 32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C14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3GPP extended AMRWB at 32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C15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3GPP enhanced aacPlus at 32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C16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Candidate codec at 48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C17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MPEG-4 AAC-LD at 48 kbps</w:t>
            </w:r>
          </w:p>
        </w:tc>
      </w:tr>
      <w:tr>
        <w:trPr/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C18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MPEG-4 AAC-LD at 64 kbps 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 xml:space="preserve">The 32 non-expert French-speaking listeners (nominally balanced for gender) were arranged in four groups of 8 listeners who used headphones. The speech material was presented binaurally. The listening level was calibrated to generate a nominal listening level of -73dB SPL for a file at -26 dBov played on the computer.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The randomization sequences were used for Experiment 2. Votes were collected through a computer terminal and saved to a central computer, where the data were analyzed at 99% and 95% confidence interval.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b"/>
        <w:rPr/>
      </w:pPr>
      <w:r>
        <w:rPr/>
        <w:t>Experiment 2a: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The results of Experiment 2a are in table 7</w:t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7</w:t>
      </w:r>
      <w:r>
        <w:rPr>
          <w:sz w:val="20"/>
        </w:rPr>
        <w:t xml:space="preserve"> – Mos scores for Experiment 2a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1000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77"/>
        <w:gridCol w:w="1404"/>
        <w:gridCol w:w="1404"/>
        <w:gridCol w:w="1404"/>
        <w:gridCol w:w="1404"/>
        <w:gridCol w:w="1404"/>
        <w:gridCol w:w="1404"/>
      </w:tblGrid>
      <w:tr>
        <w:trPr>
          <w:trHeight w:val="247" w:hRule="atLeast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</w:rPr>
            </w:pPr>
            <w:r>
              <w:rPr>
                <w:rFonts w:eastAsia="Times New Roman"/>
                <w:color w:val="000000"/>
                <w:sz w:val="20"/>
                <w:lang w:eastAsia="ja-JP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MOS score on male speakers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 male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MOS score on female speakers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 female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MOS score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4.63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0.58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4.55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4.51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0.75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1.01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3.59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3.49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0.95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2.30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2.50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1.09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1.59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1.59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1.59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0.46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1.13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0.36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0.41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0.98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2.44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1.05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2.83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2.64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1.09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4.20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3.34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3.48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0.96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4.08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4.28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0.86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3.39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3.67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1.00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3.53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0.97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0.77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0.84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0.73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0.76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0.67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210175" cy="34575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219700" cy="34671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229225" cy="34766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b"/>
        <w:rPr/>
      </w:pPr>
      <w:r>
        <w:rPr/>
        <w:t>Verification of requirements for experiment 2a: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8</w:t>
      </w:r>
      <w:r>
        <w:rPr>
          <w:sz w:val="20"/>
        </w:rPr>
        <w:t xml:space="preserve"> – Requirements for Experiment 2a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103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6"/>
        <w:gridCol w:w="5155"/>
      </w:tblGrid>
      <w:tr>
        <w:trPr>
          <w:cantSplit w:val="true"/>
        </w:trPr>
        <w:tc>
          <w:tcPr>
            <w:tcW w:w="5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Quality with Reverberant Speech + office noise (SNR 15 dB) </w:t>
            </w:r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1) at 24 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24 kbit/s ( 99% confidence level)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2) at 32kbit/s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32 kbit/s ( 99% confidence level)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3) at 48 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48 kbit/s ( 99% confidence level)</w:t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/>
      </w:pPr>
      <w:r>
        <w:rPr>
          <w:sz w:val="20"/>
        </w:rPr>
        <w:t>The comparisons are made between pairs of mean opinion scores Y</w:t>
      </w:r>
      <w:r>
        <w:rPr>
          <w:position w:val="-6"/>
          <w:sz w:val="20"/>
        </w:rPr>
        <w:t>ref</w:t>
      </w:r>
      <w:r>
        <w:rPr>
          <w:sz w:val="20"/>
        </w:rPr>
        <w:t>and Y</w:t>
      </w:r>
      <w:r>
        <w:rPr>
          <w:position w:val="-6"/>
          <w:sz w:val="20"/>
        </w:rPr>
        <w:t>test</w:t>
      </w:r>
      <w:r>
        <w:rPr>
          <w:sz w:val="20"/>
        </w:rPr>
        <w:t>, having standard deviations s</w:t>
      </w:r>
      <w:r>
        <w:rPr>
          <w:position w:val="-6"/>
          <w:sz w:val="20"/>
        </w:rPr>
        <w:t>ref</w:t>
      </w:r>
      <w:r>
        <w:rPr>
          <w:sz w:val="20"/>
        </w:rPr>
        <w:t xml:space="preserve"> and s</w:t>
      </w:r>
      <w:r>
        <w:rPr>
          <w:position w:val="-6"/>
          <w:sz w:val="20"/>
        </w:rPr>
        <w:t>test</w:t>
      </w:r>
      <w:r>
        <w:rPr>
          <w:sz w:val="20"/>
        </w:rPr>
        <w:t>.</w:t>
      </w:r>
    </w:p>
    <w:p>
      <w:pPr>
        <w:pStyle w:val="Normal"/>
        <w:rPr>
          <w:sz w:val="20"/>
        </w:rPr>
      </w:pPr>
      <w:r>
        <w:rPr>
          <w:sz w:val="20"/>
        </w:rPr>
        <w:t xml:space="preserve">Therefore, the test codec is not worse than the reference codec if: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ind w:left="1416" w:firstLine="70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test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ref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-t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1-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)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ref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test</m:t>
                    </m:r>
                  </m:sub>
                </m:sSub>
              </m:den>
            </m:f>
          </m:e>
        </m:rad>
      </m:oMath>
      <w:r>
        <w:rPr/>
        <w:t xml:space="preserve"> </w:t>
      </w:r>
    </w:p>
    <w:p>
      <w:pPr>
        <w:pStyle w:val="Normal"/>
        <w:ind w:left="1416" w:firstLine="708"/>
        <w:rPr/>
      </w:pPr>
      <w:r>
        <w:rPr/>
      </w:r>
    </w:p>
    <w:p>
      <w:pPr>
        <w:pStyle w:val="Normal"/>
        <w:rPr/>
      </w:pPr>
      <w:r>
        <w:rPr>
          <w:sz w:val="20"/>
        </w:rPr>
        <w:t>where n</w:t>
      </w:r>
      <w:r>
        <w:rPr>
          <w:position w:val="-12"/>
          <w:sz w:val="20"/>
        </w:rPr>
        <w:t>ref</w:t>
      </w:r>
      <w:r>
        <w:rPr>
          <w:sz w:val="20"/>
        </w:rPr>
        <w:t xml:space="preserve"> and n</w:t>
      </w:r>
      <w:r>
        <w:rPr>
          <w:position w:val="-12"/>
          <w:sz w:val="20"/>
        </w:rPr>
        <w:t>test</w:t>
      </w:r>
      <w:r>
        <w:rPr>
          <w:sz w:val="20"/>
        </w:rPr>
        <w:t xml:space="preserve"> are the numbers of observations for each mean, (1-α) is the confidence level, ν = n</w:t>
      </w:r>
      <w:r>
        <w:rPr>
          <w:position w:val="-6"/>
          <w:sz w:val="20"/>
        </w:rPr>
        <w:t>ref</w:t>
      </w:r>
      <w:r>
        <w:rPr>
          <w:sz w:val="20"/>
        </w:rPr>
        <w:t>+n</w:t>
      </w:r>
      <w:r>
        <w:rPr>
          <w:position w:val="-6"/>
          <w:sz w:val="20"/>
        </w:rPr>
        <w:t>test</w:t>
      </w:r>
      <w:r>
        <w:rPr>
          <w:sz w:val="20"/>
        </w:rPr>
        <w:t>-2 is the number of degrees of freedom</w:t>
      </w:r>
      <w:r>
        <w:rPr>
          <w:position w:val="-6"/>
          <w:sz w:val="20"/>
        </w:rPr>
        <w:t xml:space="preserve">, </w:t>
      </w:r>
      <w:r>
        <w:rPr>
          <w:sz w:val="20"/>
        </w:rPr>
        <w:t>and s</w:t>
      </w:r>
      <w:r>
        <w:rPr>
          <w:position w:val="-6"/>
          <w:sz w:val="20"/>
        </w:rPr>
        <w:t>o</w:t>
      </w:r>
      <w:r>
        <w:rPr>
          <w:position w:val="6"/>
          <w:sz w:val="20"/>
        </w:rPr>
        <w:t>2</w:t>
      </w:r>
      <w:r>
        <w:rPr>
          <w:sz w:val="20"/>
        </w:rPr>
        <w:t xml:space="preserve"> is the pooled estimator of the common variance s</w:t>
      </w:r>
      <w:r>
        <w:rPr>
          <w:position w:val="6"/>
          <w:sz w:val="20"/>
        </w:rPr>
        <w:t>2</w:t>
      </w:r>
      <w:r>
        <w:rPr>
          <w:sz w:val="20"/>
        </w:rPr>
        <w:t xml:space="preserve"> given by: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)</m:t>
              </m:r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99%,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341</m:t>
        </m:r>
      </m:oMath>
      <w:r>
        <w:rPr>
          <w:sz w:val="20"/>
        </w:rPr>
        <w:t xml:space="preserve">, the test codec is not worse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≥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294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95%,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653</m:t>
        </m:r>
      </m:oMath>
      <w:r>
        <w:rPr>
          <w:sz w:val="20"/>
        </w:rPr>
        <w:t xml:space="preserve">, the test codec is not worse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≥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207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>
          <w:sz w:val="20"/>
        </w:rPr>
        <w:t>G.722.1C passes all requirements for a 99% confidence interval as can be shown in table 9. It is also scored not worse than the reference codec MPEG AAC-LD for a 95% confidence interval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 xml:space="preserve">Compared with the other reference codecs, G.722.1C is not worse than 3GPP enhanced aacPlus at the same bit rate for 24 and 32 kbps for a 95% confidence interval. G.722.1C is worse than 3GPP extended AMRWB for a 95% confidence interval.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9</w:t>
      </w:r>
      <w:r>
        <w:rPr>
          <w:sz w:val="20"/>
        </w:rPr>
        <w:t xml:space="preserve"> – Comparison with "not worse than" criterion for Experiment 2a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896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15"/>
        <w:gridCol w:w="1157"/>
        <w:gridCol w:w="1158"/>
        <w:gridCol w:w="1158"/>
        <w:gridCol w:w="1157"/>
        <w:gridCol w:w="1158"/>
        <w:gridCol w:w="1158"/>
      </w:tblGrid>
      <w:tr>
        <w:trPr>
          <w:trHeight w:val="247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Condition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 xml:space="preserve">Mean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Not worse than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At 99% CI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Not worse than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95% CI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3.89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2.64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1.09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2.42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2.48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3.98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4.03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3.48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3.34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4.18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3.53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0.97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3.34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3.39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3.97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0.84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3.79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3.84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4.37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0.76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4.21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4.26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64kbps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4.46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0.67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4.31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4.36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The comparisons are made between pairs of mean opinion scores Y</w:t>
      </w:r>
      <w:r>
        <w:rPr>
          <w:position w:val="-6"/>
          <w:sz w:val="20"/>
        </w:rPr>
        <w:t>ref</w:t>
      </w:r>
      <w:r>
        <w:rPr>
          <w:sz w:val="20"/>
        </w:rPr>
        <w:t>and Y</w:t>
      </w:r>
      <w:r>
        <w:rPr>
          <w:position w:val="-6"/>
          <w:sz w:val="20"/>
        </w:rPr>
        <w:t>test</w:t>
      </w:r>
      <w:r>
        <w:rPr>
          <w:sz w:val="20"/>
        </w:rPr>
        <w:t>, having standard deviations s</w:t>
      </w:r>
      <w:r>
        <w:rPr>
          <w:position w:val="-6"/>
          <w:sz w:val="20"/>
        </w:rPr>
        <w:t>ref</w:t>
      </w:r>
      <w:r>
        <w:rPr>
          <w:sz w:val="20"/>
        </w:rPr>
        <w:t xml:space="preserve"> and s</w:t>
      </w:r>
      <w:r>
        <w:rPr>
          <w:position w:val="-6"/>
          <w:sz w:val="20"/>
        </w:rPr>
        <w:t>test</w:t>
      </w:r>
      <w:r>
        <w:rPr>
          <w:sz w:val="20"/>
        </w:rPr>
        <w:t>.</w:t>
      </w:r>
    </w:p>
    <w:p>
      <w:pPr>
        <w:pStyle w:val="Normal"/>
        <w:rPr>
          <w:sz w:val="20"/>
        </w:rPr>
      </w:pPr>
      <w:r>
        <w:rPr>
          <w:sz w:val="20"/>
        </w:rPr>
        <w:t xml:space="preserve">Therefore, the test codec is better than the reference codec if: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ind w:left="1416" w:firstLine="70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test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ref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1-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)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ref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test</m:t>
                    </m:r>
                  </m:sub>
                </m:sSub>
              </m:den>
            </m:f>
          </m:e>
        </m:rad>
      </m:oMath>
      <w:r>
        <w:rPr/>
        <w:t xml:space="preserve"> </w:t>
      </w:r>
    </w:p>
    <w:p>
      <w:pPr>
        <w:pStyle w:val="Normal"/>
        <w:ind w:left="1416" w:firstLine="708"/>
        <w:rPr/>
      </w:pPr>
      <w:r>
        <w:rPr/>
      </w:r>
    </w:p>
    <w:p>
      <w:pPr>
        <w:pStyle w:val="Normal"/>
        <w:rPr/>
      </w:pPr>
      <w:r>
        <w:rPr>
          <w:sz w:val="20"/>
        </w:rPr>
        <w:t>where n</w:t>
      </w:r>
      <w:r>
        <w:rPr>
          <w:position w:val="-12"/>
          <w:sz w:val="20"/>
        </w:rPr>
        <w:t>ref</w:t>
      </w:r>
      <w:r>
        <w:rPr>
          <w:sz w:val="20"/>
        </w:rPr>
        <w:t xml:space="preserve"> and n</w:t>
      </w:r>
      <w:r>
        <w:rPr>
          <w:position w:val="-12"/>
          <w:sz w:val="20"/>
        </w:rPr>
        <w:t>test</w:t>
      </w:r>
      <w:r>
        <w:rPr>
          <w:sz w:val="20"/>
        </w:rPr>
        <w:t xml:space="preserve"> are the numbers of observations for each mean, (1-α) is the confidence level, ν = n</w:t>
      </w:r>
      <w:r>
        <w:rPr>
          <w:position w:val="-6"/>
          <w:sz w:val="20"/>
        </w:rPr>
        <w:t>ref</w:t>
      </w:r>
      <w:r>
        <w:rPr>
          <w:sz w:val="20"/>
        </w:rPr>
        <w:t>+n</w:t>
      </w:r>
      <w:r>
        <w:rPr>
          <w:position w:val="-6"/>
          <w:sz w:val="20"/>
        </w:rPr>
        <w:t>test</w:t>
      </w:r>
      <w:r>
        <w:rPr>
          <w:sz w:val="20"/>
        </w:rPr>
        <w:t>-2 is the number of degrees of freedom</w:t>
      </w:r>
      <w:r>
        <w:rPr>
          <w:position w:val="-6"/>
          <w:sz w:val="20"/>
        </w:rPr>
        <w:t xml:space="preserve">, </w:t>
      </w:r>
      <w:r>
        <w:rPr>
          <w:sz w:val="20"/>
        </w:rPr>
        <w:t>and s</w:t>
      </w:r>
      <w:r>
        <w:rPr>
          <w:position w:val="-6"/>
          <w:sz w:val="20"/>
        </w:rPr>
        <w:t>o</w:t>
      </w:r>
      <w:r>
        <w:rPr>
          <w:position w:val="6"/>
          <w:sz w:val="20"/>
        </w:rPr>
        <w:t>2</w:t>
      </w:r>
      <w:r>
        <w:rPr>
          <w:sz w:val="20"/>
        </w:rPr>
        <w:t xml:space="preserve"> is the pooled estimator of the common variance s</w:t>
      </w:r>
      <w:r>
        <w:rPr>
          <w:position w:val="6"/>
          <w:sz w:val="20"/>
        </w:rPr>
        <w:t>2</w:t>
      </w:r>
      <w:r>
        <w:rPr>
          <w:sz w:val="20"/>
        </w:rPr>
        <w:t xml:space="preserve"> given by: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)</m:t>
              </m:r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99%,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341</m:t>
        </m:r>
      </m:oMath>
      <w:r>
        <w:rPr>
          <w:sz w:val="20"/>
        </w:rPr>
        <w:t xml:space="preserve">, the test codec is better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&gt;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294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95%,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653</m:t>
        </m:r>
      </m:oMath>
      <w:r>
        <w:rPr>
          <w:sz w:val="20"/>
        </w:rPr>
        <w:t xml:space="preserve">, the test codec is better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&gt;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207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>In table 10, it is shown that G.722.1C is better than the reference codec MPEG AAC-LD for a 95% confidence interval at the same bit rate for 24kbps and 32 kbps.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 xml:space="preserve">Compared with the other reference codecs, G.722.1C is better than 3GPP enhanced aacPlus for a 95% confidence interval.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10</w:t>
      </w:r>
      <w:r>
        <w:rPr>
          <w:sz w:val="20"/>
        </w:rPr>
        <w:t xml:space="preserve"> – Comparison with "better than" criterion for Experiment 2a</w:t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tbl>
      <w:tblPr>
        <w:tblW w:w="896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15"/>
        <w:gridCol w:w="1157"/>
        <w:gridCol w:w="1158"/>
        <w:gridCol w:w="1158"/>
        <w:gridCol w:w="1157"/>
        <w:gridCol w:w="1158"/>
        <w:gridCol w:w="1158"/>
      </w:tblGrid>
      <w:tr>
        <w:trPr>
          <w:trHeight w:val="247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Condition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 xml:space="preserve">Mean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Better than at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99% CI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Better than at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95% CI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ascii="Arial" w:hAnsi="Arial" w:eastAsia="SimSun;宋体" w:cs="Arial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Arial" w:ascii="Arial" w:hAnsi="Arial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Cut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3.89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0.98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AAC-LD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2.64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1.09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2.85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2.79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AMRWB+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4.17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0.81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4.35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4.30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AacPlus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3.48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0.96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3.68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3.62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Cut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4.18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0.86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AAC-LD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3.53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0.97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3.72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3.66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AMRWB+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4.36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0.77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4.53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4.48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AacPlus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3.97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0.84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4.15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4.09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Cut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4.40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0.73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AAC-LD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4.37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0.76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4.52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4.48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AAC-LD at 64kbps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4.46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eastAsia="SimSun;宋体"/>
                <w:sz w:val="20"/>
                <w:lang w:val="fr-FR" w:eastAsia="ja-JP"/>
              </w:rPr>
            </w:pPr>
            <w:r>
              <w:rPr>
                <w:rFonts w:eastAsia="SimSun;宋体"/>
                <w:sz w:val="20"/>
                <w:lang w:val="fr-FR" w:eastAsia="ja-JP"/>
              </w:rPr>
              <w:t>0.67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4.60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4.56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</w:tbl>
    <w:p>
      <w:pPr>
        <w:pStyle w:val="Headingb"/>
        <w:rPr/>
      </w:pPr>
      <w:r>
        <w:rPr/>
      </w:r>
      <w:r>
        <w:br w:type="page"/>
      </w:r>
    </w:p>
    <w:p>
      <w:pPr>
        <w:pStyle w:val="Headingb"/>
        <w:rPr/>
      </w:pPr>
      <w:r>
        <w:rPr/>
        <w:t>Experiment 2b:</w:t>
      </w:r>
    </w:p>
    <w:p>
      <w:pPr>
        <w:pStyle w:val="Normal"/>
        <w:rPr>
          <w:sz w:val="20"/>
        </w:rPr>
      </w:pPr>
      <w:r>
        <w:rPr>
          <w:sz w:val="20"/>
        </w:rPr>
        <w:t>The results of Experiment 2b are in table 11</w:t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11</w:t>
      </w:r>
      <w:r>
        <w:rPr>
          <w:sz w:val="20"/>
        </w:rPr>
        <w:t xml:space="preserve"> – Mos scores for Experiment 2b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1000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77"/>
        <w:gridCol w:w="1404"/>
        <w:gridCol w:w="1404"/>
        <w:gridCol w:w="1404"/>
        <w:gridCol w:w="1404"/>
        <w:gridCol w:w="1404"/>
        <w:gridCol w:w="1404"/>
      </w:tblGrid>
      <w:tr>
        <w:trPr>
          <w:trHeight w:val="247" w:hRule="atLeast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</w:rPr>
            </w:pPr>
            <w:r>
              <w:rPr>
                <w:rFonts w:eastAsia="Tms Rmn" w:cs="Tms Rmn" w:ascii="Tms Rmn" w:hAnsi="Tms Rmn"/>
                <w:color w:val="000000"/>
                <w:sz w:val="20"/>
                <w:lang w:eastAsia="ja-JP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MOS score on male speakers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 male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MOS score on female speakers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 female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MOS score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4.74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0.53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4.78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0.48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4.61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0.65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4.67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0.57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4.64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0.61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4.63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0.67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4.70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0.53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4.66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0.60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4.33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4.25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0.77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3.23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3.20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1.02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1.89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1.85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0.73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1.23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0.47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1.21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0.48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1.22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0.47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3.79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0.96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4.22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4.01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0.95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2.63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2.99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2.81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1.07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4.36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0.64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0.69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4.05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3.93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0.94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4.24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0.90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4.52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4.38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0.85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3.32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3.57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0.83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4.28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4.34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0.75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4.66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0.58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4.79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0.50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4.72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0.54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4.50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0.65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4.50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4.50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0.73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4.69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0.55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4.68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0.62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4.68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0.59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219700" cy="34671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29225" cy="34766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238750" cy="34861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b"/>
        <w:rPr/>
      </w:pPr>
      <w:r>
        <w:rPr/>
        <w:t>Verification of requirements for experiment 2b: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12</w:t>
      </w:r>
      <w:r>
        <w:rPr>
          <w:sz w:val="20"/>
        </w:rPr>
        <w:t xml:space="preserve"> – Requirements for Experiment 2b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103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6"/>
        <w:gridCol w:w="5155"/>
      </w:tblGrid>
      <w:tr>
        <w:trPr>
          <w:cantSplit w:val="true"/>
        </w:trPr>
        <w:tc>
          <w:tcPr>
            <w:tcW w:w="5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Quality with Reverberant Speech + interfering talker noise (SNR 15 dB) </w:t>
            </w:r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1) at 24 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24 kbit/s ( 99% confidence level)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2) at 32kbit/s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32 kbit/s ( 99% confidence level)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3) at 48 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48 kbit/s ( 99% confidence level)</w:t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/>
      </w:pPr>
      <w:r>
        <w:rPr>
          <w:sz w:val="20"/>
        </w:rPr>
        <w:t>The comparisons are made between pairs of mean opinion scores Y</w:t>
      </w:r>
      <w:r>
        <w:rPr>
          <w:position w:val="-6"/>
          <w:sz w:val="20"/>
        </w:rPr>
        <w:t>ref</w:t>
      </w:r>
      <w:r>
        <w:rPr>
          <w:sz w:val="20"/>
        </w:rPr>
        <w:t>and Y</w:t>
      </w:r>
      <w:r>
        <w:rPr>
          <w:position w:val="-6"/>
          <w:sz w:val="20"/>
        </w:rPr>
        <w:t>test</w:t>
      </w:r>
      <w:r>
        <w:rPr>
          <w:sz w:val="20"/>
        </w:rPr>
        <w:t>, having standard deviations s</w:t>
      </w:r>
      <w:r>
        <w:rPr>
          <w:position w:val="-6"/>
          <w:sz w:val="20"/>
        </w:rPr>
        <w:t>ref</w:t>
      </w:r>
      <w:r>
        <w:rPr>
          <w:sz w:val="20"/>
        </w:rPr>
        <w:t xml:space="preserve"> and s</w:t>
      </w:r>
      <w:r>
        <w:rPr>
          <w:position w:val="-6"/>
          <w:sz w:val="20"/>
        </w:rPr>
        <w:t>test</w:t>
      </w:r>
      <w:r>
        <w:rPr>
          <w:sz w:val="20"/>
        </w:rPr>
        <w:t>.</w:t>
      </w:r>
    </w:p>
    <w:p>
      <w:pPr>
        <w:pStyle w:val="Normal"/>
        <w:rPr>
          <w:sz w:val="20"/>
        </w:rPr>
      </w:pPr>
      <w:r>
        <w:rPr>
          <w:sz w:val="20"/>
        </w:rPr>
        <w:t xml:space="preserve">Therefore, the test codec is not worse than the reference codec if: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ind w:left="1416" w:firstLine="70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test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ref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-t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1-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)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ref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test</m:t>
                    </m:r>
                  </m:sub>
                </m:sSub>
              </m:den>
            </m:f>
          </m:e>
        </m:rad>
      </m:oMath>
      <w:r>
        <w:rPr/>
        <w:t xml:space="preserve"> </w:t>
      </w:r>
    </w:p>
    <w:p>
      <w:pPr>
        <w:pStyle w:val="Normal"/>
        <w:ind w:left="1416" w:firstLine="708"/>
        <w:rPr/>
      </w:pPr>
      <w:r>
        <w:rPr/>
      </w:r>
    </w:p>
    <w:p>
      <w:pPr>
        <w:pStyle w:val="Normal"/>
        <w:rPr/>
      </w:pPr>
      <w:r>
        <w:rPr>
          <w:sz w:val="20"/>
        </w:rPr>
        <w:t>Where n</w:t>
      </w:r>
      <w:r>
        <w:rPr>
          <w:position w:val="-12"/>
          <w:sz w:val="20"/>
        </w:rPr>
        <w:t>ref</w:t>
      </w:r>
      <w:r>
        <w:rPr>
          <w:sz w:val="20"/>
        </w:rPr>
        <w:t xml:space="preserve"> and n</w:t>
      </w:r>
      <w:r>
        <w:rPr>
          <w:position w:val="-12"/>
          <w:sz w:val="20"/>
        </w:rPr>
        <w:t>test</w:t>
      </w:r>
      <w:r>
        <w:rPr>
          <w:sz w:val="20"/>
        </w:rPr>
        <w:t xml:space="preserve"> are the numbers of observations for each mean, (1-α) is the confidence level, ν = n</w:t>
      </w:r>
      <w:r>
        <w:rPr>
          <w:position w:val="-6"/>
          <w:sz w:val="20"/>
        </w:rPr>
        <w:t>ref</w:t>
      </w:r>
      <w:r>
        <w:rPr>
          <w:sz w:val="20"/>
        </w:rPr>
        <w:t>+n</w:t>
      </w:r>
      <w:r>
        <w:rPr>
          <w:position w:val="-6"/>
          <w:sz w:val="20"/>
        </w:rPr>
        <w:t>test</w:t>
      </w:r>
      <w:r>
        <w:rPr>
          <w:sz w:val="20"/>
        </w:rPr>
        <w:t>-2 is the number of degrees of freedom</w:t>
      </w:r>
      <w:r>
        <w:rPr>
          <w:position w:val="-6"/>
          <w:sz w:val="20"/>
        </w:rPr>
        <w:t xml:space="preserve">, </w:t>
      </w:r>
      <w:r>
        <w:rPr>
          <w:sz w:val="20"/>
        </w:rPr>
        <w:t>and s</w:t>
      </w:r>
      <w:r>
        <w:rPr>
          <w:position w:val="-6"/>
          <w:sz w:val="20"/>
        </w:rPr>
        <w:t>o</w:t>
      </w:r>
      <w:r>
        <w:rPr>
          <w:position w:val="6"/>
          <w:sz w:val="20"/>
        </w:rPr>
        <w:t>2</w:t>
      </w:r>
      <w:r>
        <w:rPr>
          <w:sz w:val="20"/>
        </w:rPr>
        <w:t xml:space="preserve"> is the pooled estimator of the common variance s</w:t>
      </w:r>
      <w:r>
        <w:rPr>
          <w:position w:val="6"/>
          <w:sz w:val="20"/>
        </w:rPr>
        <w:t>2</w:t>
      </w:r>
      <w:r>
        <w:rPr>
          <w:sz w:val="20"/>
        </w:rPr>
        <w:t xml:space="preserve"> given by: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)</m:t>
              </m:r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99%,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341</m:t>
        </m:r>
      </m:oMath>
      <w:r>
        <w:rPr>
          <w:sz w:val="20"/>
        </w:rPr>
        <w:t xml:space="preserve">, the test codec is not worse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≥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294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95%,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653</m:t>
        </m:r>
      </m:oMath>
      <w:r>
        <w:rPr>
          <w:sz w:val="20"/>
        </w:rPr>
        <w:t xml:space="preserve">, the test codec is not worse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≥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207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>G.722.1C passes all requirements for a 99% confidence interval as can be shown in table 13. It is also scored not worse than the reference codec MPEG AAC-LD for a 95% confidence interval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>Compared with the other reference codecs, G.722.1C is not worse than 3GPP enhanced aacPlus at the same bit rate for 24 and 32 kbps for a 95% confidence interval. G.722.1C is not worse than 3GPP extended AMRWB for a 99% confidence interval at 32kbps and worse for the other cases</w:t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13</w:t>
      </w:r>
      <w:r>
        <w:rPr>
          <w:sz w:val="20"/>
        </w:rPr>
        <w:t xml:space="preserve"> – Comparison with "not worse than" criterion for Experiment 2b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896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15"/>
        <w:gridCol w:w="1157"/>
        <w:gridCol w:w="1158"/>
        <w:gridCol w:w="1158"/>
        <w:gridCol w:w="1157"/>
        <w:gridCol w:w="1158"/>
        <w:gridCol w:w="1158"/>
      </w:tblGrid>
      <w:tr>
        <w:trPr>
          <w:trHeight w:val="247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Condition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 xml:space="preserve">Mean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Not worse than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At 99% CI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Not worse than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95% CI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2.63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2.60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2.66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4.22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4.27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3.32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3.37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3.43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4.42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4.29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4.28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4.17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4.22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4.66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4.37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4.41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64kbps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4.69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4.60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The comparisons are made between pairs of mean opinion scores Y</w:t>
      </w:r>
      <w:r>
        <w:rPr>
          <w:position w:val="-6"/>
          <w:sz w:val="20"/>
        </w:rPr>
        <w:t>ref</w:t>
      </w:r>
      <w:r>
        <w:rPr>
          <w:sz w:val="20"/>
        </w:rPr>
        <w:t>and Y</w:t>
      </w:r>
      <w:r>
        <w:rPr>
          <w:position w:val="-6"/>
          <w:sz w:val="20"/>
        </w:rPr>
        <w:t>test</w:t>
      </w:r>
      <w:r>
        <w:rPr>
          <w:sz w:val="20"/>
        </w:rPr>
        <w:t>, having standard deviations s</w:t>
      </w:r>
      <w:r>
        <w:rPr>
          <w:position w:val="-6"/>
          <w:sz w:val="20"/>
        </w:rPr>
        <w:t>ref</w:t>
      </w:r>
      <w:r>
        <w:rPr>
          <w:sz w:val="20"/>
        </w:rPr>
        <w:t xml:space="preserve"> and s</w:t>
      </w:r>
      <w:r>
        <w:rPr>
          <w:position w:val="-6"/>
          <w:sz w:val="20"/>
        </w:rPr>
        <w:t>test</w:t>
      </w:r>
      <w:r>
        <w:rPr>
          <w:sz w:val="20"/>
        </w:rPr>
        <w:t>.</w:t>
      </w:r>
    </w:p>
    <w:p>
      <w:pPr>
        <w:pStyle w:val="Normal"/>
        <w:rPr>
          <w:sz w:val="20"/>
        </w:rPr>
      </w:pPr>
      <w:r>
        <w:rPr>
          <w:sz w:val="20"/>
        </w:rPr>
        <w:t xml:space="preserve">Therefore, the test codec is better than the reference codec if: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ind w:left="1416" w:firstLine="70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test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ref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1-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)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ref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test</m:t>
                    </m:r>
                  </m:sub>
                </m:sSub>
              </m:den>
            </m:f>
          </m:e>
        </m:rad>
      </m:oMath>
      <w:r>
        <w:rPr/>
        <w:t xml:space="preserve"> </w:t>
      </w:r>
    </w:p>
    <w:p>
      <w:pPr>
        <w:pStyle w:val="Normal"/>
        <w:ind w:left="1416" w:firstLine="708"/>
        <w:rPr/>
      </w:pPr>
      <w:r>
        <w:rPr/>
      </w:r>
    </w:p>
    <w:p>
      <w:pPr>
        <w:pStyle w:val="Normal"/>
        <w:rPr/>
      </w:pPr>
      <w:r>
        <w:rPr>
          <w:sz w:val="20"/>
        </w:rPr>
        <w:t>where n</w:t>
      </w:r>
      <w:r>
        <w:rPr>
          <w:position w:val="-12"/>
          <w:sz w:val="20"/>
        </w:rPr>
        <w:t>ref</w:t>
      </w:r>
      <w:r>
        <w:rPr>
          <w:sz w:val="20"/>
        </w:rPr>
        <w:t xml:space="preserve"> and n</w:t>
      </w:r>
      <w:r>
        <w:rPr>
          <w:position w:val="-12"/>
          <w:sz w:val="20"/>
        </w:rPr>
        <w:t>test</w:t>
      </w:r>
      <w:r>
        <w:rPr>
          <w:sz w:val="20"/>
        </w:rPr>
        <w:t xml:space="preserve"> are the numbers of observations for each mean, (1-α) is the confidence level, ν = n</w:t>
      </w:r>
      <w:r>
        <w:rPr>
          <w:position w:val="-6"/>
          <w:sz w:val="20"/>
        </w:rPr>
        <w:t>ref</w:t>
      </w:r>
      <w:r>
        <w:rPr>
          <w:sz w:val="20"/>
        </w:rPr>
        <w:t>+n</w:t>
      </w:r>
      <w:r>
        <w:rPr>
          <w:position w:val="-6"/>
          <w:sz w:val="20"/>
        </w:rPr>
        <w:t>test</w:t>
      </w:r>
      <w:r>
        <w:rPr>
          <w:sz w:val="20"/>
        </w:rPr>
        <w:t>-2 is the number of degrees of freedom</w:t>
      </w:r>
      <w:r>
        <w:rPr>
          <w:position w:val="-6"/>
          <w:sz w:val="20"/>
        </w:rPr>
        <w:t xml:space="preserve">, </w:t>
      </w:r>
      <w:r>
        <w:rPr>
          <w:sz w:val="20"/>
        </w:rPr>
        <w:t>and s</w:t>
      </w:r>
      <w:r>
        <w:rPr>
          <w:position w:val="-6"/>
          <w:sz w:val="20"/>
        </w:rPr>
        <w:t>o</w:t>
      </w:r>
      <w:r>
        <w:rPr>
          <w:position w:val="6"/>
          <w:sz w:val="20"/>
        </w:rPr>
        <w:t>2</w:t>
      </w:r>
      <w:r>
        <w:rPr>
          <w:sz w:val="20"/>
        </w:rPr>
        <w:t xml:space="preserve"> is the pooled estimator of the common variance s</w:t>
      </w:r>
      <w:r>
        <w:rPr>
          <w:position w:val="6"/>
          <w:sz w:val="20"/>
        </w:rPr>
        <w:t>2</w:t>
      </w:r>
      <w:r>
        <w:rPr>
          <w:sz w:val="20"/>
        </w:rPr>
        <w:t xml:space="preserve"> given by: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)</m:t>
              </m:r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99%,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341</m:t>
        </m:r>
      </m:oMath>
      <w:r>
        <w:rPr>
          <w:sz w:val="20"/>
        </w:rPr>
        <w:t xml:space="preserve">, the test codec is better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&gt;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294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95%,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653</m:t>
        </m:r>
      </m:oMath>
      <w:r>
        <w:rPr>
          <w:sz w:val="20"/>
        </w:rPr>
        <w:t xml:space="preserve">, the test codec is better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&gt;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207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>In table 14, it is shown that G.722.1C is better than the reference codec MPEG AAC-LD for a 95% confidence interval at the same bit rate for 24kbps, 32 kbps and 48 kbps.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/>
      </w:pPr>
      <w:r>
        <w:rPr>
          <w:b/>
          <w:sz w:val="20"/>
        </w:rPr>
        <w:t>Table 14</w:t>
      </w:r>
      <w:r>
        <w:rPr>
          <w:sz w:val="20"/>
        </w:rPr>
        <w:t xml:space="preserve"> – Comparison with "better than" criterion for Experiment 2b</w:t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tbl>
      <w:tblPr>
        <w:tblW w:w="896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15"/>
        <w:gridCol w:w="1157"/>
        <w:gridCol w:w="1158"/>
        <w:gridCol w:w="1158"/>
        <w:gridCol w:w="1157"/>
        <w:gridCol w:w="1158"/>
        <w:gridCol w:w="1158"/>
      </w:tblGrid>
      <w:tr>
        <w:trPr>
          <w:trHeight w:val="247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Condition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 xml:space="preserve">Mean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Better than at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99% CI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Better than at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95% CI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2.63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3.02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2.95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4.57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4.07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3.32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4.42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4.28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4.46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4.66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4.63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64kbps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4.69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4.77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</w:tbl>
    <w:p>
      <w:pPr>
        <w:pStyle w:val="Normal"/>
        <w:jc w:val="center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Headingb"/>
        <w:rPr/>
      </w:pPr>
      <w:r>
        <w:rPr/>
        <w:t>Experiment 2c:</w:t>
      </w:r>
    </w:p>
    <w:p>
      <w:pPr>
        <w:pStyle w:val="Normal"/>
        <w:rPr>
          <w:sz w:val="20"/>
        </w:rPr>
      </w:pPr>
      <w:r>
        <w:rPr>
          <w:sz w:val="20"/>
        </w:rPr>
        <w:t>The results of Experiment 2c are in table 15</w:t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15</w:t>
      </w:r>
      <w:r>
        <w:rPr>
          <w:sz w:val="20"/>
        </w:rPr>
        <w:t xml:space="preserve"> – Mos scores for Experiment 2c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1000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77"/>
        <w:gridCol w:w="1404"/>
        <w:gridCol w:w="1404"/>
        <w:gridCol w:w="1404"/>
        <w:gridCol w:w="1404"/>
        <w:gridCol w:w="1404"/>
        <w:gridCol w:w="1404"/>
      </w:tblGrid>
      <w:tr>
        <w:trPr>
          <w:trHeight w:val="247" w:hRule="atLeast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</w:rPr>
            </w:pPr>
            <w:r>
              <w:rPr>
                <w:rFonts w:eastAsia="Tms Rmn" w:cs="Tms Rmn" w:ascii="Tms Rmn" w:hAnsi="Tms Rmn"/>
                <w:color w:val="000000"/>
                <w:sz w:val="20"/>
                <w:lang w:eastAsia="ja-JP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MOS score on male speakers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 male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MOS score on female speakers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 female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Averaged 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 xml:space="preserve">MOS score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SD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4.52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4.66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0.48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4.45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4.34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4.51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0.66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4.43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3.97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0.93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2.81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3.07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2.94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1.75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0.68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1.90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0.32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1.25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0.52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3.64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1.12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3.92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2.41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2.73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1.24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2.57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4.25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3.60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0.99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3.92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0.95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4.22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3.60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1.01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0.95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0.96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4.27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0.92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4.25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</w:tr>
      <w:tr>
        <w:trPr>
          <w:trHeight w:val="247" w:hRule="atLeast"/>
        </w:trPr>
        <w:tc>
          <w:tcPr>
            <w:tcW w:w="15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ascii="Tms Rmn" w:hAnsi="Tms Rmn" w:eastAsia="SimSun;宋体" w:cs="Tms Rmn"/>
                <w:color w:val="000000"/>
                <w:sz w:val="20"/>
                <w:lang w:val="fr-FR" w:eastAsia="ja-JP"/>
              </w:rPr>
            </w:pPr>
            <w:r>
              <w:rPr>
                <w:rFonts w:eastAsia="SimSun;宋体" w:cs="Tms Rmn" w:ascii="Tms Rmn" w:hAnsi="Tms Rmn"/>
                <w:color w:val="000000"/>
                <w:sz w:val="20"/>
                <w:lang w:val="fr-FR" w:eastAsia="ja-JP"/>
              </w:rPr>
              <w:t>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0.74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229225" cy="34766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238750" cy="348615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248275" cy="34956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b"/>
        <w:rPr/>
      </w:pPr>
      <w:r>
        <w:rPr/>
        <w:t>Verification of requirements for experiment 2c: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16</w:t>
      </w:r>
      <w:r>
        <w:rPr>
          <w:sz w:val="20"/>
        </w:rPr>
        <w:t xml:space="preserve"> – Requirements for Experiment 2c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103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6"/>
        <w:gridCol w:w="5155"/>
      </w:tblGrid>
      <w:tr>
        <w:trPr>
          <w:cantSplit w:val="true"/>
        </w:trPr>
        <w:tc>
          <w:tcPr>
            <w:tcW w:w="5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Quality with Reverberant Speech + interfering talker noise (SNR 15 dB) </w:t>
            </w:r>
          </w:p>
        </w:tc>
        <w:tc>
          <w:tcPr>
            <w:tcW w:w="5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1) at 24 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24 kbit/s ( 99% confidence level)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2) at 32kbit/s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32 kbit/s ( 99% confidence level)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3) at 48 kbit/s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worse than AAC-LD at 48 kbit/s ( 99% confidence level)</w:t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/>
      </w:pPr>
      <w:r>
        <w:rPr>
          <w:sz w:val="20"/>
        </w:rPr>
        <w:t>The comparisons are made between pairs of mean opinion scores Y</w:t>
      </w:r>
      <w:r>
        <w:rPr>
          <w:position w:val="-6"/>
          <w:sz w:val="20"/>
        </w:rPr>
        <w:t>ref</w:t>
      </w:r>
      <w:r>
        <w:rPr>
          <w:sz w:val="20"/>
        </w:rPr>
        <w:t>and Y</w:t>
      </w:r>
      <w:r>
        <w:rPr>
          <w:position w:val="-6"/>
          <w:sz w:val="20"/>
        </w:rPr>
        <w:t>test</w:t>
      </w:r>
      <w:r>
        <w:rPr>
          <w:sz w:val="20"/>
        </w:rPr>
        <w:t>, having standard deviations s</w:t>
      </w:r>
      <w:r>
        <w:rPr>
          <w:position w:val="-6"/>
          <w:sz w:val="20"/>
        </w:rPr>
        <w:t>ref</w:t>
      </w:r>
      <w:r>
        <w:rPr>
          <w:sz w:val="20"/>
        </w:rPr>
        <w:t xml:space="preserve"> and s</w:t>
      </w:r>
      <w:r>
        <w:rPr>
          <w:position w:val="-6"/>
          <w:sz w:val="20"/>
        </w:rPr>
        <w:t>test</w:t>
      </w:r>
      <w:r>
        <w:rPr>
          <w:sz w:val="20"/>
        </w:rPr>
        <w:t>.</w:t>
      </w:r>
    </w:p>
    <w:p>
      <w:pPr>
        <w:pStyle w:val="Normal"/>
        <w:rPr>
          <w:sz w:val="20"/>
        </w:rPr>
      </w:pPr>
      <w:r>
        <w:rPr>
          <w:sz w:val="20"/>
        </w:rPr>
        <w:t xml:space="preserve">Therefore, the test codec is not worse than the reference codec if: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ind w:left="1416" w:firstLine="70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test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ref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-t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1-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)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ref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test</m:t>
                    </m:r>
                  </m:sub>
                </m:sSub>
              </m:den>
            </m:f>
          </m:e>
        </m:rad>
      </m:oMath>
      <w:r>
        <w:rPr/>
        <w:t xml:space="preserve"> </w:t>
      </w:r>
    </w:p>
    <w:p>
      <w:pPr>
        <w:pStyle w:val="Normal"/>
        <w:ind w:left="1416" w:firstLine="708"/>
        <w:rPr/>
      </w:pPr>
      <w:r>
        <w:rPr/>
      </w:r>
    </w:p>
    <w:p>
      <w:pPr>
        <w:pStyle w:val="Normal"/>
        <w:rPr/>
      </w:pPr>
      <w:r>
        <w:rPr>
          <w:sz w:val="20"/>
        </w:rPr>
        <w:t>where n</w:t>
      </w:r>
      <w:r>
        <w:rPr>
          <w:position w:val="-12"/>
          <w:sz w:val="20"/>
        </w:rPr>
        <w:t>ref</w:t>
      </w:r>
      <w:r>
        <w:rPr>
          <w:sz w:val="20"/>
        </w:rPr>
        <w:t xml:space="preserve"> and n</w:t>
      </w:r>
      <w:r>
        <w:rPr>
          <w:position w:val="-12"/>
          <w:sz w:val="20"/>
        </w:rPr>
        <w:t>test</w:t>
      </w:r>
      <w:r>
        <w:rPr>
          <w:sz w:val="20"/>
        </w:rPr>
        <w:t xml:space="preserve"> are the numbers of observations for each mean, (1-α) is the confidence level, ν = n</w:t>
      </w:r>
      <w:r>
        <w:rPr>
          <w:position w:val="-6"/>
          <w:sz w:val="20"/>
        </w:rPr>
        <w:t>ref</w:t>
      </w:r>
      <w:r>
        <w:rPr>
          <w:sz w:val="20"/>
        </w:rPr>
        <w:t>+n</w:t>
      </w:r>
      <w:r>
        <w:rPr>
          <w:position w:val="-6"/>
          <w:sz w:val="20"/>
        </w:rPr>
        <w:t>test</w:t>
      </w:r>
      <w:r>
        <w:rPr>
          <w:sz w:val="20"/>
        </w:rPr>
        <w:t>-2 is the number of degrees of freedom</w:t>
      </w:r>
      <w:r>
        <w:rPr>
          <w:position w:val="-6"/>
          <w:sz w:val="20"/>
        </w:rPr>
        <w:t xml:space="preserve">, </w:t>
      </w:r>
      <w:r>
        <w:rPr>
          <w:sz w:val="20"/>
        </w:rPr>
        <w:t>and s</w:t>
      </w:r>
      <w:r>
        <w:rPr>
          <w:position w:val="-6"/>
          <w:sz w:val="20"/>
        </w:rPr>
        <w:t>o</w:t>
      </w:r>
      <w:r>
        <w:rPr>
          <w:position w:val="6"/>
          <w:sz w:val="20"/>
        </w:rPr>
        <w:t>2</w:t>
      </w:r>
      <w:r>
        <w:rPr>
          <w:sz w:val="20"/>
        </w:rPr>
        <w:t xml:space="preserve"> is the pooled estimator of the common variance s</w:t>
      </w:r>
      <w:r>
        <w:rPr>
          <w:position w:val="6"/>
          <w:sz w:val="20"/>
        </w:rPr>
        <w:t>2</w:t>
      </w:r>
      <w:r>
        <w:rPr>
          <w:sz w:val="20"/>
        </w:rPr>
        <w:t xml:space="preserve"> given by: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)</m:t>
              </m:r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99%,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341</m:t>
        </m:r>
      </m:oMath>
      <w:r>
        <w:rPr>
          <w:sz w:val="20"/>
        </w:rPr>
        <w:t xml:space="preserve">, the test codec is not worse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≥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294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95%,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653</m:t>
        </m:r>
      </m:oMath>
      <w:r>
        <w:rPr>
          <w:sz w:val="20"/>
        </w:rPr>
        <w:t xml:space="preserve">, the test codec is not worse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≥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207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>G.722.1C passes all requirements for a 99% confidence interval as can be shown in table 17. It is also scored not worse than the reference codec MPEG AAC-LD for a 95% confidence interval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>Compared with the other reference codecs, G.722.1C is not worse than 3GPP enhanced aacPlus for a 95% confidence interval. G.722.1C is not worse than 3GPP extended AMRWB for a 99% confidence interval at the bit rate of 32kbps and worse for the other cases</w:t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b/>
          <w:sz w:val="20"/>
        </w:rPr>
        <w:t>Table 17</w:t>
      </w:r>
      <w:r>
        <w:rPr>
          <w:sz w:val="20"/>
        </w:rPr>
        <w:t xml:space="preserve"> – Comparison with "not worse than" criterion for Experiment 2c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896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15"/>
        <w:gridCol w:w="1157"/>
        <w:gridCol w:w="1158"/>
        <w:gridCol w:w="1158"/>
        <w:gridCol w:w="1157"/>
        <w:gridCol w:w="1158"/>
        <w:gridCol w:w="1158"/>
      </w:tblGrid>
      <w:tr>
        <w:trPr>
          <w:trHeight w:val="247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Condition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 xml:space="preserve">Mean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Not worse than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At 99% CI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Not worse than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95% CI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2.57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2.40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3.97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4.03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3.54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3.61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3.15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3.21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3.98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4.04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3.97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4.03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4.15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4.20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64kbps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4.42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4.25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4.30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The comparisons are made between pairs of mean opinion scores Y</w:t>
      </w:r>
      <w:r>
        <w:rPr>
          <w:position w:val="-6"/>
          <w:sz w:val="20"/>
        </w:rPr>
        <w:t>ref</w:t>
      </w:r>
      <w:r>
        <w:rPr>
          <w:sz w:val="20"/>
        </w:rPr>
        <w:t>and Y</w:t>
      </w:r>
      <w:r>
        <w:rPr>
          <w:position w:val="-6"/>
          <w:sz w:val="20"/>
        </w:rPr>
        <w:t>test</w:t>
      </w:r>
      <w:r>
        <w:rPr>
          <w:sz w:val="20"/>
        </w:rPr>
        <w:t>, having standard deviations s</w:t>
      </w:r>
      <w:r>
        <w:rPr>
          <w:position w:val="-6"/>
          <w:sz w:val="20"/>
        </w:rPr>
        <w:t>ref</w:t>
      </w:r>
      <w:r>
        <w:rPr>
          <w:sz w:val="20"/>
        </w:rPr>
        <w:t xml:space="preserve"> and s</w:t>
      </w:r>
      <w:r>
        <w:rPr>
          <w:position w:val="-6"/>
          <w:sz w:val="20"/>
        </w:rPr>
        <w:t>test</w:t>
      </w:r>
      <w:r>
        <w:rPr>
          <w:sz w:val="20"/>
        </w:rPr>
        <w:t>.</w:t>
      </w:r>
    </w:p>
    <w:p>
      <w:pPr>
        <w:pStyle w:val="Normal"/>
        <w:rPr>
          <w:sz w:val="20"/>
        </w:rPr>
      </w:pPr>
      <w:r>
        <w:rPr>
          <w:sz w:val="20"/>
        </w:rPr>
        <w:t xml:space="preserve">Therefore, the test codec is better than the reference codec if: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ind w:left="1416" w:firstLine="70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test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ref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1-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)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ref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test</m:t>
                    </m:r>
                  </m:sub>
                </m:sSub>
              </m:den>
            </m:f>
          </m:e>
        </m:rad>
      </m:oMath>
      <w:r>
        <w:rPr/>
        <w:t xml:space="preserve"> </w:t>
      </w:r>
    </w:p>
    <w:p>
      <w:pPr>
        <w:pStyle w:val="Normal"/>
        <w:ind w:left="1416" w:firstLine="708"/>
        <w:rPr/>
      </w:pPr>
      <w:r>
        <w:rPr/>
      </w:r>
    </w:p>
    <w:p>
      <w:pPr>
        <w:pStyle w:val="Normal"/>
        <w:rPr/>
      </w:pPr>
      <w:r>
        <w:rPr>
          <w:sz w:val="20"/>
        </w:rPr>
        <w:t>Where  n</w:t>
      </w:r>
      <w:r>
        <w:rPr>
          <w:position w:val="-12"/>
          <w:sz w:val="20"/>
        </w:rPr>
        <w:t>ref</w:t>
      </w:r>
      <w:r>
        <w:rPr>
          <w:sz w:val="20"/>
        </w:rPr>
        <w:t xml:space="preserve"> and n</w:t>
      </w:r>
      <w:r>
        <w:rPr>
          <w:position w:val="-12"/>
          <w:sz w:val="20"/>
        </w:rPr>
        <w:t>test</w:t>
      </w:r>
      <w:r>
        <w:rPr>
          <w:sz w:val="20"/>
        </w:rPr>
        <w:t xml:space="preserve"> are the numbers of observations for each mean, (1-α) is the confidence level, ν = n</w:t>
      </w:r>
      <w:r>
        <w:rPr>
          <w:position w:val="-6"/>
          <w:sz w:val="20"/>
        </w:rPr>
        <w:t>ref</w:t>
      </w:r>
      <w:r>
        <w:rPr>
          <w:sz w:val="20"/>
        </w:rPr>
        <w:t>+n</w:t>
      </w:r>
      <w:r>
        <w:rPr>
          <w:position w:val="-6"/>
          <w:sz w:val="20"/>
        </w:rPr>
        <w:t>test</w:t>
      </w:r>
      <w:r>
        <w:rPr>
          <w:sz w:val="20"/>
        </w:rPr>
        <w:t>-2 is the number of degrees of freedom</w:t>
      </w:r>
      <w:r>
        <w:rPr>
          <w:position w:val="-6"/>
          <w:sz w:val="20"/>
        </w:rPr>
        <w:t xml:space="preserve">, </w:t>
      </w:r>
      <w:r>
        <w:rPr>
          <w:sz w:val="20"/>
        </w:rPr>
        <w:t>and s</w:t>
      </w:r>
      <w:r>
        <w:rPr>
          <w:position w:val="-6"/>
          <w:sz w:val="20"/>
        </w:rPr>
        <w:t>o</w:t>
      </w:r>
      <w:r>
        <w:rPr>
          <w:position w:val="6"/>
          <w:sz w:val="20"/>
        </w:rPr>
        <w:t>2</w:t>
      </w:r>
      <w:r>
        <w:rPr>
          <w:sz w:val="20"/>
        </w:rPr>
        <w:t xml:space="preserve"> is the pooled estimator of the common variance s</w:t>
      </w:r>
      <w:r>
        <w:rPr>
          <w:position w:val="6"/>
          <w:sz w:val="20"/>
        </w:rPr>
        <w:t>2</w:t>
      </w:r>
      <w:r>
        <w:rPr>
          <w:sz w:val="20"/>
        </w:rPr>
        <w:t xml:space="preserve"> given by: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ref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test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)</m:t>
              </m:r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99%,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341</m:t>
        </m:r>
      </m:oMath>
      <w:r>
        <w:rPr>
          <w:sz w:val="20"/>
        </w:rPr>
        <w:t xml:space="preserve">, the test codec is better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&gt;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294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For a confidence level of 95%, </w:t>
      </w:r>
      <w:r>
        <w:rPr>
          <w:sz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254</m:t>
            </m:r>
            <m:r>
              <w:rPr>
                <w:rFonts w:ascii="Cambria Math" w:hAnsi="Cambria Math"/>
              </w:rPr>
              <m:t xml:space="preserve">)</m:t>
            </m:r>
          </m:sub>
        </m:sSub>
        <m:r>
          <w:rPr>
            <w:rFonts w:ascii="Cambria Math" w:hAnsi="Cambria Math"/>
          </w:rPr>
          <m:t xml:space="preserve">≃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653</m:t>
        </m:r>
      </m:oMath>
      <w:r>
        <w:rPr>
          <w:sz w:val="20"/>
        </w:rPr>
        <w:t xml:space="preserve">, the test codec is better than the reference codec if: :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test</m:t>
              </m:r>
            </m:sub>
          </m:sSub>
          <m:r>
            <w:rPr>
              <w:rFonts w:ascii="Cambria Math" w:hAnsi="Cambria Math"/>
            </w:rPr>
            <m:t xml:space="preserve">&gt;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ref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207</m:t>
          </m:r>
          <m:r>
            <w:rPr>
              <w:rFonts w:ascii="Cambria Math" w:hAnsi="Cambria Math"/>
            </w:rPr>
            <m:t xml:space="preserve"></m:t>
          </m:r>
          <m:rad>
            <m:radPr>
              <m:degHide m:val="1"/>
            </m:radPr>
            <m:deg/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sSub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+s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test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ra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>
          <w:sz w:val="20"/>
        </w:rPr>
        <w:t>In table 18, it is shown that G.722.1C is better than the reference codec MPEG AAC-LD for a 95% confidence interval at the same bit rate for 24kbps and 32 kbps.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0"/>
        </w:rPr>
        <w:t>Table 18</w:t>
      </w:r>
      <w:r>
        <w:rPr>
          <w:sz w:val="20"/>
        </w:rPr>
        <w:t xml:space="preserve"> – Comparison with "better than" criterion for Experiment 2c</w:t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tbl>
      <w:tblPr>
        <w:tblW w:w="8961" w:type="dxa"/>
        <w:jc w:val="left"/>
        <w:tblInd w:w="-3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15"/>
        <w:gridCol w:w="1157"/>
        <w:gridCol w:w="1158"/>
        <w:gridCol w:w="1158"/>
        <w:gridCol w:w="1157"/>
        <w:gridCol w:w="1158"/>
        <w:gridCol w:w="1158"/>
      </w:tblGrid>
      <w:tr>
        <w:trPr>
          <w:trHeight w:val="247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Condition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 xml:space="preserve">Mean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Better than at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99% CI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eastAsia="ja-JP"/>
              </w:rPr>
            </w:pPr>
            <w:r>
              <w:rPr>
                <w:rFonts w:eastAsia="SimSun;宋体"/>
                <w:color w:val="000000"/>
                <w:sz w:val="20"/>
                <w:lang w:eastAsia="ja-JP"/>
              </w:rPr>
              <w:t>Better than at</w:t>
            </w:r>
          </w:p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95% CI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napToGrid w:val="fals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2.57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1.21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2.81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2.74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4.37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4.31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24kbps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3.76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3.98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3.91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1.09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3.56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3.50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AMRWB+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4.17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4.30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AacPlus at 32kbps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4.16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4.29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Cut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48kbps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4.32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4.49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4.44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>
        <w:trPr>
          <w:trHeight w:val="247" w:hRule="atLeast"/>
        </w:trPr>
        <w:tc>
          <w:tcPr>
            <w:tcW w:w="20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 w:val="true"/>
              <w:spacing w:before="0" w:after="0"/>
              <w:jc w:val="center"/>
              <w:textAlignment w:val="auto"/>
              <w:rPr>
                <w:rFonts w:eastAsia="SimSun;宋体"/>
                <w:color w:val="000000"/>
                <w:sz w:val="20"/>
                <w:lang w:val="fr-FR" w:eastAsia="ja-JP"/>
              </w:rPr>
            </w:pPr>
            <w:r>
              <w:rPr>
                <w:rFonts w:eastAsia="SimSun;宋体"/>
                <w:color w:val="000000"/>
                <w:sz w:val="20"/>
                <w:lang w:val="fr-FR" w:eastAsia="ja-JP"/>
              </w:rPr>
              <w:t>AAC-LD at 64kbps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4.42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4.59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before="120" w:after="0"/>
              <w:jc w:val="right"/>
              <w:rPr/>
            </w:pPr>
            <w:r>
              <w:rPr>
                <w:sz w:val="20"/>
              </w:rPr>
              <w:t>4.54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</w:tbl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1906" w:h="16838"/>
      <w:pgMar w:left="1134" w:right="1134" w:gutter="0" w:header="568" w:top="824" w:footer="354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 Bold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Tms Rmn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characterisation test results : experiments 1 and 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rPr>
        <w:lang w:val="en-US" w:eastAsia="en-US"/>
      </w:rPr>
    </w:pPr>
    <w:r>
      <w:rPr>
        <w:lang w:val="en-US" w:eastAsia="en-US"/>
      </w:rPr>
    </w:r>
  </w:p>
  <w:tbl>
    <w:tblPr>
      <w:tblW w:w="9980" w:type="dxa"/>
      <w:jc w:val="left"/>
      <w:tblInd w:w="-72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617"/>
      <w:gridCol w:w="4181"/>
      <w:gridCol w:w="4182"/>
    </w:tblGrid>
    <w:tr>
      <w:trPr>
        <w:trHeight w:val="357" w:hRule="atLeast"/>
        <w:cantSplit w:val="true"/>
      </w:trPr>
      <w:tc>
        <w:tcPr>
          <w:tcW w:w="16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spacing w:before="120" w:after="0"/>
            <w:rPr>
              <w:b/>
              <w:b/>
              <w:bCs/>
            </w:rPr>
          </w:pPr>
          <w:r>
            <w:rPr>
              <w:b/>
              <w:bCs/>
            </w:rPr>
            <w:t>Contact:</w:t>
          </w:r>
        </w:p>
      </w:tc>
      <w:tc>
        <w:tcPr>
          <w:tcW w:w="4181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spacing w:before="120" w:after="0"/>
            <w:rPr>
              <w:sz w:val="22"/>
            </w:rPr>
          </w:pPr>
          <w:r>
            <w:rPr>
              <w:sz w:val="22"/>
            </w:rPr>
            <w:t>Lamblin Claude</w:t>
          </w:r>
        </w:p>
        <w:p>
          <w:pPr>
            <w:pStyle w:val="Normal"/>
            <w:spacing w:before="0" w:after="0"/>
            <w:rPr>
              <w:sz w:val="22"/>
            </w:rPr>
          </w:pPr>
          <w:r>
            <w:rPr>
              <w:sz w:val="22"/>
            </w:rPr>
            <w:t>France Telecom</w:t>
          </w:r>
        </w:p>
        <w:p>
          <w:pPr>
            <w:pStyle w:val="Normal"/>
            <w:spacing w:before="0" w:after="0"/>
            <w:rPr>
              <w:sz w:val="22"/>
            </w:rPr>
          </w:pPr>
          <w:r>
            <w:rPr>
              <w:sz w:val="22"/>
            </w:rPr>
            <w:t>France</w:t>
          </w:r>
        </w:p>
      </w:tc>
      <w:tc>
        <w:tcPr>
          <w:tcW w:w="4182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</w:tcPr>
        <w:p>
          <w:pPr>
            <w:pStyle w:val="Normal"/>
            <w:spacing w:before="120" w:after="0"/>
            <w:rPr>
              <w:sz w:val="22"/>
            </w:rPr>
          </w:pPr>
          <w:r>
            <w:rPr>
              <w:sz w:val="22"/>
            </w:rPr>
            <w:t>Tel: +33 2 96 05 13 03</w:t>
          </w:r>
        </w:p>
        <w:p>
          <w:pPr>
            <w:pStyle w:val="Normal"/>
            <w:spacing w:before="0" w:after="0"/>
            <w:rPr>
              <w:sz w:val="22"/>
            </w:rPr>
          </w:pPr>
          <w:r>
            <w:rPr>
              <w:sz w:val="22"/>
            </w:rPr>
            <w:t>Fax: +33 2 96 05 3530</w:t>
          </w:r>
        </w:p>
        <w:p>
          <w:pPr>
            <w:pStyle w:val="Normal"/>
            <w:spacing w:before="0" w:after="0"/>
            <w:rPr>
              <w:sz w:val="22"/>
            </w:rPr>
          </w:pPr>
          <w:r>
            <w:rPr>
              <w:sz w:val="22"/>
            </w:rPr>
            <w:t>Email:</w:t>
          </w:r>
          <w:r>
            <w:rPr>
              <w:sz w:val="22"/>
              <w:szCs w:val="18"/>
            </w:rPr>
            <w:t xml:space="preserve"> </w:t>
          </w:r>
          <w:hyperlink r:id="rId1">
            <w:r>
              <w:rPr>
                <w:rStyle w:val="InternetLink"/>
                <w:sz w:val="22"/>
              </w:rPr>
              <w:t>claude.lamblin@rd.francetelec</w:t>
            </w:r>
            <w:r>
              <w:rPr>
                <w:rStyle w:val="InternetLink"/>
                <w:sz w:val="22"/>
              </w:rPr>
              <w:t>om.com</w:t>
            </w:r>
          </w:hyperlink>
        </w:p>
      </w:tc>
    </w:tr>
    <w:tr>
      <w:trPr>
        <w:trHeight w:val="357" w:hRule="atLeast"/>
        <w:cantSplit w:val="true"/>
      </w:trPr>
      <w:tc>
        <w:tcPr>
          <w:tcW w:w="1617" w:type="dxa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Normal"/>
            <w:spacing w:before="120" w:after="0"/>
            <w:rPr>
              <w:b/>
              <w:b/>
              <w:bCs/>
            </w:rPr>
          </w:pPr>
          <w:r>
            <w:rPr>
              <w:b/>
              <w:bCs/>
            </w:rPr>
            <w:t>Contact:</w:t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  <w:tc>
        <w:tcPr>
          <w:tcW w:w="4181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Normal"/>
            <w:widowControl/>
            <w:overflowPunct w:val="false"/>
            <w:autoSpaceDE w:val="false"/>
            <w:bidi w:val="0"/>
            <w:spacing w:before="120" w:after="0"/>
            <w:textAlignment w:val="baseline"/>
            <w:rPr/>
          </w:pPr>
          <w:r>
            <w:rPr/>
            <w:t>&lt;Name&gt;</w:t>
          </w:r>
        </w:p>
        <w:p>
          <w:pPr>
            <w:pStyle w:val="Normal"/>
            <w:spacing w:before="0" w:after="0"/>
            <w:rPr/>
          </w:pPr>
          <w:r>
            <w:rPr/>
            <w:t>&lt;Organization&gt;</w:t>
          </w:r>
        </w:p>
        <w:p>
          <w:pPr>
            <w:pStyle w:val="Normal"/>
            <w:spacing w:before="0" w:after="0"/>
            <w:rPr/>
          </w:pPr>
          <w:r>
            <w:rPr/>
            <w:t>&lt;Country&gt;</w:t>
          </w:r>
        </w:p>
      </w:tc>
      <w:tc>
        <w:tcPr>
          <w:tcW w:w="4182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widowControl/>
            <w:overflowPunct w:val="false"/>
            <w:autoSpaceDE w:val="false"/>
            <w:bidi w:val="0"/>
            <w:spacing w:before="120" w:after="0"/>
            <w:textAlignment w:val="baseline"/>
            <w:rPr/>
          </w:pPr>
          <w:r>
            <w:rPr/>
            <w:t>Tel:</w:t>
          </w:r>
        </w:p>
        <w:p>
          <w:pPr>
            <w:pStyle w:val="Normal"/>
            <w:spacing w:before="0" w:after="0"/>
            <w:rPr/>
          </w:pPr>
          <w:r>
            <w:rPr/>
            <w:t>Fax:</w:t>
          </w:r>
        </w:p>
        <w:p>
          <w:pPr>
            <w:pStyle w:val="Normal"/>
            <w:spacing w:before="0" w:after="0"/>
            <w:rPr/>
          </w:pPr>
          <w:r>
            <w:rPr/>
            <w:t>Email:</w:t>
          </w:r>
        </w:p>
      </w:tc>
    </w:tr>
  </w:tbl>
  <w:p>
    <w:pPr>
      <w:pStyle w:val="Footer"/>
      <w:rPr>
        <w:lang w:val="en-US" w:eastAsia="en-US"/>
      </w:rPr>
    </w:pPr>
    <w:r>
      <w:rPr>
        <w:lang w:val="en-US" w:eastAsia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20"/>
      <w:jc w:val="center"/>
      <w:rPr/>
    </w:pPr>
    <w:r>
      <w:rPr/>
      <w:t xml:space="preserve">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26</w:t>
    </w:r>
    <w:r>
      <w:rPr/>
      <w:fldChar w:fldCharType="end"/>
    </w:r>
    <w:r>
      <w:rPr/>
      <w:t xml:space="preserve"> -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80" w:type="dxa"/>
      <w:jc w:val="left"/>
      <w:tblInd w:w="-72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617"/>
      <w:gridCol w:w="3260"/>
      <w:gridCol w:w="5103"/>
    </w:tblGrid>
    <w:tr>
      <w:trPr>
        <w:cantSplit w:val="true"/>
      </w:trPr>
      <w:tc>
        <w:tcPr>
          <w:tcW w:w="4877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spacing w:before="120" w:after="0"/>
            <w:rPr>
              <w:sz w:val="20"/>
            </w:rPr>
          </w:pPr>
          <w:r>
            <w:rPr>
              <w:sz w:val="20"/>
            </w:rPr>
            <w:t>INTERNATIONAL TELECOMMUNICATION UNION</w:t>
          </w:r>
        </w:p>
      </w:tc>
      <w:tc>
        <w:tcPr>
          <w:tcW w:w="510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</w:tcPr>
        <w:p>
          <w:pPr>
            <w:pStyle w:val="Normal"/>
            <w:spacing w:before="120" w:after="0"/>
            <w:jc w:val="right"/>
            <w:rPr>
              <w:b/>
              <w:b/>
              <w:bCs/>
              <w:sz w:val="32"/>
            </w:rPr>
          </w:pPr>
          <w:r>
            <w:rPr>
              <w:b/>
              <w:bCs/>
              <w:sz w:val="32"/>
            </w:rPr>
            <w:t>ITU-T WP3/16</w:t>
          </w:r>
        </w:p>
      </w:tc>
    </w:tr>
    <w:tr>
      <w:trPr>
        <w:trHeight w:val="461" w:hRule="atLeast"/>
        <w:cantSplit w:val="true"/>
      </w:trPr>
      <w:tc>
        <w:tcPr>
          <w:tcW w:w="4877" w:type="dxa"/>
          <w:gridSpan w:val="2"/>
          <w:vMerge w:val="restart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spacing w:before="120" w:after="0"/>
            <w:rPr>
              <w:b/>
              <w:b/>
              <w:bCs/>
              <w:sz w:val="26"/>
            </w:rPr>
          </w:pPr>
          <w:r>
            <w:rPr>
              <w:b/>
              <w:bCs/>
              <w:sz w:val="26"/>
            </w:rPr>
            <w:t>TELECOMMUNICATION</w:t>
            <w:br/>
            <w:t>STANDARDIZATION SECTOR</w:t>
          </w:r>
        </w:p>
        <w:p>
          <w:pPr>
            <w:pStyle w:val="Normal"/>
            <w:rPr>
              <w:smallCaps/>
              <w:sz w:val="20"/>
            </w:rPr>
          </w:pPr>
          <w:r>
            <w:rPr>
              <w:sz w:val="20"/>
            </w:rPr>
            <w:t>STUDY PERIOD 2005-2008</w:t>
          </w:r>
        </w:p>
      </w:tc>
      <w:tc>
        <w:tcPr>
          <w:tcW w:w="510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</w:tcPr>
        <w:p>
          <w:pPr>
            <w:pStyle w:val="RecNo"/>
            <w:keepLines w:val="false"/>
            <w:spacing w:before="120" w:after="0"/>
            <w:jc w:val="right"/>
            <w:rPr>
              <w:bCs/>
            </w:rPr>
          </w:pPr>
          <w:r>
            <w:rPr>
              <w:bCs/>
            </w:rPr>
            <w:tab/>
            <w:tab/>
            <w:tab/>
            <w:t xml:space="preserve">Document </w:t>
          </w:r>
          <w:r>
            <w:rPr>
              <w:bCs/>
              <w:lang w:val="fr-FR"/>
            </w:rPr>
            <w:t>AC-05-29</w:t>
          </w:r>
        </w:p>
      </w:tc>
    </w:tr>
    <w:tr>
      <w:trPr>
        <w:trHeight w:val="355" w:hRule="atLeast"/>
        <w:cantSplit w:val="true"/>
      </w:trPr>
      <w:tc>
        <w:tcPr>
          <w:tcW w:w="4877" w:type="dxa"/>
          <w:gridSpan w:val="2"/>
          <w:vMerge w:val="continue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snapToGrid w:val="false"/>
            <w:spacing w:before="120" w:after="0"/>
            <w:rPr>
              <w:b/>
              <w:b/>
              <w:bCs/>
              <w:sz w:val="26"/>
            </w:rPr>
          </w:pPr>
          <w:r>
            <w:rPr>
              <w:b/>
              <w:bCs/>
              <w:sz w:val="26"/>
            </w:rPr>
          </w:r>
        </w:p>
      </w:tc>
      <w:tc>
        <w:tcPr>
          <w:tcW w:w="510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</w:tcPr>
        <w:p>
          <w:pPr>
            <w:pStyle w:val="Normal"/>
            <w:spacing w:before="120" w:after="0"/>
            <w:jc w:val="right"/>
            <w:rPr>
              <w:b/>
              <w:b/>
              <w:bCs/>
              <w:sz w:val="28"/>
            </w:rPr>
          </w:pPr>
          <w:r>
            <w:rPr>
              <w:b/>
              <w:bCs/>
              <w:sz w:val="28"/>
            </w:rPr>
            <w:t>English only</w:t>
          </w:r>
        </w:p>
        <w:p>
          <w:pPr>
            <w:pStyle w:val="Normal"/>
            <w:jc w:val="right"/>
            <w:rPr>
              <w:b/>
              <w:b/>
              <w:bCs/>
              <w:sz w:val="28"/>
            </w:rPr>
          </w:pPr>
          <w:r>
            <w:rPr>
              <w:b/>
              <w:bCs/>
              <w:sz w:val="28"/>
            </w:rPr>
          </w:r>
        </w:p>
      </w:tc>
    </w:tr>
    <w:tr>
      <w:trPr>
        <w:trHeight w:val="357" w:hRule="atLeast"/>
        <w:cantSplit w:val="true"/>
      </w:trPr>
      <w:tc>
        <w:tcPr>
          <w:tcW w:w="4877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</w:tcPr>
        <w:p>
          <w:pPr>
            <w:pStyle w:val="Headingb"/>
            <w:snapToGrid w:val="false"/>
            <w:spacing w:before="120" w:after="0"/>
            <w:rPr>
              <w:b/>
              <w:b/>
              <w:bCs/>
              <w:sz w:val="28"/>
            </w:rPr>
          </w:pPr>
          <w:r>
            <w:rPr>
              <w:b/>
              <w:bCs/>
              <w:sz w:val="28"/>
            </w:rPr>
          </w:r>
        </w:p>
      </w:tc>
      <w:tc>
        <w:tcPr>
          <w:tcW w:w="5103" w:type="dxa"/>
          <w:tcBorders>
            <w:top w:val="single" w:sz="6" w:space="0" w:color="000000"/>
            <w:bottom w:val="single" w:sz="6" w:space="0" w:color="000000"/>
            <w:right w:val="single" w:sz="12" w:space="0" w:color="000000"/>
          </w:tcBorders>
        </w:tcPr>
        <w:p>
          <w:pPr>
            <w:pStyle w:val="Normal"/>
            <w:spacing w:before="120" w:after="0"/>
            <w:jc w:val="right"/>
            <w:rPr>
              <w:b/>
              <w:b/>
            </w:rPr>
          </w:pPr>
          <w:r>
            <w:rPr>
              <w:b/>
            </w:rPr>
            <w:t xml:space="preserve">Strasbourg, 4 – 8 April 2005 </w:t>
          </w:r>
        </w:p>
      </w:tc>
    </w:tr>
    <w:tr>
      <w:trPr>
        <w:trHeight w:val="357" w:hRule="atLeast"/>
        <w:cantSplit w:val="true"/>
      </w:trPr>
      <w:tc>
        <w:tcPr>
          <w:tcW w:w="1617" w:type="dxa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spacing w:before="120" w:after="120"/>
            <w:rPr>
              <w:b/>
              <w:b/>
              <w:bCs/>
            </w:rPr>
          </w:pPr>
          <w:r>
            <w:rPr>
              <w:b/>
              <w:bCs/>
            </w:rPr>
            <w:t>Question(s):</w:t>
          </w:r>
        </w:p>
      </w:tc>
      <w:tc>
        <w:tcPr>
          <w:tcW w:w="836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</w:tcPr>
        <w:p>
          <w:pPr>
            <w:pStyle w:val="Normal"/>
            <w:spacing w:before="120" w:after="120"/>
            <w:rPr/>
          </w:pPr>
          <w:r>
            <w:rPr/>
            <w:t>10</w:t>
          </w:r>
        </w:p>
      </w:tc>
    </w:tr>
    <w:tr>
      <w:trPr>
        <w:trHeight w:val="357" w:hRule="atLeast"/>
        <w:cantSplit w:val="true"/>
      </w:trPr>
      <w:tc>
        <w:tcPr>
          <w:tcW w:w="1617" w:type="dxa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spacing w:before="120" w:after="120"/>
            <w:rPr>
              <w:b/>
              <w:b/>
              <w:bCs/>
            </w:rPr>
          </w:pPr>
          <w:r>
            <w:rPr>
              <w:b/>
              <w:bCs/>
            </w:rPr>
            <w:t>Source:</w:t>
          </w:r>
        </w:p>
      </w:tc>
      <w:tc>
        <w:tcPr>
          <w:tcW w:w="836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</w:tcPr>
        <w:p>
          <w:pPr>
            <w:pStyle w:val="Normal"/>
            <w:spacing w:before="120" w:after="120"/>
            <w:rPr/>
          </w:pPr>
          <w:r>
            <w:rPr/>
            <w:t>Q10/16 Rapporteur</w:t>
          </w:r>
        </w:p>
      </w:tc>
    </w:tr>
    <w:tr>
      <w:trPr>
        <w:trHeight w:val="357" w:hRule="atLeast"/>
        <w:cantSplit w:val="true"/>
      </w:trPr>
      <w:tc>
        <w:tcPr>
          <w:tcW w:w="1617" w:type="dxa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spacing w:before="120" w:after="120"/>
            <w:rPr>
              <w:b/>
              <w:b/>
              <w:bCs/>
            </w:rPr>
          </w:pPr>
          <w:r>
            <w:rPr>
              <w:b/>
              <w:bCs/>
            </w:rPr>
            <w:t>Title:</w:t>
          </w:r>
        </w:p>
      </w:tc>
      <w:tc>
        <w:tcPr>
          <w:tcW w:w="836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</w:tcPr>
        <w:p>
          <w:pPr>
            <w:pStyle w:val="Normal"/>
            <w:spacing w:before="120" w:after="120"/>
            <w:rPr/>
          </w:pPr>
          <w:r>
            <w:rPr/>
            <w:t>Characterisation test results of the 14khz low-complexity audio coding algorithm at 24, 32, and 48 kbps extension to ITU-T G.722.1: phase 1</w:t>
          </w:r>
        </w:p>
      </w:tc>
    </w:tr>
    <w:tr>
      <w:trPr>
        <w:trHeight w:val="357" w:hRule="atLeast"/>
        <w:cantSplit w:val="true"/>
      </w:trPr>
      <w:tc>
        <w:tcPr>
          <w:tcW w:w="1617" w:type="dxa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Normal"/>
            <w:spacing w:before="120" w:after="120"/>
            <w:rPr>
              <w:b/>
              <w:b/>
              <w:bCs/>
            </w:rPr>
          </w:pPr>
          <w:r>
            <w:rPr>
              <w:b/>
              <w:bCs/>
            </w:rPr>
            <w:t>Purpose:</w:t>
          </w:r>
        </w:p>
      </w:tc>
      <w:tc>
        <w:tcPr>
          <w:tcW w:w="8363" w:type="dxa"/>
          <w:gridSpan w:val="2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napToGrid w:val="false"/>
            <w:spacing w:before="120" w:after="120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trackRevisions/>
  <w:defaultTabStop w:val="567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567"/>
        <w:tab w:val="left" w:pos="794" w:leader="none"/>
        <w:tab w:val="left" w:pos="1191" w:leader="none"/>
        <w:tab w:val="left" w:pos="1588" w:leader="none"/>
        <w:tab w:val="left" w:pos="1985" w:leader="none"/>
      </w:tabs>
      <w:overflowPunct w:val="false"/>
      <w:autoSpaceDE w:val="false"/>
      <w:bidi w:val="0"/>
      <w:spacing w:before="120" w:after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360" w:after="0"/>
      <w:ind w:left="794" w:hanging="794"/>
      <w:outlineLvl w:val="0"/>
    </w:pPr>
    <w:rPr>
      <w:rFonts w:ascii="Times New Roman Bold;Times New Roman" w:hAnsi="Times New Roman Bold;Times New Roman" w:cs="Times New Roman Bold;Times New Roman"/>
      <w:b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spacing w:before="240" w:after="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spacing w:before="160" w:after="0"/>
      <w:outlineLvl w:val="2"/>
    </w:pPr>
    <w:rPr/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tabs>
        <w:tab w:val="clear" w:pos="794"/>
        <w:tab w:val="left" w:pos="1021" w:leader="none"/>
        <w:tab w:val="left" w:pos="1191" w:leader="none"/>
        <w:tab w:val="left" w:pos="1588" w:leader="none"/>
        <w:tab w:val="left" w:pos="1985" w:leader="none"/>
      </w:tabs>
      <w:ind w:left="1021" w:hanging="1021"/>
      <w:outlineLvl w:val="3"/>
    </w:pPr>
    <w:rPr/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Heading4"/>
    <w:next w:val="Normal"/>
    <w:qFormat/>
    <w:pPr>
      <w:numPr>
        <w:ilvl w:val="5"/>
        <w:numId w:val="1"/>
      </w:numPr>
      <w:tabs>
        <w:tab w:val="clear" w:pos="1021"/>
        <w:tab w:val="clear" w:pos="1191"/>
        <w:tab w:val="left" w:pos="1588" w:leader="none"/>
        <w:tab w:val="left" w:pos="1985" w:leader="none"/>
      </w:tabs>
      <w:ind w:left="1588" w:hanging="1588"/>
      <w:outlineLvl w:val="5"/>
    </w:pPr>
    <w:rPr/>
  </w:style>
  <w:style w:type="paragraph" w:styleId="Heading7">
    <w:name w:val="Heading 7"/>
    <w:basedOn w:val="Heading6"/>
    <w:next w:val="Normal"/>
    <w:qFormat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6"/>
    <w:next w:val="Normal"/>
    <w:qFormat/>
    <w:pPr>
      <w:numPr>
        <w:ilvl w:val="7"/>
        <w:numId w:val="1"/>
      </w:numPr>
      <w:outlineLvl w:val="7"/>
    </w:pPr>
    <w:rPr/>
  </w:style>
  <w:style w:type="paragraph" w:styleId="Heading9">
    <w:name w:val="Heading 9"/>
    <w:basedOn w:val="Heading6"/>
    <w:next w:val="Normal"/>
    <w:qFormat/>
    <w:pPr>
      <w:numPr>
        <w:ilvl w:val="8"/>
        <w:numId w:val="1"/>
      </w:numPr>
      <w:outlineLvl w:val="8"/>
    </w:pPr>
    <w:rPr/>
  </w:style>
  <w:style w:type="character" w:styleId="WW8Num1z0">
    <w:name w:val="WW8Num1z0"/>
    <w:qFormat/>
    <w:rPr/>
  </w:style>
  <w:style w:type="character" w:styleId="WW8Num2z0">
    <w:name w:val="WW8Num2z0"/>
    <w:qFormat/>
    <w:rPr>
      <w:b/>
      <w:sz w:val="20"/>
    </w:rPr>
  </w:style>
  <w:style w:type="character" w:styleId="Policepardfaut">
    <w:name w:val="Police par défaut"/>
    <w:qFormat/>
    <w:rPr/>
  </w:style>
  <w:style w:type="character" w:styleId="Appdef">
    <w:name w:val="App_def"/>
    <w:basedOn w:val="Policepardfaut"/>
    <w:qFormat/>
    <w:rPr>
      <w:rFonts w:ascii="Times New Roman" w:hAnsi="Times New Roman" w:cs="Times New Roman"/>
      <w:b/>
    </w:rPr>
  </w:style>
  <w:style w:type="character" w:styleId="Appref">
    <w:name w:val="App_ref"/>
    <w:basedOn w:val="Policepardfaut"/>
    <w:qFormat/>
    <w:rPr/>
  </w:style>
  <w:style w:type="character" w:styleId="Artdef">
    <w:name w:val="Art_def"/>
    <w:basedOn w:val="Policepardfaut"/>
    <w:qFormat/>
    <w:rPr>
      <w:rFonts w:ascii="Times New Roman" w:hAnsi="Times New Roman" w:cs="Times New Roman"/>
      <w:b/>
    </w:rPr>
  </w:style>
  <w:style w:type="character" w:styleId="Artref">
    <w:name w:val="Art_ref"/>
    <w:basedOn w:val="Policepardfaut"/>
    <w:qFormat/>
    <w:rPr/>
  </w:style>
  <w:style w:type="character" w:styleId="EndnoteCharacters">
    <w:name w:val="Endnote Characters"/>
    <w:basedOn w:val="Policepardfaut"/>
    <w:qFormat/>
    <w:rPr>
      <w:vertAlign w:val="superscript"/>
    </w:rPr>
  </w:style>
  <w:style w:type="character" w:styleId="FootnoteCharacters">
    <w:name w:val="Footnote Characters"/>
    <w:basedOn w:val="Policepardfaut"/>
    <w:qFormat/>
    <w:rPr>
      <w:sz w:val="18"/>
      <w:vertAlign w:val="superscript"/>
    </w:rPr>
  </w:style>
  <w:style w:type="character" w:styleId="PageNumber">
    <w:name w:val="Page Number"/>
    <w:basedOn w:val="Policepardfaut"/>
    <w:rPr/>
  </w:style>
  <w:style w:type="character" w:styleId="Recdef">
    <w:name w:val="Rec_def"/>
    <w:basedOn w:val="Policepardfaut"/>
    <w:qFormat/>
    <w:rPr>
      <w:b/>
    </w:rPr>
  </w:style>
  <w:style w:type="character" w:styleId="Resdef">
    <w:name w:val="Res_def"/>
    <w:basedOn w:val="Policepardfaut"/>
    <w:qFormat/>
    <w:rPr>
      <w:rFonts w:ascii="Times New Roman" w:hAnsi="Times New Roman" w:cs="Times New Roman"/>
      <w:b/>
    </w:rPr>
  </w:style>
  <w:style w:type="character" w:styleId="Tablefreq">
    <w:name w:val="Table_freq"/>
    <w:basedOn w:val="Policepardfaut"/>
    <w:qFormat/>
    <w:rPr>
      <w:b/>
      <w:color w:val="000000"/>
    </w:rPr>
  </w:style>
  <w:style w:type="character" w:styleId="InternetLink">
    <w:name w:val="Hyperlink"/>
    <w:basedOn w:val="Policepardfaut"/>
    <w:rPr>
      <w:color w:val="0000FF"/>
      <w:u w:val="single"/>
    </w:rPr>
  </w:style>
  <w:style w:type="character" w:styleId="VisitedInternetLink">
    <w:name w:val="FollowedHyperlink"/>
    <w:basedOn w:val="Policepardfau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nnexNotitle">
    <w:name w:val="Annex_No &amp; title"/>
    <w:basedOn w:val="Normal"/>
    <w:next w:val="Normal"/>
    <w:qFormat/>
    <w:pPr>
      <w:keepNext w:val="true"/>
      <w:keepLines/>
      <w:spacing w:before="480" w:after="0"/>
      <w:jc w:val="center"/>
    </w:pPr>
    <w:rPr>
      <w:b/>
      <w:sz w:val="28"/>
    </w:rPr>
  </w:style>
  <w:style w:type="paragraph" w:styleId="AppendixNotitle">
    <w:name w:val="Appendix_No &amp; title"/>
    <w:basedOn w:val="AnnexNotitle"/>
    <w:next w:val="Normal"/>
    <w:qFormat/>
    <w:pPr/>
    <w:rPr/>
  </w:style>
  <w:style w:type="paragraph" w:styleId="Artheading">
    <w:name w:val="Art_heading"/>
    <w:basedOn w:val="Normal"/>
    <w:next w:val="Normal"/>
    <w:qFormat/>
    <w:pPr>
      <w:spacing w:before="480" w:after="0"/>
      <w:jc w:val="center"/>
    </w:pPr>
    <w:rPr>
      <w:b/>
      <w:sz w:val="28"/>
    </w:rPr>
  </w:style>
  <w:style w:type="paragraph" w:styleId="ArtNo">
    <w:name w:val="Art_No"/>
    <w:basedOn w:val="Normal"/>
    <w:next w:val="Normal"/>
    <w:qFormat/>
    <w:pPr>
      <w:keepNext w:val="true"/>
      <w:keepLines/>
      <w:spacing w:before="480" w:after="0"/>
      <w:jc w:val="center"/>
    </w:pPr>
    <w:rPr>
      <w:caps/>
      <w:sz w:val="28"/>
    </w:rPr>
  </w:style>
  <w:style w:type="paragraph" w:styleId="Arttitle">
    <w:name w:val="Art_title"/>
    <w:basedOn w:val="Normal"/>
    <w:next w:val="Normal"/>
    <w:qFormat/>
    <w:pPr>
      <w:keepNext w:val="true"/>
      <w:keepLines/>
      <w:spacing w:before="240" w:after="0"/>
      <w:jc w:val="center"/>
    </w:pPr>
    <w:rPr>
      <w:b/>
      <w:sz w:val="28"/>
    </w:rPr>
  </w:style>
  <w:style w:type="paragraph" w:styleId="ASN1">
    <w:name w:val="ASN.1"/>
    <w:basedOn w:val="Normal"/>
    <w:qFormat/>
    <w:pPr>
      <w:tabs>
        <w:tab w:val="left" w:pos="567" w:leader="none"/>
        <w:tab w:val="left" w:pos="794" w:leader="none"/>
        <w:tab w:val="left" w:pos="1134" w:leader="none"/>
        <w:tab w:val="left" w:pos="1191" w:leader="none"/>
        <w:tab w:val="left" w:pos="1588" w:leader="none"/>
        <w:tab w:val="left" w:pos="1701" w:leader="none"/>
        <w:tab w:val="left" w:pos="1985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0"/>
    </w:pPr>
    <w:rPr>
      <w:rFonts w:ascii="Courier New" w:hAnsi="Courier New" w:cs="Courier New"/>
      <w:b/>
      <w:sz w:val="20"/>
      <w:lang w:val="en-US" w:eastAsia="en-US"/>
    </w:rPr>
  </w:style>
  <w:style w:type="paragraph" w:styleId="Call">
    <w:name w:val="Call"/>
    <w:basedOn w:val="Normal"/>
    <w:next w:val="Normal"/>
    <w:qFormat/>
    <w:pPr>
      <w:keepNext w:val="true"/>
      <w:keepLines/>
      <w:spacing w:before="160" w:after="0"/>
      <w:ind w:left="794" w:hanging="0"/>
    </w:pPr>
    <w:rPr>
      <w:i/>
    </w:rPr>
  </w:style>
  <w:style w:type="paragraph" w:styleId="ChapNo">
    <w:name w:val="Chap_No"/>
    <w:basedOn w:val="Normal"/>
    <w:next w:val="Normal"/>
    <w:qFormat/>
    <w:pPr>
      <w:keepNext w:val="true"/>
      <w:keepLines/>
      <w:spacing w:before="480" w:after="0"/>
      <w:jc w:val="center"/>
    </w:pPr>
    <w:rPr>
      <w:b/>
      <w:caps/>
      <w:sz w:val="28"/>
    </w:rPr>
  </w:style>
  <w:style w:type="paragraph" w:styleId="Chaptitle">
    <w:name w:val="Chap_title"/>
    <w:basedOn w:val="Normal"/>
    <w:next w:val="Normal"/>
    <w:qFormat/>
    <w:pPr>
      <w:keepNext w:val="true"/>
      <w:keepLines/>
      <w:spacing w:before="240" w:after="0"/>
      <w:jc w:val="center"/>
    </w:pPr>
    <w:rPr>
      <w:b/>
      <w:sz w:val="28"/>
    </w:rPr>
  </w:style>
  <w:style w:type="paragraph" w:styleId="Enumlev1">
    <w:name w:val="enumlev1"/>
    <w:basedOn w:val="Normal"/>
    <w:qFormat/>
    <w:pPr>
      <w:spacing w:before="80" w:after="0"/>
      <w:ind w:left="794" w:hanging="794"/>
    </w:pPr>
    <w:rPr/>
  </w:style>
  <w:style w:type="paragraph" w:styleId="Enumlev2">
    <w:name w:val="enumlev2"/>
    <w:basedOn w:val="Enumlev1"/>
    <w:qFormat/>
    <w:pPr>
      <w:ind w:left="1191" w:hanging="397"/>
    </w:pPr>
    <w:rPr/>
  </w:style>
  <w:style w:type="paragraph" w:styleId="Enumlev3">
    <w:name w:val="enumlev3"/>
    <w:basedOn w:val="Enumlev2"/>
    <w:qFormat/>
    <w:pPr>
      <w:ind w:left="1588" w:hanging="397"/>
    </w:pPr>
    <w:rPr/>
  </w:style>
  <w:style w:type="paragraph" w:styleId="Equation">
    <w:name w:val="Equation"/>
    <w:basedOn w:val="Normal"/>
    <w:qFormat/>
    <w:pPr>
      <w:tabs>
        <w:tab w:val="clear" w:pos="1191"/>
        <w:tab w:val="clear" w:pos="1588"/>
        <w:tab w:val="clear" w:pos="1985"/>
        <w:tab w:val="left" w:pos="794" w:leader="none"/>
        <w:tab w:val="center" w:pos="4820" w:leader="none"/>
        <w:tab w:val="right" w:pos="9639" w:leader="none"/>
      </w:tabs>
    </w:pPr>
    <w:rPr/>
  </w:style>
  <w:style w:type="paragraph" w:styleId="Equationlegend">
    <w:name w:val="Equation_legend"/>
    <w:basedOn w:val="Normal"/>
    <w:qFormat/>
    <w:pPr>
      <w:tabs>
        <w:tab w:val="clear" w:pos="794"/>
        <w:tab w:val="clear" w:pos="1191"/>
        <w:tab w:val="clear" w:pos="1588"/>
        <w:tab w:val="right" w:pos="1814" w:leader="none"/>
        <w:tab w:val="left" w:pos="1985" w:leader="none"/>
      </w:tabs>
      <w:spacing w:before="80" w:after="0"/>
      <w:ind w:left="1985" w:hanging="1985"/>
    </w:pPr>
    <w:rPr/>
  </w:style>
  <w:style w:type="paragraph" w:styleId="Figure">
    <w:name w:val="Figure"/>
    <w:basedOn w:val="Normal"/>
    <w:next w:val="Normal"/>
    <w:qFormat/>
    <w:pPr>
      <w:keepNext w:val="true"/>
      <w:keepLines/>
      <w:spacing w:before="240" w:after="120"/>
      <w:jc w:val="center"/>
    </w:pPr>
    <w:rPr/>
  </w:style>
  <w:style w:type="paragraph" w:styleId="Figurelegend">
    <w:name w:val="Figure_legend"/>
    <w:basedOn w:val="Normal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styleId="FigureNotitle">
    <w:name w:val="Figure_No &amp; title"/>
    <w:basedOn w:val="Normal"/>
    <w:next w:val="Normal"/>
    <w:qFormat/>
    <w:pPr>
      <w:keepLines/>
      <w:spacing w:before="240" w:after="120"/>
      <w:jc w:val="center"/>
    </w:pPr>
    <w:rPr>
      <w:b/>
    </w:rPr>
  </w:style>
  <w:style w:type="paragraph" w:styleId="FigureNoBR">
    <w:name w:val="Figure_No_BR"/>
    <w:basedOn w:val="Normal"/>
    <w:next w:val="Normal"/>
    <w:qFormat/>
    <w:pPr>
      <w:keepNext w:val="true"/>
      <w:keepLines/>
      <w:spacing w:before="480" w:after="120"/>
      <w:jc w:val="center"/>
    </w:pPr>
    <w:rPr>
      <w:caps/>
    </w:rPr>
  </w:style>
  <w:style w:type="paragraph" w:styleId="TabletitleBR">
    <w:name w:val="Table_title_BR"/>
    <w:basedOn w:val="Normal"/>
    <w:next w:val="Normal"/>
    <w:qFormat/>
    <w:pPr>
      <w:keepNext w:val="true"/>
      <w:keepLines/>
      <w:spacing w:before="0" w:after="120"/>
      <w:jc w:val="center"/>
    </w:pPr>
    <w:rPr>
      <w:b/>
    </w:rPr>
  </w:style>
  <w:style w:type="paragraph" w:styleId="FiguretitleBR">
    <w:name w:val="Figure_title_BR"/>
    <w:basedOn w:val="TabletitleBR"/>
    <w:next w:val="Normal"/>
    <w:qFormat/>
    <w:pPr>
      <w:keepNext w:val="false"/>
      <w:spacing w:before="0" w:after="480"/>
    </w:pPr>
    <w:rPr/>
  </w:style>
  <w:style w:type="paragraph" w:styleId="Figurewithouttitle">
    <w:name w:val="Figure_without_title"/>
    <w:basedOn w:val="Normal"/>
    <w:next w:val="Normal"/>
    <w:qFormat/>
    <w:pPr>
      <w:keepLines/>
      <w:spacing w:before="240" w:after="120"/>
      <w:jc w:val="center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94"/>
        <w:tab w:val="clear" w:pos="1191"/>
        <w:tab w:val="clear" w:pos="1588"/>
        <w:tab w:val="clear" w:pos="1985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94"/>
        <w:tab w:val="clear" w:pos="1191"/>
        <w:tab w:val="clear" w:pos="1588"/>
        <w:tab w:val="clear" w:pos="1985"/>
        <w:tab w:val="left" w:pos="5954" w:leader="none"/>
        <w:tab w:val="right" w:pos="9639" w:leader="none"/>
      </w:tabs>
      <w:spacing w:before="0" w:after="0"/>
    </w:pPr>
    <w:rPr>
      <w:caps/>
      <w:sz w:val="16"/>
      <w:lang w:val="en-US" w:eastAsia="en-US"/>
    </w:rPr>
  </w:style>
  <w:style w:type="paragraph" w:styleId="FirstFooter">
    <w:name w:val="FirstFooter"/>
    <w:basedOn w:val="Footer"/>
    <w:qFormat/>
    <w:pPr>
      <w:tabs>
        <w:tab w:val="clear" w:pos="5954"/>
        <w:tab w:val="clear" w:pos="9639"/>
      </w:tabs>
      <w:overflowPunct w:val="true"/>
      <w:autoSpaceDE w:val="true"/>
      <w:spacing w:before="40" w:after="0"/>
      <w:textAlignment w:val="auto"/>
    </w:pPr>
    <w:rPr>
      <w:caps w:val="false"/>
      <w:smallCaps w:val="false"/>
    </w:rPr>
  </w:style>
  <w:style w:type="paragraph" w:styleId="FooterQP">
    <w:name w:val="Footer_QP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907" w:leader="none"/>
        <w:tab w:val="right" w:pos="8789" w:leader="none"/>
        <w:tab w:val="right" w:pos="9639" w:leader="none"/>
      </w:tabs>
      <w:spacing w:before="0" w:after="0"/>
    </w:pPr>
    <w:rPr>
      <w:b/>
      <w:sz w:val="22"/>
    </w:rPr>
  </w:style>
  <w:style w:type="paragraph" w:styleId="Note">
    <w:name w:val="Note"/>
    <w:basedOn w:val="Normal"/>
    <w:qFormat/>
    <w:pPr>
      <w:spacing w:before="80" w:after="0"/>
    </w:pPr>
    <w:rPr/>
  </w:style>
  <w:style w:type="paragraph" w:styleId="Footnote">
    <w:name w:val="Footnote Text"/>
    <w:basedOn w:val="Note"/>
    <w:pPr>
      <w:keepLines/>
      <w:tabs>
        <w:tab w:val="left" w:pos="255" w:leader="none"/>
        <w:tab w:val="left" w:pos="794" w:leader="none"/>
        <w:tab w:val="left" w:pos="1191" w:leader="none"/>
        <w:tab w:val="left" w:pos="1588" w:leader="none"/>
        <w:tab w:val="left" w:pos="1985" w:leader="none"/>
      </w:tabs>
      <w:ind w:left="255" w:hanging="255"/>
    </w:pPr>
    <w:rPr/>
  </w:style>
  <w:style w:type="paragraph" w:styleId="Formal">
    <w:name w:val="Formal"/>
    <w:basedOn w:val="ASN1"/>
    <w:qFormat/>
    <w:pPr/>
    <w:rPr>
      <w:b w:val="false"/>
    </w:rPr>
  </w:style>
  <w:style w:type="paragraph" w:styleId="Header">
    <w:name w:val="Header"/>
    <w:basedOn w:val="Normal"/>
    <w:pPr>
      <w:tabs>
        <w:tab w:val="clear" w:pos="794"/>
        <w:tab w:val="clear" w:pos="1191"/>
        <w:tab w:val="clear" w:pos="1588"/>
        <w:tab w:val="clear" w:pos="1985"/>
      </w:tabs>
      <w:spacing w:before="0" w:after="0"/>
      <w:jc w:val="center"/>
    </w:pPr>
    <w:rPr>
      <w:sz w:val="18"/>
    </w:rPr>
  </w:style>
  <w:style w:type="paragraph" w:styleId="Headingb">
    <w:name w:val="Heading_b"/>
    <w:basedOn w:val="Normal"/>
    <w:next w:val="Normal"/>
    <w:qFormat/>
    <w:pPr>
      <w:keepNext w:val="true"/>
      <w:spacing w:before="160" w:after="0"/>
    </w:pPr>
    <w:rPr>
      <w:b/>
    </w:rPr>
  </w:style>
  <w:style w:type="paragraph" w:styleId="Headingi">
    <w:name w:val="Heading_i"/>
    <w:basedOn w:val="Normal"/>
    <w:next w:val="Normal"/>
    <w:qFormat/>
    <w:pPr>
      <w:keepNext w:val="true"/>
      <w:spacing w:before="160" w:after="0"/>
    </w:pPr>
    <w:rPr>
      <w:i/>
    </w:rPr>
  </w:style>
  <w:style w:type="paragraph" w:styleId="Index1">
    <w:name w:val="Index 1"/>
    <w:basedOn w:val="Normal"/>
    <w:next w:val="Normal"/>
    <w:pPr/>
    <w:rPr/>
  </w:style>
  <w:style w:type="paragraph" w:styleId="Index2">
    <w:name w:val="Index 2"/>
    <w:basedOn w:val="Normal"/>
    <w:next w:val="Normal"/>
    <w:pPr>
      <w:ind w:left="283" w:hanging="0"/>
    </w:pPr>
    <w:rPr/>
  </w:style>
  <w:style w:type="paragraph" w:styleId="Index3">
    <w:name w:val="Index 3"/>
    <w:basedOn w:val="Normal"/>
    <w:next w:val="Normal"/>
    <w:pPr>
      <w:ind w:left="566" w:hanging="0"/>
    </w:pPr>
    <w:rPr/>
  </w:style>
  <w:style w:type="paragraph" w:styleId="Normalaftertitle">
    <w:name w:val="Normal_after_title"/>
    <w:basedOn w:val="Normal"/>
    <w:next w:val="Normal"/>
    <w:qFormat/>
    <w:pPr>
      <w:spacing w:before="360" w:after="0"/>
    </w:pPr>
    <w:rPr/>
  </w:style>
  <w:style w:type="paragraph" w:styleId="PartNo">
    <w:name w:val="Part_No"/>
    <w:basedOn w:val="Normal"/>
    <w:next w:val="Normal"/>
    <w:qFormat/>
    <w:pPr>
      <w:keepNext w:val="true"/>
      <w:keepLines/>
      <w:spacing w:before="480" w:after="80"/>
      <w:jc w:val="center"/>
    </w:pPr>
    <w:rPr>
      <w:caps/>
      <w:sz w:val="28"/>
    </w:rPr>
  </w:style>
  <w:style w:type="paragraph" w:styleId="Partref">
    <w:name w:val="Part_ref"/>
    <w:basedOn w:val="Normal"/>
    <w:next w:val="Normal"/>
    <w:qFormat/>
    <w:pPr>
      <w:keepNext w:val="true"/>
      <w:keepLines/>
      <w:spacing w:before="280" w:after="0"/>
      <w:jc w:val="center"/>
    </w:pPr>
    <w:rPr/>
  </w:style>
  <w:style w:type="paragraph" w:styleId="Parttitle">
    <w:name w:val="Part_title"/>
    <w:basedOn w:val="Normal"/>
    <w:next w:val="Normalaftertitle"/>
    <w:qFormat/>
    <w:pPr>
      <w:keepNext w:val="true"/>
      <w:keepLines/>
      <w:spacing w:before="240" w:after="280"/>
      <w:jc w:val="center"/>
    </w:pPr>
    <w:rPr>
      <w:b/>
      <w:sz w:val="28"/>
    </w:rPr>
  </w:style>
  <w:style w:type="paragraph" w:styleId="Recdate">
    <w:name w:val="Rec_date"/>
    <w:basedOn w:val="Normal"/>
    <w:next w:val="Normalaftertitle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styleId="Questiondate">
    <w:name w:val="Question_date"/>
    <w:basedOn w:val="Recdate"/>
    <w:next w:val="Normalaftertitle"/>
    <w:qFormat/>
    <w:pPr/>
    <w:rPr/>
  </w:style>
  <w:style w:type="paragraph" w:styleId="RecNo">
    <w:name w:val="Rec_No"/>
    <w:basedOn w:val="Normal"/>
    <w:next w:val="Normal"/>
    <w:qFormat/>
    <w:pPr>
      <w:keepNext w:val="true"/>
      <w:keepLines/>
      <w:spacing w:before="0" w:after="0"/>
    </w:pPr>
    <w:rPr>
      <w:b/>
      <w:sz w:val="28"/>
    </w:rPr>
  </w:style>
  <w:style w:type="paragraph" w:styleId="QuestionNo">
    <w:name w:val="Question_No"/>
    <w:basedOn w:val="RecNo"/>
    <w:next w:val="Normal"/>
    <w:qFormat/>
    <w:pPr/>
    <w:rPr/>
  </w:style>
  <w:style w:type="paragraph" w:styleId="RecNoBR">
    <w:name w:val="Rec_No_BR"/>
    <w:basedOn w:val="Normal"/>
    <w:next w:val="Normal"/>
    <w:qFormat/>
    <w:pPr>
      <w:keepNext w:val="true"/>
      <w:keepLines/>
      <w:spacing w:before="480" w:after="0"/>
      <w:jc w:val="center"/>
    </w:pPr>
    <w:rPr>
      <w:caps/>
      <w:sz w:val="28"/>
    </w:rPr>
  </w:style>
  <w:style w:type="paragraph" w:styleId="QuestionNoBR">
    <w:name w:val="Question_No_BR"/>
    <w:basedOn w:val="RecNoBR"/>
    <w:next w:val="Normal"/>
    <w:qFormat/>
    <w:pPr/>
    <w:rPr/>
  </w:style>
  <w:style w:type="paragraph" w:styleId="Recref">
    <w:name w:val="Rec_ref"/>
    <w:basedOn w:val="Normal"/>
    <w:next w:val="Recdate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styleId="Questionref">
    <w:name w:val="Question_ref"/>
    <w:basedOn w:val="Recref"/>
    <w:next w:val="Questiondate"/>
    <w:qFormat/>
    <w:pPr/>
    <w:rPr/>
  </w:style>
  <w:style w:type="paragraph" w:styleId="Rectitle">
    <w:name w:val="Rec_title"/>
    <w:basedOn w:val="Normal"/>
    <w:next w:val="Normalaftertitle"/>
    <w:qFormat/>
    <w:pPr>
      <w:keepNext w:val="true"/>
      <w:keepLines/>
      <w:spacing w:before="360" w:after="0"/>
      <w:jc w:val="center"/>
    </w:pPr>
    <w:rPr>
      <w:b/>
      <w:sz w:val="28"/>
    </w:rPr>
  </w:style>
  <w:style w:type="paragraph" w:styleId="Questiontitle">
    <w:name w:val="Question_title"/>
    <w:basedOn w:val="Rectitle"/>
    <w:next w:val="Questionref"/>
    <w:qFormat/>
    <w:pPr/>
    <w:rPr/>
  </w:style>
  <w:style w:type="paragraph" w:styleId="Reftext">
    <w:name w:val="Ref_text"/>
    <w:basedOn w:val="Normal"/>
    <w:qFormat/>
    <w:pPr>
      <w:ind w:left="794" w:hanging="794"/>
    </w:pPr>
    <w:rPr/>
  </w:style>
  <w:style w:type="paragraph" w:styleId="Reftitle">
    <w:name w:val="Ref_title"/>
    <w:basedOn w:val="Normal"/>
    <w:next w:val="Reftext"/>
    <w:qFormat/>
    <w:pPr>
      <w:spacing w:before="480" w:after="0"/>
      <w:jc w:val="center"/>
    </w:pPr>
    <w:rPr>
      <w:b/>
    </w:rPr>
  </w:style>
  <w:style w:type="paragraph" w:styleId="Repdate">
    <w:name w:val="Rep_date"/>
    <w:basedOn w:val="Recdate"/>
    <w:next w:val="Normalaftertitle"/>
    <w:qFormat/>
    <w:pPr/>
    <w:rPr/>
  </w:style>
  <w:style w:type="paragraph" w:styleId="RepNo">
    <w:name w:val="Rep_No"/>
    <w:basedOn w:val="RecNo"/>
    <w:next w:val="Normal"/>
    <w:qFormat/>
    <w:pPr/>
    <w:rPr/>
  </w:style>
  <w:style w:type="paragraph" w:styleId="RepNoBR">
    <w:name w:val="Rep_No_BR"/>
    <w:basedOn w:val="RecNoBR"/>
    <w:next w:val="Normal"/>
    <w:qFormat/>
    <w:pPr/>
    <w:rPr/>
  </w:style>
  <w:style w:type="paragraph" w:styleId="Repref">
    <w:name w:val="Rep_ref"/>
    <w:basedOn w:val="Recref"/>
    <w:next w:val="Repdate"/>
    <w:qFormat/>
    <w:pPr/>
    <w:rPr/>
  </w:style>
  <w:style w:type="paragraph" w:styleId="Reptitle">
    <w:name w:val="Rep_title"/>
    <w:basedOn w:val="Rectitle"/>
    <w:next w:val="Repref"/>
    <w:qFormat/>
    <w:pPr/>
    <w:rPr/>
  </w:style>
  <w:style w:type="paragraph" w:styleId="Resdate">
    <w:name w:val="Res_date"/>
    <w:basedOn w:val="Recdate"/>
    <w:next w:val="Normalaftertitle"/>
    <w:qFormat/>
    <w:pPr/>
    <w:rPr/>
  </w:style>
  <w:style w:type="paragraph" w:styleId="ResNo">
    <w:name w:val="Res_No"/>
    <w:basedOn w:val="RecNo"/>
    <w:next w:val="Normal"/>
    <w:qFormat/>
    <w:pPr/>
    <w:rPr/>
  </w:style>
  <w:style w:type="paragraph" w:styleId="ResNoBR">
    <w:name w:val="Res_No_BR"/>
    <w:basedOn w:val="RecNoBR"/>
    <w:next w:val="Normal"/>
    <w:qFormat/>
    <w:pPr/>
    <w:rPr/>
  </w:style>
  <w:style w:type="paragraph" w:styleId="Resref">
    <w:name w:val="Res_ref"/>
    <w:basedOn w:val="Recref"/>
    <w:next w:val="Resdate"/>
    <w:qFormat/>
    <w:pPr/>
    <w:rPr/>
  </w:style>
  <w:style w:type="paragraph" w:styleId="Restitle">
    <w:name w:val="Res_title"/>
    <w:basedOn w:val="Rectitle"/>
    <w:next w:val="Resref"/>
    <w:qFormat/>
    <w:pPr/>
    <w:rPr/>
  </w:style>
  <w:style w:type="paragraph" w:styleId="Section1">
    <w:name w:val="Section_1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624" w:after="0"/>
      <w:jc w:val="center"/>
    </w:pPr>
    <w:rPr>
      <w:b/>
    </w:rPr>
  </w:style>
  <w:style w:type="paragraph" w:styleId="Section2">
    <w:name w:val="Section_2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240" w:after="0"/>
      <w:jc w:val="center"/>
    </w:pPr>
    <w:rPr>
      <w:i/>
    </w:rPr>
  </w:style>
  <w:style w:type="paragraph" w:styleId="SectionNo">
    <w:name w:val="Section_No"/>
    <w:basedOn w:val="Normal"/>
    <w:next w:val="Normal"/>
    <w:qFormat/>
    <w:pPr>
      <w:keepNext w:val="true"/>
      <w:keepLines/>
      <w:spacing w:before="480" w:after="80"/>
      <w:jc w:val="center"/>
    </w:pPr>
    <w:rPr>
      <w:caps/>
      <w:sz w:val="28"/>
    </w:rPr>
  </w:style>
  <w:style w:type="paragraph" w:styleId="Sectiontitle">
    <w:name w:val="Section_title"/>
    <w:basedOn w:val="Normal"/>
    <w:next w:val="Normalaftertitle"/>
    <w:qFormat/>
    <w:pPr>
      <w:keepNext w:val="true"/>
      <w:keepLines/>
      <w:spacing w:before="480" w:after="280"/>
      <w:jc w:val="center"/>
    </w:pPr>
    <w:rPr>
      <w:b/>
      <w:sz w:val="28"/>
    </w:rPr>
  </w:style>
  <w:style w:type="paragraph" w:styleId="Source">
    <w:name w:val="Source"/>
    <w:basedOn w:val="Normal"/>
    <w:next w:val="Normalaftertitle"/>
    <w:qFormat/>
    <w:pPr>
      <w:spacing w:before="840" w:after="200"/>
      <w:jc w:val="center"/>
    </w:pPr>
    <w:rPr>
      <w:b/>
      <w:sz w:val="28"/>
    </w:rPr>
  </w:style>
  <w:style w:type="paragraph" w:styleId="SpecialFooter">
    <w:name w:val="Special Footer"/>
    <w:basedOn w:val="Footer"/>
    <w:qFormat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5954" w:leader="none"/>
        <w:tab w:val="right" w:pos="9639" w:leader="none"/>
      </w:tabs>
      <w:jc w:val="both"/>
    </w:pPr>
    <w:rPr>
      <w:caps w:val="false"/>
      <w:smallCaps w:val="false"/>
    </w:rPr>
  </w:style>
  <w:style w:type="paragraph" w:styleId="Tablehead">
    <w:name w:val="Table_head"/>
    <w:basedOn w:val="Normal"/>
    <w:next w:val="Normal"/>
    <w:qFormat/>
    <w:pPr>
      <w:keepNext w:val="true"/>
      <w:tabs>
        <w:tab w:val="clear" w:pos="794"/>
        <w:tab w:val="clear" w:pos="1191"/>
        <w:tab w:val="clear" w:pos="1588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before="80" w:after="80"/>
      <w:jc w:val="center"/>
    </w:pPr>
    <w:rPr>
      <w:b/>
      <w:sz w:val="22"/>
    </w:rPr>
  </w:style>
  <w:style w:type="paragraph" w:styleId="Tablelegend">
    <w:name w:val="Table_legend"/>
    <w:basedOn w:val="Normal"/>
    <w:qFormat/>
    <w:pPr>
      <w:tabs>
        <w:tab w:val="clear" w:pos="794"/>
        <w:tab w:val="clear" w:pos="1191"/>
        <w:tab w:val="clear" w:pos="1588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before="120" w:after="40"/>
    </w:pPr>
    <w:rPr>
      <w:sz w:val="22"/>
    </w:rPr>
  </w:style>
  <w:style w:type="paragraph" w:styleId="TableNotitle">
    <w:name w:val="Table_No &amp; title"/>
    <w:basedOn w:val="Normal"/>
    <w:next w:val="Tablehead"/>
    <w:qFormat/>
    <w:pPr>
      <w:keepNext w:val="true"/>
      <w:keepLines/>
      <w:spacing w:before="360" w:after="120"/>
      <w:jc w:val="center"/>
    </w:pPr>
    <w:rPr>
      <w:b/>
    </w:rPr>
  </w:style>
  <w:style w:type="paragraph" w:styleId="TableNoBR">
    <w:name w:val="Table_No_BR"/>
    <w:basedOn w:val="Normal"/>
    <w:next w:val="TabletitleBR"/>
    <w:qFormat/>
    <w:pPr>
      <w:keepNext w:val="true"/>
      <w:spacing w:before="560" w:after="120"/>
      <w:jc w:val="center"/>
    </w:pPr>
    <w:rPr>
      <w:caps/>
    </w:rPr>
  </w:style>
  <w:style w:type="paragraph" w:styleId="Tableref">
    <w:name w:val="Table_ref"/>
    <w:basedOn w:val="Normal"/>
    <w:next w:val="TabletitleBR"/>
    <w:qFormat/>
    <w:pPr>
      <w:keepNext w:val="true"/>
      <w:spacing w:before="0" w:after="120"/>
      <w:jc w:val="center"/>
    </w:pPr>
    <w:rPr/>
  </w:style>
  <w:style w:type="paragraph" w:styleId="Tabletext">
    <w:name w:val="Table_text"/>
    <w:basedOn w:val="Normal"/>
    <w:qFormat/>
    <w:pPr>
      <w:tabs>
        <w:tab w:val="clear" w:pos="794"/>
        <w:tab w:val="clear" w:pos="1191"/>
        <w:tab w:val="clear" w:pos="1588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before="40" w:after="40"/>
    </w:pPr>
    <w:rPr>
      <w:sz w:val="22"/>
    </w:rPr>
  </w:style>
  <w:style w:type="paragraph" w:styleId="Title1">
    <w:name w:val="Title 1"/>
    <w:basedOn w:val="Source"/>
    <w:next w:val="Normal"/>
    <w:qFormat/>
    <w:pPr>
      <w:tabs>
        <w:tab w:val="clear" w:pos="794"/>
        <w:tab w:val="clear" w:pos="1191"/>
        <w:tab w:val="clear" w:pos="1588"/>
        <w:tab w:val="clear" w:pos="1985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</w:tabs>
      <w:spacing w:before="240" w:after="0"/>
    </w:pPr>
    <w:rPr>
      <w:b w:val="false"/>
      <w:caps/>
    </w:rPr>
  </w:style>
  <w:style w:type="paragraph" w:styleId="Title2">
    <w:name w:val="Title 2"/>
    <w:basedOn w:val="Title1"/>
    <w:next w:val="Normal"/>
    <w:qFormat/>
    <w:pPr/>
    <w:rPr/>
  </w:style>
  <w:style w:type="paragraph" w:styleId="Title3">
    <w:name w:val="Title 3"/>
    <w:basedOn w:val="Title2"/>
    <w:next w:val="Normal"/>
    <w:qFormat/>
    <w:pPr/>
    <w:rPr>
      <w:caps w:val="false"/>
      <w:smallCaps w:val="false"/>
    </w:rPr>
  </w:style>
  <w:style w:type="paragraph" w:styleId="Title4">
    <w:name w:val="Title 4"/>
    <w:basedOn w:val="Title3"/>
    <w:next w:val="Heading1"/>
    <w:qFormat/>
    <w:pPr/>
    <w:rPr>
      <w:b/>
    </w:rPr>
  </w:style>
  <w:style w:type="paragraph" w:styleId="Toc0">
    <w:name w:val="toc 0"/>
    <w:basedOn w:val="Normal"/>
    <w:next w:val="Contents1"/>
    <w:qFormat/>
    <w:pPr>
      <w:tabs>
        <w:tab w:val="clear" w:pos="794"/>
        <w:tab w:val="clear" w:pos="1191"/>
        <w:tab w:val="clear" w:pos="1588"/>
        <w:tab w:val="clear" w:pos="1985"/>
        <w:tab w:val="right" w:pos="9639" w:leader="none"/>
      </w:tabs>
    </w:pPr>
    <w:rPr>
      <w:b/>
    </w:rPr>
  </w:style>
  <w:style w:type="paragraph" w:styleId="Contents1">
    <w:name w:val="TOC 1"/>
    <w:basedOn w:val="Normal"/>
    <w:pPr>
      <w:keepLines/>
      <w:tabs>
        <w:tab w:val="clear" w:pos="794"/>
        <w:tab w:val="clear" w:pos="1191"/>
        <w:tab w:val="clear" w:pos="1588"/>
        <w:tab w:val="clear" w:pos="1985"/>
        <w:tab w:val="left" w:pos="964" w:leader="none"/>
        <w:tab w:val="left" w:pos="8789" w:leader="dot"/>
        <w:tab w:val="right" w:pos="9639" w:leader="none"/>
      </w:tabs>
      <w:spacing w:before="240" w:after="0"/>
      <w:ind w:left="680" w:right="851" w:hanging="680"/>
    </w:pPr>
    <w:rPr/>
  </w:style>
  <w:style w:type="paragraph" w:styleId="Contents2">
    <w:name w:val="TOC 2"/>
    <w:basedOn w:val="Contents1"/>
    <w:pPr>
      <w:spacing w:before="80" w:after="0"/>
      <w:ind w:left="1531" w:right="851" w:hanging="851"/>
    </w:pPr>
    <w:rPr/>
  </w:style>
  <w:style w:type="paragraph" w:styleId="Contents3">
    <w:name w:val="TOC 3"/>
    <w:basedOn w:val="Contents2"/>
    <w:pPr/>
    <w:rPr/>
  </w:style>
  <w:style w:type="paragraph" w:styleId="Contents4">
    <w:name w:val="TOC 4"/>
    <w:basedOn w:val="Contents3"/>
    <w:pPr/>
    <w:rPr/>
  </w:style>
  <w:style w:type="paragraph" w:styleId="Contents5">
    <w:name w:val="TOC 5"/>
    <w:basedOn w:val="Contents4"/>
    <w:pPr/>
    <w:rPr/>
  </w:style>
  <w:style w:type="paragraph" w:styleId="Contents6">
    <w:name w:val="TOC 6"/>
    <w:basedOn w:val="Contents4"/>
    <w:pPr/>
    <w:rPr/>
  </w:style>
  <w:style w:type="paragraph" w:styleId="Contents7">
    <w:name w:val="TOC 7"/>
    <w:basedOn w:val="Contents4"/>
    <w:pPr/>
    <w:rPr/>
  </w:style>
  <w:style w:type="paragraph" w:styleId="Contents8">
    <w:name w:val="TOC 8"/>
    <w:basedOn w:val="Contents4"/>
    <w:pPr/>
    <w:rPr/>
  </w:style>
  <w:style w:type="paragraph" w:styleId="Heading1h1">
    <w:name w:val="Heading 1.h1"/>
    <w:basedOn w:val="Normal"/>
    <w:next w:val="Normal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overflowPunct w:val="true"/>
      <w:spacing w:before="240" w:after="60"/>
      <w:jc w:val="both"/>
      <w:textAlignment w:val="auto"/>
    </w:pPr>
    <w:rPr>
      <w:rFonts w:ascii="Arial" w:hAnsi="Arial" w:eastAsia="MS Mincho;ＭＳ 明朝" w:cs="Arial"/>
      <w:b/>
      <w:kern w:val="2"/>
      <w:sz w:val="28"/>
      <w:lang w:val="en-US" w:eastAsia="ja-JP"/>
    </w:rPr>
  </w:style>
  <w:style w:type="paragraph" w:styleId="TableEntry">
    <w:name w:val="Table Entr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4"/>
      <w:lang w:val="en-US" w:bidi="he-IL" w:eastAsia="zh-CN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therine.quinquis@francetelecom.com" TargetMode="External"/><Relationship Id="rId3" Type="http://schemas.openxmlformats.org/officeDocument/2006/relationships/hyperlink" Target="mailto:paolo.usai@etsi.org" TargetMode="External"/><Relationship Id="rId4" Type="http://schemas.openxmlformats.org/officeDocument/2006/relationships/image" Target="media/image1.wmf"/><Relationship Id="rId5" Type="http://schemas.openxmlformats.org/officeDocument/2006/relationships/image" Target="media/image2.wmf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5.wmf"/><Relationship Id="rId9" Type="http://schemas.openxmlformats.org/officeDocument/2006/relationships/image" Target="media/image6.wmf"/><Relationship Id="rId10" Type="http://schemas.openxmlformats.org/officeDocument/2006/relationships/image" Target="media/image7.wmf"/><Relationship Id="rId11" Type="http://schemas.openxmlformats.org/officeDocument/2006/relationships/image" Target="media/image8.wmf"/><Relationship Id="rId12" Type="http://schemas.openxmlformats.org/officeDocument/2006/relationships/image" Target="media/image9.wmf"/><Relationship Id="rId13" Type="http://schemas.openxmlformats.org/officeDocument/2006/relationships/image" Target="media/image10.wmf"/><Relationship Id="rId14" Type="http://schemas.openxmlformats.org/officeDocument/2006/relationships/image" Target="media/image11.wmf"/><Relationship Id="rId15" Type="http://schemas.openxmlformats.org/officeDocument/2006/relationships/image" Target="media/image12.wmf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claude.lamblin@rd.francetelecom.co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ItutBasic-Template.dot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2005-04-01T14:21:00Z</dcterms:created>
  <dc:creator>Sébastien Castano</dc:creator>
  <dc:description/>
  <cp:keywords/>
  <dc:language>en-US</dc:language>
  <cp:lastModifiedBy>quinquic</cp:lastModifiedBy>
  <cp:lastPrinted>2002-08-01T08:30:00Z</cp:lastPrinted>
  <dcterms:modified xsi:type="dcterms:W3CDTF">2005-04-01T14:21:00Z</dcterms:modified>
  <cp:revision>2</cp:revision>
  <dc:subject/>
  <dc:title>Question(s):</dc:title>
</cp:coreProperties>
</file>