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1298"/>
          <w:tab w:val="left" w:pos="1985" w:leader="none"/>
        </w:tabs>
        <w:spacing w:before="60" w:after="0"/>
        <w:rPr>
          <w:sz w:val="24"/>
          <w:lang w:val="en-US"/>
        </w:rPr>
      </w:pPr>
      <w:r>
        <w:rPr>
          <w:b/>
          <w:sz w:val="24"/>
          <w:lang w:val="en-US"/>
        </w:rPr>
        <w:t>Source:</w:t>
      </w:r>
      <w:r>
        <w:rPr>
          <w:sz w:val="24"/>
          <w:lang w:val="en-US"/>
        </w:rPr>
        <w:tab/>
        <w:t>Audio Adhoc Group</w:t>
      </w:r>
      <w:r>
        <w:rPr>
          <w:rStyle w:val="FootnoteCharacters"/>
          <w:rStyle w:val="FootnoteAnchor"/>
          <w:sz w:val="24"/>
          <w:lang w:val="en-US"/>
        </w:rPr>
        <w:footnoteReference w:id="2"/>
      </w:r>
    </w:p>
    <w:p>
      <w:pPr>
        <w:pStyle w:val="Normal"/>
        <w:tabs>
          <w:tab w:val="clear" w:pos="1298"/>
          <w:tab w:val="left" w:pos="1985" w:leader="none"/>
        </w:tabs>
        <w:spacing w:before="60" w:after="0"/>
        <w:ind w:left="1985" w:hanging="1985"/>
        <w:rPr/>
      </w:pPr>
      <w:r>
        <w:rPr>
          <w:b/>
          <w:sz w:val="24"/>
          <w:lang w:val="en-US"/>
        </w:rPr>
        <w:t>Title:</w:t>
        <w:tab/>
      </w:r>
      <w:r>
        <w:rPr>
          <w:bCs/>
          <w:sz w:val="24"/>
          <w:lang w:val="en-US"/>
        </w:rPr>
        <w:t>Source code verification plan v1.0</w:t>
      </w:r>
    </w:p>
    <w:p>
      <w:pPr>
        <w:pStyle w:val="Heading1"/>
        <w:numPr>
          <w:ilvl w:val="0"/>
          <w:numId w:val="0"/>
        </w:numPr>
        <w:tabs>
          <w:tab w:val="clear" w:pos="1298"/>
          <w:tab w:val="left" w:pos="1985" w:leader="none"/>
        </w:tabs>
        <w:spacing w:before="60" w:after="0"/>
        <w:ind w:left="0" w:hanging="0"/>
        <w:rPr>
          <w:lang w:val="en-US"/>
        </w:rPr>
      </w:pPr>
      <w:r>
        <w:rPr>
          <w:lang w:val="en-US"/>
        </w:rPr>
        <w:t>Agenda item:</w:t>
        <w:tab/>
        <w:t>8</w:t>
      </w:r>
    </w:p>
    <w:p>
      <w:pPr>
        <w:pStyle w:val="Heading1"/>
        <w:numPr>
          <w:ilvl w:val="0"/>
          <w:numId w:val="0"/>
        </w:numPr>
        <w:tabs>
          <w:tab w:val="clear" w:pos="1298"/>
          <w:tab w:val="left" w:pos="1985" w:leader="none"/>
        </w:tabs>
        <w:spacing w:before="60" w:after="0"/>
        <w:ind w:left="0" w:hanging="0"/>
        <w:rPr>
          <w:lang w:val="en-US"/>
        </w:rPr>
      </w:pPr>
      <w:r>
        <w:rPr>
          <w:lang w:val="en-US"/>
        </w:rPr>
      </w:r>
    </w:p>
    <w:p>
      <w:pPr>
        <w:pStyle w:val="Header"/>
        <w:tabs>
          <w:tab w:val="clear" w:pos="4153"/>
          <w:tab w:val="clear" w:pos="8306"/>
        </w:tabs>
        <w:rPr>
          <w:lang w:val="en-US"/>
        </w:rPr>
      </w:pPr>
      <w:r>
        <w:rPr>
          <w:lang w:val="en-US"/>
        </w:rPr>
        <w:t>___________________________________________________________________________</w:t>
      </w:r>
    </w:p>
    <w:p>
      <w:pPr>
        <w:pStyle w:val="Normal"/>
        <w:rPr>
          <w:lang w:val="en-US"/>
        </w:rPr>
      </w:pPr>
      <w:r>
        <w:rPr>
          <w:lang w:val="en-US"/>
        </w:rPr>
      </w:r>
    </w:p>
    <w:p>
      <w:pPr>
        <w:pStyle w:val="Heading1"/>
        <w:rPr>
          <w:lang w:val="en-US"/>
        </w:rPr>
      </w:pPr>
      <w:r>
        <w:rPr>
          <w:lang w:val="en-US"/>
        </w:rPr>
        <w:t>Introduction</w:t>
      </w:r>
    </w:p>
    <w:p>
      <w:pPr>
        <w:pStyle w:val="11BodyText"/>
        <w:rPr>
          <w:lang w:val="en-US"/>
        </w:rPr>
      </w:pPr>
      <w:r>
        <w:rPr>
          <w:lang w:val="en-US"/>
        </w:rPr>
        <w:t xml:space="preserve">This document provides a preliminary verification plan for the Rel-6 PSM/MMS/MBMS fixed-point audio codec standardization. The source code of the fixed-point version of both audio codec will be brought to TSG-SA for approval (TSG-SA#27, March 14-17, 2005). Some critical items (as listed in [1]) will be verified by volunteering organizations before the source code is brought to TSG-SA. </w:t>
      </w:r>
    </w:p>
    <w:p>
      <w:pPr>
        <w:pStyle w:val="11BodyText"/>
        <w:rPr/>
      </w:pPr>
      <w:r>
        <w:rPr/>
        <w:t xml:space="preserve">The codecs under consideration are the </w:t>
      </w:r>
      <w:r>
        <w:rPr>
          <w:lang w:val="en-US"/>
        </w:rPr>
        <w:t>extended-AMRWB (AMRWB+) and the enhanced aacPlus (e-aacPlus). The task under consideration is the item listed as 3 in [1]: “verification of the format of the C-code, correct implementation of complexity counters”.</w:t>
      </w:r>
    </w:p>
    <w:p>
      <w:pPr>
        <w:pStyle w:val="Heading1"/>
        <w:rPr>
          <w:lang w:val="en-US"/>
        </w:rPr>
      </w:pPr>
      <w:r>
        <w:rPr>
          <w:lang w:val="en-US"/>
        </w:rPr>
        <w:t>Verification of the format of the C-code</w:t>
      </w:r>
    </w:p>
    <w:p>
      <w:pPr>
        <w:pStyle w:val="Heading2"/>
        <w:rPr>
          <w:lang w:val="en-US"/>
        </w:rPr>
      </w:pPr>
      <w:r>
        <w:rPr>
          <w:lang w:val="en-US"/>
        </w:rPr>
        <w:t>Source-code verification</w:t>
      </w:r>
    </w:p>
    <w:p>
      <w:pPr>
        <w:pStyle w:val="11BodyText"/>
        <w:rPr>
          <w:lang w:val="en-US"/>
        </w:rPr>
      </w:pPr>
      <w:r>
        <w:rPr>
          <w:lang w:val="en-US"/>
        </w:rPr>
        <w:t>The verification laboratory checks that the C-code has been correctly implemented with basic operators (according to [2]) and that the C-code correctly implements the instrumentation that shall generate a maximum WMOPS score for each sample file.</w:t>
      </w:r>
    </w:p>
    <w:p>
      <w:pPr>
        <w:pStyle w:val="11BodyText"/>
        <w:rPr>
          <w:lang w:val="en-US"/>
        </w:rPr>
      </w:pPr>
      <w:r>
        <w:rPr>
          <w:lang w:val="en-US"/>
        </w:rPr>
        <w:t>Details of the instrumentation that may be used during the memory complexity (as described in Annex A) shall also be taken into consideration when the instrumentation of the source code is verified.</w:t>
      </w:r>
    </w:p>
    <w:p>
      <w:pPr>
        <w:pStyle w:val="11BodyText"/>
        <w:rPr>
          <w:lang w:val="en-US"/>
        </w:rPr>
      </w:pPr>
      <w:r>
        <w:rPr>
          <w:lang w:val="en-US"/>
        </w:rPr>
        <w:t>In case of ambiguity, similar cases will be identified from the source code of the AMR speech codec and a decision will be proposed accordingly.</w:t>
      </w:r>
    </w:p>
    <w:p>
      <w:pPr>
        <w:pStyle w:val="11BodyText"/>
        <w:rPr/>
      </w:pPr>
      <w:r>
        <w:rPr/>
        <w:t>The source code of the audio decoders will be verified first. The core of the AMR-WB contained inside the AMR-WB+ does not need to be verified either.</w:t>
      </w:r>
    </w:p>
    <w:p>
      <w:pPr>
        <w:pStyle w:val="Heading1"/>
        <w:rPr>
          <w:lang w:val="en-US"/>
        </w:rPr>
      </w:pPr>
      <w:r>
        <w:rPr>
          <w:lang w:val="en-US"/>
        </w:rPr>
        <w:t>Workplan</w:t>
      </w:r>
    </w:p>
    <w:p>
      <w:pPr>
        <w:pStyle w:val="Heading2"/>
        <w:rPr>
          <w:lang w:val="en-US"/>
        </w:rPr>
      </w:pPr>
      <w:r>
        <w:rPr>
          <w:lang w:val="en-US"/>
        </w:rPr>
        <w:t>Verification laboratories</w:t>
      </w:r>
    </w:p>
    <w:p>
      <w:pPr>
        <w:pStyle w:val="11BodyText"/>
        <w:rPr/>
      </w:pPr>
      <w:r>
        <w:rPr>
          <w:lang w:val="en-US"/>
        </w:rPr>
        <w:t xml:space="preserve">The verification of the source code will be performed by STMicroelectronics (contact is </w:t>
      </w:r>
      <w:hyperlink r:id="rId2">
        <w:r>
          <w:rPr>
            <w:rStyle w:val="InternetLink"/>
            <w:lang w:val="en-US"/>
          </w:rPr>
          <w:t>stephan.tassart@st.com</w:t>
        </w:r>
      </w:hyperlink>
      <w:r>
        <w:rPr>
          <w:lang w:val="en-US"/>
        </w:rPr>
        <w:t xml:space="preserve">) </w:t>
      </w:r>
      <w:r>
        <w:rPr>
          <w:highlight w:val="yellow"/>
          <w:lang w:val="en-US"/>
        </w:rPr>
        <w:t>[and any other volunteering companies]</w:t>
      </w:r>
      <w:r>
        <w:rPr/>
        <w:t xml:space="preserve">. </w:t>
      </w:r>
    </w:p>
    <w:tbl>
      <w:tblPr>
        <w:tblW w:w="8127" w:type="dxa"/>
        <w:jc w:val="left"/>
        <w:tblInd w:w="1615" w:type="dxa"/>
        <w:tblLayout w:type="fixed"/>
        <w:tblCellMar>
          <w:top w:w="0" w:type="dxa"/>
          <w:left w:w="108" w:type="dxa"/>
          <w:bottom w:w="0" w:type="dxa"/>
          <w:right w:w="108" w:type="dxa"/>
        </w:tblCellMar>
      </w:tblPr>
      <w:tblGrid>
        <w:gridCol w:w="2700"/>
        <w:gridCol w:w="3510"/>
        <w:gridCol w:w="1917"/>
      </w:tblGrid>
      <w:tr>
        <w:trPr>
          <w:trHeight w:val="305" w:hRule="atLeast"/>
        </w:trPr>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Task</w:t>
            </w:r>
          </w:p>
        </w:tc>
        <w:tc>
          <w:tcPr>
            <w:tcW w:w="351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Workload (lines of C code)</w:t>
            </w:r>
          </w:p>
        </w:tc>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Company</w:t>
            </w:r>
          </w:p>
        </w:tc>
      </w:tr>
      <w:tr>
        <w:trPr>
          <w:trHeight w:val="244"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 xml:space="preserve">decoder e-aacPlus </w:t>
            </w:r>
          </w:p>
        </w:tc>
        <w:tc>
          <w:tcPr>
            <w:tcW w:w="35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28000</w:t>
            </w:r>
          </w:p>
        </w:tc>
        <w:tc>
          <w:tcPr>
            <w:tcW w:w="1917"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w:t>
            </w:r>
          </w:p>
        </w:tc>
      </w:tr>
      <w:tr>
        <w:trPr>
          <w:trHeight w:val="244"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 xml:space="preserve">decoder AMRWB+ </w:t>
            </w:r>
          </w:p>
        </w:tc>
        <w:tc>
          <w:tcPr>
            <w:tcW w:w="35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21000</w:t>
            </w:r>
            <w:r>
              <w:rPr>
                <w:vertAlign w:val="superscript"/>
                <w:lang w:val="en-US"/>
              </w:rPr>
              <w:t>(1)</w:t>
            </w:r>
          </w:p>
        </w:tc>
        <w:tc>
          <w:tcPr>
            <w:tcW w:w="1917"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w:t>
            </w:r>
          </w:p>
        </w:tc>
      </w:tr>
      <w:tr>
        <w:trPr>
          <w:trHeight w:val="244"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 xml:space="preserve">encoder e-aacPlus </w:t>
            </w:r>
          </w:p>
        </w:tc>
        <w:tc>
          <w:tcPr>
            <w:tcW w:w="351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c>
          <w:tcPr>
            <w:tcW w:w="191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4"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 xml:space="preserve">encoder AMRWB+ </w:t>
            </w:r>
          </w:p>
        </w:tc>
        <w:tc>
          <w:tcPr>
            <w:tcW w:w="35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14000</w:t>
            </w:r>
            <w:r>
              <w:rPr>
                <w:vertAlign w:val="superscript"/>
                <w:lang w:val="en-US"/>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bl>
    <w:p>
      <w:pPr>
        <w:pStyle w:val="11BodyText"/>
        <w:rPr>
          <w:lang w:val="en-US"/>
        </w:rPr>
      </w:pPr>
      <w:r>
        <w:rPr>
          <w:lang w:val="en-US"/>
        </w:rPr>
      </w:r>
    </w:p>
    <w:p>
      <w:pPr>
        <w:pStyle w:val="11BodyText"/>
        <w:rPr/>
      </w:pPr>
      <w:r>
        <w:rPr>
          <w:vertAlign w:val="superscript"/>
          <w:lang w:val="en-US"/>
        </w:rPr>
        <w:t>(1)</w:t>
      </w:r>
      <w:r>
        <w:rPr>
          <w:lang w:val="en-US"/>
        </w:rPr>
        <w:t>: some of the libraries needed in the AMRWB+ decoder are shared with the code AMRWB decoder and are not taken into account in this figure.</w:t>
      </w:r>
    </w:p>
    <w:p>
      <w:pPr>
        <w:pStyle w:val="11BodyText"/>
        <w:rPr/>
      </w:pPr>
      <w:r>
        <w:rPr>
          <w:vertAlign w:val="superscript"/>
          <w:lang w:val="en-US"/>
        </w:rPr>
        <w:t>(2)</w:t>
      </w:r>
      <w:r>
        <w:rPr>
          <w:lang w:val="en-US"/>
        </w:rPr>
        <w:t>: some of the libraries needed in the AMRWB+ encoder are shared with the AMRWB+ decoder or the AMRWB core encoder and are not taken into account in this figure.</w:t>
      </w:r>
    </w:p>
    <w:p>
      <w:pPr>
        <w:pStyle w:val="Heading2"/>
        <w:rPr>
          <w:lang w:val="en-US"/>
        </w:rPr>
      </w:pPr>
      <w:r>
        <w:rPr>
          <w:lang w:val="en-US"/>
        </w:rPr>
        <w:t>Schedule</w:t>
      </w:r>
    </w:p>
    <w:p>
      <w:pPr>
        <w:pStyle w:val="11BodyText"/>
        <w:rPr/>
      </w:pPr>
      <w:r>
        <w:rPr/>
        <w:t>The workplan is organized as follow:</w:t>
      </w:r>
    </w:p>
    <w:tbl>
      <w:tblPr>
        <w:tblW w:w="8010" w:type="dxa"/>
        <w:jc w:val="left"/>
        <w:tblInd w:w="1345" w:type="dxa"/>
        <w:tblLayout w:type="fixed"/>
        <w:tblCellMar>
          <w:top w:w="0" w:type="dxa"/>
          <w:left w:w="108" w:type="dxa"/>
          <w:bottom w:w="0" w:type="dxa"/>
          <w:right w:w="108" w:type="dxa"/>
        </w:tblCellMar>
      </w:tblPr>
      <w:tblGrid>
        <w:gridCol w:w="1980"/>
        <w:gridCol w:w="6030"/>
      </w:tblGrid>
      <w:tr>
        <w:trPr/>
        <w:tc>
          <w:tcPr>
            <w:tcW w:w="1980" w:type="dxa"/>
            <w:tcBorders>
              <w:top w:val="single" w:sz="4" w:space="0" w:color="000000"/>
              <w:left w:val="single" w:sz="4" w:space="0" w:color="000000"/>
              <w:bottom w:val="single" w:sz="4" w:space="0" w:color="000000"/>
              <w:right w:val="single" w:sz="4" w:space="0" w:color="000000"/>
            </w:tcBorders>
            <w:shd w:fill="C0C0C0" w:val="clear"/>
            <w:vAlign w:val="bottom"/>
          </w:tcPr>
          <w:p>
            <w:pPr>
              <w:pStyle w:val="11BodyText"/>
              <w:spacing w:before="120" w:after="120"/>
              <w:ind w:left="0" w:hanging="0"/>
              <w:jc w:val="center"/>
              <w:rPr>
                <w:b/>
                <w:b/>
                <w:bCs/>
                <w:lang w:val="en-US"/>
              </w:rPr>
            </w:pPr>
            <w:r>
              <w:rPr>
                <w:b/>
                <w:bCs/>
                <w:lang w:val="en-US"/>
              </w:rPr>
              <w:t>Date</w:t>
            </w:r>
          </w:p>
        </w:tc>
        <w:tc>
          <w:tcPr>
            <w:tcW w:w="6030" w:type="dxa"/>
            <w:tcBorders>
              <w:top w:val="single" w:sz="4" w:space="0" w:color="000000"/>
              <w:left w:val="single" w:sz="4" w:space="0" w:color="000000"/>
              <w:bottom w:val="single" w:sz="4" w:space="0" w:color="000000"/>
              <w:right w:val="single" w:sz="4" w:space="0" w:color="000000"/>
            </w:tcBorders>
            <w:shd w:fill="C0C0C0" w:val="clear"/>
          </w:tcPr>
          <w:p>
            <w:pPr>
              <w:pStyle w:val="11BodyText"/>
              <w:spacing w:before="120" w:after="120"/>
              <w:ind w:left="0" w:hanging="0"/>
              <w:jc w:val="center"/>
              <w:rPr>
                <w:b/>
                <w:b/>
                <w:bCs/>
                <w:lang w:val="en-US"/>
              </w:rPr>
            </w:pPr>
            <w:r>
              <w:rPr>
                <w:b/>
                <w:bCs/>
                <w:lang w:val="en-US"/>
              </w:rPr>
              <w:t>Actions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16</w:t>
            </w:r>
            <w:r>
              <w:rPr>
                <w:b/>
                <w:bCs/>
                <w:vertAlign w:val="superscript"/>
                <w:lang w:val="en-US"/>
              </w:rPr>
              <w:t>th</w:t>
            </w:r>
            <w:r>
              <w:rPr>
                <w:b/>
                <w:bCs/>
                <w:lang w:val="en-US"/>
              </w:rPr>
              <w:t xml:space="preserve"> Feb. 2005</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The source code of the fixed-point version of AMRWB+ is transferred to the verification laboratories.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16</w:t>
            </w:r>
            <w:r>
              <w:rPr>
                <w:b/>
                <w:bCs/>
                <w:vertAlign w:val="superscript"/>
                <w:lang w:val="en-US"/>
              </w:rPr>
              <w:t>th</w:t>
            </w:r>
            <w:r>
              <w:rPr>
                <w:b/>
                <w:bCs/>
                <w:lang w:val="en-US"/>
              </w:rPr>
              <w:t xml:space="preserve"> Feb. 2005</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The source code of the fixed-point version of e-aacPlus is transferred to the verification laboratories.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17</w:t>
            </w:r>
            <w:r>
              <w:rPr>
                <w:b/>
                <w:bCs/>
                <w:vertAlign w:val="superscript"/>
                <w:lang w:val="en-US"/>
              </w:rPr>
              <w:t>th</w:t>
            </w:r>
            <w:r>
              <w:rPr>
                <w:b/>
                <w:bCs/>
                <w:lang w:val="en-US"/>
              </w:rPr>
              <w:t xml:space="preserve"> - 18</w:t>
            </w:r>
            <w:r>
              <w:rPr>
                <w:b/>
                <w:bCs/>
                <w:vertAlign w:val="superscript"/>
                <w:lang w:val="en-US"/>
              </w:rPr>
              <w:t>th</w:t>
            </w:r>
            <w:r>
              <w:rPr>
                <w:b/>
                <w:bCs/>
                <w:lang w:val="en-US"/>
              </w:rPr>
              <w:t xml:space="preserve"> Feb.</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Preliminary checks of the format of the source code.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21</w:t>
            </w:r>
            <w:r>
              <w:rPr>
                <w:b/>
                <w:bCs/>
                <w:vertAlign w:val="superscript"/>
                <w:lang w:val="en-US"/>
              </w:rPr>
              <w:t>th</w:t>
            </w:r>
            <w:r>
              <w:rPr>
                <w:b/>
                <w:bCs/>
                <w:lang w:val="en-US"/>
              </w:rPr>
              <w:t xml:space="preserve"> – 25</w:t>
            </w:r>
            <w:r>
              <w:rPr>
                <w:b/>
                <w:bCs/>
                <w:vertAlign w:val="superscript"/>
                <w:lang w:val="en-US"/>
              </w:rPr>
              <w:t>th</w:t>
            </w:r>
            <w:r>
              <w:rPr>
                <w:b/>
                <w:bCs/>
                <w:lang w:val="en-US"/>
              </w:rPr>
              <w:t xml:space="preserve"> Feb.</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Meeting SA4#34 – Lisboa</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w:t>
            </w:r>
            <w:r>
              <w:rPr>
                <w:b/>
                <w:bCs/>
                <w:vertAlign w:val="superscript"/>
                <w:lang w:val="en-US"/>
              </w:rPr>
              <w:t>st</w:t>
            </w:r>
            <w:r>
              <w:rPr>
                <w:b/>
                <w:bCs/>
                <w:lang w:val="en-US"/>
              </w:rPr>
              <w:t xml:space="preserve"> - 3</w:t>
            </w:r>
            <w:r>
              <w:rPr>
                <w:b/>
                <w:bCs/>
                <w:vertAlign w:val="superscript"/>
                <w:lang w:val="en-US"/>
              </w:rPr>
              <w:t>rd</w:t>
            </w:r>
            <w:r>
              <w:rPr>
                <w:b/>
                <w:bCs/>
                <w:lang w:val="en-US"/>
              </w:rPr>
              <w:t xml:space="preserve"> Mar. </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Verification of the source code instrumentation of the AMRWB+ decoder (25000 lines of C-code).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4</w:t>
            </w:r>
            <w:r>
              <w:rPr>
                <w:b/>
                <w:bCs/>
                <w:vertAlign w:val="superscript"/>
                <w:lang w:val="en-US"/>
              </w:rPr>
              <w:t>th</w:t>
            </w:r>
            <w:r>
              <w:rPr>
                <w:b/>
                <w:bCs/>
                <w:lang w:val="en-US"/>
              </w:rPr>
              <w:t xml:space="preserve"> - 8</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Verification of the source code instrumentation of the e-aacPlus decoder (25000 lines of C-code).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9</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Conf call 2pm CET: Discussion of partial verification results + test results.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11</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Partial verification report completed: verification of the format of the source code.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14</w:t>
            </w:r>
            <w:r>
              <w:rPr>
                <w:b/>
                <w:bCs/>
                <w:vertAlign w:val="superscript"/>
                <w:lang w:val="en-US"/>
              </w:rPr>
              <w:t>th</w:t>
            </w:r>
            <w:r>
              <w:rPr>
                <w:b/>
                <w:bCs/>
                <w:lang w:val="en-US"/>
              </w:rPr>
              <w:t xml:space="preserve"> - 17</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Meeting TSG SA#27 (Tokyo).</w:t>
            </w:r>
          </w:p>
        </w:tc>
      </w:tr>
    </w:tbl>
    <w:p>
      <w:pPr>
        <w:pStyle w:val="11BodyText"/>
        <w:rPr>
          <w:lang w:val="en-US"/>
        </w:rPr>
      </w:pPr>
      <w:r>
        <w:rPr>
          <w:lang w:val="en-US"/>
        </w:rPr>
      </w:r>
    </w:p>
    <w:p>
      <w:pPr>
        <w:pStyle w:val="Heading1"/>
        <w:rPr>
          <w:lang w:val="en-US"/>
        </w:rPr>
      </w:pPr>
      <w:r>
        <w:rPr>
          <w:lang w:val="en-US"/>
        </w:rPr>
        <w:t>References</w:t>
      </w:r>
    </w:p>
    <w:p>
      <w:pPr>
        <w:pStyle w:val="Normal"/>
        <w:ind w:left="1276" w:hanging="1276"/>
        <w:rPr/>
      </w:pPr>
      <w:r>
        <w:rPr>
          <w:lang w:val="en-US"/>
        </w:rPr>
        <w:t>[1]</w:t>
        <w:tab/>
        <w:t>S4-030745 “Audio codec</w:t>
      </w:r>
      <w:r>
        <w:rPr>
          <w:bCs/>
          <w:sz w:val="24"/>
          <w:lang w:val="en-US"/>
        </w:rPr>
        <w:t xml:space="preserve"> verification phase items</w:t>
      </w:r>
      <w:r>
        <w:rPr>
          <w:lang w:val="en-US"/>
        </w:rPr>
        <w:t>”</w:t>
      </w:r>
    </w:p>
    <w:p>
      <w:pPr>
        <w:pStyle w:val="Normal"/>
        <w:ind w:left="1276" w:hanging="1276"/>
        <w:rPr>
          <w:lang w:val="en-US"/>
        </w:rPr>
      </w:pPr>
      <w:r>
        <w:rPr>
          <w:lang w:val="en-US"/>
        </w:rPr>
        <w:t>[2]</w:t>
        <w:tab/>
        <w:t>ETSI SMG-11 AMR#9 “Complexity and delay assessment”</w:t>
      </w:r>
    </w:p>
    <w:p>
      <w:pPr>
        <w:pStyle w:val="Normal"/>
        <w:ind w:left="1276" w:hanging="1276"/>
        <w:rPr>
          <w:lang w:val="en-US"/>
        </w:rPr>
      </w:pPr>
      <w:r>
        <w:rPr>
          <w:lang w:val="en-US"/>
        </w:rPr>
      </w:r>
    </w:p>
    <w:p>
      <w:pPr>
        <w:pStyle w:val="AnnexA"/>
        <w:numPr>
          <w:ilvl w:val="0"/>
          <w:numId w:val="2"/>
        </w:numPr>
        <w:spacing w:before="0" w:after="120"/>
        <w:rPr/>
      </w:pPr>
      <w:r>
        <w:rPr/>
        <w:t>RAM and ROM Complexity verification</w:t>
      </w:r>
    </w:p>
    <w:p>
      <w:pPr>
        <w:pStyle w:val="Style11"/>
        <w:numPr>
          <w:ilvl w:val="1"/>
          <w:numId w:val="4"/>
        </w:numPr>
        <w:rPr/>
      </w:pPr>
      <w:r>
        <w:rPr/>
        <w:t>Definition</w:t>
      </w:r>
    </w:p>
    <w:p>
      <w:pPr>
        <w:pStyle w:val="11BodyText"/>
        <w:rPr>
          <w:lang w:val="en-US"/>
        </w:rPr>
      </w:pPr>
      <w:r>
        <w:rPr>
          <w:lang w:val="en-US"/>
        </w:rPr>
        <w:t>The RAM memory used by the software is the sum of all the non-const arrays or variables defined with a global visibility, all the static arrays or variables (known as the static memory or permanent allocation) and the maximum amount of RAM required by the stack (known as the scratch memory).</w:t>
      </w:r>
    </w:p>
    <w:p>
      <w:pPr>
        <w:pStyle w:val="11BodyText"/>
        <w:rPr/>
      </w:pPr>
      <w:r>
        <w:rPr>
          <w:lang w:val="en-US"/>
        </w:rPr>
        <w:t>The ROM memory used by the software is the sum of all the const arrays or variables (defined in a global or in local visibility).</w:t>
      </w:r>
      <w:r>
        <w:rPr>
          <w:lang w:val="en-AU"/>
        </w:rPr>
        <w:t xml:space="preserve"> The ROM memory does not include the program ROM (cf. [9]).</w:t>
      </w:r>
    </w:p>
    <w:p>
      <w:pPr>
        <w:pStyle w:val="11BodyText"/>
        <w:rPr>
          <w:lang w:val="en-AU"/>
        </w:rPr>
      </w:pPr>
      <w:r>
        <w:rPr>
          <w:lang w:val="en-AU"/>
        </w:rPr>
        <w:t>The following sample source code explains how the RAM and the ROM memory are evaluated.</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        buff[16];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const Word32  tab[32];</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 xml:space="preserve">func(void *state, Word16 a, const Word16 v[])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ret;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local_buff[8];</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static Word16 state=START;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return ret;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sz w:val="16"/>
          <w:lang w:val="en-US"/>
        </w:rPr>
      </w:pPr>
      <w:r>
        <w:rPr>
          <w:rFonts w:cs="Courier" w:ascii="Courier" w:hAnsi="Courier"/>
          <w:sz w:val="16"/>
          <w:lang w:val="en-US"/>
        </w:rPr>
        <w:t>}</w:t>
      </w:r>
    </w:p>
    <w:p>
      <w:pPr>
        <w:pStyle w:val="Caption"/>
        <w:ind w:left="1267" w:hanging="0"/>
        <w:jc w:val="center"/>
        <w:rPr/>
      </w:pPr>
      <w:r>
        <w:rPr/>
        <w:t xml:space="preserve">Code </w:t>
      </w:r>
      <w:r>
        <w:rPr/>
        <w:fldChar w:fldCharType="begin"/>
      </w:r>
      <w:r>
        <w:rPr/>
        <w:instrText xml:space="preserve"> SEQ Code \* ARABIC </w:instrText>
      </w:r>
      <w:r>
        <w:rPr/>
        <w:fldChar w:fldCharType="separate"/>
      </w:r>
      <w:r>
        <w:rPr/>
        <w:t>1</w:t>
      </w:r>
      <w:r>
        <w:rPr/>
        <w:fldChar w:fldCharType="end"/>
      </w:r>
      <w:r>
        <w:rPr/>
        <w:t>: Example of instrumented C-code</w:t>
      </w:r>
    </w:p>
    <w:p>
      <w:pPr>
        <w:pStyle w:val="11BodyText"/>
        <w:rPr/>
      </w:pPr>
      <w:r>
        <w:rPr/>
        <w:t>In this small example, the memory complexity would be evaluated as follow:</w:t>
      </w:r>
    </w:p>
    <w:tbl>
      <w:tblPr>
        <w:tblW w:w="8190" w:type="dxa"/>
        <w:jc w:val="left"/>
        <w:tblInd w:w="1345" w:type="dxa"/>
        <w:tblLayout w:type="fixed"/>
        <w:tblCellMar>
          <w:top w:w="0" w:type="dxa"/>
          <w:left w:w="108" w:type="dxa"/>
          <w:bottom w:w="0" w:type="dxa"/>
          <w:right w:w="108" w:type="dxa"/>
        </w:tblCellMar>
      </w:tblPr>
      <w:tblGrid>
        <w:gridCol w:w="3510"/>
        <w:gridCol w:w="2700"/>
        <w:gridCol w:w="1980"/>
      </w:tblGrid>
      <w:tr>
        <w:trPr>
          <w:trHeight w:val="305" w:hRule="atLeast"/>
        </w:trPr>
        <w:tc>
          <w:tcPr>
            <w:tcW w:w="35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 instruction</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Type of memory</w:t>
            </w:r>
          </w:p>
        </w:tc>
        <w:tc>
          <w:tcPr>
            <w:tcW w:w="19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Accounted for</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buff[16]</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static 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16</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const Word32 tab[32]</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ROM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64</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void *state</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a</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const Word16 v[]</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ret</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local_buff[8]</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8</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static Word16 state</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static 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Return</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pop (-12)</w:t>
            </w:r>
          </w:p>
        </w:tc>
      </w:tr>
    </w:tbl>
    <w:p>
      <w:pPr>
        <w:pStyle w:val="Caption"/>
        <w:ind w:left="1267" w:hanging="0"/>
        <w:jc w:val="center"/>
        <w:rPr/>
      </w:pPr>
      <w:r>
        <w:rPr/>
        <w:t xml:space="preserve">Table 4: Example of memory assessment  </w:t>
      </w:r>
    </w:p>
    <w:p>
      <w:pPr>
        <w:pStyle w:val="Style11"/>
        <w:numPr>
          <w:ilvl w:val="1"/>
          <w:numId w:val="4"/>
        </w:numPr>
        <w:rPr/>
      </w:pPr>
      <w:r>
        <w:rPr/>
        <w:t xml:space="preserve">Additional definitions </w:t>
      </w:r>
    </w:p>
    <w:p>
      <w:pPr>
        <w:pStyle w:val="TextBodyIndent"/>
        <w:rPr/>
      </w:pPr>
      <w:r>
        <w:rPr/>
        <w:t>Static RAM array initialization</w:t>
      </w:r>
    </w:p>
    <w:p>
      <w:pPr>
        <w:pStyle w:val="11BodyText"/>
        <w:rPr>
          <w:rFonts w:eastAsia="MS Mincho;ＭＳ 明朝"/>
          <w:lang w:eastAsia="ja-JP"/>
        </w:rPr>
      </w:pPr>
      <w:r>
        <w:rPr>
          <w:rFonts w:eastAsia="MS Mincho;ＭＳ 明朝"/>
          <w:lang w:eastAsia="ja-JP"/>
        </w:rPr>
        <w:t>Arrays that are allocated and initialised in the static RAM are accounted simultaneously in static RAM and in ROM.</w:t>
      </w:r>
    </w:p>
    <w:p>
      <w:pPr>
        <w:pStyle w:val="TextBodyIndent"/>
        <w:rPr/>
      </w:pPr>
      <w:r>
        <w:rPr/>
        <w:t>Stack array initialization</w:t>
      </w:r>
    </w:p>
    <w:p>
      <w:pPr>
        <w:pStyle w:val="11BodyText"/>
        <w:rPr/>
      </w:pPr>
      <w:r>
        <w:rPr>
          <w:rFonts w:eastAsia="MS Mincho;ＭＳ 明朝"/>
          <w:lang w:eastAsia="ja-JP"/>
        </w:rPr>
        <w:t xml:space="preserve">Arrays that are allocated and initialised in the stack are accounted only in static RAM. Furthermore, the code shall be instrumented with as many </w:t>
      </w:r>
      <w:r>
        <w:rPr>
          <w:rFonts w:eastAsia="MS Mincho;ＭＳ 明朝" w:cs="Courier" w:ascii="Courier" w:hAnsi="Courier"/>
          <w:lang w:eastAsia="ja-JP"/>
        </w:rPr>
        <w:t>move16()</w:t>
      </w:r>
      <w:r>
        <w:rPr>
          <w:rFonts w:eastAsia="MS Mincho;ＭＳ 明朝"/>
          <w:lang w:eastAsia="ja-JP"/>
        </w:rPr>
        <w:t xml:space="preserve"> (resp. </w:t>
      </w:r>
      <w:r>
        <w:rPr>
          <w:rFonts w:eastAsia="MS Mincho;ＭＳ 明朝" w:cs="Courier" w:ascii="Courier" w:hAnsi="Courier"/>
          <w:lang w:eastAsia="ja-JP"/>
        </w:rPr>
        <w:t>move32()</w:t>
      </w:r>
      <w:r>
        <w:rPr>
          <w:rFonts w:eastAsia="MS Mincho;ＭＳ 明朝"/>
          <w:lang w:eastAsia="ja-JP"/>
        </w:rPr>
        <w:t>) basic operations than necessary in order to take into account the actual initialisation process. Here follows a small example:</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 xml:space="preserve">func_proc(Word16 a, Word32 b)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autoBuff[4]={0x4000, 0x1400, 0xFC00, 0xAFF0};</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move16();move16();move16();move16();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return 0;</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lang w:val="en-US"/>
        </w:rPr>
      </w:pPr>
      <w:r>
        <w:rPr>
          <w:rFonts w:cs="Courier" w:ascii="Courier" w:hAnsi="Courier"/>
          <w:sz w:val="16"/>
          <w:lang w:val="en-US"/>
        </w:rPr>
        <w:t>}</w:t>
      </w:r>
    </w:p>
    <w:p>
      <w:pPr>
        <w:pStyle w:val="Caption"/>
        <w:ind w:left="1267" w:hanging="0"/>
        <w:jc w:val="center"/>
        <w:rPr>
          <w:rFonts w:eastAsia="MS Mincho;ＭＳ 明朝"/>
          <w:lang w:eastAsia="ja-JP"/>
        </w:rPr>
      </w:pPr>
      <w:r>
        <w:rPr/>
        <w:t xml:space="preserve">Code </w:t>
      </w:r>
      <w:r>
        <w:rPr/>
        <w:fldChar w:fldCharType="begin"/>
      </w:r>
      <w:r>
        <w:rPr/>
        <w:instrText xml:space="preserve"> SEQ Code \* ARABIC </w:instrText>
      </w:r>
      <w:r>
        <w:rPr/>
        <w:fldChar w:fldCharType="separate"/>
      </w:r>
      <w:r>
        <w:rPr/>
        <w:t>2</w:t>
      </w:r>
      <w:r>
        <w:rPr/>
        <w:fldChar w:fldCharType="end"/>
      </w:r>
      <w:r>
        <w:rPr/>
        <w:t>: Instrumented C-code initializing an array in the stack</w:t>
      </w:r>
    </w:p>
    <w:p>
      <w:pPr>
        <w:pStyle w:val="11BodyText"/>
        <w:rPr>
          <w:rFonts w:eastAsia="MS Mincho;ＭＳ 明朝"/>
          <w:lang w:val="en-US" w:eastAsia="ja-JP"/>
        </w:rPr>
      </w:pPr>
      <w:r>
        <w:rPr>
          <w:rFonts w:eastAsia="MS Mincho;ＭＳ 明朝"/>
          <w:lang w:val="en-US" w:eastAsia="ja-JP"/>
        </w:rPr>
      </w:r>
    </w:p>
    <w:p>
      <w:pPr>
        <w:pStyle w:val="11BodyText"/>
        <w:rPr>
          <w:rFonts w:eastAsia="MS Mincho;ＭＳ 明朝"/>
          <w:lang w:eastAsia="ja-JP"/>
        </w:rPr>
      </w:pPr>
      <w:r>
        <w:rPr>
          <w:rFonts w:eastAsia="MS Mincho;ＭＳ 明朝"/>
          <w:lang w:eastAsia="ja-JP"/>
        </w:rPr>
        <w:t>Said differently, the process of initialising an array allocated in the stack is formally equivalent to the following C-code fragment: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 xml:space="preserve">func_proc(Word16 a, Word32 b)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autoBuff[4];</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autoBuff[0] = 0x4000; 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autoBuff[1] = 0x1400; 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autoBuff[2] = 0xFC00; 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autoBuff[3] = 0xAFF0; 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return 0;</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lang w:val="en-US"/>
        </w:rPr>
      </w:pPr>
      <w:r>
        <w:rPr>
          <w:rFonts w:cs="Courier" w:ascii="Courier" w:hAnsi="Courier"/>
          <w:sz w:val="16"/>
          <w:lang w:val="en-US"/>
        </w:rPr>
        <w:t>}</w:t>
      </w:r>
    </w:p>
    <w:p>
      <w:pPr>
        <w:pStyle w:val="Caption"/>
        <w:ind w:left="1267" w:hanging="0"/>
        <w:jc w:val="center"/>
        <w:rPr>
          <w:rFonts w:eastAsia="MS Mincho;ＭＳ 明朝"/>
          <w:lang w:eastAsia="ja-JP"/>
        </w:rPr>
      </w:pPr>
      <w:r>
        <w:rPr/>
        <w:t xml:space="preserve">Code </w:t>
      </w:r>
      <w:r>
        <w:rPr/>
        <w:fldChar w:fldCharType="begin"/>
      </w:r>
      <w:r>
        <w:rPr/>
        <w:instrText xml:space="preserve"> SEQ Code \* ARABIC </w:instrText>
      </w:r>
      <w:r>
        <w:rPr/>
        <w:fldChar w:fldCharType="separate"/>
      </w:r>
      <w:r>
        <w:rPr/>
        <w:t>3</w:t>
      </w:r>
      <w:r>
        <w:rPr/>
        <w:fldChar w:fldCharType="end"/>
      </w:r>
      <w:r>
        <w:rPr/>
        <w:t>: Unambiguous equivalent C-code for initializing an array in the stack</w:t>
      </w:r>
    </w:p>
    <w:p>
      <w:pPr>
        <w:pStyle w:val="TextBodyIndent"/>
        <w:rPr/>
      </w:pPr>
      <w:r>
        <w:rPr/>
        <w:t>Constant value usage</w:t>
      </w:r>
    </w:p>
    <w:p>
      <w:pPr>
        <w:pStyle w:val="11BodyText"/>
        <w:rPr>
          <w:lang w:val="en-US"/>
        </w:rPr>
      </w:pPr>
      <w:r>
        <w:rPr>
          <w:lang w:val="en-US"/>
        </w:rPr>
        <w:t>Most C compilers for DSP will inline Word16 and Word32 constant values directly in the assembly language code. Therefore, constant values (such as 0x00400000L and 25798L) will not be included in the data ROM; instead they are included in the program source code.</w:t>
      </w:r>
    </w:p>
    <w:p>
      <w:pPr>
        <w:pStyle w:val="TextBodyIndent"/>
        <w:rPr/>
      </w:pPr>
      <w:bookmarkStart w:id="0" w:name="_Ref64743562"/>
      <w:r>
        <w:rPr/>
        <w:t>Summary</w:t>
      </w:r>
      <w:bookmarkEnd w:id="0"/>
    </w:p>
    <w:p>
      <w:pPr>
        <w:pStyle w:val="11BodyText"/>
        <w:rPr/>
      </w:pPr>
      <w:r>
        <w:rPr/>
        <w:t>The following table sums up the different configurations considered for assessing the complexity and the memory usage regarding the usage of constant values in the reference C-code.</w:t>
      </w:r>
    </w:p>
    <w:tbl>
      <w:tblPr>
        <w:tblW w:w="8190" w:type="dxa"/>
        <w:jc w:val="left"/>
        <w:tblInd w:w="1345" w:type="dxa"/>
        <w:tblLayout w:type="fixed"/>
        <w:tblCellMar>
          <w:top w:w="0" w:type="dxa"/>
          <w:left w:w="108" w:type="dxa"/>
          <w:bottom w:w="0" w:type="dxa"/>
          <w:right w:w="108" w:type="dxa"/>
        </w:tblCellMar>
      </w:tblPr>
      <w:tblGrid>
        <w:gridCol w:w="3510"/>
        <w:gridCol w:w="2700"/>
        <w:gridCol w:w="1980"/>
      </w:tblGrid>
      <w:tr>
        <w:trPr>
          <w:trHeight w:val="305" w:hRule="atLeast"/>
        </w:trPr>
        <w:tc>
          <w:tcPr>
            <w:tcW w:w="35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 instruction</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Type of memory</w:t>
            </w:r>
          </w:p>
        </w:tc>
        <w:tc>
          <w:tcPr>
            <w:tcW w:w="19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Accounted for</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swRand[4]={…};</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ROM + static 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 each</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autoBuff[4]={…};</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push 4</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((Word16)0x(vvvv))</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program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transparent</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0x(hhhhllll)L</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program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transparent</w:t>
            </w:r>
          </w:p>
        </w:tc>
      </w:tr>
    </w:tbl>
    <w:p>
      <w:pPr>
        <w:pStyle w:val="Caption"/>
        <w:ind w:left="1267" w:right="-426" w:hanging="0"/>
        <w:jc w:val="center"/>
        <w:rPr/>
      </w:pPr>
      <w:bookmarkStart w:id="1" w:name="_Ref64743501"/>
      <w:r>
        <w:rPr/>
        <w:t xml:space="preserve">Table </w:t>
      </w:r>
      <w:bookmarkEnd w:id="1"/>
      <w:r>
        <w:rPr/>
        <w:t xml:space="preserve">4: Memory assessment for initialization of arrays and constant value usage  </w:t>
      </w:r>
    </w:p>
    <w:p>
      <w:pPr>
        <w:pStyle w:val="TextBodyIndent"/>
        <w:rPr/>
      </w:pPr>
      <w:bookmarkStart w:id="2" w:name="_Ref64743633"/>
      <w:r>
        <w:rPr/>
        <w:t>Example C-code</w:t>
      </w:r>
      <w:bookmarkEnd w:id="2"/>
      <w:r>
        <w:rPr/>
        <w:t xml:space="preserve"> </w:t>
      </w:r>
    </w:p>
    <w:p>
      <w:pPr>
        <w:pStyle w:val="11BodyText"/>
        <w:rPr>
          <w:rFonts w:eastAsia="MS Mincho;ＭＳ 明朝"/>
          <w:lang w:eastAsia="ja-JP"/>
        </w:rPr>
      </w:pPr>
      <w:r>
        <w:rPr>
          <w:rFonts w:eastAsia="MS Mincho;ＭＳ 明朝"/>
          <w:lang w:eastAsia="ja-JP"/>
        </w:rPr>
        <w:t>This following imaginary sample code (which does nothing in particular) illustrates different cases that shall be taken into account for the memory assessment of the audio codecs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 initialization counting for 4 words in the ROM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        swRand[4] = {8, 12, -4, -7};</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 xml:space="preserve">func_proc(Word16 a, Word32 b)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idx, idx2;</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constant value counting for 0 words ROM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xml:space="preserve">Word32 enerLog = 0x00400000L;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initialization counting for 0 word ROM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autoBuff[4] = {0x4000, 0x1400, 0xFC00, 0xAFF0};</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enerLog initialization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move32();</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xml:space="preserve">/* autoBuff initialization */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xml:space="preserve">move16();move16();move16();move16();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xml:space="preserve">/* loop preparation */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idx2 = 0;   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for (idx=0;idx&lt;4;idx++)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autoBuff [idx] = swRand[idx2]; 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swRand[idx2] = /* small constant 25798L counting 0 word ROM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xml:space="preserve">extract_h(L_shr(L_add(25798L,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 xml:space="preserve">L_mult(swRand[idx2], 10037)),2));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move16();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return 0;</w:t>
      </w:r>
    </w:p>
    <w:p>
      <w:pPr>
        <w:pStyle w:val="Caption"/>
        <w:ind w:left="1260" w:hanging="0"/>
        <w:jc w:val="center"/>
        <w:rPr/>
      </w:pPr>
      <w:r>
        <w:rPr/>
        <w:t xml:space="preserve">Code </w:t>
      </w:r>
      <w:r>
        <w:rPr/>
        <w:fldChar w:fldCharType="begin"/>
      </w:r>
      <w:r>
        <w:rPr/>
        <w:instrText xml:space="preserve"> SEQ Code \* ARABIC </w:instrText>
      </w:r>
      <w:r>
        <w:rPr/>
        <w:fldChar w:fldCharType="separate"/>
      </w:r>
      <w:r>
        <w:rPr/>
        <w:t>4</w:t>
      </w:r>
      <w:r>
        <w:rPr/>
        <w:fldChar w:fldCharType="end"/>
      </w:r>
      <w:r>
        <w:rPr/>
        <w:t>: Sample instrumented C-code</w:t>
      </w:r>
    </w:p>
    <w:p>
      <w:pPr>
        <w:pStyle w:val="Style11"/>
        <w:numPr>
          <w:ilvl w:val="1"/>
          <w:numId w:val="4"/>
        </w:numPr>
        <w:rPr/>
      </w:pPr>
      <w:r>
        <w:rPr/>
        <w:t>ROM verification</w:t>
      </w:r>
    </w:p>
    <w:p>
      <w:pPr>
        <w:pStyle w:val="11BodyText"/>
        <w:rPr>
          <w:lang w:val="en-US"/>
        </w:rPr>
      </w:pPr>
      <w:r>
        <w:rPr>
          <w:lang w:val="en-US"/>
        </w:rPr>
        <w:t>The source code is used to evaluate the ROM complexity.</w:t>
      </w:r>
    </w:p>
    <w:p>
      <w:pPr>
        <w:pStyle w:val="Style11"/>
        <w:numPr>
          <w:ilvl w:val="1"/>
          <w:numId w:val="4"/>
        </w:numPr>
        <w:rPr/>
      </w:pPr>
      <w:r>
        <w:rPr/>
        <w:t>RAM verification</w:t>
      </w:r>
    </w:p>
    <w:p>
      <w:pPr>
        <w:pStyle w:val="TextBodyIndent"/>
        <w:rPr/>
      </w:pPr>
      <w:r>
        <w:rPr/>
        <w:t>Permanent RAM verification</w:t>
      </w:r>
    </w:p>
    <w:p>
      <w:pPr>
        <w:pStyle w:val="11BodyText"/>
        <w:rPr>
          <w:lang w:val="en-US"/>
        </w:rPr>
      </w:pPr>
      <w:r>
        <w:rPr>
          <w:lang w:val="en-US"/>
        </w:rPr>
        <w:t>The source code is used to evaluate the RAM usage that is not related to the use of the stack. The verification laboratory enumerates all the array and variable definitions corresponding to a permanent allocation.</w:t>
      </w:r>
    </w:p>
    <w:p>
      <w:pPr>
        <w:pStyle w:val="TextBodyIndent"/>
        <w:rPr/>
      </w:pPr>
      <w:r>
        <w:rPr/>
        <w:t>Stack verification</w:t>
      </w:r>
    </w:p>
    <w:p>
      <w:pPr>
        <w:pStyle w:val="11BodyText"/>
        <w:rPr>
          <w:lang w:val="en-US"/>
        </w:rPr>
      </w:pPr>
      <w:r>
        <w:rPr/>
        <w:t>The source code is used to evaluate the stack usage. The verification laboratory builds the calling tree of the source code and evaluates the worst case for the stack usage.</w:t>
      </w:r>
    </w:p>
    <w:p>
      <w:pPr>
        <w:pStyle w:val="TextBodyIndent"/>
        <w:rPr/>
      </w:pPr>
      <w:r>
        <w:rPr/>
        <w:t>Conclusion</w:t>
      </w:r>
    </w:p>
    <w:p>
      <w:pPr>
        <w:pStyle w:val="11BodyText"/>
        <w:rPr>
          <w:lang w:val="en-US"/>
        </w:rPr>
      </w:pPr>
      <w:r>
        <w:rPr>
          <w:lang w:val="en-US"/>
        </w:rPr>
        <w:t>The verification laboratory sums the amount of static RAM and the maximum amount of RAM required by the stack.</w:t>
      </w:r>
    </w:p>
    <w:p>
      <w:pPr>
        <w:pStyle w:val="Normal"/>
        <w:rPr>
          <w:lang w:val="en-US"/>
        </w:rPr>
      </w:pPr>
      <w:r>
        <w:rPr>
          <w:lang w:val="en-US"/>
        </w:rPr>
      </w:r>
    </w:p>
    <w:sectPr>
      <w:headerReference w:type="default" r:id="rId3"/>
      <w:headerReference w:type="first" r:id="rId4"/>
      <w:footnotePr>
        <w:numFmt w:val="decimal"/>
      </w:footnotePr>
      <w:type w:val="nextPage"/>
      <w:pgSz w:w="11906" w:h="16838"/>
      <w:pgMar w:left="1134" w:right="1134" w:gutter="0" w:header="720" w:top="776" w:footer="0" w:bottom="56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charset w:val="80"/>
    <w:family w:val="swiss"/>
    <w:pitch w:val="variable"/>
  </w:font>
  <w:font w:name="Tahoma">
    <w:charset w:val="00"/>
    <w:family w:val="swiss"/>
    <w:pitch w:val="variable"/>
  </w:font>
  <w:font w:name="Courier">
    <w:altName w:val="Courier New"/>
    <w:charset w:val="00"/>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b/>
        </w:rPr>
        <w:t>Stéphan Tassart</w:t>
      </w:r>
    </w:p>
    <w:p>
      <w:pPr>
        <w:pStyle w:val="Footnote"/>
        <w:rPr>
          <w:lang w:val="fr-FR"/>
        </w:rPr>
      </w:pPr>
      <w:r>
        <w:rPr/>
        <w:t xml:space="preserve">STMicroelectronics, </w:t>
      </w:r>
    </w:p>
    <w:p>
      <w:pPr>
        <w:pStyle w:val="Footnote"/>
        <w:rPr>
          <w:lang w:val="fr-FR"/>
        </w:rPr>
      </w:pPr>
      <w:r>
        <w:rPr>
          <w:lang w:val="fr-FR"/>
        </w:rPr>
        <w:t>Email: stephan.tassart@st.com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1298"/>
        <w:tab w:val="right" w:pos="9540" w:leader="none"/>
      </w:tabs>
      <w:rPr/>
    </w:pPr>
    <w:r>
      <w:rPr/>
      <w:t>3GPP TSG-SA4#34 meeting</w:t>
    </w:r>
    <w:r>
      <w:rPr>
        <w:b/>
        <w:i/>
        <w:sz w:val="30"/>
      </w:rPr>
      <w:tab/>
    </w:r>
    <w:r>
      <w:rPr>
        <w:b/>
        <w:i/>
        <w:sz w:val="32"/>
      </w:rPr>
      <w:t>Tdoc S4-050187</w:t>
    </w:r>
  </w:p>
  <w:p>
    <w:pPr>
      <w:pStyle w:val="Normal"/>
      <w:tabs>
        <w:tab w:val="clear" w:pos="1298"/>
        <w:tab w:val="right" w:pos="9540" w:leader="none"/>
      </w:tabs>
      <w:rPr/>
    </w:pPr>
    <w:r>
      <w:rPr/>
      <w:t>February 21-25, 2005, Lisboa, Portugal</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upperLetter"/>
      <w:lvlText w:val="Annex %1."/>
      <w:lvlJc w:val="left"/>
      <w:pPr>
        <w:tabs>
          <w:tab w:val="num" w:pos="1080"/>
        </w:tabs>
        <w:ind w:left="0" w:hanging="0"/>
      </w:pPr>
      <w:rPr/>
    </w:lvl>
  </w:abstractNum>
  <w:abstractNum w:abstractNumId="3">
    <w:lvl w:ilvl="0">
      <w:start w:val="1"/>
      <w:numFmt w:val="decimal"/>
      <w:lvlText w:val="%1)"/>
      <w:lvlJc w:val="left"/>
      <w:pPr>
        <w:tabs>
          <w:tab w:val="num" w:pos="360"/>
        </w:tabs>
        <w:ind w:left="360" w:hanging="360"/>
      </w:pPr>
    </w:lvl>
  </w:abstractNum>
  <w:abstractNum w:abstractNumId="4">
    <w:lvl w:ilvl="0">
      <w:start w:val="1"/>
      <w:numFmt w:val="upperLetter"/>
      <w:lvlText w:val="%1."/>
      <w:lvlJc w:val="left"/>
      <w:pPr>
        <w:tabs>
          <w:tab w:val="num" w:pos="360"/>
        </w:tabs>
        <w:ind w:left="0" w:hanging="0"/>
      </w:pPr>
      <w:rPr/>
    </w:lvl>
    <w:lvl w:ilvl="1">
      <w:start w:val="1"/>
      <w:numFmt w:val="decimal"/>
      <w:lvlText w:val="%1.%2"/>
      <w:lvlJc w:val="left"/>
      <w:pPr>
        <w:tabs>
          <w:tab w:val="num" w:pos="36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129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11BodyText"/>
    <w:qFormat/>
    <w:pPr>
      <w:keepNext w:val="true"/>
      <w:numPr>
        <w:ilvl w:val="1"/>
        <w:numId w:val="1"/>
      </w:numPr>
      <w:spacing w:before="0" w:after="220"/>
      <w:outlineLvl w:val="1"/>
    </w:pPr>
    <w:rPr>
      <w:b/>
    </w:rPr>
  </w:style>
  <w:style w:type="paragraph" w:styleId="Heading3">
    <w:name w:val="Heading 3"/>
    <w:basedOn w:val="Normal"/>
    <w:next w:val="11BodyText"/>
    <w:qFormat/>
    <w:pPr>
      <w:keepNext w:val="true"/>
      <w:numPr>
        <w:ilvl w:val="2"/>
        <w:numId w:val="1"/>
      </w:numPr>
      <w:spacing w:before="0" w:after="220"/>
      <w:outlineLvl w:val="2"/>
    </w:pPr>
    <w:rPr>
      <w:lang w:val="en-US"/>
    </w:rPr>
  </w:style>
  <w:style w:type="paragraph" w:styleId="Heading4">
    <w:name w:val="Heading 4"/>
    <w:basedOn w:val="Heading3"/>
    <w:next w:val="11BodyText"/>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11BodyText"/>
    <w:qFormat/>
    <w:pPr>
      <w:numPr>
        <w:ilvl w:val="5"/>
        <w:numId w:val="1"/>
      </w:numPr>
      <w:outlineLvl w:val="5"/>
    </w:pPr>
    <w:rPr/>
  </w:style>
  <w:style w:type="paragraph" w:styleId="Heading7">
    <w:name w:val="Heading 7"/>
    <w:basedOn w:val="Heading3"/>
    <w:next w:val="11BodyText"/>
    <w:qFormat/>
    <w:pPr>
      <w:numPr>
        <w:ilvl w:val="6"/>
        <w:numId w:val="1"/>
      </w:numPr>
      <w:outlineLvl w:val="6"/>
    </w:pPr>
    <w:rPr/>
  </w:style>
  <w:style w:type="paragraph" w:styleId="Heading8">
    <w:name w:val="Heading 8"/>
    <w:basedOn w:val="Heading3"/>
    <w:next w:val="11BodyText"/>
    <w:qFormat/>
    <w:pPr>
      <w:numPr>
        <w:ilvl w:val="7"/>
        <w:numId w:val="1"/>
      </w:numPr>
      <w:outlineLvl w:val="7"/>
    </w:pPr>
    <w:rPr/>
  </w:style>
  <w:style w:type="paragraph" w:styleId="Heading9">
    <w:name w:val="Heading 9"/>
    <w:basedOn w:val="Heading3"/>
    <w:next w:val="11BodyText"/>
    <w:qFormat/>
    <w:pPr>
      <w:numPr>
        <w:ilvl w:val="8"/>
        <w:numId w:val="1"/>
      </w:numPr>
      <w:outlineLvl w:val="8"/>
    </w:pPr>
    <w:rPr/>
  </w:style>
  <w:style w:type="character" w:styleId="WW8Num4z0">
    <w:name w:val="WW8Num4z0"/>
    <w:qFormat/>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style>
  <w:style w:type="character" w:styleId="WW8Num9z0">
    <w:name w:val="WW8Num9z0"/>
    <w:qFormat/>
    <w:rPr>
      <w:rFonts w:ascii="Arial" w:hAnsi="Arial"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6z0">
    <w:name w:val="WW8Num16z0"/>
    <w:qFormat/>
    <w:rPr/>
  </w:style>
  <w:style w:type="character" w:styleId="WW8Num17z0">
    <w:name w:val="WW8Num17z0"/>
    <w:qFormat/>
    <w:rPr/>
  </w:style>
  <w:style w:type="character" w:styleId="WW8Num20z0">
    <w:name w:val="WW8Num20z0"/>
    <w:qFormat/>
    <w:rPr/>
  </w:style>
  <w:style w:type="character" w:styleId="WW8Num21z0">
    <w:name w:val="WW8Num21z0"/>
    <w:qFormat/>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FootnoteCharacters">
    <w:name w:val="Footnote Characters"/>
    <w:basedOn w:val="DefaultParagraphFont"/>
    <w:qFormat/>
    <w:rPr>
      <w:vertAlign w:val="superscript"/>
    </w:rPr>
  </w:style>
  <w:style w:type="character" w:styleId="VisitedInternetLink">
    <w:name w:val="FollowedHyperlink"/>
    <w:basedOn w:val="DefaultParagraphFont"/>
    <w:rPr>
      <w:color w:val="800080"/>
      <w:u w:val="single"/>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numPr>
        <w:ilvl w:val="0"/>
        <w:numId w:val="0"/>
      </w:numPr>
      <w:spacing w:lineRule="atLeast" w:line="240" w:before="0" w:after="120"/>
      <w:ind w:hanging="0"/>
    </w:pPr>
    <w:rPr>
      <w:b/>
      <w:sz w:val="16"/>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lang w:val="en-US"/>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1298"/>
        <w:tab w:val="center" w:pos="4819" w:leader="none"/>
        <w:tab w:val="right" w:pos="9638" w:leader="none"/>
      </w:tabs>
    </w:pPr>
    <w:rPr/>
  </w:style>
  <w:style w:type="paragraph" w:styleId="Header">
    <w:name w:val="Header"/>
    <w:basedOn w:val="Normal"/>
    <w:pPr>
      <w:tabs>
        <w:tab w:val="clear" w:pos="1298"/>
        <w:tab w:val="center" w:pos="4153" w:leader="none"/>
        <w:tab w:val="right" w:pos="8306" w:leader="none"/>
      </w:tabs>
    </w:pPr>
    <w:rPr/>
  </w:style>
  <w:style w:type="paragraph" w:styleId="Footer">
    <w:name w:val="Footer"/>
    <w:basedOn w:val="Normal"/>
    <w:pPr>
      <w:tabs>
        <w:tab w:val="clear" w:pos="1298"/>
        <w:tab w:val="center" w:pos="4153" w:leader="none"/>
        <w:tab w:val="right" w:pos="8306" w:leader="none"/>
      </w:tabs>
    </w:pPr>
    <w:rPr/>
  </w:style>
  <w:style w:type="paragraph" w:styleId="11BodyText">
    <w:name w:val="11 BodyText"/>
    <w:basedOn w:val="Normal"/>
    <w:qFormat/>
    <w:pPr>
      <w:spacing w:before="0" w:after="220"/>
      <w:ind w:left="1298" w:hanging="0"/>
    </w:pPr>
    <w:rPr/>
  </w:style>
  <w:style w:type="paragraph" w:styleId="Heading1h1">
    <w:name w:val="Heading 1.h1"/>
    <w:basedOn w:val="Normal"/>
    <w:next w:val="Normal"/>
    <w:qFormat/>
    <w:pPr>
      <w:keepNext w:val="true"/>
      <w:widowControl w:val="false"/>
      <w:numPr>
        <w:ilvl w:val="0"/>
        <w:numId w:val="3"/>
      </w:numPr>
      <w:spacing w:lineRule="atLeast" w:line="240" w:before="0" w:after="120"/>
    </w:pPr>
    <w:rPr>
      <w:sz w:val="24"/>
    </w:rPr>
  </w:style>
  <w:style w:type="paragraph" w:styleId="HTMLPreformatted">
    <w:name w:val="HTML Preformatted"/>
    <w:basedOn w:val="Normal"/>
    <w:qFormat/>
    <w:pPr>
      <w:tabs>
        <w:tab w:val="clear" w:pos="129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lang w:val="en-US"/>
    </w:rPr>
  </w:style>
  <w:style w:type="paragraph" w:styleId="00BodyText">
    <w:name w:val="00 BodyText"/>
    <w:basedOn w:val="Normal"/>
    <w:qFormat/>
    <w:pPr>
      <w:spacing w:before="0" w:after="220"/>
    </w:pPr>
    <w:rPr>
      <w:lang w:val="en-US"/>
    </w:rPr>
  </w:style>
  <w:style w:type="paragraph" w:styleId="Endnote">
    <w:name w:val="Endnote Text"/>
    <w:basedOn w:val="Normal"/>
    <w:pPr>
      <w:widowControl w:val="false"/>
      <w:spacing w:lineRule="atLeast" w:line="240" w:before="0" w:after="120"/>
    </w:pPr>
    <w:rPr>
      <w:sz w:val="20"/>
    </w:rPr>
  </w:style>
  <w:style w:type="paragraph" w:styleId="Contents1">
    <w:name w:val="TOC 1"/>
    <w:basedOn w:val="Normal"/>
    <w:next w:val="Normal"/>
    <w:pPr/>
    <w:rPr/>
  </w:style>
  <w:style w:type="paragraph" w:styleId="Contents8">
    <w:name w:val="TOC 8"/>
    <w:basedOn w:val="Contents1"/>
    <w:pPr>
      <w:keepLines/>
      <w:widowControl w:val="false"/>
      <w:tabs>
        <w:tab w:val="clear" w:pos="1298"/>
        <w:tab w:val="right" w:pos="9639" w:leader="dot"/>
      </w:tabs>
      <w:overflowPunct w:val="false"/>
      <w:autoSpaceDE w:val="false"/>
      <w:spacing w:before="180" w:after="0"/>
      <w:ind w:left="2693" w:right="425" w:hanging="2693"/>
      <w:textAlignment w:val="baseline"/>
    </w:pPr>
    <w:rPr>
      <w:rFonts w:ascii="Times New Roman" w:hAnsi="Times New Roman" w:cs="Times New Roman"/>
      <w:b/>
      <w:lang w:val="en-US" w:eastAsia="en-US"/>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TextBodyIndent">
    <w:name w:val="Body Text Indent"/>
    <w:basedOn w:val="Normal"/>
    <w:pPr>
      <w:spacing w:before="0" w:after="120"/>
      <w:ind w:left="1282" w:hanging="1282"/>
    </w:pPr>
    <w:rPr/>
  </w:style>
  <w:style w:type="paragraph" w:styleId="Footnote">
    <w:name w:val="Footnote Text"/>
    <w:basedOn w:val="Normal"/>
    <w:pPr/>
    <w:rPr>
      <w:sz w:val="20"/>
    </w:rPr>
  </w:style>
  <w:style w:type="paragraph" w:styleId="BodyTextIndent2">
    <w:name w:val="Body Text Indent 2"/>
    <w:basedOn w:val="Normal"/>
    <w:qFormat/>
    <w:pPr>
      <w:ind w:left="1350" w:hanging="1350"/>
    </w:pPr>
    <w:rPr/>
  </w:style>
  <w:style w:type="paragraph" w:styleId="BalloonText">
    <w:name w:val="Balloon Text"/>
    <w:basedOn w:val="Normal"/>
    <w:qFormat/>
    <w:pPr/>
    <w:rPr>
      <w:rFonts w:ascii="Tahoma" w:hAnsi="Tahoma" w:cs="Tahoma"/>
      <w:sz w:val="16"/>
      <w:szCs w:val="16"/>
    </w:rPr>
  </w:style>
  <w:style w:type="paragraph" w:styleId="Annex1">
    <w:name w:val="Annex 1"/>
    <w:basedOn w:val="Heading1"/>
    <w:qFormat/>
    <w:pPr>
      <w:numPr>
        <w:ilvl w:val="0"/>
        <w:numId w:val="0"/>
      </w:numPr>
      <w:ind w:hanging="0"/>
      <w:outlineLvl w:val="9"/>
    </w:pPr>
    <w:rPr>
      <w:lang w:val="fr-FR"/>
    </w:rPr>
  </w:style>
  <w:style w:type="paragraph" w:styleId="AnnexA">
    <w:name w:val="Annex A"/>
    <w:basedOn w:val="Normal"/>
    <w:qFormat/>
    <w:pPr>
      <w:numPr>
        <w:ilvl w:val="0"/>
        <w:numId w:val="2"/>
      </w:numPr>
    </w:pPr>
    <w:rPr>
      <w:b/>
      <w:bCs/>
      <w:sz w:val="24"/>
    </w:rPr>
  </w:style>
  <w:style w:type="paragraph" w:styleId="Style11">
    <w:name w:val="Style1"/>
    <w:qFormat/>
    <w:pPr>
      <w:widowControl/>
      <w:numPr>
        <w:ilvl w:val="0"/>
        <w:numId w:val="4"/>
      </w:numPr>
      <w:tabs>
        <w:tab w:val="clear" w:pos="1298"/>
        <w:tab w:val="left" w:pos="540" w:leader="none"/>
      </w:tabs>
      <w:bidi w:val="0"/>
      <w:spacing w:before="0" w:after="120"/>
    </w:pPr>
    <w:rPr>
      <w:rFonts w:ascii="Arial" w:hAnsi="Arial" w:eastAsia="Times New Roman" w:cs="Arial"/>
      <w:b/>
      <w:bCs/>
      <w:color w:val="auto"/>
      <w:sz w:val="22"/>
      <w:szCs w:val="20"/>
      <w:lang w:val="en-US" w:bidi="ar-SA" w:eastAsia="zh-CN"/>
    </w:rPr>
  </w:style>
  <w:style w:type="paragraph" w:styleId="Style21">
    <w:name w:val="Style2"/>
    <w:qFormat/>
    <w:pPr>
      <w:widowControl/>
      <w:numPr>
        <w:ilvl w:val="0"/>
        <w:numId w:val="4"/>
      </w:numPr>
      <w:bidi w:val="0"/>
    </w:pPr>
    <w:rPr>
      <w:rFonts w:ascii="Times New Roman" w:hAnsi="Times New Roman" w:eastAsia="Times New Roman" w:cs="Times New Roman"/>
      <w:color w:val="auto"/>
      <w:sz w:val="20"/>
      <w:szCs w:val="20"/>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phan.tassart@st.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nblank.dot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2005-11-24T20:23:00Z</dcterms:created>
  <dc:creator>Stephan Tassart</dc:creator>
  <dc:description/>
  <cp:keywords/>
  <dc:language>en-US</dc:language>
  <cp:lastModifiedBy> </cp:lastModifiedBy>
  <cp:lastPrinted>2003-12-16T18:58:00Z</cp:lastPrinted>
  <dcterms:modified xsi:type="dcterms:W3CDTF">2005-11-24T20:23:00Z</dcterms:modified>
  <cp:revision>2</cp:revision>
  <dc:subject/>
  <dc:title>Complexity Verification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y fmtid="{D5CDD505-2E9C-101B-9397-08002B2CF9AE}" pid="16" name="_AdHocReviewCycleID">
    <vt:r8>-618897452</vt:r8>
  </property>
  <property fmtid="{D5CDD505-2E9C-101B-9397-08002B2CF9AE}" pid="17" name="_AuthorEmail">
    <vt:lpwstr>bdp003@motorola.com</vt:lpwstr>
  </property>
  <property fmtid="{D5CDD505-2E9C-101B-9397-08002B2CF9AE}" pid="18" name="_AuthorEmailDisplayName">
    <vt:lpwstr>Pearce David-BDP003</vt:lpwstr>
  </property>
  <property fmtid="{D5CDD505-2E9C-101B-9397-08002B2CF9AE}" pid="19" name="_EmailSubject">
    <vt:lpwstr>Draft update - SES verification plan v0.5</vt:lpwstr>
  </property>
  <property fmtid="{D5CDD505-2E9C-101B-9397-08002B2CF9AE}" pid="20" name="_PreviousAdHocReviewCycleID">
    <vt:r8>-768920802</vt:r8>
  </property>
  <property fmtid="{D5CDD505-2E9C-101B-9397-08002B2CF9AE}" pid="21" name="_ReviewingToolsShownOnce">
    <vt:lpwstr/>
  </property>
</Properties>
</file>