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2.png" ContentType="image/png"/>
  <Override PartName="/word/media/image6.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127" w:leader="none"/>
          <w:tab w:val="left" w:pos="6379" w:leader="none"/>
        </w:tabs>
        <w:spacing w:before="120" w:after="120"/>
        <w:ind w:left="2127" w:hanging="2127"/>
        <w:rPr>
          <w:rFonts w:cs="Arial"/>
          <w:b/>
          <w:b/>
          <w:sz w:val="24"/>
          <w:szCs w:val="24"/>
        </w:rPr>
      </w:pPr>
      <w:r>
        <w:rPr>
          <w:rFonts w:cs="Arial"/>
          <w:b/>
          <w:sz w:val="24"/>
          <w:szCs w:val="24"/>
        </w:rPr>
        <w:t>Source:</w:t>
        <w:tab/>
        <w:t>ORANGE</w:t>
      </w:r>
    </w:p>
    <w:p>
      <w:pPr>
        <w:pStyle w:val="Normal"/>
        <w:tabs>
          <w:tab w:val="clear" w:pos="720"/>
          <w:tab w:val="left" w:pos="2127" w:leader="none"/>
          <w:tab w:val="left" w:pos="6379" w:leader="none"/>
        </w:tabs>
        <w:ind w:left="2131" w:hanging="2131"/>
        <w:rPr>
          <w:rFonts w:cs="Arial"/>
          <w:b/>
          <w:b/>
          <w:sz w:val="24"/>
          <w:szCs w:val="24"/>
        </w:rPr>
      </w:pPr>
      <w:r>
        <w:rPr>
          <w:rFonts w:cs="Arial"/>
          <w:b/>
          <w:sz w:val="24"/>
          <w:szCs w:val="24"/>
        </w:rPr>
        <w:t>Title:</w:t>
        <w:tab/>
        <w:t>Report on ATeMPO_SPINE round-robin tests conducted at Orange</w:t>
      </w:r>
    </w:p>
    <w:p>
      <w:pPr>
        <w:pStyle w:val="Normal"/>
        <w:tabs>
          <w:tab w:val="clear" w:pos="720"/>
          <w:tab w:val="left" w:pos="2127" w:leader="none"/>
          <w:tab w:val="left" w:pos="6379" w:leader="none"/>
        </w:tabs>
        <w:ind w:left="2131" w:hanging="2131"/>
        <w:rPr/>
      </w:pPr>
      <w:r>
        <w:rPr>
          <w:b/>
          <w:sz w:val="24"/>
          <w:szCs w:val="24"/>
        </w:rPr>
        <w:t>Document for:</w:t>
        <w:tab/>
        <w:t xml:space="preserve">Information </w:t>
      </w:r>
    </w:p>
    <w:p>
      <w:pPr>
        <w:pStyle w:val="Heading2"/>
        <w:tabs>
          <w:tab w:val="clear" w:pos="720"/>
          <w:tab w:val="left" w:pos="6379" w:leader="none"/>
        </w:tabs>
        <w:ind w:left="2131" w:hanging="2131"/>
        <w:rPr/>
      </w:pPr>
      <w:r>
        <w:rPr/>
        <w:t>Agenda Item:</w:t>
        <w:tab/>
        <w:t>10.5</w:t>
      </w:r>
    </w:p>
    <w:p>
      <w:pPr>
        <w:pStyle w:val="Normal"/>
        <w:pBdr>
          <w:top w:val="single" w:sz="12" w:space="1" w:color="000000"/>
        </w:pBdr>
        <w:tabs>
          <w:tab w:val="clear" w:pos="720"/>
          <w:tab w:val="left" w:pos="6379" w:leader="none"/>
        </w:tabs>
        <w:spacing w:before="0" w:after="0"/>
        <w:rPr>
          <w:sz w:val="20"/>
        </w:rPr>
      </w:pPr>
      <w:r>
        <w:rPr>
          <w:sz w:val="20"/>
        </w:rPr>
      </w:r>
    </w:p>
    <w:p>
      <w:pPr>
        <w:pStyle w:val="Normal"/>
        <w:pBdr>
          <w:top w:val="single" w:sz="12" w:space="1" w:color="000000"/>
        </w:pBdr>
        <w:tabs>
          <w:tab w:val="clear" w:pos="720"/>
          <w:tab w:val="left" w:pos="6379" w:leader="none"/>
        </w:tabs>
        <w:spacing w:before="0" w:after="0"/>
        <w:rPr>
          <w:highlight w:val="yellow"/>
        </w:rPr>
      </w:pPr>
      <w:r>
        <w:rPr>
          <w:highlight w:val="yellow"/>
        </w:rPr>
        <w:t>This document is a re-submission of S4-AHQ101.</w:t>
      </w:r>
    </w:p>
    <w:p>
      <w:pPr>
        <w:pStyle w:val="Normal"/>
        <w:pBdr>
          <w:top w:val="single" w:sz="12" w:space="1" w:color="000000"/>
        </w:pBdr>
        <w:tabs>
          <w:tab w:val="clear" w:pos="720"/>
          <w:tab w:val="left" w:pos="6379" w:leader="none"/>
        </w:tabs>
        <w:spacing w:before="0" w:after="0"/>
        <w:rPr>
          <w:sz w:val="20"/>
        </w:rPr>
      </w:pPr>
      <w:r>
        <w:rPr>
          <w:rFonts w:eastAsia="Arial"/>
          <w:sz w:val="20"/>
        </w:rPr>
        <w:t xml:space="preserve"> </w:t>
      </w:r>
    </w:p>
    <w:p>
      <w:pPr>
        <w:pStyle w:val="WWHeading"/>
        <w:numPr>
          <w:ilvl w:val="0"/>
          <w:numId w:val="10"/>
        </w:numPr>
        <w:tabs>
          <w:tab w:val="clear" w:pos="720"/>
          <w:tab w:val="left" w:pos="6379" w:leader="none"/>
        </w:tabs>
        <w:spacing w:lineRule="auto" w:line="240" w:before="120" w:after="0"/>
        <w:rPr>
          <w:color w:val="000000"/>
          <w:szCs w:val="22"/>
        </w:rPr>
      </w:pPr>
      <w:r>
        <w:rPr>
          <w:color w:val="000000"/>
          <w:szCs w:val="22"/>
        </w:rPr>
        <w:t>Background</w:t>
      </w:r>
    </w:p>
    <w:p>
      <w:pPr>
        <w:pStyle w:val="TextBody"/>
        <w:rPr>
          <w:color w:val="000000"/>
          <w:szCs w:val="22"/>
        </w:rPr>
      </w:pPr>
      <w:r>
        <w:rPr>
          <w:color w:val="000000"/>
          <w:szCs w:val="22"/>
        </w:rPr>
      </w:r>
    </w:p>
    <w:p>
      <w:pPr>
        <w:pStyle w:val="Normal"/>
        <w:rPr/>
      </w:pPr>
      <w:r>
        <w:rPr/>
        <w:t>The objective of the present document is to document how round robin tests following the test plan in [1] were conducted in the Orange Lab test facility.</w:t>
      </w:r>
    </w:p>
    <w:p>
      <w:pPr>
        <w:pStyle w:val="Normal"/>
        <w:rPr/>
      </w:pPr>
      <w:r>
        <w:rPr/>
      </w:r>
    </w:p>
    <w:p>
      <w:pPr>
        <w:pStyle w:val="WWHeading"/>
        <w:numPr>
          <w:ilvl w:val="0"/>
          <w:numId w:val="10"/>
        </w:numPr>
        <w:tabs>
          <w:tab w:val="clear" w:pos="720"/>
          <w:tab w:val="left" w:pos="6379" w:leader="none"/>
        </w:tabs>
        <w:spacing w:lineRule="auto" w:line="240" w:before="120" w:after="0"/>
        <w:rPr>
          <w:color w:val="000000"/>
          <w:szCs w:val="22"/>
        </w:rPr>
      </w:pPr>
      <w:r>
        <w:rPr>
          <w:color w:val="000000"/>
          <w:szCs w:val="22"/>
        </w:rPr>
        <w:t>Tests at Orange Lab according to the test plan</w:t>
      </w:r>
    </w:p>
    <w:p>
      <w:pPr>
        <w:pStyle w:val="TextBody"/>
        <w:rPr>
          <w:color w:val="000000"/>
          <w:szCs w:val="22"/>
        </w:rPr>
      </w:pPr>
      <w:r>
        <w:rPr>
          <w:color w:val="000000"/>
          <w:szCs w:val="22"/>
        </w:rPr>
      </w:r>
    </w:p>
    <w:p>
      <w:pPr>
        <w:pStyle w:val="Normal"/>
        <w:rPr/>
      </w:pPr>
      <w:r>
        <w:rPr/>
        <w:t>Tests were conducted at the Orange Lab premises in Lannion, France. They were split in two time periods:</w:t>
      </w:r>
    </w:p>
    <w:p>
      <w:pPr>
        <w:pStyle w:val="ListecouleurAccent1"/>
        <w:numPr>
          <w:ilvl w:val="0"/>
          <w:numId w:val="4"/>
        </w:numPr>
        <w:rPr>
          <w:rFonts w:cs="Arial"/>
        </w:rPr>
      </w:pPr>
      <w:r>
        <w:rPr>
          <w:rFonts w:cs="Arial" w:ascii="Arial" w:hAnsi="Arial"/>
        </w:rPr>
        <w:t>In a first time period (in Weeks 27-28) testing with the 4.1 loudspeaker method was performed - the limited time frame was not sufficient to perform testing with the new 8-loudspeaker method specified in TS 103 224, however binaural noises from TS 103 224 were used with the 4.1 loudspeaker method.</w:t>
      </w:r>
    </w:p>
    <w:p>
      <w:pPr>
        <w:pStyle w:val="ListecouleurAccent1"/>
        <w:numPr>
          <w:ilvl w:val="0"/>
          <w:numId w:val="4"/>
        </w:numPr>
        <w:rPr>
          <w:rFonts w:cs="Arial"/>
        </w:rPr>
      </w:pPr>
      <w:r>
        <w:rPr>
          <w:rFonts w:cs="Arial" w:ascii="Arial" w:hAnsi="Arial"/>
        </w:rPr>
        <w:t>A second time period  (in Week 37) was allocated to be able to perform tests with the 8-speaker method.</w:t>
      </w:r>
    </w:p>
    <w:p>
      <w:pPr>
        <w:pStyle w:val="Normal"/>
        <w:rPr/>
      </w:pPr>
      <w:r>
        <w:rPr/>
        <w:t xml:space="preserve">As described in [2], the basis was to measure S-MOS, N-MOS and G-MOS for the ETSI ES 103 106 quality predictor in various conditions. </w:t>
      </w:r>
    </w:p>
    <w:p>
      <w:pPr>
        <w:pStyle w:val="Normal"/>
        <w:rPr/>
      </w:pPr>
      <w:r>
        <w:rPr/>
        <w:t>The complete list of background noise conditions described in [1] was evaluated:</w:t>
      </w:r>
    </w:p>
    <w:p>
      <w:pPr>
        <w:pStyle w:val="Normal"/>
        <w:rPr/>
      </w:pPr>
      <w:r>
        <w:rPr/>
        <w:t>-</w:t>
        <w:tab/>
        <w:t>8-speaker method (ETSI TS 103 224)</w:t>
      </w:r>
    </w:p>
    <w:p>
      <w:pPr>
        <w:pStyle w:val="Normal"/>
        <w:rPr/>
      </w:pPr>
      <w:r>
        <w:rPr/>
        <w:t>-</w:t>
        <w:tab/>
        <w:t>4.1 loudspeaker method (ETSI ES 202 396-1)</w:t>
      </w:r>
    </w:p>
    <w:p>
      <w:pPr>
        <w:pStyle w:val="Normal"/>
        <w:rPr/>
      </w:pPr>
      <w:r>
        <w:rPr/>
        <w:t>-</w:t>
        <w:tab/>
        <w:t>4.1 loudspeaker method using the same noise scenarios as in TS 103 224, for HHHF</w:t>
      </w:r>
    </w:p>
    <w:p>
      <w:pPr>
        <w:pStyle w:val="Normal"/>
        <w:rPr/>
      </w:pPr>
      <w:r>
        <w:rPr/>
        <w:t>Not all DUT positions and bandwidth described in the test plan in [1] could be tested due to time and resource restrictions. More specifically:</w:t>
      </w:r>
    </w:p>
    <w:p>
      <w:pPr>
        <w:pStyle w:val="ListecouleurAccent1"/>
        <w:numPr>
          <w:ilvl w:val="0"/>
          <w:numId w:val="7"/>
        </w:numPr>
        <w:rPr>
          <w:rFonts w:ascii="Arial" w:hAnsi="Arial" w:cs="Arial"/>
          <w:szCs w:val="20"/>
        </w:rPr>
      </w:pPr>
      <w:r>
        <w:rPr>
          <w:rFonts w:cs="Arial" w:ascii="Arial" w:hAnsi="Arial"/>
          <w:szCs w:val="20"/>
        </w:rPr>
        <w:t>For the DUT position only the  “hand-held handsfree” case (6 noise types plus silence) was considered and the table “desktop handsfree” case (one noise type plus silence) was not tested.</w:t>
      </w:r>
    </w:p>
    <w:p>
      <w:pPr>
        <w:pStyle w:val="ListecouleurAccent1"/>
        <w:numPr>
          <w:ilvl w:val="0"/>
          <w:numId w:val="7"/>
        </w:numPr>
        <w:rPr>
          <w:rFonts w:ascii="Arial" w:hAnsi="Arial" w:cs="Arial"/>
          <w:szCs w:val="20"/>
        </w:rPr>
      </w:pPr>
      <w:r>
        <w:rPr>
          <w:rFonts w:cs="Arial" w:ascii="Arial" w:hAnsi="Arial"/>
          <w:szCs w:val="20"/>
        </w:rPr>
        <w:t>For bandwidths (UMTS CS call used), only wideband was considered and narrowband was not tested.</w:t>
      </w:r>
    </w:p>
    <w:p>
      <w:pPr>
        <w:pStyle w:val="Normal"/>
        <w:rPr>
          <w:i/>
          <w:i/>
        </w:rPr>
      </w:pPr>
      <w:r>
        <w:rPr/>
        <w:t>An acoustically treated room was used. This room is used to conduct all GSMA HD voice logo certification tests</w:t>
      </w:r>
      <w:r>
        <w:rPr>
          <w:i/>
        </w:rPr>
        <w:t xml:space="preserve"> </w:t>
      </w:r>
      <w:r>
        <w:rPr/>
        <w:t>by Orange; the reproducibility of test results for ES 202 396-1 has been already validated with several labs worldwide performing self-certification</w:t>
      </w:r>
      <w:r>
        <w:rPr>
          <w:i/>
        </w:rPr>
        <w:t xml:space="preserve">. </w:t>
      </w:r>
    </w:p>
    <w:p>
      <w:pPr>
        <w:pStyle w:val="Normal"/>
        <w:rPr/>
      </w:pPr>
      <w:r>
        <w:rPr/>
        <w:t>HEAD acoustics ACQUA with the HAE-BGN and 3PASS background noise systems were used. Loudspeakers were Genelec 1029 A (loudspeakers 1 to 4), Foxtex PM0,5sub (subwoofer) and Fostex PM0,5n (loudspeakers 5 to 8). The test sequences and (smd) script files to execute the tests were provided by HEAD Acoustics [3].</w:t>
      </w:r>
    </w:p>
    <w:p>
      <w:pPr>
        <w:pStyle w:val="Normal"/>
        <w:rPr/>
      </w:pPr>
      <w:r>
        <w:rPr/>
        <w:t>A HEAD Acoustics HATS was used to allow comparison with other labs using the same HATS model and minimize sources of variation in the round robin tests.</w:t>
      </w:r>
    </w:p>
    <w:p>
      <w:pPr>
        <w:pStyle w:val="Normal"/>
        <w:rPr>
          <w:b/>
          <w:b/>
        </w:rPr>
      </w:pPr>
      <w:r>
        <w:rPr>
          <w:b/>
        </w:rPr>
        <w:t>Procedure</w:t>
      </w:r>
    </w:p>
    <w:p>
      <w:pPr>
        <w:pStyle w:val="Normal"/>
        <w:rPr/>
      </w:pPr>
      <w:r>
        <w:rPr/>
        <w:t>The mouth simulator of the HATS was calibrated at MRP (80 to 10000 Hz) using a ¼-inch pressure-field microphone (B&amp;K 4938).</w:t>
      </w:r>
    </w:p>
    <w:p>
      <w:pPr>
        <w:pStyle w:val="Normal"/>
        <w:rPr/>
      </w:pPr>
      <w:r>
        <w:rPr/>
        <w:t>The HFRP calibration was performed for one measurement distance (50 cm).</w:t>
      </w:r>
    </w:p>
    <w:p>
      <w:pPr>
        <w:pStyle w:val="Normal"/>
        <w:rPr>
          <w:lang w:val="en-US" w:eastAsia="en-US"/>
        </w:rPr>
      </w:pPr>
      <w:r>
        <w:rPr>
          <w:lang w:val="en-US" w:eastAsia="en-US"/>
        </w:rPr>
        <w:t>The HATS ears were calibrated.</w:t>
      </w:r>
    </w:p>
    <w:p>
      <w:pPr>
        <w:pStyle w:val="Normal"/>
        <w:rPr>
          <w:lang w:val="en-US" w:eastAsia="en-US"/>
        </w:rPr>
      </w:pPr>
      <w:r>
        <w:rPr>
          <w:lang w:val="en-US" w:eastAsia="en-US"/>
        </w:rPr>
        <w:t>Equalization of the 4.1 speaker system, adhoc delays (optimized experimentally to keep equalization gains within reasonable limits) were used:</w:t>
      </w:r>
    </w:p>
    <w:p>
      <w:pPr>
        <w:pStyle w:val="Normal"/>
        <w:rPr>
          <w:lang w:val="en-US" w:eastAsia="en-US"/>
        </w:rPr>
      </w:pPr>
      <w:r>
        <w:rPr>
          <w:lang w:val="fr-FR" w:eastAsia="en-US"/>
        </w:rPr>
        <w:drawing>
          <wp:inline distT="0" distB="0" distL="0" distR="0">
            <wp:extent cx="4006215" cy="3235325"/>
            <wp:effectExtent l="0" t="0" r="0" b="0"/>
            <wp:docPr id="1"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7" descr=""/>
                    <pic:cNvPicPr>
                      <a:picLocks noChangeAspect="1" noChangeArrowheads="1"/>
                    </pic:cNvPicPr>
                  </pic:nvPicPr>
                  <pic:blipFill>
                    <a:blip r:embed="rId2"/>
                    <a:srcRect l="-7" t="-8" r="-7" b="-8"/>
                    <a:stretch>
                      <a:fillRect/>
                    </a:stretch>
                  </pic:blipFill>
                  <pic:spPr bwMode="auto">
                    <a:xfrm>
                      <a:off x="0" y="0"/>
                      <a:ext cx="4006215" cy="3235325"/>
                    </a:xfrm>
                    <a:prstGeom prst="rect">
                      <a:avLst/>
                    </a:prstGeom>
                  </pic:spPr>
                </pic:pic>
              </a:graphicData>
            </a:graphic>
          </wp:inline>
        </w:drawing>
      </w:r>
    </w:p>
    <w:p>
      <w:pPr>
        <w:pStyle w:val="Normal"/>
        <w:rPr>
          <w:lang w:val="en-US" w:eastAsia="en-US"/>
        </w:rPr>
      </w:pPr>
      <w:r>
        <w:rPr>
          <w:lang w:val="en-US" w:eastAsia="en-US"/>
        </w:rPr>
        <w:t>Equalization of the 8 speaker system for hand-held handsfree was done automatically with 3PASS.</w:t>
      </w:r>
    </w:p>
    <w:p>
      <w:pPr>
        <w:pStyle w:val="Normal"/>
        <w:rPr>
          <w:lang w:val="en-US" w:eastAsia="en-US"/>
        </w:rPr>
      </w:pPr>
      <w:r>
        <w:rPr>
          <w:lang w:val="en-US" w:eastAsia="en-US"/>
        </w:rPr>
      </w:r>
    </w:p>
    <w:p>
      <w:pPr>
        <w:pStyle w:val="WWHeading"/>
        <w:numPr>
          <w:ilvl w:val="0"/>
          <w:numId w:val="10"/>
        </w:numPr>
        <w:tabs>
          <w:tab w:val="clear" w:pos="720"/>
          <w:tab w:val="left" w:pos="6379" w:leader="none"/>
        </w:tabs>
        <w:spacing w:lineRule="auto" w:line="240" w:before="120" w:after="0"/>
        <w:rPr>
          <w:color w:val="000000"/>
          <w:szCs w:val="22"/>
        </w:rPr>
      </w:pPr>
      <w:r>
        <w:rPr>
          <w:color w:val="000000"/>
          <w:szCs w:val="22"/>
        </w:rPr>
        <w:t>Additional tests (beyond the test plan in [1])</w:t>
      </w:r>
    </w:p>
    <w:p>
      <w:pPr>
        <w:pStyle w:val="TextBody"/>
        <w:rPr>
          <w:color w:val="000000"/>
          <w:szCs w:val="22"/>
        </w:rPr>
      </w:pPr>
      <w:r>
        <w:rPr>
          <w:color w:val="000000"/>
          <w:szCs w:val="22"/>
        </w:rPr>
      </w:r>
    </w:p>
    <w:p>
      <w:pPr>
        <w:pStyle w:val="Normal"/>
        <w:rPr/>
      </w:pPr>
      <w:r>
        <w:rPr/>
        <w:t>Some additional tests were conducted;</w:t>
      </w:r>
    </w:p>
    <w:p>
      <w:pPr>
        <w:pStyle w:val="ListecouleurAccent1"/>
        <w:numPr>
          <w:ilvl w:val="0"/>
          <w:numId w:val="6"/>
        </w:numPr>
        <w:rPr>
          <w:rFonts w:cs="Arial"/>
        </w:rPr>
      </w:pPr>
      <w:r>
        <w:rPr>
          <w:rFonts w:cs="Arial" w:ascii="Arial" w:hAnsi="Arial"/>
        </w:rPr>
        <w:t>The test plan in [1] required to test 6 devices (DUT1 to DUT6) that were the same for all labs involved in the round robin activity. An extra device (DUT7) was included in all tests.</w:t>
      </w:r>
    </w:p>
    <w:p>
      <w:pPr>
        <w:pStyle w:val="ListecouleurAccent1"/>
        <w:numPr>
          <w:ilvl w:val="0"/>
          <w:numId w:val="6"/>
        </w:numPr>
        <w:rPr>
          <w:rFonts w:cs="Arial"/>
        </w:rPr>
      </w:pPr>
      <w:r>
        <w:rPr>
          <w:rFonts w:cs="Arial" w:ascii="Arial" w:hAnsi="Arial"/>
        </w:rPr>
        <w:t xml:space="preserve">For all test cases (in sending direction), the audio from the DUT was recorded to allow informal subjective listening and verify the consistency between objective and subjective scores. </w:t>
      </w:r>
    </w:p>
    <w:p>
      <w:pPr>
        <w:pStyle w:val="ListecouleurAccent1"/>
        <w:numPr>
          <w:ilvl w:val="0"/>
          <w:numId w:val="6"/>
        </w:numPr>
        <w:rPr>
          <w:rFonts w:cs="Arial"/>
        </w:rPr>
      </w:pPr>
      <w:r>
        <w:rPr>
          <w:rFonts w:cs="Arial" w:ascii="Arial" w:hAnsi="Arial"/>
        </w:rPr>
        <w:t xml:space="preserve">For the 8-loudspeaker method (HHHF case), tests were conducted twice (with and without 22.5 ° rotation of HATS) to check whether the HATS rotation with respect to loudspeakers has any impact. Furthermore, tests with no HATS rotations were also repeated twice to verify if there is any variability - in the following only test results for the first trial are reported as the differences in MOS-LQO are in the +/-0.1 range. </w:t>
      </w:r>
    </w:p>
    <w:p>
      <w:pPr>
        <w:pStyle w:val="Normal"/>
        <w:rPr>
          <w:rFonts w:cs="Arial"/>
        </w:rPr>
      </w:pPr>
      <w:r>
        <w:rPr>
          <w:rFonts w:cs="Arial"/>
        </w:rPr>
      </w:r>
    </w:p>
    <w:p>
      <w:pPr>
        <w:pStyle w:val="Normal"/>
        <w:rPr/>
      </w:pPr>
      <w:r>
        <w:rPr/>
      </w:r>
    </w:p>
    <w:p>
      <w:pPr>
        <w:pStyle w:val="WWHeading"/>
        <w:numPr>
          <w:ilvl w:val="0"/>
          <w:numId w:val="10"/>
        </w:numPr>
        <w:tabs>
          <w:tab w:val="clear" w:pos="720"/>
          <w:tab w:val="left" w:pos="6379" w:leader="none"/>
        </w:tabs>
        <w:spacing w:lineRule="auto" w:line="240" w:before="120" w:after="0"/>
        <w:rPr>
          <w:color w:val="000000"/>
          <w:szCs w:val="22"/>
        </w:rPr>
      </w:pPr>
      <w:r>
        <w:rPr>
          <w:color w:val="000000"/>
          <w:szCs w:val="22"/>
        </w:rPr>
        <w:t>Physical test setup for the tests in the sending direction</w:t>
      </w:r>
    </w:p>
    <w:p>
      <w:pPr>
        <w:pStyle w:val="Normal"/>
        <w:rPr>
          <w:color w:val="000000"/>
          <w:szCs w:val="22"/>
        </w:rPr>
      </w:pPr>
      <w:r>
        <w:rPr>
          <w:color w:val="000000"/>
          <w:szCs w:val="22"/>
        </w:rPr>
      </w:r>
    </w:p>
    <w:p>
      <w:pPr>
        <w:pStyle w:val="Normal"/>
        <w:rPr/>
      </w:pPr>
      <w:r>
        <w:rPr/>
        <w:t>The test room dimensions are 5m (length) x 3,67m (width).</w:t>
      </w:r>
    </w:p>
    <w:p>
      <w:pPr>
        <w:pStyle w:val="Normal"/>
        <w:rPr/>
      </w:pPr>
      <w:r>
        <w:rPr/>
      </w:r>
    </w:p>
    <w:p>
      <w:pPr>
        <w:pStyle w:val="Normal"/>
        <w:rPr>
          <w:b/>
          <w:b/>
        </w:rPr>
      </w:pPr>
      <w:r>
        <w:rPr>
          <w:b/>
        </w:rPr>
        <w:t>HATS position</w:t>
      </w:r>
    </w:p>
    <w:p>
      <w:pPr>
        <w:pStyle w:val="Normal"/>
        <w:rPr/>
      </w:pPr>
      <w:r>
        <w:rPr/>
        <w:t>HRP 143,5 cm above the floor</w:t>
      </w:r>
    </w:p>
    <w:p>
      <w:pPr>
        <w:pStyle w:val="Normal"/>
        <w:rPr/>
      </w:pPr>
      <w:r>
        <w:rPr/>
        <w:t>The HATS was placed 2,59m from the front wall and 1,86m from the right wall.</w:t>
      </w:r>
    </w:p>
    <w:p>
      <w:pPr>
        <w:pStyle w:val="Normal"/>
        <w:rPr/>
      </w:pPr>
      <w:r>
        <w:rPr/>
        <w:t>HATS rotated by 0° or 22.5° - the latter case was similar to [2] to avoid obstructing the sound from speaker 7.</w:t>
      </w:r>
    </w:p>
    <w:p>
      <w:pPr>
        <w:pStyle w:val="Normal"/>
        <w:rPr/>
      </w:pPr>
      <w:r>
        <w:rPr/>
      </w:r>
    </w:p>
    <w:p>
      <w:pPr>
        <w:pStyle w:val="Normal"/>
        <w:rPr>
          <w:b/>
          <w:b/>
        </w:rPr>
      </w:pPr>
      <w:r>
        <w:rPr>
          <w:b/>
        </w:rPr>
        <w:t>Speaker position</w:t>
      </w:r>
    </w:p>
    <w:p>
      <w:pPr>
        <w:pStyle w:val="Normal"/>
        <w:rPr/>
      </w:pPr>
      <w:r>
        <w:rPr/>
        <w:t>The speaker height and placement are summarized in Table 1.</w:t>
      </w:r>
      <w:r>
        <w:rPr>
          <w:b/>
        </w:rPr>
        <w:t xml:space="preserve"> </w:t>
      </w:r>
    </w:p>
    <w:p>
      <w:pPr>
        <w:pStyle w:val="Normal"/>
        <w:jc w:val="center"/>
        <w:rPr/>
      </w:pPr>
      <w:r>
        <w:rPr/>
        <w:t>Table 1. Loudspeaker position in the test room.</w:t>
      </w:r>
    </w:p>
    <w:tbl>
      <w:tblPr>
        <w:tblW w:w="8118" w:type="dxa"/>
        <w:jc w:val="center"/>
        <w:tblInd w:w="0" w:type="dxa"/>
        <w:tblLayout w:type="fixed"/>
        <w:tblCellMar>
          <w:top w:w="0" w:type="dxa"/>
          <w:left w:w="70" w:type="dxa"/>
          <w:bottom w:w="0" w:type="dxa"/>
          <w:right w:w="70" w:type="dxa"/>
        </w:tblCellMar>
      </w:tblPr>
      <w:tblGrid>
        <w:gridCol w:w="2077"/>
        <w:gridCol w:w="1079"/>
        <w:gridCol w:w="1276"/>
        <w:gridCol w:w="1276"/>
        <w:gridCol w:w="1276"/>
        <w:gridCol w:w="1134"/>
      </w:tblGrid>
      <w:tr>
        <w:trPr>
          <w:trHeight w:val="555" w:hRule="atLeast"/>
        </w:trPr>
        <w:tc>
          <w:tcPr>
            <w:tcW w:w="2077" w:type="dxa"/>
            <w:tcBorders>
              <w:left w:val="single" w:sz="8" w:space="0" w:color="000000"/>
              <w:right w:val="single" w:sz="4" w:space="0" w:color="000000"/>
            </w:tcBorders>
            <w:shd w:fill="C0C0C0" w:val="clear"/>
            <w:vAlign w:val="center"/>
          </w:tcPr>
          <w:p>
            <w:pPr>
              <w:pStyle w:val="Normal"/>
              <w:widowControl/>
              <w:spacing w:lineRule="auto" w:line="240" w:before="0" w:after="0"/>
              <w:jc w:val="center"/>
              <w:rPr>
                <w:rFonts w:cs="Arial"/>
                <w:b/>
                <w:b/>
                <w:bCs/>
                <w:sz w:val="20"/>
                <w:lang w:val="fr-FR" w:eastAsia="fr-FR"/>
              </w:rPr>
            </w:pPr>
            <w:r>
              <w:rPr>
                <w:rFonts w:cs="Arial"/>
                <w:b/>
                <w:bCs/>
                <w:sz w:val="20"/>
                <w:lang w:val="fr-FR" w:eastAsia="fr-FR"/>
              </w:rPr>
              <w:t>Loudspeaker</w:t>
            </w:r>
          </w:p>
        </w:tc>
        <w:tc>
          <w:tcPr>
            <w:tcW w:w="1079" w:type="dxa"/>
            <w:tcBorders>
              <w:right w:val="single" w:sz="4" w:space="0" w:color="000000"/>
            </w:tcBorders>
            <w:shd w:fill="C0C0C0" w:val="clear"/>
            <w:vAlign w:val="center"/>
          </w:tcPr>
          <w:p>
            <w:pPr>
              <w:pStyle w:val="Normal"/>
              <w:widowControl/>
              <w:spacing w:lineRule="auto" w:line="240" w:before="0" w:after="0"/>
              <w:jc w:val="center"/>
              <w:rPr>
                <w:rFonts w:cs="Arial"/>
                <w:b/>
                <w:b/>
                <w:bCs/>
                <w:sz w:val="20"/>
                <w:lang w:val="fr-FR" w:eastAsia="fr-FR"/>
              </w:rPr>
            </w:pPr>
            <w:r>
              <w:rPr>
                <w:rFonts w:cs="Arial"/>
                <w:b/>
                <w:bCs/>
                <w:sz w:val="20"/>
                <w:lang w:val="fr-FR" w:eastAsia="fr-FR"/>
              </w:rPr>
              <w:t>Left wall</w:t>
            </w:r>
          </w:p>
        </w:tc>
        <w:tc>
          <w:tcPr>
            <w:tcW w:w="1276" w:type="dxa"/>
            <w:tcBorders/>
            <w:shd w:fill="C0C0C0" w:val="clear"/>
            <w:vAlign w:val="center"/>
          </w:tcPr>
          <w:p>
            <w:pPr>
              <w:pStyle w:val="Normal"/>
              <w:widowControl/>
              <w:spacing w:lineRule="auto" w:line="240" w:before="0" w:after="0"/>
              <w:jc w:val="center"/>
              <w:rPr>
                <w:rFonts w:cs="Arial"/>
                <w:b/>
                <w:b/>
                <w:bCs/>
                <w:sz w:val="20"/>
                <w:lang w:val="fr-FR" w:eastAsia="fr-FR"/>
              </w:rPr>
            </w:pPr>
            <w:r>
              <w:rPr>
                <w:rFonts w:cs="Arial"/>
                <w:b/>
                <w:bCs/>
                <w:sz w:val="20"/>
                <w:lang w:val="fr-FR" w:eastAsia="fr-FR"/>
              </w:rPr>
              <w:t>Front wall</w:t>
            </w:r>
          </w:p>
        </w:tc>
        <w:tc>
          <w:tcPr>
            <w:tcW w:w="1276" w:type="dxa"/>
            <w:tcBorders>
              <w:left w:val="single" w:sz="4" w:space="0" w:color="000000"/>
              <w:right w:val="single" w:sz="4" w:space="0" w:color="000000"/>
            </w:tcBorders>
            <w:shd w:fill="C0C0C0" w:val="clear"/>
            <w:vAlign w:val="center"/>
          </w:tcPr>
          <w:p>
            <w:pPr>
              <w:pStyle w:val="Normal"/>
              <w:widowControl/>
              <w:spacing w:lineRule="auto" w:line="240" w:before="0" w:after="0"/>
              <w:jc w:val="center"/>
              <w:rPr>
                <w:rFonts w:cs="Arial"/>
                <w:b/>
                <w:b/>
                <w:bCs/>
                <w:sz w:val="20"/>
                <w:lang w:val="fr-FR" w:eastAsia="fr-FR"/>
              </w:rPr>
            </w:pPr>
            <w:r>
              <w:rPr>
                <w:rFonts w:cs="Arial"/>
                <w:b/>
                <w:bCs/>
                <w:sz w:val="20"/>
                <w:lang w:val="fr-FR" w:eastAsia="fr-FR"/>
              </w:rPr>
              <w:t>right wall</w:t>
            </w:r>
          </w:p>
        </w:tc>
        <w:tc>
          <w:tcPr>
            <w:tcW w:w="1276" w:type="dxa"/>
            <w:tcBorders>
              <w:right w:val="single" w:sz="4" w:space="0" w:color="000000"/>
            </w:tcBorders>
            <w:shd w:fill="C0C0C0" w:val="clear"/>
            <w:vAlign w:val="center"/>
          </w:tcPr>
          <w:p>
            <w:pPr>
              <w:pStyle w:val="Normal"/>
              <w:widowControl/>
              <w:spacing w:lineRule="auto" w:line="240" w:before="0" w:after="0"/>
              <w:jc w:val="center"/>
              <w:rPr>
                <w:rFonts w:cs="Arial"/>
                <w:b/>
                <w:b/>
                <w:bCs/>
                <w:sz w:val="20"/>
                <w:lang w:val="fr-FR" w:eastAsia="fr-FR"/>
              </w:rPr>
            </w:pPr>
            <w:r>
              <w:rPr>
                <w:rFonts w:cs="Arial"/>
                <w:b/>
                <w:bCs/>
                <w:sz w:val="20"/>
                <w:lang w:val="fr-FR" w:eastAsia="fr-FR"/>
              </w:rPr>
              <w:t>back wall</w:t>
            </w:r>
          </w:p>
        </w:tc>
        <w:tc>
          <w:tcPr>
            <w:tcW w:w="1134" w:type="dxa"/>
            <w:tcBorders>
              <w:right w:val="single" w:sz="8" w:space="0" w:color="000000"/>
            </w:tcBorders>
            <w:shd w:fill="C0C0C0" w:val="clear"/>
            <w:vAlign w:val="center"/>
          </w:tcPr>
          <w:p>
            <w:pPr>
              <w:pStyle w:val="Normal"/>
              <w:widowControl/>
              <w:spacing w:lineRule="auto" w:line="240" w:before="0" w:after="0"/>
              <w:jc w:val="center"/>
              <w:rPr>
                <w:rFonts w:cs="Arial"/>
                <w:b/>
                <w:b/>
                <w:bCs/>
                <w:sz w:val="20"/>
                <w:lang w:val="fr-FR" w:eastAsia="fr-FR"/>
              </w:rPr>
            </w:pPr>
            <w:r>
              <w:rPr>
                <w:rFonts w:cs="Arial"/>
                <w:b/>
                <w:bCs/>
                <w:sz w:val="20"/>
                <w:lang w:val="fr-FR" w:eastAsia="fr-FR"/>
              </w:rPr>
              <w:t>Height</w:t>
            </w:r>
          </w:p>
        </w:tc>
      </w:tr>
      <w:tr>
        <w:trPr>
          <w:trHeight w:val="900" w:hRule="atLeast"/>
        </w:trPr>
        <w:tc>
          <w:tcPr>
            <w:tcW w:w="2077" w:type="dxa"/>
            <w:tcBorders>
              <w:top w:val="single" w:sz="8" w:space="0" w:color="000000"/>
              <w:left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1 - Front left</w:t>
            </w:r>
          </w:p>
        </w:tc>
        <w:tc>
          <w:tcPr>
            <w:tcW w:w="1079" w:type="dxa"/>
            <w:tcBorders>
              <w:top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0,53 m</w:t>
            </w:r>
          </w:p>
        </w:tc>
        <w:tc>
          <w:tcPr>
            <w:tcW w:w="1276" w:type="dxa"/>
            <w:tcBorders>
              <w:top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1,3 m</w:t>
            </w:r>
          </w:p>
        </w:tc>
        <w:tc>
          <w:tcPr>
            <w:tcW w:w="1276" w:type="dxa"/>
            <w:tcBorders>
              <w:top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top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134" w:type="dxa"/>
            <w:tcBorders>
              <w:top w:val="single" w:sz="8" w:space="0" w:color="000000"/>
              <w:bottom w:val="single" w:sz="4"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1,36 m</w:t>
            </w:r>
          </w:p>
        </w:tc>
      </w:tr>
      <w:tr>
        <w:trPr>
          <w:trHeight w:val="900" w:hRule="atLeast"/>
        </w:trPr>
        <w:tc>
          <w:tcPr>
            <w:tcW w:w="2077" w:type="dxa"/>
            <w:tcBorders>
              <w:left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2 - Front right</w:t>
            </w:r>
          </w:p>
        </w:tc>
        <w:tc>
          <w:tcPr>
            <w:tcW w:w="1079"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1,25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0,59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134" w:type="dxa"/>
            <w:tcBorders>
              <w:bottom w:val="single" w:sz="4"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 xml:space="preserve">1,36 m </w:t>
            </w:r>
          </w:p>
        </w:tc>
      </w:tr>
      <w:tr>
        <w:trPr>
          <w:trHeight w:val="900" w:hRule="atLeast"/>
        </w:trPr>
        <w:tc>
          <w:tcPr>
            <w:tcW w:w="2077" w:type="dxa"/>
            <w:tcBorders>
              <w:left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3 - Rear right</w:t>
            </w:r>
          </w:p>
        </w:tc>
        <w:tc>
          <w:tcPr>
            <w:tcW w:w="1079"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0,68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1,06 m</w:t>
            </w:r>
          </w:p>
        </w:tc>
        <w:tc>
          <w:tcPr>
            <w:tcW w:w="1134" w:type="dxa"/>
            <w:tcBorders>
              <w:bottom w:val="single" w:sz="4"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1,36 m</w:t>
            </w:r>
          </w:p>
        </w:tc>
      </w:tr>
      <w:tr>
        <w:trPr>
          <w:trHeight w:val="900" w:hRule="atLeast"/>
        </w:trPr>
        <w:tc>
          <w:tcPr>
            <w:tcW w:w="2077" w:type="dxa"/>
            <w:tcBorders>
              <w:left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4 - Rear left</w:t>
            </w:r>
          </w:p>
        </w:tc>
        <w:tc>
          <w:tcPr>
            <w:tcW w:w="1079"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1,09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0,68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134" w:type="dxa"/>
            <w:tcBorders>
              <w:bottom w:val="single" w:sz="4"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1,36 m</w:t>
            </w:r>
          </w:p>
        </w:tc>
      </w:tr>
      <w:tr>
        <w:trPr>
          <w:trHeight w:val="900" w:hRule="atLeast"/>
        </w:trPr>
        <w:tc>
          <w:tcPr>
            <w:tcW w:w="2077" w:type="dxa"/>
            <w:tcBorders>
              <w:left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 xml:space="preserve">5- </w:t>
            </w:r>
          </w:p>
        </w:tc>
        <w:tc>
          <w:tcPr>
            <w:tcW w:w="1079"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1,17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2,30 m</w:t>
            </w:r>
          </w:p>
        </w:tc>
        <w:tc>
          <w:tcPr>
            <w:tcW w:w="1134" w:type="dxa"/>
            <w:tcBorders>
              <w:bottom w:val="single" w:sz="4"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1,23 m</w:t>
            </w:r>
          </w:p>
        </w:tc>
      </w:tr>
      <w:tr>
        <w:trPr>
          <w:trHeight w:val="900" w:hRule="atLeast"/>
        </w:trPr>
        <w:tc>
          <w:tcPr>
            <w:tcW w:w="2077" w:type="dxa"/>
            <w:tcBorders>
              <w:left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 xml:space="preserve">6- </w:t>
            </w:r>
          </w:p>
        </w:tc>
        <w:tc>
          <w:tcPr>
            <w:tcW w:w="1079"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0,42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2,30 m</w:t>
            </w:r>
          </w:p>
        </w:tc>
        <w:tc>
          <w:tcPr>
            <w:tcW w:w="1134" w:type="dxa"/>
            <w:tcBorders>
              <w:bottom w:val="single" w:sz="4"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1,23 m</w:t>
            </w:r>
          </w:p>
        </w:tc>
      </w:tr>
      <w:tr>
        <w:trPr>
          <w:trHeight w:val="900" w:hRule="atLeast"/>
        </w:trPr>
        <w:tc>
          <w:tcPr>
            <w:tcW w:w="2077" w:type="dxa"/>
            <w:tcBorders>
              <w:left w:val="single" w:sz="8" w:space="0" w:color="000000"/>
              <w:bottom w:val="single" w:sz="4"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 xml:space="preserve">7- </w:t>
            </w:r>
          </w:p>
        </w:tc>
        <w:tc>
          <w:tcPr>
            <w:tcW w:w="1079"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1,86 m</w:t>
            </w:r>
          </w:p>
        </w:tc>
        <w:tc>
          <w:tcPr>
            <w:tcW w:w="1276" w:type="dxa"/>
            <w:tcBorders>
              <w:bottom w:val="single" w:sz="4"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0,80 m</w:t>
            </w:r>
          </w:p>
        </w:tc>
        <w:tc>
          <w:tcPr>
            <w:tcW w:w="1134" w:type="dxa"/>
            <w:tcBorders>
              <w:bottom w:val="single" w:sz="4"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1,23 m</w:t>
            </w:r>
          </w:p>
        </w:tc>
      </w:tr>
      <w:tr>
        <w:trPr>
          <w:trHeight w:val="900" w:hRule="atLeast"/>
        </w:trPr>
        <w:tc>
          <w:tcPr>
            <w:tcW w:w="2077" w:type="dxa"/>
            <w:tcBorders>
              <w:left w:val="single" w:sz="8" w:space="0" w:color="000000"/>
              <w:bottom w:val="single" w:sz="8" w:space="0" w:color="000000"/>
              <w:right w:val="single" w:sz="4" w:space="0" w:color="000000"/>
            </w:tcBorders>
            <w:vAlign w:val="center"/>
          </w:tcPr>
          <w:p>
            <w:pPr>
              <w:pStyle w:val="Normal"/>
              <w:widowControl/>
              <w:spacing w:lineRule="auto" w:line="240" w:before="0" w:after="0"/>
              <w:jc w:val="center"/>
              <w:rPr>
                <w:rFonts w:cs="Arial"/>
                <w:b/>
                <w:b/>
                <w:bCs/>
                <w:sz w:val="24"/>
                <w:szCs w:val="24"/>
                <w:lang w:val="fr-FR" w:eastAsia="fr-FR"/>
              </w:rPr>
            </w:pPr>
            <w:r>
              <w:rPr>
                <w:rFonts w:cs="Arial"/>
                <w:b/>
                <w:bCs/>
                <w:sz w:val="24"/>
                <w:szCs w:val="24"/>
                <w:lang w:val="fr-FR" w:eastAsia="fr-FR"/>
              </w:rPr>
              <w:t xml:space="preserve">8- </w:t>
            </w:r>
          </w:p>
        </w:tc>
        <w:tc>
          <w:tcPr>
            <w:tcW w:w="1079" w:type="dxa"/>
            <w:tcBorders>
              <w:bottom w:val="single" w:sz="8"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0,42 m</w:t>
            </w:r>
          </w:p>
        </w:tc>
        <w:tc>
          <w:tcPr>
            <w:tcW w:w="1276" w:type="dxa"/>
            <w:tcBorders>
              <w:bottom w:val="single" w:sz="8"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8"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w:t>
            </w:r>
          </w:p>
        </w:tc>
        <w:tc>
          <w:tcPr>
            <w:tcW w:w="1276" w:type="dxa"/>
            <w:tcBorders>
              <w:bottom w:val="single" w:sz="8" w:space="0" w:color="000000"/>
              <w:right w:val="single" w:sz="4" w:space="0" w:color="000000"/>
            </w:tcBorders>
            <w:vAlign w:val="center"/>
          </w:tcPr>
          <w:p>
            <w:pPr>
              <w:pStyle w:val="Normal"/>
              <w:widowControl/>
              <w:spacing w:lineRule="auto" w:line="240" w:before="0" w:after="0"/>
              <w:jc w:val="center"/>
              <w:rPr>
                <w:rFonts w:cs="Arial"/>
                <w:b/>
                <w:b/>
                <w:bCs/>
                <w:color w:val="FF0000"/>
                <w:sz w:val="24"/>
                <w:szCs w:val="24"/>
                <w:lang w:val="fr-FR" w:eastAsia="fr-FR"/>
              </w:rPr>
            </w:pPr>
            <w:r>
              <w:rPr>
                <w:rFonts w:cs="Arial"/>
                <w:b/>
                <w:bCs/>
                <w:color w:val="FF0000"/>
                <w:sz w:val="24"/>
                <w:szCs w:val="24"/>
                <w:lang w:val="fr-FR" w:eastAsia="fr-FR"/>
              </w:rPr>
              <w:t xml:space="preserve">2,30 m </w:t>
            </w:r>
          </w:p>
        </w:tc>
        <w:tc>
          <w:tcPr>
            <w:tcW w:w="1134" w:type="dxa"/>
            <w:tcBorders>
              <w:bottom w:val="single" w:sz="8" w:space="0" w:color="000000"/>
              <w:right w:val="single" w:sz="8" w:space="0" w:color="000000"/>
            </w:tcBorders>
            <w:vAlign w:val="center"/>
          </w:tcPr>
          <w:p>
            <w:pPr>
              <w:pStyle w:val="Normal"/>
              <w:widowControl/>
              <w:spacing w:lineRule="auto" w:line="240" w:before="0" w:after="0"/>
              <w:jc w:val="center"/>
              <w:rPr>
                <w:rFonts w:cs="Arial"/>
                <w:b/>
                <w:b/>
                <w:bCs/>
                <w:color w:val="DD0806"/>
                <w:sz w:val="24"/>
                <w:szCs w:val="24"/>
                <w:lang w:val="fr-FR" w:eastAsia="fr-FR"/>
              </w:rPr>
            </w:pPr>
            <w:r>
              <w:rPr>
                <w:rFonts w:cs="Arial"/>
                <w:b/>
                <w:bCs/>
                <w:color w:val="DD0806"/>
                <w:sz w:val="24"/>
                <w:szCs w:val="24"/>
                <w:lang w:val="fr-FR" w:eastAsia="fr-FR"/>
              </w:rPr>
              <w:t>1,21 m</w:t>
            </w:r>
          </w:p>
        </w:tc>
      </w:tr>
    </w:tbl>
    <w:p>
      <w:pPr>
        <w:pStyle w:val="Normal"/>
        <w:rPr>
          <w:highlight w:val="green"/>
        </w:rPr>
      </w:pPr>
      <w:r>
        <w:rPr>
          <w:highlight w:val="green"/>
        </w:rPr>
      </w:r>
    </w:p>
    <w:p>
      <w:pPr>
        <w:pStyle w:val="Heading2"/>
        <w:ind w:left="2131" w:hanging="2131"/>
        <w:rPr>
          <w:highlight w:val="green"/>
        </w:rPr>
      </w:pPr>
      <w:r>
        <w:rPr>
          <w:highlight w:val="green"/>
        </w:rPr>
      </w:r>
    </w:p>
    <w:p>
      <w:pPr>
        <w:pStyle w:val="TextBody"/>
        <w:keepNext w:val="true"/>
        <w:keepLines/>
        <w:rPr/>
      </w:pPr>
      <w:r>
        <w:rPr/>
      </w:r>
    </w:p>
    <w:p>
      <w:pPr>
        <w:pStyle w:val="Normal"/>
        <w:keepNext w:val="true"/>
        <w:keepLines/>
        <w:rPr>
          <w:b/>
          <w:b/>
        </w:rPr>
      </w:pPr>
      <w:r>
        <w:rPr>
          <w:b/>
        </w:rPr>
        <w:t>Equalization of the 4.1 speaker method (ES 202 396-1)</w:t>
      </w:r>
    </w:p>
    <w:p>
      <w:pPr>
        <w:pStyle w:val="TextBody"/>
        <w:keepNext w:val="true"/>
        <w:keepLines/>
        <w:rPr>
          <w:lang w:val="fr-FR" w:eastAsia="en-US"/>
        </w:rPr>
      </w:pPr>
      <w:r>
        <w:rPr>
          <w:lang w:val="fr-FR" w:eastAsia="en-US"/>
        </w:rPr>
        <w:drawing>
          <wp:inline distT="0" distB="0" distL="0" distR="0">
            <wp:extent cx="5383530" cy="4828540"/>
            <wp:effectExtent l="0" t="0" r="0" b="0"/>
            <wp:docPr id="2" name="Imag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6" descr=""/>
                    <pic:cNvPicPr>
                      <a:picLocks noChangeAspect="1" noChangeArrowheads="1"/>
                    </pic:cNvPicPr>
                  </pic:nvPicPr>
                  <pic:blipFill>
                    <a:blip r:embed="rId3"/>
                    <a:srcRect l="-4" t="-4" r="-4" b="-4"/>
                    <a:stretch>
                      <a:fillRect/>
                    </a:stretch>
                  </pic:blipFill>
                  <pic:spPr bwMode="auto">
                    <a:xfrm>
                      <a:off x="0" y="0"/>
                      <a:ext cx="5383530" cy="4828540"/>
                    </a:xfrm>
                    <a:prstGeom prst="rect">
                      <a:avLst/>
                    </a:prstGeom>
                  </pic:spPr>
                </pic:pic>
              </a:graphicData>
            </a:graphic>
          </wp:inline>
        </w:drawing>
      </w:r>
    </w:p>
    <w:p>
      <w:pPr>
        <w:pStyle w:val="TextBody"/>
        <w:rPr>
          <w:rFonts w:eastAsia="SimSun;宋体" w:cs="Arial"/>
          <w:color w:val="0000FF"/>
          <w:kern w:val="2"/>
          <w:lang w:eastAsia="zh-CN"/>
        </w:rPr>
      </w:pPr>
      <w:r>
        <w:rPr>
          <w:rFonts w:eastAsia="SimSun;宋体" w:cs="Arial"/>
          <w:color w:val="0000FF"/>
          <w:kern w:val="2"/>
          <w:lang w:eastAsia="zh-CN"/>
        </w:rPr>
      </w:r>
    </w:p>
    <w:p>
      <w:pPr>
        <w:pStyle w:val="Normal"/>
        <w:keepNext w:val="true"/>
        <w:keepLines/>
        <w:rPr>
          <w:b/>
          <w:b/>
        </w:rPr>
      </w:pPr>
      <w:r>
        <w:rPr>
          <w:b/>
        </w:rPr>
        <w:t>Equalization of the 8-speaker method (TS 103 224) for the hand-held handsfree mode</w:t>
      </w:r>
    </w:p>
    <w:p>
      <w:pPr>
        <w:pStyle w:val="TextBody"/>
        <w:rPr>
          <w:sz w:val="22"/>
        </w:rPr>
      </w:pPr>
      <w:r>
        <w:rPr>
          <w:sz w:val="22"/>
        </w:rPr>
        <w:t>The same positions were used in the 8-loudspeaker case, except that 4 loudspeakers were added in the room and the HATS was rotated by either 0° or 22.5°. The loudspeaker numbering was the same as in [2] except that loudspeakers 3 and 4 (rear) were swapped.</w:t>
      </w:r>
      <w:r>
        <w:br w:type="page"/>
      </w:r>
    </w:p>
    <w:p>
      <w:pPr>
        <w:pStyle w:val="WWHeading"/>
        <w:numPr>
          <w:ilvl w:val="0"/>
          <w:numId w:val="10"/>
        </w:numPr>
        <w:tabs>
          <w:tab w:val="clear" w:pos="720"/>
          <w:tab w:val="left" w:pos="6379" w:leader="none"/>
        </w:tabs>
        <w:spacing w:lineRule="auto" w:line="240" w:before="120" w:after="0"/>
        <w:rPr>
          <w:color w:val="000000"/>
          <w:szCs w:val="22"/>
        </w:rPr>
      </w:pPr>
      <w:r>
        <w:rPr>
          <w:color w:val="000000"/>
          <w:szCs w:val="22"/>
        </w:rPr>
        <w:t>Equalization results</w:t>
      </w:r>
    </w:p>
    <w:p>
      <w:pPr>
        <w:pStyle w:val="Normal"/>
        <w:rPr>
          <w:color w:val="000000"/>
          <w:szCs w:val="22"/>
        </w:rPr>
      </w:pPr>
      <w:r>
        <w:rPr>
          <w:color w:val="000000"/>
          <w:szCs w:val="22"/>
        </w:rPr>
      </w:r>
    </w:p>
    <w:p>
      <w:pPr>
        <w:pStyle w:val="WWHeading"/>
        <w:numPr>
          <w:ilvl w:val="1"/>
          <w:numId w:val="10"/>
        </w:numPr>
        <w:tabs>
          <w:tab w:val="clear" w:pos="720"/>
          <w:tab w:val="left" w:pos="6379" w:leader="none"/>
        </w:tabs>
        <w:spacing w:lineRule="auto" w:line="240" w:before="120" w:after="0"/>
        <w:rPr>
          <w:color w:val="000000"/>
          <w:szCs w:val="22"/>
        </w:rPr>
      </w:pPr>
      <w:r>
        <w:rPr>
          <w:color w:val="000000"/>
          <w:szCs w:val="22"/>
        </w:rPr>
        <w:t>Hand-held handsfree equalization results (8 speaker method)</w:t>
      </w:r>
    </w:p>
    <w:p>
      <w:pPr>
        <w:pStyle w:val="Normal"/>
        <w:rPr>
          <w:color w:val="000000"/>
          <w:szCs w:val="22"/>
        </w:rPr>
      </w:pPr>
      <w:r>
        <w:rPr>
          <w:color w:val="000000"/>
          <w:szCs w:val="22"/>
        </w:rPr>
      </w:r>
    </w:p>
    <w:p>
      <w:pPr>
        <w:pStyle w:val="Normal"/>
        <w:rPr/>
      </w:pPr>
      <w:r>
        <w:rPr/>
        <w:t>Only equalization results for no HATS rotation are shown here, however equalization results for the 22.5° rotation case are also available if needed.</w:t>
      </w:r>
    </w:p>
    <w:p>
      <w:pPr>
        <w:pStyle w:val="Heading31"/>
        <w:jc w:val="center"/>
        <w:rPr/>
      </w:pPr>
      <w:r>
        <w:rPr/>
        <w:t>Diagrams of validation results</w:t>
      </w:r>
    </w:p>
    <w:tbl>
      <w:tblPr>
        <w:tblW w:w="10206" w:type="dxa"/>
        <w:jc w:val="left"/>
        <w:tblInd w:w="-2" w:type="dxa"/>
        <w:tblLayout w:type="fixed"/>
        <w:tblCellMar>
          <w:top w:w="0" w:type="dxa"/>
          <w:left w:w="31" w:type="dxa"/>
          <w:bottom w:w="0" w:type="dxa"/>
          <w:right w:w="31" w:type="dxa"/>
        </w:tblCellMar>
      </w:tblPr>
      <w:tblGrid>
        <w:gridCol w:w="5103"/>
        <w:gridCol w:w="5103"/>
      </w:tblGrid>
      <w:tr>
        <w:trPr/>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Calibration Position</w:t>
            </w:r>
          </w:p>
        </w:tc>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Fine tuning position</w:t>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10000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3" name="_tx_id_25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tx_id_25_" descr=""/>
                          <pic:cNvPicPr>
                            <a:picLocks noChangeAspect="1" noChangeArrowheads="1"/>
                          </pic:cNvPicPr>
                        </pic:nvPicPr>
                        <pic:blipFill>
                          <a:blip r:embed="rId4"/>
                          <a:srcRect l="-9" t="-12" r="-9" b="-12"/>
                          <a:stretch>
                            <a:fillRect/>
                          </a:stretch>
                        </pic:blipFill>
                        <pic:spPr bwMode="auto">
                          <a:xfrm>
                            <a:off x="0" y="0"/>
                            <a:ext cx="295338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4" name="_tx_id_26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tx_id_26_" descr=""/>
                          <pic:cNvPicPr>
                            <a:picLocks noChangeAspect="1" noChangeArrowheads="1"/>
                          </pic:cNvPicPr>
                        </pic:nvPicPr>
                        <pic:blipFill>
                          <a:blip r:embed="rId5"/>
                          <a:srcRect l="-9" t="-12" r="-9" b="-12"/>
                          <a:stretch>
                            <a:fillRect/>
                          </a:stretch>
                        </pic:blipFill>
                        <pic:spPr bwMode="auto">
                          <a:xfrm>
                            <a:off x="0" y="0"/>
                            <a:ext cx="295338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10000 Hz to 16000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5" name="_tx_id_27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tx_id_27_" descr=""/>
                          <pic:cNvPicPr>
                            <a:picLocks noChangeAspect="1" noChangeArrowheads="1"/>
                          </pic:cNvPicPr>
                        </pic:nvPicPr>
                        <pic:blipFill>
                          <a:blip r:embed="rId6"/>
                          <a:srcRect l="-9" t="-12" r="-9" b="-12"/>
                          <a:stretch>
                            <a:fillRect/>
                          </a:stretch>
                        </pic:blipFill>
                        <pic:spPr bwMode="auto">
                          <a:xfrm>
                            <a:off x="0" y="0"/>
                            <a:ext cx="295338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6" name="_tx_id_28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tx_id_28_" descr=""/>
                          <pic:cNvPicPr>
                            <a:picLocks noChangeAspect="1" noChangeArrowheads="1"/>
                          </pic:cNvPicPr>
                        </pic:nvPicPr>
                        <pic:blipFill>
                          <a:blip r:embed="rId7"/>
                          <a:srcRect l="-9" t="-12" r="-9" b="-12"/>
                          <a:stretch>
                            <a:fillRect/>
                          </a:stretch>
                        </pic:blipFill>
                        <pic:spPr bwMode="auto">
                          <a:xfrm>
                            <a:off x="0" y="0"/>
                            <a:ext cx="295338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Average Frequency Response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20000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7" name="_tx_id_29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tx_id_29_" descr=""/>
                          <pic:cNvPicPr>
                            <a:picLocks noChangeAspect="1" noChangeArrowheads="1"/>
                          </pic:cNvPicPr>
                        </pic:nvPicPr>
                        <pic:blipFill>
                          <a:blip r:embed="rId8"/>
                          <a:srcRect l="-9" t="-12" r="-9" b="-12"/>
                          <a:stretch>
                            <a:fillRect/>
                          </a:stretch>
                        </pic:blipFill>
                        <pic:spPr bwMode="auto">
                          <a:xfrm>
                            <a:off x="0" y="0"/>
                            <a:ext cx="295338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8" name="_tx_id_30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tx_id_30_" descr=""/>
                          <pic:cNvPicPr>
                            <a:picLocks noChangeAspect="1" noChangeArrowheads="1"/>
                          </pic:cNvPicPr>
                        </pic:nvPicPr>
                        <pic:blipFill>
                          <a:blip r:embed="rId9"/>
                          <a:srcRect l="-9" t="-12" r="-9" b="-12"/>
                          <a:stretch>
                            <a:fillRect/>
                          </a:stretch>
                        </pic:blipFill>
                        <pic:spPr bwMode="auto">
                          <a:xfrm>
                            <a:off x="0" y="0"/>
                            <a:ext cx="295338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Mag. of Complex Coherence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9" name="_tx_id_31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tx_id_31_" descr=""/>
                          <pic:cNvPicPr>
                            <a:picLocks noChangeAspect="1" noChangeArrowheads="1"/>
                          </pic:cNvPicPr>
                        </pic:nvPicPr>
                        <pic:blipFill>
                          <a:blip r:embed="rId10"/>
                          <a:srcRect l="-9" t="-12" r="-9" b="-12"/>
                          <a:stretch>
                            <a:fillRect/>
                          </a:stretch>
                        </pic:blipFill>
                        <pic:spPr bwMode="auto">
                          <a:xfrm>
                            <a:off x="0" y="0"/>
                            <a:ext cx="295338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10" name="_tx_id_32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tx_id_32_" descr=""/>
                          <pic:cNvPicPr>
                            <a:picLocks noChangeAspect="1" noChangeArrowheads="1"/>
                          </pic:cNvPicPr>
                        </pic:nvPicPr>
                        <pic:blipFill>
                          <a:blip r:embed="rId11"/>
                          <a:srcRect l="-9" t="-12" r="-9" b="-12"/>
                          <a:stretch>
                            <a:fillRect/>
                          </a:stretch>
                        </pic:blipFill>
                        <pic:spPr bwMode="auto">
                          <a:xfrm>
                            <a:off x="0" y="0"/>
                            <a:ext cx="295338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11" name="_tx_id_33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tx_id_33_" descr=""/>
                          <pic:cNvPicPr>
                            <a:picLocks noChangeAspect="1" noChangeArrowheads="1"/>
                          </pic:cNvPicPr>
                        </pic:nvPicPr>
                        <pic:blipFill>
                          <a:blip r:embed="rId12"/>
                          <a:srcRect l="-9" t="-12" r="-9" b="-12"/>
                          <a:stretch>
                            <a:fillRect/>
                          </a:stretch>
                        </pic:blipFill>
                        <pic:spPr bwMode="auto">
                          <a:xfrm>
                            <a:off x="0" y="0"/>
                            <a:ext cx="295338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12" name="_tx_id_34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tx_id_34_" descr=""/>
                          <pic:cNvPicPr>
                            <a:picLocks noChangeAspect="1" noChangeArrowheads="1"/>
                          </pic:cNvPicPr>
                        </pic:nvPicPr>
                        <pic:blipFill>
                          <a:blip r:embed="rId13"/>
                          <a:srcRect l="-9" t="-12" r="-9" b="-12"/>
                          <a:stretch>
                            <a:fillRect/>
                          </a:stretch>
                        </pic:blipFill>
                        <pic:spPr bwMode="auto">
                          <a:xfrm>
                            <a:off x="0" y="0"/>
                            <a:ext cx="295338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 Hz to 1500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13" name="_tx_id_35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tx_id_35_" descr=""/>
                          <pic:cNvPicPr>
                            <a:picLocks noChangeAspect="1" noChangeArrowheads="1"/>
                          </pic:cNvPicPr>
                        </pic:nvPicPr>
                        <pic:blipFill>
                          <a:blip r:embed="rId14"/>
                          <a:srcRect l="-9" t="-12" r="-9" b="-12"/>
                          <a:stretch>
                            <a:fillRect/>
                          </a:stretch>
                        </pic:blipFill>
                        <pic:spPr bwMode="auto">
                          <a:xfrm>
                            <a:off x="0" y="0"/>
                            <a:ext cx="295338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lang w:val="fr-FR" w:eastAsia="en-US"/>
              </w:rPr>
            </w:pPr>
            <w:r>
              <w:rPr>
                <w:lang w:val="fr-FR" w:eastAsia="en-US"/>
              </w:rPr>
              <w:drawing>
                <wp:inline distT="0" distB="0" distL="0" distR="0">
                  <wp:extent cx="2953385" cy="2321560"/>
                  <wp:effectExtent l="0" t="0" r="0" b="0"/>
                  <wp:docPr id="14" name="_tx_id_36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tx_id_36_" descr=""/>
                          <pic:cNvPicPr>
                            <a:picLocks noChangeAspect="1" noChangeArrowheads="1"/>
                          </pic:cNvPicPr>
                        </pic:nvPicPr>
                        <pic:blipFill>
                          <a:blip r:embed="rId15"/>
                          <a:srcRect l="-9" t="-12" r="-9" b="-12"/>
                          <a:stretch>
                            <a:fillRect/>
                          </a:stretch>
                        </pic:blipFill>
                        <pic:spPr bwMode="auto">
                          <a:xfrm>
                            <a:off x="0" y="0"/>
                            <a:ext cx="2953385" cy="2321560"/>
                          </a:xfrm>
                          <a:prstGeom prst="rect">
                            <a:avLst/>
                          </a:prstGeom>
                        </pic:spPr>
                      </pic:pic>
                    </a:graphicData>
                  </a:graphic>
                </wp:inline>
              </w:drawing>
            </w:r>
          </w:p>
        </w:tc>
      </w:tr>
    </w:tbl>
    <w:p>
      <w:pPr>
        <w:pStyle w:val="Normal"/>
        <w:rPr/>
      </w:pPr>
      <w:r>
        <w:rPr/>
      </w:r>
    </w:p>
    <w:p>
      <w:pPr>
        <w:pStyle w:val="Normal"/>
        <w:rPr/>
      </w:pPr>
      <w:r>
        <w:rPr/>
      </w:r>
    </w:p>
    <w:p>
      <w:pPr>
        <w:pStyle w:val="WWHeading"/>
        <w:keepNext w:val="true"/>
        <w:keepLines/>
        <w:numPr>
          <w:ilvl w:val="1"/>
          <w:numId w:val="10"/>
        </w:numPr>
        <w:tabs>
          <w:tab w:val="clear" w:pos="720"/>
          <w:tab w:val="left" w:pos="6379" w:leader="none"/>
        </w:tabs>
        <w:spacing w:lineRule="auto" w:line="240" w:before="120" w:after="0"/>
        <w:rPr>
          <w:color w:val="000000"/>
          <w:szCs w:val="22"/>
        </w:rPr>
      </w:pPr>
      <w:r>
        <w:rPr>
          <w:rFonts w:eastAsia="Arial"/>
          <w:color w:val="000000"/>
          <w:szCs w:val="22"/>
        </w:rPr>
        <w:t xml:space="preserve"> </w:t>
      </w:r>
      <w:r>
        <w:rPr>
          <w:color w:val="000000"/>
          <w:szCs w:val="22"/>
        </w:rPr>
        <w:t>Equalization results for the 4.1 speaker method (ES 202 396-1)</w:t>
      </w:r>
    </w:p>
    <w:p>
      <w:pPr>
        <w:pStyle w:val="WWHeading"/>
        <w:keepNext w:val="true"/>
        <w:keepLines/>
        <w:tabs>
          <w:tab w:val="clear" w:pos="720"/>
          <w:tab w:val="left" w:pos="6379" w:leader="none"/>
        </w:tabs>
        <w:spacing w:lineRule="auto" w:line="240" w:before="120" w:after="0"/>
        <w:ind w:left="0" w:hanging="0"/>
        <w:rPr>
          <w:color w:val="000000"/>
          <w:szCs w:val="22"/>
        </w:rPr>
      </w:pPr>
      <w:r>
        <w:rPr>
          <w:color w:val="000000"/>
          <w:szCs w:val="22"/>
        </w:rPr>
      </w:r>
    </w:p>
    <w:p>
      <w:pPr>
        <w:pStyle w:val="WWHeading"/>
        <w:tabs>
          <w:tab w:val="clear" w:pos="720"/>
          <w:tab w:val="left" w:pos="6379" w:leader="none"/>
        </w:tabs>
        <w:spacing w:lineRule="auto" w:line="240" w:before="120" w:after="0"/>
        <w:ind w:left="0" w:hanging="0"/>
        <w:rPr>
          <w:lang w:val="fr-FR" w:eastAsia="en-US"/>
        </w:rPr>
      </w:pPr>
      <w:r>
        <w:rPr>
          <w:rFonts w:eastAsia="Arial"/>
          <w:lang w:val="en-US" w:eastAsia="en-US"/>
        </w:rPr>
        <w:t xml:space="preserve"> </w:t>
      </w:r>
      <w:r>
        <w:rPr>
          <w:lang w:val="fr-FR" w:eastAsia="en-US"/>
        </w:rPr>
        <w:drawing>
          <wp:inline distT="0" distB="0" distL="0" distR="0">
            <wp:extent cx="5703570" cy="3716655"/>
            <wp:effectExtent l="0" t="0" r="0" b="0"/>
            <wp:docPr id="15"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1" descr=""/>
                    <pic:cNvPicPr>
                      <a:picLocks noChangeAspect="1" noChangeArrowheads="1"/>
                    </pic:cNvPicPr>
                  </pic:nvPicPr>
                  <pic:blipFill>
                    <a:blip r:embed="rId16"/>
                    <a:srcRect l="-3" t="-4" r="-3" b="-4"/>
                    <a:stretch>
                      <a:fillRect/>
                    </a:stretch>
                  </pic:blipFill>
                  <pic:spPr bwMode="auto">
                    <a:xfrm>
                      <a:off x="0" y="0"/>
                      <a:ext cx="5703570" cy="3716655"/>
                    </a:xfrm>
                    <a:prstGeom prst="rect">
                      <a:avLst/>
                    </a:prstGeom>
                  </pic:spPr>
                </pic:pic>
              </a:graphicData>
            </a:graphic>
          </wp:inline>
        </w:drawing>
      </w:r>
    </w:p>
    <w:p>
      <w:pPr>
        <w:pStyle w:val="WWHeading"/>
        <w:tabs>
          <w:tab w:val="clear" w:pos="720"/>
          <w:tab w:val="left" w:pos="6379" w:leader="none"/>
        </w:tabs>
        <w:spacing w:lineRule="auto" w:line="240" w:before="120" w:after="0"/>
        <w:ind w:left="0" w:hanging="0"/>
        <w:rPr>
          <w:color w:val="000000"/>
          <w:szCs w:val="22"/>
          <w:lang w:val="fr-FR" w:eastAsia="en-US"/>
        </w:rPr>
      </w:pPr>
      <w:r>
        <w:rPr>
          <w:color w:val="000000"/>
          <w:szCs w:val="22"/>
          <w:lang w:val="fr-FR" w:eastAsia="en-US"/>
        </w:rPr>
      </w:r>
    </w:p>
    <w:p>
      <w:pPr>
        <w:pStyle w:val="WWHeading"/>
        <w:keepNext w:val="true"/>
        <w:keepLines/>
        <w:numPr>
          <w:ilvl w:val="1"/>
          <w:numId w:val="10"/>
        </w:numPr>
        <w:tabs>
          <w:tab w:val="clear" w:pos="720"/>
          <w:tab w:val="left" w:pos="6379" w:leader="none"/>
        </w:tabs>
        <w:spacing w:lineRule="auto" w:line="240" w:before="120" w:after="0"/>
        <w:rPr/>
      </w:pPr>
      <w:r>
        <w:rPr>
          <w:color w:val="000000"/>
          <w:szCs w:val="22"/>
        </w:rPr>
        <w:t>Mouth equalization results</w:t>
      </w:r>
    </w:p>
    <w:p>
      <w:pPr>
        <w:pStyle w:val="WWHeading"/>
        <w:keepNext w:val="true"/>
        <w:keepLines/>
        <w:tabs>
          <w:tab w:val="clear" w:pos="720"/>
          <w:tab w:val="left" w:pos="6379" w:leader="none"/>
        </w:tabs>
        <w:spacing w:lineRule="auto" w:line="240" w:before="120" w:after="0"/>
        <w:ind w:left="0" w:hanging="0"/>
        <w:rPr>
          <w:color w:val="000000"/>
          <w:szCs w:val="22"/>
        </w:rPr>
      </w:pPr>
      <w:r>
        <w:rPr>
          <w:color w:val="000000"/>
          <w:szCs w:val="22"/>
        </w:rPr>
      </w:r>
    </w:p>
    <w:p>
      <w:pPr>
        <w:pStyle w:val="WWHeading"/>
        <w:tabs>
          <w:tab w:val="clear" w:pos="720"/>
          <w:tab w:val="left" w:pos="6379" w:leader="none"/>
        </w:tabs>
        <w:spacing w:lineRule="auto" w:line="240" w:before="120" w:after="0"/>
        <w:ind w:left="0" w:hanging="0"/>
        <w:rPr>
          <w:lang w:val="fr-FR" w:eastAsia="en-US"/>
        </w:rPr>
      </w:pPr>
      <w:r>
        <w:rPr>
          <w:lang w:val="fr-FR" w:eastAsia="en-US"/>
        </w:rPr>
        <w:drawing>
          <wp:inline distT="0" distB="0" distL="0" distR="0">
            <wp:extent cx="5760085" cy="4088765"/>
            <wp:effectExtent l="0" t="0" r="0" b="0"/>
            <wp:docPr id="1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 descr=""/>
                    <pic:cNvPicPr>
                      <a:picLocks noChangeAspect="1" noChangeArrowheads="1"/>
                    </pic:cNvPicPr>
                  </pic:nvPicPr>
                  <pic:blipFill>
                    <a:blip r:embed="rId17"/>
                    <a:srcRect l="-3" t="-4" r="-3" b="-4"/>
                    <a:stretch>
                      <a:fillRect/>
                    </a:stretch>
                  </pic:blipFill>
                  <pic:spPr bwMode="auto">
                    <a:xfrm>
                      <a:off x="0" y="0"/>
                      <a:ext cx="5760085" cy="4088765"/>
                    </a:xfrm>
                    <a:prstGeom prst="rect">
                      <a:avLst/>
                    </a:prstGeom>
                  </pic:spPr>
                </pic:pic>
              </a:graphicData>
            </a:graphic>
          </wp:inline>
        </w:drawing>
      </w:r>
    </w:p>
    <w:p>
      <w:pPr>
        <w:pStyle w:val="WWHeading"/>
        <w:numPr>
          <w:ilvl w:val="0"/>
          <w:numId w:val="10"/>
        </w:numPr>
        <w:tabs>
          <w:tab w:val="clear" w:pos="720"/>
          <w:tab w:val="left" w:pos="6379" w:leader="none"/>
        </w:tabs>
        <w:spacing w:lineRule="auto" w:line="240" w:before="120" w:after="0"/>
        <w:rPr/>
      </w:pPr>
      <w:r>
        <w:rPr>
          <w:color w:val="000000"/>
          <w:szCs w:val="22"/>
        </w:rPr>
        <w:t>Additional positioning information for the ES 103 224 method</w:t>
      </w:r>
    </w:p>
    <w:p>
      <w:pPr>
        <w:pStyle w:val="Normal"/>
        <w:rPr/>
      </w:pPr>
      <w:r>
        <w:rPr/>
      </w:r>
    </w:p>
    <w:p>
      <w:pPr>
        <w:pStyle w:val="Normal"/>
        <w:rPr/>
      </w:pPr>
      <w:r>
        <w:rPr/>
        <w:t>The positioning was made according to the testing procedure documented in [3].</w:t>
      </w:r>
    </w:p>
    <w:p>
      <w:pPr>
        <w:pStyle w:val="Normal"/>
        <w:rPr>
          <w:rFonts w:eastAsia="SimSun;宋体" w:cs="Arial"/>
          <w:color w:val="0000FF"/>
          <w:kern w:val="2"/>
          <w:lang w:eastAsia="zh-CN"/>
        </w:rPr>
      </w:pPr>
      <w:r>
        <w:rPr>
          <w:rFonts w:eastAsia="SimSun;宋体" w:cs="Arial"/>
          <w:color w:val="0000FF"/>
          <w:kern w:val="2"/>
          <w:lang w:eastAsia="zh-CN"/>
        </w:rPr>
      </w:r>
    </w:p>
    <w:p>
      <w:pPr>
        <w:pStyle w:val="WWHeading"/>
        <w:numPr>
          <w:ilvl w:val="0"/>
          <w:numId w:val="10"/>
        </w:numPr>
        <w:tabs>
          <w:tab w:val="clear" w:pos="720"/>
          <w:tab w:val="left" w:pos="6379" w:leader="none"/>
        </w:tabs>
        <w:spacing w:lineRule="auto" w:line="240" w:before="120" w:after="0"/>
        <w:rPr>
          <w:szCs w:val="22"/>
        </w:rPr>
      </w:pPr>
      <w:r>
        <w:rPr>
          <w:szCs w:val="22"/>
        </w:rPr>
        <w:t>Test results</w:t>
      </w:r>
    </w:p>
    <w:p>
      <w:pPr>
        <w:pStyle w:val="WWHeading"/>
        <w:tabs>
          <w:tab w:val="clear" w:pos="720"/>
          <w:tab w:val="left" w:pos="6379" w:leader="none"/>
        </w:tabs>
        <w:spacing w:lineRule="auto" w:line="240" w:before="120" w:after="0"/>
        <w:ind w:left="0" w:hanging="0"/>
        <w:rPr>
          <w:szCs w:val="22"/>
        </w:rPr>
      </w:pPr>
      <w:r>
        <w:rPr>
          <w:szCs w:val="22"/>
        </w:rPr>
      </w:r>
    </w:p>
    <w:p>
      <w:pPr>
        <w:pStyle w:val="Normal"/>
        <w:rPr/>
      </w:pPr>
      <w:r>
        <w:rPr/>
        <w:t>As noted in [2], the detailed results will be available all labs have completed their measurements and the differences between the background noise methods can be analyzed using the same noise scenarios for the HHHF mode.</w:t>
      </w:r>
    </w:p>
    <w:p>
      <w:pPr>
        <w:pStyle w:val="Normal"/>
        <w:rPr/>
      </w:pPr>
      <w:r>
        <w:rPr/>
        <w:t xml:space="preserve">Results from the two noise generation methods were very close when using the same noise scenarios (from TS 103 224) as shown in Table 2. </w:t>
      </w:r>
    </w:p>
    <w:p>
      <w:pPr>
        <w:pStyle w:val="Normal"/>
        <w:rPr/>
      </w:pPr>
      <w:r>
        <w:rPr/>
      </w:r>
    </w:p>
    <w:p>
      <w:pPr>
        <w:pStyle w:val="Normal"/>
        <w:jc w:val="center"/>
        <w:rPr/>
      </w:pPr>
      <w:r>
        <w:rPr/>
        <w:t>Table 2. MOS-LQO values for TS 103 224 (no HATS rotation) minus MOS-LQO values for ES 202 396-1 with noise scenarios from TS 102 224.</w:t>
      </w:r>
    </w:p>
    <w:tbl>
      <w:tblPr>
        <w:tblW w:w="9100" w:type="dxa"/>
        <w:jc w:val="left"/>
        <w:tblInd w:w="-20" w:type="dxa"/>
        <w:tblLayout w:type="fixed"/>
        <w:tblCellMar>
          <w:top w:w="0" w:type="dxa"/>
          <w:left w:w="70" w:type="dxa"/>
          <w:bottom w:w="0" w:type="dxa"/>
          <w:right w:w="70" w:type="dxa"/>
        </w:tblCellMar>
      </w:tblPr>
      <w:tblGrid>
        <w:gridCol w:w="1300"/>
        <w:gridCol w:w="1300"/>
        <w:gridCol w:w="1300"/>
        <w:gridCol w:w="1300"/>
        <w:gridCol w:w="1300"/>
        <w:gridCol w:w="1300"/>
        <w:gridCol w:w="1300"/>
      </w:tblGrid>
      <w:tr>
        <w:trPr>
          <w:trHeight w:val="280" w:hRule="atLeast"/>
        </w:trPr>
        <w:tc>
          <w:tcPr>
            <w:tcW w:w="13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eastAsia="fr-FR"/>
              </w:rPr>
            </w:pPr>
            <w:r>
              <w:rPr>
                <w:rFonts w:cs="Calibri" w:ascii="Calibri" w:hAnsi="Calibri"/>
                <w:color w:val="000000"/>
                <w:szCs w:val="22"/>
                <w:lang w:eastAsia="fr-FR"/>
              </w:rPr>
              <w:t> </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Pub</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Crossroad</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Trainstation</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Inside Car</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Cafeteria</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Office</w:t>
            </w:r>
          </w:p>
        </w:tc>
      </w:tr>
      <w:tr>
        <w:trPr>
          <w:trHeight w:val="280" w:hRule="atLeast"/>
        </w:trPr>
        <w:tc>
          <w:tcPr>
            <w:tcW w:w="1300" w:type="dxa"/>
            <w:tcBorders>
              <w:left w:val="single" w:sz="4" w:space="0" w:color="000000"/>
              <w:bottom w:val="single" w:sz="4" w:space="0" w:color="000000"/>
              <w:right w:val="single" w:sz="4" w:space="0" w:color="000000"/>
            </w:tcBorders>
            <w:shd w:fill="B8CCE4" w:val="clear"/>
            <w:vAlign w:val="bottom"/>
          </w:tcPr>
          <w:p>
            <w:pPr>
              <w:pStyle w:val="Normal"/>
              <w:widowControl/>
              <w:spacing w:lineRule="auto" w:line="240" w:before="0" w:after="0"/>
              <w:rPr>
                <w:rFonts w:cs="Arial"/>
                <w:color w:val="000000"/>
                <w:szCs w:val="22"/>
                <w:lang w:val="fr-FR" w:eastAsia="fr-FR"/>
              </w:rPr>
            </w:pPr>
            <w:r>
              <w:rPr>
                <w:rFonts w:cs="Arial"/>
                <w:color w:val="000000"/>
                <w:szCs w:val="22"/>
                <w:lang w:val="fr-FR" w:eastAsia="fr-FR"/>
              </w:rPr>
              <w:t>S-MOS</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DUT5</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DUT6</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DUT7</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r>
      <w:tr>
        <w:trPr>
          <w:trHeight w:val="280" w:hRule="atLeast"/>
        </w:trPr>
        <w:tc>
          <w:tcPr>
            <w:tcW w:w="1300" w:type="dxa"/>
            <w:tcBorders>
              <w:left w:val="single" w:sz="4" w:space="0" w:color="000000"/>
              <w:bottom w:val="single" w:sz="4" w:space="0" w:color="000000"/>
              <w:right w:val="single" w:sz="4" w:space="0" w:color="000000"/>
            </w:tcBorders>
            <w:shd w:fill="B8CCE4" w:val="clear"/>
            <w:vAlign w:val="bottom"/>
          </w:tcPr>
          <w:p>
            <w:pPr>
              <w:pStyle w:val="Normal"/>
              <w:widowControl/>
              <w:spacing w:lineRule="auto" w:line="240" w:before="0" w:after="0"/>
              <w:rPr>
                <w:rFonts w:cs="Arial"/>
                <w:color w:val="000000"/>
                <w:szCs w:val="22"/>
                <w:lang w:val="fr-FR" w:eastAsia="fr-FR"/>
              </w:rPr>
            </w:pPr>
            <w:r>
              <w:rPr>
                <w:rFonts w:cs="Arial"/>
                <w:color w:val="000000"/>
                <w:szCs w:val="22"/>
                <w:lang w:val="fr-FR" w:eastAsia="fr-FR"/>
              </w:rPr>
              <w:t>N-MOS</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DUT5</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DUT6</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DUT7</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shd w:fill="B8CCE4" w:val="clear"/>
            <w:vAlign w:val="bottom"/>
          </w:tcPr>
          <w:p>
            <w:pPr>
              <w:pStyle w:val="Normal"/>
              <w:widowControl/>
              <w:spacing w:lineRule="auto" w:line="240" w:before="0" w:after="0"/>
              <w:rPr>
                <w:rFonts w:cs="Arial"/>
                <w:color w:val="000000"/>
                <w:szCs w:val="22"/>
                <w:lang w:val="fr-FR" w:eastAsia="fr-FR"/>
              </w:rPr>
            </w:pPr>
            <w:r>
              <w:rPr>
                <w:rFonts w:cs="Arial"/>
                <w:color w:val="000000"/>
                <w:szCs w:val="22"/>
                <w:lang w:val="fr-FR" w:eastAsia="fr-FR"/>
              </w:rPr>
              <w:t>G-MOS</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DUT5</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DUT6</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DUT7</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r>
    </w:tbl>
    <w:p>
      <w:pPr>
        <w:pStyle w:val="Normal"/>
        <w:rPr/>
      </w:pPr>
      <w:r>
        <w:rPr/>
      </w:r>
    </w:p>
    <w:p>
      <w:pPr>
        <w:pStyle w:val="Normal"/>
        <w:rPr/>
      </w:pPr>
      <w:r>
        <w:rPr/>
        <w:t>These results are illustrated in the figures below.</w:t>
      </w:r>
    </w:p>
    <w:p>
      <w:pPr>
        <w:pStyle w:val="Normal"/>
        <w:keepNext w:val="true"/>
        <w:rPr>
          <w:lang w:val="fr-FR" w:eastAsia="en-US"/>
        </w:rPr>
      </w:pPr>
      <w:r>
        <w:rPr>
          <w:lang w:val="fr-FR" w:eastAsia="en-US"/>
        </w:rPr>
        <w:drawing>
          <wp:inline distT="0" distB="0" distL="0" distR="0">
            <wp:extent cx="5847715" cy="2352675"/>
            <wp:effectExtent l="0" t="0" r="0" b="0"/>
            <wp:docPr id="1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
                    <pic:cNvPicPr>
                      <a:picLocks noChangeAspect="1" noChangeArrowheads="1"/>
                    </pic:cNvPicPr>
                  </pic:nvPicPr>
                  <pic:blipFill>
                    <a:blip r:embed="rId18"/>
                    <a:srcRect l="-6" t="-15" r="-6" b="-15"/>
                    <a:stretch>
                      <a:fillRect/>
                    </a:stretch>
                  </pic:blipFill>
                  <pic:spPr bwMode="auto">
                    <a:xfrm>
                      <a:off x="0" y="0"/>
                      <a:ext cx="5847715" cy="2352675"/>
                    </a:xfrm>
                    <a:prstGeom prst="rect">
                      <a:avLst/>
                    </a:prstGeom>
                  </pic:spPr>
                </pic:pic>
              </a:graphicData>
            </a:graphic>
          </wp:inline>
        </w:drawing>
      </w:r>
    </w:p>
    <w:p>
      <w:pPr>
        <w:pStyle w:val="Normal"/>
        <w:keepNext w:val="true"/>
        <w:rPr>
          <w:lang w:val="fr-FR" w:eastAsia="en-US"/>
        </w:rPr>
      </w:pPr>
      <w:r>
        <w:rPr>
          <w:lang w:val="fr-FR" w:eastAsia="en-US"/>
        </w:rPr>
        <w:drawing>
          <wp:inline distT="0" distB="0" distL="0" distR="0">
            <wp:extent cx="5847715" cy="2343150"/>
            <wp:effectExtent l="0" t="0" r="0" b="0"/>
            <wp:docPr id="1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
                    <pic:cNvPicPr>
                      <a:picLocks noChangeAspect="1" noChangeArrowheads="1"/>
                    </pic:cNvPicPr>
                  </pic:nvPicPr>
                  <pic:blipFill>
                    <a:blip r:embed="rId19"/>
                    <a:srcRect l="-6" t="-15" r="-6" b="-15"/>
                    <a:stretch>
                      <a:fillRect/>
                    </a:stretch>
                  </pic:blipFill>
                  <pic:spPr bwMode="auto">
                    <a:xfrm>
                      <a:off x="0" y="0"/>
                      <a:ext cx="5847715" cy="2343150"/>
                    </a:xfrm>
                    <a:prstGeom prst="rect">
                      <a:avLst/>
                    </a:prstGeom>
                  </pic:spPr>
                </pic:pic>
              </a:graphicData>
            </a:graphic>
          </wp:inline>
        </w:drawing>
      </w:r>
    </w:p>
    <w:p>
      <w:pPr>
        <w:pStyle w:val="Normal"/>
        <w:keepNext w:val="true"/>
        <w:rPr>
          <w:lang w:val="fr-FR" w:eastAsia="en-US"/>
        </w:rPr>
      </w:pPr>
      <w:r>
        <w:rPr>
          <w:lang w:val="fr-FR" w:eastAsia="en-US"/>
        </w:rPr>
        <w:drawing>
          <wp:inline distT="0" distB="0" distL="0" distR="0">
            <wp:extent cx="5847715" cy="2352675"/>
            <wp:effectExtent l="0" t="0" r="0" b="0"/>
            <wp:docPr id="1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4" descr=""/>
                    <pic:cNvPicPr>
                      <a:picLocks noChangeAspect="1" noChangeArrowheads="1"/>
                    </pic:cNvPicPr>
                  </pic:nvPicPr>
                  <pic:blipFill>
                    <a:blip r:embed="rId20"/>
                    <a:srcRect l="-6" t="-15" r="-6" b="-15"/>
                    <a:stretch>
                      <a:fillRect/>
                    </a:stretch>
                  </pic:blipFill>
                  <pic:spPr bwMode="auto">
                    <a:xfrm>
                      <a:off x="0" y="0"/>
                      <a:ext cx="5847715" cy="2352675"/>
                    </a:xfrm>
                    <a:prstGeom prst="rect">
                      <a:avLst/>
                    </a:prstGeom>
                  </pic:spPr>
                </pic:pic>
              </a:graphicData>
            </a:graphic>
          </wp:inline>
        </w:drawing>
      </w:r>
    </w:p>
    <w:p>
      <w:pPr>
        <w:pStyle w:val="Lgende"/>
        <w:rPr/>
      </w:pPr>
      <w:r>
        <w:rPr/>
        <w:t>Comparison of test methods for HHHF for wideband (MOS values for TS 103 224 minus MOS values for ES 202 396-1 with noise scenarios from TS 102 224). For each noise scenario, the DUTS are plotted in sequence DUT1, DUT2…DUT7. Absolute values ranged from 2.3 to 4.2 (S-MOS), 1.7 to 3.5 (N-MOS) and 1.7 to 3.4 (G-MOS) for the TS 103 224 method.</w:t>
      </w:r>
    </w:p>
    <w:p>
      <w:pPr>
        <w:pStyle w:val="Normal"/>
        <w:rPr/>
      </w:pPr>
      <w:r>
        <w:rPr/>
        <w:t xml:space="preserve">Similarly, a comparison of test results between 0° and 22.5° HATS rotation is provided in Table 3. </w:t>
      </w:r>
    </w:p>
    <w:p>
      <w:pPr>
        <w:pStyle w:val="Normal"/>
        <w:rPr>
          <w:rFonts w:eastAsia="SimSun;宋体" w:cs="Arial"/>
          <w:color w:val="0000FF"/>
          <w:kern w:val="2"/>
          <w:lang w:eastAsia="zh-CN"/>
        </w:rPr>
      </w:pPr>
      <w:r>
        <w:rPr>
          <w:rFonts w:eastAsia="SimSun;宋体" w:cs="Arial"/>
          <w:color w:val="0000FF"/>
          <w:kern w:val="2"/>
          <w:lang w:eastAsia="zh-CN"/>
        </w:rPr>
      </w:r>
    </w:p>
    <w:p>
      <w:pPr>
        <w:pStyle w:val="Normal"/>
        <w:rPr>
          <w:rFonts w:eastAsia="SimSun;宋体" w:cs="Arial"/>
          <w:color w:val="0000FF"/>
          <w:kern w:val="2"/>
          <w:lang w:eastAsia="zh-CN"/>
        </w:rPr>
      </w:pPr>
      <w:r>
        <w:rPr>
          <w:rFonts w:eastAsia="SimSun;宋体" w:cs="Arial"/>
          <w:color w:val="0000FF"/>
          <w:kern w:val="2"/>
          <w:lang w:eastAsia="zh-CN"/>
        </w:rPr>
      </w:r>
    </w:p>
    <w:p>
      <w:pPr>
        <w:pStyle w:val="Normal"/>
        <w:rPr>
          <w:rFonts w:eastAsia="SimSun;宋体" w:cs="Arial"/>
          <w:color w:val="0000FF"/>
          <w:kern w:val="2"/>
          <w:lang w:eastAsia="zh-CN"/>
        </w:rPr>
      </w:pPr>
      <w:r>
        <w:rPr>
          <w:rFonts w:eastAsia="SimSun;宋体" w:cs="Arial"/>
          <w:color w:val="0000FF"/>
          <w:kern w:val="2"/>
          <w:lang w:eastAsia="zh-CN"/>
        </w:rPr>
      </w:r>
    </w:p>
    <w:p>
      <w:pPr>
        <w:pStyle w:val="Normal"/>
        <w:rPr>
          <w:rFonts w:eastAsia="SimSun;宋体" w:cs="Arial"/>
          <w:color w:val="0000FF"/>
          <w:kern w:val="2"/>
          <w:lang w:eastAsia="zh-CN"/>
        </w:rPr>
      </w:pPr>
      <w:r>
        <w:rPr>
          <w:rFonts w:eastAsia="SimSun;宋体" w:cs="Arial"/>
          <w:color w:val="0000FF"/>
          <w:kern w:val="2"/>
          <w:lang w:eastAsia="zh-CN"/>
        </w:rPr>
      </w:r>
    </w:p>
    <w:p>
      <w:pPr>
        <w:pStyle w:val="Normal"/>
        <w:jc w:val="center"/>
        <w:rPr/>
      </w:pPr>
      <w:r>
        <w:rPr/>
        <w:t>Table 3. MOS-LQO values for TS 103 224 (no HATS rotation) minus MOS-LQO for TS 103 224 (22.5° HATS rotation)  with noise scenarios from TS 102 224.</w:t>
      </w:r>
    </w:p>
    <w:tbl>
      <w:tblPr>
        <w:tblW w:w="9100" w:type="dxa"/>
        <w:jc w:val="left"/>
        <w:tblInd w:w="-20" w:type="dxa"/>
        <w:tblLayout w:type="fixed"/>
        <w:tblCellMar>
          <w:top w:w="0" w:type="dxa"/>
          <w:left w:w="70" w:type="dxa"/>
          <w:bottom w:w="0" w:type="dxa"/>
          <w:right w:w="70" w:type="dxa"/>
        </w:tblCellMar>
      </w:tblPr>
      <w:tblGrid>
        <w:gridCol w:w="1300"/>
        <w:gridCol w:w="1300"/>
        <w:gridCol w:w="1300"/>
        <w:gridCol w:w="1300"/>
        <w:gridCol w:w="1300"/>
        <w:gridCol w:w="1300"/>
        <w:gridCol w:w="1300"/>
      </w:tblGrid>
      <w:tr>
        <w:trPr>
          <w:trHeight w:val="280" w:hRule="atLeast"/>
        </w:trPr>
        <w:tc>
          <w:tcPr>
            <w:tcW w:w="13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eastAsia="fr-FR"/>
              </w:rPr>
            </w:pPr>
            <w:r>
              <w:rPr>
                <w:rFonts w:cs="Calibri" w:ascii="Calibri" w:hAnsi="Calibri"/>
                <w:color w:val="000000"/>
                <w:szCs w:val="22"/>
                <w:lang w:eastAsia="fr-FR"/>
              </w:rPr>
              <w:t> </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Pub</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Crossroad</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Trainstation</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Inside Car</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Cafeteria</w:t>
            </w:r>
          </w:p>
        </w:tc>
        <w:tc>
          <w:tcPr>
            <w:tcW w:w="1300" w:type="dxa"/>
            <w:tcBorders>
              <w:top w:val="single" w:sz="4" w:space="0" w:color="000000"/>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Office</w:t>
            </w:r>
          </w:p>
        </w:tc>
      </w:tr>
      <w:tr>
        <w:trPr>
          <w:trHeight w:val="280" w:hRule="atLeast"/>
        </w:trPr>
        <w:tc>
          <w:tcPr>
            <w:tcW w:w="1300" w:type="dxa"/>
            <w:tcBorders>
              <w:left w:val="single" w:sz="4" w:space="0" w:color="000000"/>
              <w:bottom w:val="single" w:sz="4" w:space="0" w:color="000000"/>
              <w:right w:val="single" w:sz="4" w:space="0" w:color="000000"/>
            </w:tcBorders>
            <w:shd w:fill="B8CCE4" w:val="clear"/>
            <w:vAlign w:val="bottom"/>
          </w:tcPr>
          <w:p>
            <w:pPr>
              <w:pStyle w:val="Normal"/>
              <w:widowControl/>
              <w:spacing w:lineRule="auto" w:line="240" w:before="0" w:after="0"/>
              <w:rPr>
                <w:rFonts w:cs="Arial"/>
                <w:color w:val="000000"/>
                <w:szCs w:val="22"/>
                <w:lang w:val="fr-FR" w:eastAsia="fr-FR"/>
              </w:rPr>
            </w:pPr>
            <w:r>
              <w:rPr>
                <w:rFonts w:cs="Arial"/>
                <w:color w:val="000000"/>
                <w:szCs w:val="22"/>
                <w:lang w:val="fr-FR" w:eastAsia="fr-FR"/>
              </w:rPr>
              <w:t>S-MOS</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cs="Arial"/>
                <w:b/>
                <w:b/>
                <w:bCs/>
                <w:color w:val="000000"/>
                <w:sz w:val="20"/>
                <w:lang w:val="fr-FR" w:eastAsia="fr-FR"/>
              </w:rPr>
            </w:pPr>
            <w:r>
              <w:rPr>
                <w:rFonts w:cs="Arial"/>
                <w:b/>
                <w:bCs/>
                <w:color w:val="000000"/>
                <w:sz w:val="20"/>
                <w:lang w:val="fr-FR" w:eastAsia="fr-FR"/>
              </w:rPr>
              <w:t> </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DUT5</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DUT6</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DUT7</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shd w:fill="B8CCE4" w:val="clear"/>
            <w:vAlign w:val="bottom"/>
          </w:tcPr>
          <w:p>
            <w:pPr>
              <w:pStyle w:val="Normal"/>
              <w:widowControl/>
              <w:spacing w:lineRule="auto" w:line="240" w:before="0" w:after="0"/>
              <w:rPr>
                <w:rFonts w:cs="Arial"/>
                <w:color w:val="000000"/>
                <w:szCs w:val="22"/>
                <w:lang w:val="fr-FR" w:eastAsia="fr-FR"/>
              </w:rPr>
            </w:pPr>
            <w:r>
              <w:rPr>
                <w:rFonts w:cs="Arial"/>
                <w:color w:val="000000"/>
                <w:szCs w:val="22"/>
                <w:lang w:val="fr-FR" w:eastAsia="fr-FR"/>
              </w:rPr>
              <w:t>N-MOS</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DUT5</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DUT6</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DUT7</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shd w:fill="B8CCE4" w:val="clear"/>
            <w:vAlign w:val="bottom"/>
          </w:tcPr>
          <w:p>
            <w:pPr>
              <w:pStyle w:val="Normal"/>
              <w:widowControl/>
              <w:spacing w:lineRule="auto" w:line="240" w:before="0" w:after="0"/>
              <w:rPr>
                <w:rFonts w:cs="Arial"/>
                <w:color w:val="000000"/>
                <w:szCs w:val="22"/>
                <w:lang w:val="fr-FR" w:eastAsia="fr-FR"/>
              </w:rPr>
            </w:pPr>
            <w:r>
              <w:rPr>
                <w:rFonts w:cs="Arial"/>
                <w:color w:val="000000"/>
                <w:szCs w:val="22"/>
                <w:lang w:val="fr-FR" w:eastAsia="fr-FR"/>
              </w:rPr>
              <w:t>G-MOS</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c>
          <w:tcPr>
            <w:tcW w:w="1300" w:type="dxa"/>
            <w:tcBorders>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 </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DUT3</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DUT5</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0,2</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DUT6</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r>
        <w:trPr>
          <w:trHeight w:val="280" w:hRule="atLeast"/>
        </w:trPr>
        <w:tc>
          <w:tcPr>
            <w:tcW w:w="1300" w:type="dxa"/>
            <w:tcBorders>
              <w:left w:val="single" w:sz="4" w:space="0" w:color="000000"/>
              <w:bottom w:val="single" w:sz="4" w:space="0" w:color="000000"/>
              <w:right w:val="single" w:sz="4" w:space="0" w:color="000000"/>
            </w:tcBorders>
            <w:vAlign w:val="bottom"/>
          </w:tcPr>
          <w:p>
            <w:pPr>
              <w:pStyle w:val="Normal"/>
              <w:widowControl/>
              <w:spacing w:lineRule="auto" w:line="240" w:before="0" w:after="0"/>
              <w:rPr>
                <w:rFonts w:ascii="Calibri" w:hAnsi="Calibri" w:cs="Calibri"/>
                <w:color w:val="000000"/>
                <w:szCs w:val="22"/>
                <w:lang w:val="fr-FR" w:eastAsia="fr-FR"/>
              </w:rPr>
            </w:pPr>
            <w:r>
              <w:rPr>
                <w:rFonts w:cs="Calibri" w:ascii="Calibri" w:hAnsi="Calibri"/>
                <w:color w:val="000000"/>
                <w:szCs w:val="22"/>
                <w:lang w:val="fr-FR" w:eastAsia="fr-FR"/>
              </w:rPr>
              <w:t>DUT7</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-0,4</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c>
          <w:tcPr>
            <w:tcW w:w="1300" w:type="dxa"/>
            <w:tcBorders>
              <w:bottom w:val="single" w:sz="4" w:space="0" w:color="000000"/>
              <w:right w:val="single" w:sz="4" w:space="0" w:color="000000"/>
            </w:tcBorders>
            <w:vAlign w:val="bottom"/>
          </w:tcPr>
          <w:p>
            <w:pPr>
              <w:pStyle w:val="Normal"/>
              <w:widowControl/>
              <w:spacing w:lineRule="auto" w:line="240" w:before="0" w:after="0"/>
              <w:jc w:val="right"/>
              <w:rPr>
                <w:rFonts w:ascii="Calibri" w:hAnsi="Calibri" w:cs="Calibri"/>
                <w:color w:val="000000"/>
                <w:szCs w:val="22"/>
                <w:lang w:val="fr-FR" w:eastAsia="fr-FR"/>
              </w:rPr>
            </w:pPr>
            <w:r>
              <w:rPr>
                <w:rFonts w:cs="Calibri" w:ascii="Calibri" w:hAnsi="Calibri"/>
                <w:color w:val="000000"/>
                <w:szCs w:val="22"/>
                <w:lang w:val="fr-FR" w:eastAsia="fr-FR"/>
              </w:rPr>
              <w:t>-0,1</w:t>
            </w:r>
          </w:p>
        </w:tc>
      </w:tr>
    </w:tbl>
    <w:p>
      <w:pPr>
        <w:pStyle w:val="Normal"/>
        <w:rPr>
          <w:rFonts w:eastAsia="SimSun;宋体" w:cs="Arial"/>
          <w:color w:val="0000FF"/>
          <w:kern w:val="2"/>
          <w:lang w:eastAsia="zh-CN"/>
        </w:rPr>
      </w:pPr>
      <w:r>
        <w:rPr>
          <w:rFonts w:eastAsia="SimSun;宋体" w:cs="Arial"/>
          <w:color w:val="0000FF"/>
          <w:kern w:val="2"/>
          <w:lang w:eastAsia="zh-CN"/>
        </w:rPr>
      </w:r>
    </w:p>
    <w:p>
      <w:pPr>
        <w:pStyle w:val="Normal"/>
        <w:rPr>
          <w:rFonts w:eastAsia="SimSun;宋体" w:cs="Arial"/>
          <w:color w:val="0000FF"/>
          <w:kern w:val="2"/>
          <w:lang w:eastAsia="zh-CN"/>
        </w:rPr>
      </w:pPr>
      <w:r>
        <w:rPr>
          <w:rFonts w:eastAsia="SimSun;宋体" w:cs="Arial"/>
          <w:color w:val="0000FF"/>
          <w:kern w:val="2"/>
          <w:lang w:eastAsia="zh-CN"/>
        </w:rPr>
      </w:r>
    </w:p>
    <w:p>
      <w:pPr>
        <w:pStyle w:val="WWHeading"/>
        <w:numPr>
          <w:ilvl w:val="0"/>
          <w:numId w:val="10"/>
        </w:numPr>
        <w:tabs>
          <w:tab w:val="clear" w:pos="720"/>
          <w:tab w:val="left" w:pos="6379" w:leader="none"/>
        </w:tabs>
        <w:spacing w:lineRule="auto" w:line="240" w:before="120" w:after="0"/>
        <w:rPr>
          <w:szCs w:val="22"/>
        </w:rPr>
      </w:pPr>
      <w:r>
        <w:rPr>
          <w:szCs w:val="22"/>
        </w:rPr>
        <w:t>Conclusions from the tests</w:t>
      </w:r>
    </w:p>
    <w:p>
      <w:pPr>
        <w:pStyle w:val="WWHeading"/>
        <w:tabs>
          <w:tab w:val="clear" w:pos="720"/>
          <w:tab w:val="left" w:pos="6379" w:leader="none"/>
        </w:tabs>
        <w:spacing w:lineRule="auto" w:line="240" w:before="120" w:after="0"/>
        <w:ind w:left="0" w:hanging="0"/>
        <w:rPr>
          <w:szCs w:val="22"/>
        </w:rPr>
      </w:pPr>
      <w:r>
        <w:rPr>
          <w:szCs w:val="22"/>
        </w:rPr>
      </w:r>
    </w:p>
    <w:p>
      <w:pPr>
        <w:pStyle w:val="Normal"/>
        <w:rPr/>
      </w:pPr>
      <w:r>
        <w:rPr/>
        <w:t>The detailed conclusions about lab-to-lab variability will be drawn when results from all labs will be made available and analyzed.</w:t>
      </w:r>
    </w:p>
    <w:p>
      <w:pPr>
        <w:pStyle w:val="Normal"/>
        <w:rPr/>
      </w:pPr>
      <w:r>
        <w:rPr/>
        <w:t>The following preliminary observations can be made for the tests conducted in Orange:</w:t>
      </w:r>
    </w:p>
    <w:p>
      <w:pPr>
        <w:pStyle w:val="Normal"/>
        <w:numPr>
          <w:ilvl w:val="0"/>
          <w:numId w:val="5"/>
        </w:numPr>
        <w:rPr/>
      </w:pPr>
      <w:r>
        <w:rPr/>
        <w:t>Similar to [2], both background noise methods produced almost identical hand-held handsfree results (averaged over noise types) and both methods use multiple speakers with highly correlated signals.</w:t>
      </w:r>
    </w:p>
    <w:p>
      <w:pPr>
        <w:pStyle w:val="Normal"/>
        <w:numPr>
          <w:ilvl w:val="0"/>
          <w:numId w:val="5"/>
        </w:numPr>
        <w:rPr/>
      </w:pPr>
      <w:r>
        <w:rPr/>
        <w:t>MOS results averaged over noise scenarios were very similar between the two methods. The same observation can be made when checking the influence of 0° vs. 22.5° HATS rotation for the 8-loudpeaker case.</w:t>
      </w:r>
    </w:p>
    <w:p>
      <w:pPr>
        <w:pStyle w:val="Normal"/>
        <w:numPr>
          <w:ilvl w:val="0"/>
          <w:numId w:val="5"/>
        </w:numPr>
        <w:rPr/>
      </w:pPr>
      <w:r>
        <w:rPr/>
        <w:t>Testing with the 3PASS system (TS 103 224) proved to be sometimes unstable and some test cases had to be repeated several times.</w:t>
      </w:r>
    </w:p>
    <w:p>
      <w:pPr>
        <w:pStyle w:val="Normal"/>
        <w:numPr>
          <w:ilvl w:val="0"/>
          <w:numId w:val="5"/>
        </w:numPr>
        <w:rPr/>
      </w:pPr>
      <w:r>
        <w:rPr/>
        <w:t>Results from informal listening indicated that the MOS-LQO scores do not always represent perceived quality.</w:t>
      </w:r>
    </w:p>
    <w:p>
      <w:pPr>
        <w:pStyle w:val="Normal"/>
        <w:ind w:left="360" w:hanging="0"/>
        <w:rPr/>
      </w:pPr>
      <w:r>
        <w:rPr/>
      </w:r>
    </w:p>
    <w:p>
      <w:pPr>
        <w:pStyle w:val="Normal"/>
        <w:ind w:left="360" w:hanging="0"/>
        <w:rPr/>
      </w:pPr>
      <w:r>
        <w:rPr/>
      </w:r>
    </w:p>
    <w:p>
      <w:pPr>
        <w:pStyle w:val="Normal"/>
        <w:ind w:left="360" w:hanging="0"/>
        <w:rPr/>
      </w:pPr>
      <w:r>
        <w:rPr/>
      </w:r>
    </w:p>
    <w:p>
      <w:pPr>
        <w:pStyle w:val="WWHeading"/>
        <w:numPr>
          <w:ilvl w:val="0"/>
          <w:numId w:val="10"/>
        </w:numPr>
        <w:tabs>
          <w:tab w:val="clear" w:pos="720"/>
          <w:tab w:val="left" w:pos="6379" w:leader="none"/>
        </w:tabs>
        <w:spacing w:lineRule="auto" w:line="240" w:before="120" w:after="0"/>
        <w:rPr>
          <w:szCs w:val="22"/>
        </w:rPr>
      </w:pPr>
      <w:r>
        <w:rPr>
          <w:color w:val="000000"/>
          <w:szCs w:val="22"/>
        </w:rPr>
        <w:t>References</w:t>
      </w:r>
    </w:p>
    <w:p>
      <w:pPr>
        <w:pStyle w:val="TextBody"/>
        <w:rPr>
          <w:szCs w:val="22"/>
        </w:rPr>
      </w:pPr>
      <w:r>
        <w:rPr>
          <w:szCs w:val="22"/>
        </w:rPr>
      </w:r>
    </w:p>
    <w:p>
      <w:pPr>
        <w:pStyle w:val="Normal"/>
        <w:ind w:left="567" w:hanging="567"/>
        <w:rPr/>
      </w:pPr>
      <w:r>
        <w:rPr/>
        <w:t>[1]</w:t>
        <w:tab/>
        <w:t>Tdoc SQ-AHQ099, Proposed test plan for a Round Robin Test for comparison of background noise simulations – Rev. 1, Source: Editor (Qualcomm)</w:t>
      </w:r>
    </w:p>
    <w:p>
      <w:pPr>
        <w:pStyle w:val="Normal"/>
        <w:ind w:left="567" w:hanging="567"/>
        <w:rPr/>
      </w:pPr>
      <w:r>
        <w:rPr/>
        <w:t>[2]</w:t>
        <w:tab/>
        <w:t>S4-151040, ATeMPO_SPINE round-robin tests conducted at Sony, Source: Sony Mobile Communications</w:t>
      </w:r>
    </w:p>
    <w:p>
      <w:pPr>
        <w:pStyle w:val="Normal"/>
        <w:ind w:left="567" w:hanging="567"/>
        <w:rPr/>
      </w:pPr>
      <w:r>
        <w:rPr/>
        <w:t xml:space="preserve">[3] </w:t>
        <w:tab/>
        <w:t>Head Acoustics documentation provided for round robin</w:t>
      </w:r>
    </w:p>
    <w:p>
      <w:pPr>
        <w:pStyle w:val="Normal"/>
        <w:ind w:left="567" w:hanging="567"/>
        <w:rPr/>
      </w:pPr>
      <w:r>
        <w:rPr/>
        <w:t>[4]</w:t>
        <w:tab/>
        <w:t>ETSI ES 202 396-1, Speech quality performance in the presence of background noise; Part 1: Background noise simulation technique and background noise database</w:t>
      </w:r>
    </w:p>
    <w:p>
      <w:pPr>
        <w:pStyle w:val="Normal"/>
        <w:ind w:left="567" w:hanging="567"/>
        <w:rPr/>
      </w:pPr>
      <w:r>
        <w:rPr/>
        <w:t>[5]</w:t>
        <w:tab/>
        <w:t>ETSI TS 103 224, A sound field reproduction method for terminal testing including a background noise database</w:t>
      </w:r>
    </w:p>
    <w:p>
      <w:pPr>
        <w:pStyle w:val="Normal"/>
        <w:ind w:left="567" w:hanging="567"/>
        <w:rPr/>
      </w:pPr>
      <w:r>
        <w:rPr/>
      </w:r>
    </w:p>
    <w:p>
      <w:pPr>
        <w:pStyle w:val="Normal"/>
        <w:spacing w:before="0" w:after="120"/>
        <w:ind w:left="567" w:hanging="567"/>
        <w:rPr/>
      </w:pPr>
      <w:r>
        <w:rPr/>
      </w:r>
    </w:p>
    <w:sectPr>
      <w:headerReference w:type="default" r:id="rId21"/>
      <w:headerReference w:type="first" r:id="rId22"/>
      <w:footerReference w:type="default" r:id="rId23"/>
      <w:footerReference w:type="first" r:id="rId24"/>
      <w:type w:val="nextPage"/>
      <w:pgSz w:w="11906" w:h="16838"/>
      <w:pgMar w:left="1138" w:right="1417" w:gutter="0" w:header="720" w:top="1138" w:footer="720" w:bottom="113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alibri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spacing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56" w:leader="none"/>
      </w:tabs>
      <w:spacing w:before="0" w:after="0"/>
      <w:rPr>
        <w:rFonts w:cs="Arial"/>
        <w:b/>
        <w:b/>
        <w:i/>
        <w:i/>
        <w:sz w:val="28"/>
        <w:szCs w:val="28"/>
      </w:rPr>
    </w:pPr>
    <w:r>
      <w:rPr>
        <w:rFonts w:cs="Arial"/>
        <w:sz w:val="20"/>
      </w:rPr>
      <w:t>TSG SA4#86 meeting</w:t>
    </w:r>
    <w:r>
      <w:rPr>
        <w:rFonts w:cs="Arial"/>
        <w:b/>
        <w:i/>
        <w:sz w:val="20"/>
      </w:rPr>
      <w:tab/>
    </w:r>
    <w:r>
      <w:rPr>
        <w:rFonts w:cs="Arial"/>
        <w:b/>
        <w:i/>
        <w:sz w:val="28"/>
        <w:szCs w:val="28"/>
      </w:rPr>
      <w:t>Tdoc S4 (15)1362</w:t>
    </w:r>
  </w:p>
  <w:p>
    <w:pPr>
      <w:pStyle w:val="Normal"/>
      <w:tabs>
        <w:tab w:val="clear" w:pos="720"/>
        <w:tab w:val="right" w:pos="9360" w:leader="none"/>
      </w:tabs>
      <w:spacing w:before="0" w:after="0"/>
      <w:rPr>
        <w:rFonts w:cs="Arial"/>
        <w:b/>
        <w:b/>
        <w:sz w:val="20"/>
        <w:lang w:eastAsia="zh-CN"/>
      </w:rPr>
    </w:pPr>
    <w:r>
      <w:rPr>
        <w:rFonts w:cs="Arial"/>
        <w:sz w:val="20"/>
        <w:lang w:eastAsia="zh-CN"/>
      </w:rPr>
      <w:t xml:space="preserve">26-30 October, 2015, </w:t>
    </w:r>
    <w:r>
      <w:rPr>
        <w:bCs/>
        <w:sz w:val="20"/>
      </w:rPr>
      <w:t>San Jose Del Cabo</w:t>
    </w:r>
    <w:r>
      <w:rPr>
        <w:rFonts w:cs="Arial"/>
        <w:sz w:val="20"/>
        <w:lang w:eastAsia="zh-CN"/>
      </w:rPr>
      <w:t>, Mexico</w:t>
    </w:r>
  </w:p>
  <w:p>
    <w:pPr>
      <w:pStyle w:val="Normal"/>
      <w:tabs>
        <w:tab w:val="clear" w:pos="720"/>
        <w:tab w:val="right" w:pos="9540" w:leader="none"/>
      </w:tabs>
      <w:spacing w:before="0" w:after="0"/>
      <w:rPr>
        <w:rFonts w:cs="Arial"/>
        <w:b/>
        <w:b/>
        <w:sz w:val="20"/>
        <w:lang w:eastAsia="zh-CN"/>
      </w:rPr>
    </w:pPr>
    <w:r>
      <w:rPr>
        <w:rFonts w:cs="Arial"/>
        <w:b/>
        <w:sz w:val="20"/>
        <w:lang w:eastAsia="zh-CN"/>
      </w:rPr>
    </w:r>
  </w:p>
  <w:p>
    <w:pPr>
      <w:pStyle w:val="Header"/>
      <w:spacing w:before="0" w:after="120"/>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1418"/>
        </w:tabs>
        <w:ind w:left="1418" w:hanging="1418"/>
      </w:pPr>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5"/>
      <w:numFmt w:val="bullet"/>
      <w:lvlText w:val="-"/>
      <w:lvlJc w:val="left"/>
      <w:pPr>
        <w:tabs>
          <w:tab w:val="num" w:pos="0"/>
        </w:tabs>
        <w:ind w:left="720" w:hanging="360"/>
      </w:pPr>
      <w:rPr>
        <w:rFonts w:ascii="Arial" w:hAnsi="Arial" w:cs="Aria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0">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240" w:before="0" w:after="120"/>
    </w:pPr>
    <w:rPr>
      <w:rFonts w:ascii="Arial" w:hAnsi="Arial" w:eastAsia="Times New Roman" w:cs="Arial"/>
      <w:color w:val="auto"/>
      <w:sz w:val="22"/>
      <w:szCs w:val="20"/>
      <w:lang w:val="en-US" w:bidi="ar-SA" w:eastAsia="zh-CN"/>
    </w:rPr>
  </w:style>
  <w:style w:type="paragraph" w:styleId="Heading1">
    <w:name w:val="Heading 1"/>
    <w:basedOn w:val="Normal"/>
    <w:next w:val="Normal"/>
    <w:qFormat/>
    <w:pPr>
      <w:keepNext w:val="true"/>
      <w:numPr>
        <w:ilvl w:val="0"/>
        <w:numId w:val="1"/>
      </w:numPr>
      <w:outlineLvl w:val="0"/>
    </w:pPr>
    <w:rPr>
      <w:rFonts w:eastAsia="SimSun;宋体" w:cs="Arial"/>
      <w:color w:val="0000FF"/>
      <w:kern w:val="2"/>
      <w:sz w:val="24"/>
      <w:lang w:val="en-GB"/>
    </w:rPr>
  </w:style>
  <w:style w:type="paragraph" w:styleId="Heading2">
    <w:name w:val="Heading 2"/>
    <w:basedOn w:val="Normal"/>
    <w:next w:val="Normal"/>
    <w:qFormat/>
    <w:pPr>
      <w:keepNext w:val="true"/>
      <w:numPr>
        <w:ilvl w:val="1"/>
        <w:numId w:val="1"/>
      </w:numPr>
      <w:ind w:left="2131" w:hanging="2131"/>
      <w:outlineLvl w:val="1"/>
    </w:pPr>
    <w:rPr>
      <w:b/>
      <w:sz w:val="24"/>
    </w:rPr>
  </w:style>
  <w:style w:type="paragraph" w:styleId="Heading3">
    <w:name w:val="Heading 3"/>
    <w:basedOn w:val="Normal"/>
    <w:next w:val="Normal"/>
    <w:qFormat/>
    <w:pPr>
      <w:keepNext w:val="true"/>
      <w:numPr>
        <w:ilvl w:val="2"/>
        <w:numId w:val="1"/>
      </w:numPr>
      <w:spacing w:before="0" w:after="240"/>
      <w:jc w:val="center"/>
      <w:outlineLvl w:val="2"/>
    </w:pPr>
    <w:rPr>
      <w:b/>
      <w:sz w:val="28"/>
      <w:lang w:val="en-US"/>
    </w:rPr>
  </w:style>
  <w:style w:type="paragraph" w:styleId="Heading4">
    <w:name w:val="Heading 4"/>
    <w:basedOn w:val="Normal"/>
    <w:next w:val="Normal"/>
    <w:qFormat/>
    <w:pPr>
      <w:keepNext w:val="true"/>
      <w:numPr>
        <w:ilvl w:val="3"/>
        <w:numId w:val="1"/>
      </w:numPr>
      <w:spacing w:before="480" w:after="0"/>
      <w:ind w:left="2268" w:hanging="2268"/>
      <w:outlineLvl w:val="3"/>
    </w:pPr>
    <w:rPr>
      <w:b/>
      <w:sz w:val="32"/>
    </w:rPr>
  </w:style>
  <w:style w:type="paragraph" w:styleId="Heading5">
    <w:name w:val="Heading 5"/>
    <w:basedOn w:val="Normal"/>
    <w:next w:val="Normal"/>
    <w:qFormat/>
    <w:pPr>
      <w:keepNext w:val="true"/>
      <w:numPr>
        <w:ilvl w:val="4"/>
        <w:numId w:val="1"/>
      </w:numPr>
      <w:spacing w:lineRule="auto" w:line="240" w:before="20" w:after="0"/>
      <w:ind w:left="3402" w:hanging="567"/>
      <w:outlineLvl w:val="4"/>
    </w:pPr>
    <w:rPr>
      <w:rFonts w:cs="Arial"/>
      <w:b/>
      <w:bCs/>
      <w:color w:val="000000"/>
      <w:sz w:val="20"/>
    </w:rPr>
  </w:style>
  <w:style w:type="paragraph" w:styleId="Heading6">
    <w:name w:val="Heading 6"/>
    <w:basedOn w:val="Normal"/>
    <w:next w:val="Normal"/>
    <w:qFormat/>
    <w:pPr>
      <w:keepNext w:val="true"/>
      <w:numPr>
        <w:ilvl w:val="5"/>
        <w:numId w:val="1"/>
      </w:numPr>
      <w:spacing w:lineRule="auto" w:line="240" w:before="20" w:after="0"/>
      <w:ind w:left="2835" w:hanging="0"/>
      <w:outlineLvl w:val="5"/>
    </w:pPr>
    <w:rPr>
      <w:rFonts w:cs="Arial"/>
      <w:b/>
      <w:bCs/>
      <w:color w:val="000000"/>
      <w:sz w:val="2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u w:val="none"/>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u w:val="none"/>
    </w:rPr>
  </w:style>
  <w:style w:type="character" w:styleId="WW8Num9z0">
    <w:name w:val="WW8Num9z0"/>
    <w:qFormat/>
    <w:rPr>
      <w:u w:val="none"/>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u w:val="none"/>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u w:val="none"/>
    </w:rPr>
  </w:style>
  <w:style w:type="character" w:styleId="WW8Num14z0">
    <w:name w:val="WW8Num14z0"/>
    <w:qFormat/>
    <w:rPr/>
  </w:style>
  <w:style w:type="character" w:styleId="WW8Num15z0">
    <w:name w:val="WW8Num15z0"/>
    <w:qFormat/>
    <w:rPr>
      <w:u w:val="none"/>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u w:val="none"/>
    </w:rPr>
  </w:style>
  <w:style w:type="character" w:styleId="WW8Num21z0">
    <w:name w:val="WW8Num21z0"/>
    <w:qFormat/>
    <w:rPr/>
  </w:style>
  <w:style w:type="character" w:styleId="WW8Num22z0">
    <w:name w:val="WW8Num22z0"/>
    <w:qFormat/>
    <w:rPr/>
  </w:style>
  <w:style w:type="character" w:styleId="WW8Num24z0">
    <w:name w:val="WW8Num24z0"/>
    <w:qFormat/>
    <w:rPr>
      <w:u w:val="none"/>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sz w:val="20"/>
    </w:rPr>
  </w:style>
  <w:style w:type="character" w:styleId="WW8Num30z0">
    <w:name w:val="WW8Num30z0"/>
    <w:qFormat/>
    <w:rPr>
      <w:rFonts w:ascii="ZapfDingbats" w:hAnsi="ZapfDingbats" w:cs="ZapfDingbats"/>
      <w:b/>
      <w:i w:val="false"/>
      <w:color w:val="70CEF5"/>
      <w:sz w:val="20"/>
      <w:szCs w:val="20"/>
    </w:rPr>
  </w:style>
  <w:style w:type="character" w:styleId="WW8Num30z1">
    <w:name w:val="WW8Num30z1"/>
    <w:qFormat/>
    <w:rPr>
      <w:rFonts w:ascii="Courier New" w:hAnsi="Courier New" w:cs="Arial"/>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u w:val="none"/>
    </w:rPr>
  </w:style>
  <w:style w:type="character" w:styleId="WW8Num34z0">
    <w:name w:val="WW8Num34z0"/>
    <w:qFormat/>
    <w:rPr>
      <w:rFonts w:ascii="Symbol" w:hAnsi="Symbol" w:cs="Symbol"/>
      <w:sz w:val="20"/>
    </w:rPr>
  </w:style>
  <w:style w:type="character" w:styleId="WW8Num34z1">
    <w:name w:val="WW8Num34z1"/>
    <w:qFormat/>
    <w:rPr>
      <w:rFonts w:ascii="Courier New" w:hAnsi="Courier New" w:cs="Courier New"/>
      <w:sz w:val="20"/>
    </w:rPr>
  </w:style>
  <w:style w:type="character" w:styleId="WW8Num34z2">
    <w:name w:val="WW8Num34z2"/>
    <w:qFormat/>
    <w:rPr>
      <w:rFonts w:ascii="Wingdings" w:hAnsi="Wingdings" w:cs="Wingdings"/>
      <w:sz w:val="20"/>
    </w:rPr>
  </w:style>
  <w:style w:type="character" w:styleId="Policepardfaut">
    <w:name w:val="Police par défaut"/>
    <w:qFormat/>
    <w:rPr/>
  </w:style>
  <w:style w:type="character" w:styleId="PageNumber">
    <w:name w:val="Page Number"/>
    <w:rPr>
      <w:rFonts w:ascii="Arial" w:hAnsi="Arial" w:eastAsia="SimSun;宋体" w:cs="Arial"/>
      <w:color w:val="0000FF"/>
      <w:kern w:val="2"/>
      <w:lang w:val="en-US" w:eastAsia="zh-CN" w:bidi="ar-SA"/>
    </w:rPr>
  </w:style>
  <w:style w:type="character" w:styleId="FootnoteCharacters">
    <w:name w:val="Footnote Characters"/>
    <w:qFormat/>
    <w:rPr>
      <w:rFonts w:ascii="Arial" w:hAnsi="Arial" w:eastAsia="SimSun;宋体" w:cs="Arial"/>
      <w:color w:val="0000FF"/>
      <w:kern w:val="2"/>
      <w:vertAlign w:val="superscript"/>
      <w:lang w:val="en-US" w:eastAsia="zh-CN" w:bidi="ar-SA"/>
    </w:rPr>
  </w:style>
  <w:style w:type="character" w:styleId="EndnoteCharacters">
    <w:name w:val="Endnote Characters"/>
    <w:qFormat/>
    <w:rPr>
      <w:rFonts w:ascii="Arial" w:hAnsi="Arial" w:eastAsia="SimSun;宋体" w:cs="Arial"/>
      <w:color w:val="0000FF"/>
      <w:kern w:val="2"/>
      <w:vertAlign w:val="superscript"/>
      <w:lang w:val="en-US" w:eastAsia="zh-CN"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Titre1Car">
    <w:name w:val="Titre 1 Car"/>
    <w:qFormat/>
    <w:rPr>
      <w:rFonts w:ascii="Arial" w:hAnsi="Arial" w:eastAsia="SimSun;宋体" w:cs="Arial"/>
      <w:color w:val="0000FF"/>
      <w:kern w:val="2"/>
      <w:sz w:val="24"/>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NOChar">
    <w:name w:val="NO Char"/>
    <w:qFormat/>
    <w:rPr>
      <w:rFonts w:ascii="Arial" w:hAnsi="Arial" w:eastAsia="SimSun;宋体" w:cs="Arial"/>
      <w:color w:val="0000FF"/>
      <w:kern w:val="2"/>
      <w:lang w:val="en-GB" w:eastAsia="zh-CN" w:bidi="ar-SA"/>
    </w:rPr>
  </w:style>
  <w:style w:type="character" w:styleId="Applestylespan">
    <w:name w:val="apple-style-span"/>
    <w:qFormat/>
    <w:rPr/>
  </w:style>
  <w:style w:type="character" w:styleId="HeadingCar">
    <w:name w:val="Heading Car"/>
    <w:qFormat/>
    <w:rPr>
      <w:rFonts w:ascii="Arial" w:hAnsi="Arial" w:cs="Arial"/>
      <w:b/>
      <w:sz w:val="22"/>
      <w:lang w:val="en-US"/>
    </w:rPr>
  </w:style>
  <w:style w:type="character" w:styleId="CorpsdetexteCar">
    <w:name w:val="Corps de texte Car"/>
    <w:qFormat/>
    <w:rPr>
      <w:rFonts w:ascii="Arial" w:hAnsi="Arial" w:cs="Arial"/>
      <w:lang w:val="en-US"/>
    </w:rPr>
  </w:style>
  <w:style w:type="character" w:styleId="Titre3Car">
    <w:name w:val="Titre 3 Car"/>
    <w:qFormat/>
    <w:rPr>
      <w:rFonts w:ascii="Arial" w:hAnsi="Arial" w:cs="Arial"/>
      <w:b/>
      <w:sz w:val="28"/>
    </w:rPr>
  </w:style>
  <w:style w:type="character" w:styleId="EntteCar">
    <w:name w:val="En-tête Car"/>
    <w:qFormat/>
    <w:rPr>
      <w:rFonts w:ascii="Arial" w:hAnsi="Arial" w:cs="Arial"/>
      <w:sz w:val="22"/>
    </w:rPr>
  </w:style>
  <w:style w:type="character" w:styleId="Marquedecommentaire">
    <w:name w:val="Marque de commentaire"/>
    <w:qFormat/>
    <w:rPr>
      <w:rFonts w:ascii="Arial" w:hAnsi="Arial" w:eastAsia="SimSun;宋体" w:cs="Arial"/>
      <w:color w:val="0000FF"/>
      <w:kern w:val="2"/>
      <w:sz w:val="16"/>
      <w:szCs w:val="16"/>
      <w:lang w:val="en-US" w:eastAsia="zh-CN" w:bidi="ar-SA"/>
    </w:rPr>
  </w:style>
  <w:style w:type="character" w:styleId="CommentaireCar">
    <w:name w:val="Commentaire Car"/>
    <w:qFormat/>
    <w:rPr>
      <w:rFonts w:ascii="Arial" w:hAnsi="Arial" w:eastAsia="SimSun;宋体" w:cs="Arial"/>
      <w:color w:val="0000FF"/>
      <w:kern w:val="2"/>
      <w:lang w:val="en-US" w:eastAsia="zh-CN" w:bidi="ar-SA"/>
    </w:rPr>
  </w:style>
  <w:style w:type="character" w:styleId="Authoravvz78zmz82zyz86zl944z88zz73z8z75zz90z">
    <w:name w:val="author-a-vvz78zmz82zyz86zl944z88zz73z8z75zz90z"/>
    <w:qFormat/>
    <w:rPr/>
  </w:style>
  <w:style w:type="character" w:styleId="Authoradz75zlz90zz78zap5s2voz70zgz68zz72z">
    <w:name w:val="author-a-dz75zlz90zz78zap5s2voz70zgz68zz72z"/>
    <w:qFormat/>
    <w:rPr/>
  </w:style>
  <w:style w:type="character" w:styleId="Authoraz82zpi8a0esz84zz73zgvsz88z8p">
    <w:name w:val="author-a-z82zpi8a0esz84zz73zgvsz88z8p"/>
    <w:qFormat/>
    <w:rPr/>
  </w:style>
  <w:style w:type="character" w:styleId="Authoraz80zz71zuz77z0xw4z67zsz71ze0xz71z2">
    <w:name w:val="author-a-z80zz71zuz77z0xw4z67zsz71ze0xz71z2"/>
    <w:qFormat/>
    <w:rPr/>
  </w:style>
  <w:style w:type="character" w:styleId="Authoraz73zwz122zz75zrz83zz83zuz84zez69zz87zyz89zuz85z">
    <w:name w:val="author-a-z73zwz122zz75zrz83zz83zuz84zez69zz87zyz89zuz85z"/>
    <w:qFormat/>
    <w:rPr/>
  </w:style>
  <w:style w:type="character" w:styleId="Authoraz77zdz122z2z87zz79zz122zl7gz79z7z85zz89zrz90z">
    <w:name w:val="author-a-z77zdz122z2z87zz79zz122zl7gz79z7z85zz89zrz90z"/>
    <w:qFormat/>
    <w:rPr/>
  </w:style>
  <w:style w:type="character" w:styleId="Authoraqz85zz122znz65zegz70z0z76zz89zz74zaz90zmz76z">
    <w:name w:val="author-a-qz85zz122znz65zegz70z0z76zz89zz74zaz90zmz76z"/>
    <w:qFormat/>
    <w:rPr/>
  </w:style>
  <w:style w:type="character" w:styleId="Authorayez66zh22x4sgez82zz73zw4z88z">
    <w:name w:val="author-a-yez66zh22x4sgez82zz73zw4z88z"/>
    <w:qFormat/>
    <w:rPr/>
  </w:style>
  <w:style w:type="character" w:styleId="Authoraz76zz85zz79zz80zz66zdxz85zz84z2ioz77zz76zz69zz66z">
    <w:name w:val="author-a-z76zz85zz79zz80zz66zdxz85zz84z2ioz77zz76zz69zz66z"/>
    <w:qFormat/>
    <w:rPr/>
  </w:style>
  <w:style w:type="character" w:styleId="Authoraz69zz89zz83zoz67zz89z3z74znz83zz79zz76zlhz70zo">
    <w:name w:val="author-a-z69zz89zz83zoz67zz89z3z74znz83zz79zz76zlhz70zo"/>
    <w:qFormat/>
    <w:rPr/>
  </w:style>
  <w:style w:type="character" w:styleId="Authoracz74zpz77zh5nyim5z88zz72zkfz89z">
    <w:name w:val="author-a-cz74zpz77zh5nyim5z88zz72zkfz89z"/>
    <w:qFormat/>
    <w:rPr/>
  </w:style>
  <w:style w:type="character" w:styleId="Authoraez76zaiz68zkz81zb0dbz71z6rvz69z">
    <w:name w:val="author-a-ez76zaiz68zkz81zb0dbz71z6rvz69z"/>
    <w:qFormat/>
    <w:rPr/>
  </w:style>
  <w:style w:type="character" w:styleId="Authoraz80zz82zl5z74zz65zhz81zz87z5z86ztz85zz86z7z81z">
    <w:name w:val="author-a-z80zz82zl5z74zz65zhz81zz87z5z86ztz85zz86z7z81z"/>
    <w:qFormat/>
    <w:rPr/>
  </w:style>
  <w:style w:type="character" w:styleId="Authoraz82z1z84zjz88zz76ztz90ziraaz87zz71zg3">
    <w:name w:val="author-a-z82z1z84zjz88zz76ztz90ziraaz87zz71zg3"/>
    <w:qFormat/>
    <w:rPr/>
  </w:style>
  <w:style w:type="character" w:styleId="Authoracz81zmz90zxz67zz68zz70zwn8z122zweja">
    <w:name w:val="author-a-cz81zmz90zxz67zz68zz70zwn8z122zweja"/>
    <w:qFormat/>
    <w:rPr/>
  </w:style>
  <w:style w:type="character" w:styleId="Authorabz74zcdz81zlz86zm7z76zz76zu00uz79z">
    <w:name w:val="author-a-bz74zcdz81zlz86zm7z76zz76zu00uz79z"/>
    <w:qFormat/>
    <w:rPr/>
  </w:style>
  <w:style w:type="character" w:styleId="Authoraz80z9z65ztbw2z79zz65zz90ze2z76zofz75z">
    <w:name w:val="author-a-z80z9z65ztbw2z79zz65zz90ze2z76zofz75z"/>
    <w:qFormat/>
    <w:rPr/>
  </w:style>
  <w:style w:type="character" w:styleId="Authora06z73zz68zz84zuwz72ziz83z7rgjz79z6">
    <w:name w:val="author-a-06z73zz68zz84zuwz72ziz83z7rgjz79z6"/>
    <w:qFormat/>
    <w:rPr/>
  </w:style>
  <w:style w:type="character" w:styleId="Authorasz74zqf8s9hrz75zwl1hz76zk">
    <w:name w:val="author-a-sz74zqf8s9hrz75zwl1hz76zk"/>
    <w:qFormat/>
    <w:rPr/>
  </w:style>
  <w:style w:type="character" w:styleId="Authoraz82z2z70zgz77zhfz84zz70zz66zfqnz68zus">
    <w:name w:val="author-a-z82z2z70zgz77zhfz84zz70zz66zfqnz68zus"/>
    <w:qFormat/>
    <w:rPr/>
  </w:style>
  <w:style w:type="character" w:styleId="Authoraarz76zez73zkf5mz70zrz82zz80zfz74zy">
    <w:name w:val="author-a-arz76zez73zkf5mz70zrz82zz80zfz74zy"/>
    <w:qFormat/>
    <w:rPr/>
  </w:style>
  <w:style w:type="character" w:styleId="Authoraz88zz89z3cz81ztz84zwz90z49z80z3z83z8k">
    <w:name w:val="author-a-z88zz89z3cz81ztz84zwz90z49z80z3z83z8k"/>
    <w:qFormat/>
    <w:rPr/>
  </w:style>
  <w:style w:type="character" w:styleId="Authoraz66zz70zv4z82zz80zz88z1294kh8z89z2">
    <w:name w:val="author-a-z66zz70zv4z82zz80zz88z1294kh8z89z2"/>
    <w:qFormat/>
    <w:rPr/>
  </w:style>
  <w:style w:type="character" w:styleId="VisitedInternetLink">
    <w:name w:val="FollowedHyperlink"/>
    <w:rPr>
      <w:rFonts w:ascii="Arial" w:hAnsi="Arial" w:eastAsia="SimSun;宋体" w:cs="Arial"/>
      <w:color w:val="800080"/>
      <w:kern w:val="2"/>
      <w:u w:val="single"/>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z w:val="20"/>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widowControl/>
      <w:jc w:val="both"/>
    </w:pPr>
    <w:rPr>
      <w:lang w:val="en-US"/>
    </w:rPr>
  </w:style>
  <w:style w:type="paragraph" w:styleId="Footer">
    <w:name w:val="Footer"/>
    <w:basedOn w:val="Normal"/>
    <w:pPr/>
    <w:rPr/>
  </w:style>
  <w:style w:type="paragraph" w:styleId="Footnote">
    <w:name w:val="Footnote Text"/>
    <w:basedOn w:val="Normal"/>
    <w:pPr/>
    <w:rPr>
      <w:sz w:val="20"/>
    </w:rPr>
  </w:style>
  <w:style w:type="paragraph" w:styleId="WWHeading">
    <w:name w:val="WW-Heading"/>
    <w:basedOn w:val="Normal"/>
    <w:qFormat/>
    <w:pPr>
      <w:ind w:left="1260" w:hanging="551"/>
    </w:pPr>
    <w:rPr>
      <w:b/>
    </w:rPr>
  </w:style>
  <w:style w:type="paragraph" w:styleId="TextBodyIndent">
    <w:name w:val="Body Text Indent"/>
    <w:basedOn w:val="Normal"/>
    <w:pPr>
      <w:spacing w:before="0" w:after="0"/>
      <w:ind w:left="1454" w:hanging="461"/>
    </w:pPr>
    <w:rPr>
      <w:color w:val="000000"/>
      <w:sz w:val="16"/>
    </w:rPr>
  </w:style>
  <w:style w:type="paragraph" w:styleId="IndentText">
    <w:name w:val="Indent Text"/>
    <w:basedOn w:val="Normal"/>
    <w:qFormat/>
    <w:pPr>
      <w:widowControl/>
      <w:spacing w:lineRule="auto" w:line="240"/>
      <w:ind w:left="720" w:hanging="0"/>
      <w:jc w:val="both"/>
    </w:pPr>
    <w:rPr>
      <w:sz w:val="20"/>
    </w:rPr>
  </w:style>
  <w:style w:type="paragraph" w:styleId="Endnote">
    <w:name w:val="Endnote Text"/>
    <w:basedOn w:val="Normal"/>
    <w:pPr/>
    <w:rPr>
      <w:sz w:val="20"/>
    </w:rPr>
  </w:style>
  <w:style w:type="paragraph" w:styleId="Retraitcorpsdetexte2">
    <w:name w:val="Retrait corps de texte 2"/>
    <w:basedOn w:val="Normal"/>
    <w:qFormat/>
    <w:pPr>
      <w:spacing w:before="0" w:after="0"/>
      <w:ind w:left="6379" w:hanging="4820"/>
    </w:pPr>
    <w:rPr>
      <w:bCs/>
      <w:color w:val="000000"/>
      <w:sz w:val="18"/>
    </w:rPr>
  </w:style>
  <w:style w:type="paragraph" w:styleId="Retraitcorpsdetexte3">
    <w:name w:val="Retrait corps de texte 3"/>
    <w:basedOn w:val="Normal"/>
    <w:qFormat/>
    <w:pPr>
      <w:spacing w:before="0" w:after="0"/>
      <w:ind w:left="6379" w:hanging="4820"/>
    </w:pPr>
    <w:rPr>
      <w:bCs/>
      <w:color w:val="FF0000"/>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US" w:eastAsia="en-US" w:bidi="ar-SA"/>
    </w:rPr>
  </w:style>
  <w:style w:type="paragraph" w:styleId="HE">
    <w:name w:val="HE"/>
    <w:basedOn w:val="Normal"/>
    <w:qFormat/>
    <w:pPr>
      <w:widowControl/>
      <w:spacing w:lineRule="auto" w:line="240" w:before="0" w:after="0"/>
    </w:pPr>
    <w:rPr>
      <w:b/>
      <w:sz w:val="20"/>
    </w:rPr>
  </w:style>
  <w:style w:type="paragraph" w:styleId="TAH">
    <w:name w:val="TAH"/>
    <w:basedOn w:val="Normal"/>
    <w:qFormat/>
    <w:pPr>
      <w:keepNext w:val="true"/>
      <w:keepLines/>
      <w:widowControl/>
      <w:spacing w:lineRule="auto" w:line="240" w:before="0" w:after="0"/>
      <w:jc w:val="center"/>
    </w:pPr>
    <w:rPr>
      <w:b/>
      <w:sz w:val="18"/>
    </w:rPr>
  </w:style>
  <w:style w:type="paragraph" w:styleId="NormalIndent">
    <w:name w:val="NormalIndent"/>
    <w:basedOn w:val="Normal"/>
    <w:qFormat/>
    <w:pPr>
      <w:widowControl/>
      <w:ind w:left="720" w:hanging="0"/>
    </w:pPr>
    <w:rPr>
      <w:sz w:val="20"/>
      <w:lang w:val="it-IT"/>
    </w:rPr>
  </w:style>
  <w:style w:type="paragraph" w:styleId="Textedebulles">
    <w:name w:val="Texte de bulles"/>
    <w:basedOn w:val="Normal"/>
    <w:qFormat/>
    <w:pPr/>
    <w:rPr>
      <w:rFonts w:ascii="Tahoma" w:hAnsi="Tahoma" w:cs="Tahoma"/>
      <w:sz w:val="16"/>
      <w:szCs w:val="16"/>
    </w:rPr>
  </w:style>
  <w:style w:type="paragraph" w:styleId="References">
    <w:name w:val="References"/>
    <w:basedOn w:val="Normal"/>
    <w:qFormat/>
    <w:pPr>
      <w:numPr>
        <w:ilvl w:val="0"/>
        <w:numId w:val="3"/>
      </w:numPr>
      <w:overflowPunct w:val="false"/>
      <w:autoSpaceDE w:val="false"/>
      <w:spacing w:lineRule="auto" w:line="240" w:before="60" w:after="60"/>
      <w:ind w:left="567" w:hanging="567"/>
      <w:textAlignment w:val="baseline"/>
    </w:pPr>
    <w:rPr>
      <w:rFonts w:ascii="Times New Roman" w:hAnsi="Times New Roman" w:cs="Times New Roman"/>
      <w:sz w:val="20"/>
      <w:lang w:eastAsia="zh-CN"/>
    </w:rPr>
  </w:style>
  <w:style w:type="paragraph" w:styleId="ZchnZchn">
    <w:name w:val="Zchn Zchn"/>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Bullet">
    <w:name w:val="Bullet"/>
    <w:basedOn w:val="Normal"/>
    <w:qFormat/>
    <w:pPr>
      <w:numPr>
        <w:ilvl w:val="0"/>
        <w:numId w:val="9"/>
      </w:numPr>
      <w:overflowPunct w:val="false"/>
      <w:autoSpaceDE w:val="false"/>
      <w:spacing w:lineRule="auto" w:line="240" w:before="60" w:after="60"/>
      <w:ind w:left="357" w:hanging="357"/>
      <w:contextualSpacing/>
      <w:textAlignment w:val="baseline"/>
    </w:pPr>
    <w:rPr>
      <w:rFonts w:ascii="Times New Roman" w:hAnsi="Times New Roman" w:cs="Times New Roman"/>
      <w:sz w:val="20"/>
      <w:lang w:eastAsia="zh-CN"/>
    </w:rPr>
  </w:style>
  <w:style w:type="paragraph" w:styleId="CarCar">
    <w:name w:val="Car Car"/>
    <w:qFormat/>
    <w:pPr>
      <w:keepNext w:val="true"/>
      <w:widowControl/>
      <w:numPr>
        <w:ilvl w:val="0"/>
        <w:numId w:val="8"/>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ListecouleurAccent1">
    <w:name w:val="Liste couleur - Accent 1"/>
    <w:basedOn w:val="Normal"/>
    <w:qFormat/>
    <w:pPr>
      <w:widowControl/>
      <w:spacing w:lineRule="auto" w:line="276" w:before="0" w:after="200"/>
      <w:ind w:left="720" w:hanging="0"/>
      <w:contextualSpacing/>
    </w:pPr>
    <w:rPr>
      <w:rFonts w:ascii="Calibri" w:hAnsi="Calibri" w:cs="Calibri"/>
      <w:szCs w:val="22"/>
    </w:rPr>
  </w:style>
  <w:style w:type="paragraph" w:styleId="Normal1">
    <w:name w:val="Normal_"/>
    <w:basedOn w:val="Normal"/>
    <w:qFormat/>
    <w:pPr>
      <w:widowControl/>
      <w:spacing w:lineRule="exact" w:line="240" w:before="0" w:after="160"/>
    </w:pPr>
    <w:rPr>
      <w:rFonts w:eastAsia="SimSun;宋体" w:cs="Arial"/>
      <w:color w:val="0000FF"/>
      <w:kern w:val="2"/>
      <w:sz w:val="20"/>
      <w:lang w:eastAsia="zh-CN"/>
    </w:rPr>
  </w:style>
  <w:style w:type="paragraph" w:styleId="NO">
    <w:name w:val="NO"/>
    <w:basedOn w:val="Normal"/>
    <w:qFormat/>
    <w:pPr>
      <w:keepLines/>
      <w:widowControl/>
      <w:overflowPunct w:val="false"/>
      <w:autoSpaceDE w:val="false"/>
      <w:spacing w:lineRule="auto" w:line="240" w:before="0" w:after="180"/>
      <w:ind w:left="1135" w:hanging="851"/>
      <w:textAlignment w:val="baseline"/>
    </w:pPr>
    <w:rPr>
      <w:rFonts w:eastAsia="SimSun;宋体" w:cs="Arial"/>
      <w:color w:val="0000FF"/>
      <w:kern w:val="2"/>
      <w:sz w:val="20"/>
      <w:lang w:val="en-GB" w:eastAsia="zh-CN"/>
    </w:rPr>
  </w:style>
  <w:style w:type="paragraph" w:styleId="Commentaire">
    <w:name w:val="Commentaire"/>
    <w:basedOn w:val="Normal"/>
    <w:qFormat/>
    <w:pPr/>
    <w:rPr>
      <w:rFonts w:eastAsia="SimSun;宋体" w:cs="Arial"/>
      <w:color w:val="0000FF"/>
      <w:kern w:val="2"/>
      <w:sz w:val="20"/>
      <w:lang w:eastAsia="zh-CN"/>
    </w:rPr>
  </w:style>
  <w:style w:type="paragraph" w:styleId="NormalWeb">
    <w:name w:val="Normal (Web)"/>
    <w:basedOn w:val="Normal"/>
    <w:qFormat/>
    <w:pPr>
      <w:widowControl/>
      <w:spacing w:lineRule="auto" w:line="240" w:before="280" w:after="280"/>
    </w:pPr>
    <w:rPr>
      <w:rFonts w:ascii="Times New Roman" w:hAnsi="Times New Roman" w:eastAsia="Calibri" w:cs="Times New Roman"/>
      <w:sz w:val="24"/>
      <w:szCs w:val="24"/>
      <w:lang w:eastAsia="ja-JP"/>
    </w:rPr>
  </w:style>
  <w:style w:type="paragraph" w:styleId="Lgende">
    <w:name w:val="Légende"/>
    <w:next w:val="TextBody"/>
    <w:qFormat/>
    <w:pPr>
      <w:widowControl/>
      <w:bidi w:val="0"/>
      <w:spacing w:before="60" w:after="240"/>
      <w:ind w:left="170" w:hanging="0"/>
    </w:pPr>
    <w:rPr>
      <w:rFonts w:ascii="Arial" w:hAnsi="Arial" w:eastAsia="Times New Roman" w:cs="Arial"/>
      <w:color w:val="auto"/>
      <w:kern w:val="2"/>
      <w:sz w:val="18"/>
      <w:szCs w:val="22"/>
      <w:lang w:val="en-US" w:bidi="ar-SA" w:eastAsia="zh-CN"/>
    </w:rPr>
  </w:style>
  <w:style w:type="paragraph" w:styleId="Standard">
    <w:name w:val="Standard"/>
    <w:qFormat/>
    <w:pPr>
      <w:widowControl w:val="false"/>
      <w:autoSpaceDE w:val="false"/>
      <w:bidi w:val="0"/>
    </w:pPr>
    <w:rPr>
      <w:rFonts w:ascii="Arial" w:hAnsi="Arial" w:eastAsia="MS Mincho;ＭＳ 明朝" w:cs="Arial"/>
      <w:color w:val="auto"/>
      <w:sz w:val="24"/>
      <w:szCs w:val="24"/>
      <w:lang w:val="en-US" w:eastAsia="ja-JP" w:bidi="ar-SA"/>
    </w:rPr>
  </w:style>
  <w:style w:type="paragraph" w:styleId="Heading31">
    <w:name w:val="Heading3"/>
    <w:basedOn w:val="Standard"/>
    <w:next w:val="Standard"/>
    <w:qFormat/>
    <w:pPr>
      <w:spacing w:before="240" w:after="60"/>
    </w:pPr>
    <w:rPr>
      <w:b/>
      <w:bCs/>
      <w:sz w:val="26"/>
      <w:szCs w:val="26"/>
    </w:rPr>
  </w:style>
  <w:style w:type="paragraph" w:styleId="Heading21">
    <w:name w:val="Heading2"/>
    <w:basedOn w:val="Standard"/>
    <w:next w:val="Standard"/>
    <w:qFormat/>
    <w:pPr>
      <w:spacing w:before="240" w:after="60"/>
    </w:pPr>
    <w:rPr>
      <w:b/>
      <w:bCs/>
      <w:i/>
      <w:iCs/>
      <w:sz w:val="28"/>
      <w:szCs w:val="28"/>
    </w:rPr>
  </w:style>
  <w:style w:type="paragraph" w:styleId="Enttedetabledesmatires">
    <w:name w:val="En-tête de table des matières"/>
    <w:basedOn w:val="Heading1"/>
    <w:next w:val="Normal"/>
    <w:qFormat/>
    <w:pPr>
      <w:keepLines/>
      <w:widowControl/>
      <w:numPr>
        <w:ilvl w:val="0"/>
        <w:numId w:val="0"/>
      </w:numPr>
      <w:spacing w:lineRule="auto" w:line="256" w:before="240" w:after="0"/>
      <w:outlineLvl w:val="9"/>
    </w:pPr>
    <w:rPr>
      <w:rFonts w:ascii="Calibri Light" w:hAnsi="Calibri Light" w:eastAsia="MS Gothic;ＭＳ ゴシック" w:cs="Calibri Light"/>
      <w:color w:val="2E74B5"/>
      <w:sz w:val="32"/>
      <w:szCs w:val="32"/>
    </w:rPr>
  </w:style>
  <w:style w:type="paragraph" w:styleId="Contents2">
    <w:name w:val="TOC 2"/>
    <w:basedOn w:val="Normal"/>
    <w:next w:val="Normal"/>
    <w:pPr>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2015-10-20T11:36:00Z</dcterms:created>
  <dc:creator>efregab</dc:creator>
  <dc:description/>
  <cp:keywords/>
  <dc:language>en-US</dc:language>
  <cp:lastModifiedBy>ORANGE</cp:lastModifiedBy>
  <cp:lastPrinted>2015-08-21T12:54:00Z</cp:lastPrinted>
  <dcterms:modified xsi:type="dcterms:W3CDTF">2015-10-20T17:14:00Z</dcterms:modified>
  <cp:revision>5</cp:revision>
  <dc:subject/>
  <dc:title>Source:</dc:title>
</cp:coreProperties>
</file>