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sv-SE"/>
        </w:rPr>
      </w:pPr>
      <w:r>
        <w:rPr>
          <w:lang w:val="sv-SE"/>
        </w:rPr>
        <w:t>3GPP TSG SA4 #27</w:t>
        <w:tab/>
        <w:tab/>
        <w:tab/>
        <w:tab/>
        <w:tab/>
        <w:tab/>
        <w:tab/>
        <w:tab/>
        <w:t>S4-030540</w:t>
      </w:r>
    </w:p>
    <w:p>
      <w:pPr>
        <w:pStyle w:val="Normal"/>
        <w:rPr/>
      </w:pPr>
      <w:r>
        <w:rPr>
          <w:lang w:val="en-US"/>
        </w:rPr>
        <w:t>Munich, Germany, 7-11 July 2003</w:t>
        <w:tab/>
        <w:tab/>
        <w:tab/>
        <w:tab/>
        <w:tab/>
      </w:r>
      <w:r>
        <w:rPr/>
        <w:t>Agenda Item: SES</w:t>
      </w:r>
    </w:p>
    <w:p>
      <w:pPr>
        <w:pStyle w:val="HE"/>
        <w:pBdr>
          <w:bottom w:val="single" w:sz="4" w:space="1" w:color="000000"/>
        </w:pBdr>
        <w:tabs>
          <w:tab w:val="clear" w:pos="720"/>
          <w:tab w:val="right" w:pos="9214" w:leader="none"/>
        </w:tabs>
        <w:spacing w:before="0" w:after="180"/>
        <w:rPr>
          <w:rFonts w:ascii="Arial" w:hAnsi="Arial" w:cs="Arial"/>
          <w:sz w:val="24"/>
        </w:rPr>
      </w:pPr>
      <w:r>
        <w:rPr>
          <w:rFonts w:cs="Arial" w:ascii="Arial" w:hAnsi="Arial"/>
          <w:sz w:val="24"/>
        </w:rPr>
      </w:r>
    </w:p>
    <w:p>
      <w:pPr>
        <w:pStyle w:val="Normal"/>
        <w:ind w:left="1985" w:hanging="1985"/>
        <w:rPr>
          <w:rFonts w:ascii="Arial" w:hAnsi="Arial" w:cs="Arial"/>
          <w:b/>
          <w:b/>
        </w:rPr>
      </w:pPr>
      <w:r>
        <w:rPr>
          <w:rFonts w:cs="Arial" w:ascii="Arial" w:hAnsi="Arial"/>
          <w:b/>
        </w:rPr>
        <w:t>Title:</w:t>
        <w:tab/>
        <w:t>Recommendation Criteria for Default Codec for Speech Enabled Services (SES</w:t>
      </w:r>
      <w:r>
        <w:rPr>
          <w:rFonts w:cs="Arial" w:ascii="Arial" w:hAnsi="Arial"/>
          <w:b/>
          <w:lang w:val="en-US" w:eastAsia="de-DE"/>
        </w:rPr>
        <w:t>)</w:t>
      </w:r>
    </w:p>
    <w:p>
      <w:pPr>
        <w:pStyle w:val="Normal"/>
        <w:tabs>
          <w:tab w:val="clear" w:pos="720"/>
          <w:tab w:val="left" w:pos="1985" w:leader="none"/>
        </w:tabs>
        <w:ind w:left="1985" w:hanging="1985"/>
        <w:rPr>
          <w:rFonts w:ascii="Arial" w:hAnsi="Arial" w:cs="Arial"/>
          <w:b/>
          <w:b/>
        </w:rPr>
      </w:pPr>
      <w:r>
        <w:rPr>
          <w:rFonts w:cs="Arial" w:ascii="Arial" w:hAnsi="Arial"/>
          <w:b/>
        </w:rPr>
        <w:t>Source:</w:t>
        <w:tab/>
        <w:t>TSG SA WG4 Codec</w:t>
      </w:r>
    </w:p>
    <w:p>
      <w:pPr>
        <w:pStyle w:val="Normal"/>
        <w:tabs>
          <w:tab w:val="clear" w:pos="720"/>
          <w:tab w:val="left" w:pos="2127" w:leader="none"/>
        </w:tabs>
        <w:ind w:left="2127" w:right="-1594" w:hanging="2127"/>
        <w:rPr>
          <w:rFonts w:ascii="Arial" w:hAnsi="Arial" w:cs="Arial"/>
          <w:b/>
          <w:b/>
        </w:rPr>
      </w:pPr>
      <w:r>
        <w:rPr>
          <w:rFonts w:cs="Arial" w:ascii="Arial" w:hAnsi="Arial"/>
          <w:b/>
        </w:rPr>
        <w:t>Document for:</w:t>
        <w:tab/>
        <w:t>Approval</w:t>
      </w:r>
    </w:p>
    <w:p>
      <w:pPr>
        <w:pStyle w:val="Normal"/>
        <w:tabs>
          <w:tab w:val="clear" w:pos="720"/>
          <w:tab w:val="left" w:pos="2127" w:leader="none"/>
        </w:tabs>
        <w:ind w:left="2127" w:right="-1594" w:hanging="2127"/>
        <w:rPr>
          <w:rFonts w:ascii="Arial" w:hAnsi="Arial" w:cs="Arial"/>
          <w:b/>
          <w:b/>
        </w:rPr>
      </w:pPr>
      <w:r>
        <w:rPr>
          <w:rFonts w:cs="Arial" w:ascii="Arial" w:hAnsi="Arial"/>
          <w:b/>
        </w:rPr>
        <w:t>Agenda Item:</w:t>
        <w:tab/>
        <w:t>7.4.3</w:t>
      </w:r>
    </w:p>
    <w:p>
      <w:pPr>
        <w:pStyle w:val="Normal"/>
        <w:tabs>
          <w:tab w:val="clear" w:pos="720"/>
          <w:tab w:val="left" w:pos="1985" w:leader="none"/>
        </w:tabs>
        <w:ind w:left="1985" w:hanging="1985"/>
        <w:rPr>
          <w:rFonts w:ascii="Arial" w:hAnsi="Arial" w:cs="Arial"/>
          <w:b/>
          <w:b/>
        </w:rPr>
      </w:pPr>
      <w:r>
        <w:rPr>
          <w:rFonts w:cs="Arial" w:ascii="Arial" w:hAnsi="Arial"/>
          <w:b/>
        </w:rPr>
      </w:r>
    </w:p>
    <w:p>
      <w:pPr>
        <w:pStyle w:val="Normal"/>
        <w:tabs>
          <w:tab w:val="clear" w:pos="720"/>
          <w:tab w:val="left" w:pos="1985" w:leader="none"/>
        </w:tabs>
        <w:ind w:left="1985" w:hanging="1985"/>
        <w:rPr>
          <w:rFonts w:ascii="Arial" w:hAnsi="Arial" w:cs="Arial"/>
          <w:b/>
          <w:b/>
        </w:rPr>
      </w:pPr>
      <w:r>
        <w:rPr>
          <w:rFonts w:cs="Arial" w:ascii="Arial" w:hAnsi="Arial"/>
          <w:b/>
        </w:rPr>
      </w:r>
    </w:p>
    <w:p>
      <w:pPr>
        <w:pStyle w:val="Normal"/>
        <w:tabs>
          <w:tab w:val="clear" w:pos="720"/>
          <w:tab w:val="left" w:pos="1985" w:leader="none"/>
        </w:tabs>
        <w:ind w:left="1985" w:hanging="1985"/>
        <w:rPr/>
      </w:pPr>
      <w:r>
        <w:rPr>
          <w:rFonts w:cs="Arial" w:ascii="Arial" w:hAnsi="Arial"/>
          <w:b/>
        </w:rPr>
        <w:t>Contact:</w:t>
        <w:tab/>
      </w:r>
      <w:hyperlink r:id="rId2">
        <w:r>
          <w:rPr>
            <w:rStyle w:val="InternetLink"/>
            <w:rFonts w:cs="Arial" w:ascii="Arial" w:hAnsi="Arial"/>
            <w:b/>
            <w:color w:val="333333"/>
            <w:u w:val="none"/>
          </w:rPr>
          <w:t>David</w:t>
        </w:r>
      </w:hyperlink>
      <w:r>
        <w:rPr>
          <w:rFonts w:cs="Arial" w:ascii="Arial" w:hAnsi="Arial"/>
          <w:b/>
        </w:rPr>
        <w:t xml:space="preserve"> Pearce, bdp003@motorola.com</w:t>
      </w:r>
    </w:p>
    <w:p>
      <w:pPr>
        <w:pStyle w:val="Normal"/>
        <w:tabs>
          <w:tab w:val="clear" w:pos="720"/>
          <w:tab w:val="left" w:pos="1985" w:leader="none"/>
        </w:tabs>
        <w:ind w:left="1985" w:hanging="1985"/>
        <w:rPr>
          <w:rFonts w:ascii="Arial" w:hAnsi="Arial" w:cs="Arial"/>
        </w:rPr>
      </w:pPr>
      <w:r>
        <w:rPr>
          <w:rFonts w:cs="Arial" w:ascii="Arial" w:hAnsi="Arial"/>
        </w:rPr>
        <w:t>Version:</w:t>
        <w:tab/>
        <w:t>2.0</w:t>
      </w:r>
    </w:p>
    <w:p>
      <w:pPr>
        <w:pStyle w:val="Normal"/>
        <w:pBdr>
          <w:bottom w:val="single" w:sz="4" w:space="1" w:color="000000"/>
        </w:pBdr>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Summary</w:t>
      </w:r>
    </w:p>
    <w:p>
      <w:pPr>
        <w:pStyle w:val="Normal"/>
        <w:rPr>
          <w:rFonts w:ascii="Arial" w:hAnsi="Arial" w:cs="Arial"/>
          <w:b/>
          <w:b/>
        </w:rPr>
      </w:pPr>
      <w:r>
        <w:rPr>
          <w:rFonts w:cs="Arial" w:ascii="Arial" w:hAnsi="Arial"/>
          <w:b/>
        </w:rPr>
      </w:r>
    </w:p>
    <w:p>
      <w:pPr>
        <w:pStyle w:val="Normal"/>
        <w:rPr/>
      </w:pPr>
      <w:r>
        <w:rPr/>
        <w:t xml:space="preserve">This document provides the recommendation criteria for the default codec for speech enabled services (SES) as agreed at SQ SWG, SA4#27. </w:t>
      </w:r>
    </w:p>
    <w:p>
      <w:pPr>
        <w:pStyle w:val="Normal"/>
        <w:rPr/>
      </w:pPr>
      <w:r>
        <w:rPr/>
      </w:r>
    </w:p>
    <w:p>
      <w:pPr>
        <w:pStyle w:val="Normal"/>
        <w:rPr>
          <w:rFonts w:ascii="Arial" w:hAnsi="Arial" w:cs="Arial"/>
        </w:rPr>
      </w:pPr>
      <w:r>
        <w:rPr/>
        <w:t>Updated to remove the 16kHz Mandarin Name dialling task and include agreed values for recommendations.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Heading1"/>
        <w:numPr>
          <w:ilvl w:val="0"/>
          <w:numId w:val="2"/>
        </w:numPr>
        <w:spacing w:before="0" w:after="120"/>
        <w:rPr>
          <w:rFonts w:ascii="Times New Roman" w:hAnsi="Times New Roman" w:cs="Times New Roman"/>
        </w:rPr>
      </w:pPr>
      <w:r>
        <w:rPr>
          <w:rFonts w:cs="Times New Roman" w:ascii="Times New Roman" w:hAnsi="Times New Roman"/>
        </w:rPr>
        <w:t>Introduction</w:t>
      </w:r>
    </w:p>
    <w:p>
      <w:pPr>
        <w:pStyle w:val="Normal"/>
        <w:jc w:val="both"/>
        <w:rPr/>
      </w:pPr>
      <w:r>
        <w:rPr/>
        <w:t>This document defines recommendation criteria for the selection of the default codec for speech enabled services. These criteria are based on the design constrains [1] and performance evaluations described in the test and processing plan [2]. The recommendation is based on speech recognition performance and the details of the scoring system are described below.</w:t>
      </w:r>
    </w:p>
    <w:p>
      <w:pPr>
        <w:pStyle w:val="Normal"/>
        <w:jc w:val="both"/>
        <w:rPr/>
      </w:pPr>
      <w:r>
        <w:rPr/>
      </w:r>
    </w:p>
    <w:p>
      <w:pPr>
        <w:pStyle w:val="Heading1"/>
        <w:ind w:left="1985" w:hanging="1985"/>
        <w:rPr>
          <w:rFonts w:ascii="Times New Roman" w:hAnsi="Times New Roman" w:cs="Times New Roman"/>
          <w:bCs/>
        </w:rPr>
      </w:pPr>
      <w:r>
        <w:rPr>
          <w:rFonts w:cs="Times New Roman" w:ascii="Times New Roman" w:hAnsi="Times New Roman"/>
          <w:bCs/>
        </w:rPr>
        <w:t>2.     Recognition performance</w:t>
      </w:r>
    </w:p>
    <w:p>
      <w:pPr>
        <w:pStyle w:val="Heading2"/>
        <w:jc w:val="left"/>
        <w:rPr>
          <w:rFonts w:ascii="Times New Roman" w:hAnsi="Times New Roman" w:cs="Times New Roman"/>
          <w:bCs w:val="false"/>
          <w:caps w:val="false"/>
          <w:smallCaps w:val="false"/>
          <w:sz w:val="24"/>
        </w:rPr>
      </w:pPr>
      <w:r>
        <w:rPr>
          <w:rFonts w:cs="Times New Roman"/>
          <w:bCs w:val="false"/>
          <w:caps w:val="false"/>
          <w:smallCaps w:val="false"/>
          <w:sz w:val="24"/>
        </w:rPr>
      </w:r>
    </w:p>
    <w:p>
      <w:pPr>
        <w:pStyle w:val="Heading2"/>
        <w:jc w:val="left"/>
        <w:rPr>
          <w:caps w:val="false"/>
          <w:smallCaps w:val="false"/>
          <w:sz w:val="24"/>
        </w:rPr>
      </w:pPr>
      <w:r>
        <w:rPr>
          <w:caps w:val="false"/>
          <w:smallCaps w:val="false"/>
          <w:sz w:val="24"/>
        </w:rPr>
        <w:t>2.1</w:t>
        <w:tab/>
        <w:t>Overview</w:t>
      </w:r>
    </w:p>
    <w:p>
      <w:pPr>
        <w:pStyle w:val="Normal"/>
        <w:rPr>
          <w:caps/>
          <w:sz w:val="24"/>
        </w:rPr>
      </w:pPr>
      <w:r>
        <w:rPr>
          <w:caps/>
          <w:sz w:val="24"/>
        </w:rPr>
      </w:r>
    </w:p>
    <w:p>
      <w:pPr>
        <w:pStyle w:val="Normal"/>
        <w:rPr/>
      </w:pPr>
      <w:r>
        <w:rPr/>
        <w:t>The set of databases used for the evaluations are defined in the Test and Processing Plan [2]. Each of these databases contains different types speech material covering a variety of tasks, environments and languages. Recommendation will be based on a score obtained from the recognition performance measured on each of these different databases. Section 2.3 describes how the scores from all the individual databases are combined using a weighting table (see also appendix 2).</w:t>
      </w:r>
    </w:p>
    <w:p>
      <w:pPr>
        <w:pStyle w:val="Normal"/>
        <w:rPr/>
      </w:pPr>
      <w:r>
        <w:rPr/>
      </w:r>
    </w:p>
    <w:p>
      <w:pPr>
        <w:pStyle w:val="Heading2"/>
        <w:jc w:val="left"/>
        <w:rPr>
          <w:caps w:val="false"/>
          <w:smallCaps w:val="false"/>
          <w:sz w:val="24"/>
        </w:rPr>
      </w:pPr>
      <w:r>
        <w:rPr>
          <w:caps w:val="false"/>
          <w:smallCaps w:val="false"/>
          <w:sz w:val="24"/>
        </w:rPr>
        <w:t>2.2</w:t>
        <w:tab/>
        <w:t>Scoring on individual databases</w:t>
      </w:r>
    </w:p>
    <w:p>
      <w:pPr>
        <w:pStyle w:val="Heading2"/>
        <w:jc w:val="left"/>
        <w:rPr>
          <w:caps w:val="false"/>
          <w:smallCaps w:val="false"/>
          <w:sz w:val="24"/>
        </w:rPr>
      </w:pPr>
      <w:r>
        <w:rPr>
          <w:caps w:val="false"/>
          <w:smallCaps w:val="false"/>
          <w:sz w:val="24"/>
        </w:rPr>
      </w:r>
    </w:p>
    <w:p>
      <w:pPr>
        <w:pStyle w:val="Normal"/>
        <w:spacing w:before="0" w:after="120"/>
        <w:rPr/>
      </w:pPr>
      <w:r>
        <w:rPr/>
        <w:t xml:space="preserve">For each database the reference performance is measured as the word error rate obtained from the ASR vendor’s system. This is the performance obtained from a state-of-the-art system from the ASR vendor assuming a transparent channel. </w:t>
      </w:r>
    </w:p>
    <w:p>
      <w:pPr>
        <w:pStyle w:val="Normal"/>
        <w:spacing w:before="0" w:after="120"/>
        <w:rPr/>
      </w:pPr>
      <w:r>
        <w:rPr/>
        <w:t xml:space="preserve">The performance (word error rate) on a given database is also measured with the ASR vendors system for a codec under test as described in the test and processing plan. </w:t>
      </w:r>
    </w:p>
    <w:p>
      <w:pPr>
        <w:pStyle w:val="Normal"/>
        <w:rPr/>
      </w:pPr>
      <w:r>
        <w:rPr/>
        <w:t>Scoring for tests performed with channel BLER described in section 3.1.2 of [2] will also be computed in a similar way. Note that only BLER of 1% and 3% are considered as part of the recommendation criteria.</w:t>
      </w:r>
    </w:p>
    <w:p>
      <w:pPr>
        <w:pStyle w:val="Normal"/>
        <w:rPr/>
      </w:pPr>
      <w:r>
        <w:rPr/>
      </w:r>
    </w:p>
    <w:p>
      <w:pPr>
        <w:pStyle w:val="Normal"/>
        <w:rPr>
          <w:b/>
          <w:b/>
        </w:rPr>
      </w:pPr>
      <w:r>
        <w:rPr>
          <w:b/>
        </w:rPr>
        <w:t>2.3</w:t>
        <w:tab/>
        <w:t>Performance metric over all databases</w:t>
      </w:r>
    </w:p>
    <w:p>
      <w:pPr>
        <w:pStyle w:val="Normal"/>
        <w:rPr>
          <w:b/>
          <w:b/>
        </w:rPr>
      </w:pPr>
      <w:r>
        <w:rPr>
          <w:b/>
        </w:rPr>
      </w:r>
    </w:p>
    <w:p>
      <w:pPr>
        <w:pStyle w:val="Normal"/>
        <w:rPr/>
      </w:pPr>
      <w:r>
        <w:rPr/>
        <w:t>The overall performance will be determined by averaging the absolute word error rate using the weightings presented in tables A2.1 for 8kHz sampling rate and A2.2 for 16kHz sampling rate of Appendix 2. The result of this weighted average is an overall measure of the average word error rate for each codec. This metric is called the “average word error rate”.</w:t>
      </w:r>
    </w:p>
    <w:p>
      <w:pPr>
        <w:pStyle w:val="Normal"/>
        <w:rPr/>
      </w:pPr>
      <w:r>
        <w:rPr/>
      </w:r>
    </w:p>
    <w:p>
      <w:pPr>
        <w:pStyle w:val="Heading2"/>
        <w:jc w:val="left"/>
        <w:rPr>
          <w:caps w:val="false"/>
          <w:smallCaps w:val="false"/>
          <w:sz w:val="24"/>
        </w:rPr>
      </w:pPr>
      <w:r>
        <w:rPr>
          <w:caps w:val="false"/>
          <w:smallCaps w:val="false"/>
          <w:sz w:val="24"/>
        </w:rPr>
        <w:t>2.4</w:t>
        <w:tab/>
        <w:t xml:space="preserve">Comparisons between codecs </w:t>
      </w:r>
    </w:p>
    <w:p>
      <w:pPr>
        <w:pStyle w:val="Heading2"/>
        <w:jc w:val="left"/>
        <w:rPr>
          <w:caps w:val="false"/>
          <w:smallCaps w:val="false"/>
          <w:sz w:val="24"/>
        </w:rPr>
      </w:pPr>
      <w:r>
        <w:rPr>
          <w:caps w:val="false"/>
          <w:smallCaps w:val="false"/>
          <w:sz w:val="24"/>
        </w:rPr>
      </w:r>
    </w:p>
    <w:p>
      <w:pPr>
        <w:pStyle w:val="Normal"/>
        <w:spacing w:before="0" w:after="120"/>
        <w:rPr>
          <w:b/>
          <w:b/>
        </w:rPr>
      </w:pPr>
      <w:r>
        <w:rPr>
          <w:b/>
        </w:rPr>
        <w:t>2.4.1</w:t>
        <w:tab/>
        <w:t>Low data-rate codec comparison</w:t>
      </w:r>
    </w:p>
    <w:p>
      <w:pPr>
        <w:pStyle w:val="Normal"/>
        <w:spacing w:before="0" w:after="120"/>
        <w:rPr/>
      </w:pPr>
      <w:r>
        <w:rPr/>
        <w:t>The two codecs under consideration at low data-rate are AMR 4.75 and DSR AFE with extension (5.6kbit/s). Only 8kHz sampling rate is considered since there is no AMR-WB codec at low data rate.</w:t>
      </w:r>
    </w:p>
    <w:p>
      <w:pPr>
        <w:pStyle w:val="Normal"/>
        <w:spacing w:before="0" w:after="120"/>
        <w:rPr/>
      </w:pPr>
      <w:r>
        <w:rPr/>
        <w:t>Table A2.1 in Appendix 2 shows the list of databases that will be tested and the weightings to be given to the scores obtained for each of these databases.</w:t>
      </w:r>
    </w:p>
    <w:p>
      <w:pPr>
        <w:pStyle w:val="Normal"/>
        <w:spacing w:before="0" w:after="120"/>
        <w:rPr/>
      </w:pPr>
      <w:r>
        <w:rPr/>
      </w:r>
    </w:p>
    <w:p>
      <w:pPr>
        <w:pStyle w:val="Normal"/>
        <w:spacing w:before="0" w:after="120"/>
        <w:rPr>
          <w:b/>
          <w:b/>
        </w:rPr>
      </w:pPr>
      <w:r>
        <w:rPr>
          <w:b/>
        </w:rPr>
        <w:t>2.4.2</w:t>
        <w:tab/>
        <w:t>High data-rate codec comparison</w:t>
      </w:r>
    </w:p>
    <w:p>
      <w:pPr>
        <w:pStyle w:val="Normal"/>
        <w:spacing w:before="0" w:after="120"/>
        <w:rPr/>
      </w:pPr>
      <w:r>
        <w:rPr/>
        <w:t>At high data-rates the comparisons are made separately at 8kHz and 16kHz sampling rates.</w:t>
      </w:r>
    </w:p>
    <w:p>
      <w:pPr>
        <w:pStyle w:val="Normal"/>
        <w:spacing w:before="0" w:after="120"/>
        <w:rPr>
          <w:b/>
          <w:b/>
        </w:rPr>
      </w:pPr>
      <w:r>
        <w:rPr>
          <w:b/>
        </w:rPr>
        <w:t xml:space="preserve">2.4.2.1 </w:t>
        <w:tab/>
        <w:t>8kHz sampling rate</w:t>
      </w:r>
    </w:p>
    <w:p>
      <w:pPr>
        <w:pStyle w:val="Normal"/>
        <w:spacing w:before="0" w:after="120"/>
        <w:rPr/>
      </w:pPr>
      <w:r>
        <w:rPr/>
        <w:t>The two codecs under consideration at high data-rate at 8kHz sampling are AMR 12.2 &amp; DSR AFE and extension (5.6kbit/s).</w:t>
      </w:r>
    </w:p>
    <w:p>
      <w:pPr>
        <w:pStyle w:val="Normal"/>
        <w:spacing w:before="0" w:after="120"/>
        <w:rPr/>
      </w:pPr>
      <w:r>
        <w:rPr/>
        <w:t>Table A2.1 in Appendix 2 shows the list of databases that will be tested and the weightings to be given to the scores obtained for each of these databases.</w:t>
      </w:r>
    </w:p>
    <w:p>
      <w:pPr>
        <w:pStyle w:val="Normal"/>
        <w:spacing w:before="0" w:after="120"/>
        <w:rPr>
          <w:b/>
          <w:b/>
        </w:rPr>
      </w:pPr>
      <w:r>
        <w:rPr>
          <w:b/>
        </w:rPr>
        <w:t xml:space="preserve">2.4.2.2 </w:t>
        <w:tab/>
        <w:t>16kHz sampling rate</w:t>
      </w:r>
    </w:p>
    <w:p>
      <w:pPr>
        <w:pStyle w:val="Normal"/>
        <w:spacing w:before="0" w:after="120"/>
        <w:rPr/>
      </w:pPr>
      <w:r>
        <w:rPr/>
        <w:t>The two codecs under consideration at high data-rate at 16kHz sampling are AMR-WB 12.65, &amp; DSR AFE (5.6kbit/s).</w:t>
      </w:r>
    </w:p>
    <w:p>
      <w:pPr>
        <w:pStyle w:val="Normal"/>
        <w:spacing w:before="0" w:after="120"/>
        <w:rPr/>
      </w:pPr>
      <w:r>
        <w:rPr/>
        <w:t>Table A2.2 in Appendix 2 shows the list of databases that will be tested and the weightings to be given to the scores obtained for each of these databases.</w:t>
      </w:r>
    </w:p>
    <w:p>
      <w:pPr>
        <w:pStyle w:val="Normal"/>
        <w:rPr>
          <w:rFonts w:ascii="Arial" w:hAnsi="Arial" w:cs="Arial"/>
        </w:rPr>
      </w:pPr>
      <w:r>
        <w:rPr>
          <w:rFonts w:cs="Arial" w:ascii="Arial" w:hAnsi="Arial"/>
        </w:rPr>
      </w:r>
    </w:p>
    <w:p>
      <w:pPr>
        <w:pStyle w:val="Heading1"/>
        <w:ind w:left="1985" w:hanging="1985"/>
        <w:rPr>
          <w:rFonts w:ascii="Times New Roman" w:hAnsi="Times New Roman" w:cs="Times New Roman"/>
          <w:bCs/>
        </w:rPr>
      </w:pPr>
      <w:r>
        <w:rPr>
          <w:rFonts w:cs="Times New Roman" w:ascii="Times New Roman" w:hAnsi="Times New Roman"/>
          <w:bCs/>
        </w:rPr>
        <w:t>3.     Recommendation criteria</w:t>
      </w:r>
    </w:p>
    <w:p>
      <w:pPr>
        <w:pStyle w:val="Normal"/>
        <w:rPr>
          <w:rFonts w:ascii="Times New Roman" w:hAnsi="Times New Roman" w:cs="Times New Roman"/>
          <w:bCs/>
          <w:lang w:val="en-US"/>
        </w:rPr>
      </w:pPr>
      <w:r>
        <w:rPr>
          <w:rFonts w:cs="Times New Roman"/>
          <w:bCs/>
          <w:lang w:val="en-US"/>
        </w:rPr>
      </w:r>
    </w:p>
    <w:p>
      <w:pPr>
        <w:pStyle w:val="Normal"/>
        <w:rPr>
          <w:lang w:val="en-US"/>
        </w:rPr>
      </w:pPr>
      <w:r>
        <w:rPr>
          <w:lang w:val="en-US"/>
        </w:rPr>
        <w:t>The recommendation procedure will consist of the following:</w:t>
      </w:r>
    </w:p>
    <w:p>
      <w:pPr>
        <w:pStyle w:val="Normal"/>
        <w:rPr>
          <w:lang w:val="en-US"/>
        </w:rPr>
      </w:pPr>
      <w:r>
        <w:rPr>
          <w:lang w:val="en-US"/>
        </w:rPr>
      </w:r>
    </w:p>
    <w:p>
      <w:pPr>
        <w:pStyle w:val="Normal"/>
        <w:numPr>
          <w:ilvl w:val="0"/>
          <w:numId w:val="6"/>
        </w:numPr>
        <w:rPr>
          <w:lang w:val="en-US"/>
        </w:rPr>
      </w:pPr>
      <w:r>
        <w:rPr>
          <w:lang w:val="en-US"/>
        </w:rPr>
        <w:t>Candidates not compliant with all Design Constraints will be excluded from further consideration. (For the selection meeting, all candidates must provide justification document for meeting the Design Constraints.)</w:t>
      </w:r>
    </w:p>
    <w:p>
      <w:pPr>
        <w:pStyle w:val="Normal"/>
        <w:ind w:left="720" w:hanging="0"/>
        <w:rPr>
          <w:lang w:val="en-US"/>
        </w:rPr>
      </w:pPr>
      <w:r>
        <w:rPr>
          <w:lang w:val="en-US"/>
        </w:rPr>
      </w:r>
    </w:p>
    <w:p>
      <w:pPr>
        <w:pStyle w:val="Normal"/>
        <w:numPr>
          <w:ilvl w:val="0"/>
          <w:numId w:val="6"/>
        </w:numPr>
        <w:rPr>
          <w:lang w:val="en-US"/>
        </w:rPr>
      </w:pPr>
      <w:r>
        <w:rPr>
          <w:lang w:val="en-US"/>
        </w:rPr>
        <w:t xml:space="preserve">For the low data-rate comparison: </w:t>
      </w:r>
    </w:p>
    <w:p>
      <w:pPr>
        <w:pStyle w:val="Normal"/>
        <w:numPr>
          <w:ilvl w:val="0"/>
          <w:numId w:val="3"/>
        </w:numPr>
        <w:rPr>
          <w:lang w:val="en-US"/>
        </w:rPr>
      </w:pPr>
      <w:r>
        <w:rPr>
          <w:lang w:val="en-US"/>
        </w:rPr>
        <w:t xml:space="preserve">If the relative reduction in average word error rate for the DSR AFE codec and its extension compared to the AMR 4.75kbps codec is more than 35% then the DSR codec and its extension will be recommended. </w:t>
      </w:r>
    </w:p>
    <w:p>
      <w:pPr>
        <w:pStyle w:val="Normal"/>
        <w:numPr>
          <w:ilvl w:val="0"/>
          <w:numId w:val="3"/>
        </w:numPr>
        <w:rPr>
          <w:lang w:val="en-US"/>
        </w:rPr>
      </w:pPr>
      <w:r>
        <w:rPr>
          <w:lang w:val="en-US"/>
        </w:rPr>
        <w:t>If the relative reduction in average word error rate for the DSR AFE codec and its extension compared to the AMR 4.75kbps codec is less than 20% then the DSR codec will not be recommended.</w:t>
      </w:r>
    </w:p>
    <w:p>
      <w:pPr>
        <w:pStyle w:val="Normal"/>
        <w:numPr>
          <w:ilvl w:val="0"/>
          <w:numId w:val="3"/>
        </w:numPr>
        <w:rPr>
          <w:lang w:val="en-US"/>
        </w:rPr>
      </w:pPr>
      <w:r>
        <w:rPr>
          <w:lang w:val="en-US"/>
        </w:rPr>
        <w:t>If the relative reduction in average word error rate for the DSR AFE codec and its extension compared to the AMR 4.75kbps codec is less than 20% then AMR will be recommended.</w:t>
      </w:r>
    </w:p>
    <w:p>
      <w:pPr>
        <w:pStyle w:val="Normal"/>
        <w:numPr>
          <w:ilvl w:val="0"/>
          <w:numId w:val="3"/>
        </w:numPr>
        <w:rPr>
          <w:lang w:val="en-US"/>
        </w:rPr>
      </w:pPr>
      <w:r>
        <w:rPr>
          <w:lang w:val="en-US"/>
        </w:rPr>
        <w:t xml:space="preserve">If the relative reduction in average word error rate for the DSR AFE codec and its extension compared to the AMR 4.75kbps codec is between 20% and 35% then the performance results will be further considered by SA4 and if there is no consensus the results will be passed to SA for decision on what recommendation to make. </w:t>
      </w:r>
    </w:p>
    <w:p>
      <w:pPr>
        <w:pStyle w:val="Normal"/>
        <w:ind w:left="1080" w:hanging="0"/>
        <w:rPr>
          <w:lang w:val="en-US"/>
        </w:rPr>
      </w:pPr>
      <w:r>
        <w:rPr>
          <w:lang w:val="en-US"/>
        </w:rPr>
        <w:t xml:space="preserve"> </w:t>
      </w:r>
    </w:p>
    <w:p>
      <w:pPr>
        <w:pStyle w:val="Normal"/>
        <w:ind w:left="1080" w:hanging="0"/>
        <w:rPr>
          <w:lang w:val="en-US"/>
        </w:rPr>
      </w:pPr>
      <w:r>
        <w:rPr>
          <w:lang w:val="en-US"/>
        </w:rPr>
      </w:r>
    </w:p>
    <w:p>
      <w:pPr>
        <w:pStyle w:val="Normal"/>
        <w:numPr>
          <w:ilvl w:val="0"/>
          <w:numId w:val="6"/>
        </w:numPr>
        <w:rPr>
          <w:lang w:val="en-US"/>
        </w:rPr>
      </w:pPr>
      <w:r>
        <w:rPr>
          <w:lang w:val="en-US"/>
        </w:rPr>
        <w:t xml:space="preserve">For the high data-rate comparison at 8kHz: </w:t>
      </w:r>
    </w:p>
    <w:p>
      <w:pPr>
        <w:pStyle w:val="Normal"/>
        <w:numPr>
          <w:ilvl w:val="0"/>
          <w:numId w:val="4"/>
        </w:numPr>
        <w:rPr>
          <w:lang w:val="en-US"/>
        </w:rPr>
      </w:pPr>
      <w:r>
        <w:rPr>
          <w:lang w:val="en-US"/>
        </w:rPr>
        <w:t xml:space="preserve">If the relative reduction in average word error rate for the DSR AFE codec and its extension compared to the AMR 12.2kbps codec is more than 30% then the DSR codec and its extension will be recommended. </w:t>
      </w:r>
    </w:p>
    <w:p>
      <w:pPr>
        <w:pStyle w:val="Normal"/>
        <w:numPr>
          <w:ilvl w:val="0"/>
          <w:numId w:val="4"/>
        </w:numPr>
        <w:rPr>
          <w:lang w:val="en-US"/>
        </w:rPr>
      </w:pPr>
      <w:r>
        <w:rPr>
          <w:lang w:val="en-US"/>
        </w:rPr>
        <w:t xml:space="preserve">If the relative reduction in average word error rate for the DSR AFE codec and its extension compared to the AMR 12.2kbps codec is less than 20% then the DSR codec will not be recommended. </w:t>
      </w:r>
    </w:p>
    <w:p>
      <w:pPr>
        <w:pStyle w:val="Normal"/>
        <w:numPr>
          <w:ilvl w:val="0"/>
          <w:numId w:val="4"/>
        </w:numPr>
        <w:rPr>
          <w:lang w:val="en-US"/>
        </w:rPr>
      </w:pPr>
      <w:r>
        <w:rPr>
          <w:lang w:val="en-US"/>
        </w:rPr>
        <w:t>If the relative reduction in average word error rate for the DSR AFE codec and its extension compared to the AMR 12.2kbps codec is less than 20% then AMR will be recommended.</w:t>
      </w:r>
    </w:p>
    <w:p>
      <w:pPr>
        <w:pStyle w:val="Normal"/>
        <w:numPr>
          <w:ilvl w:val="0"/>
          <w:numId w:val="4"/>
        </w:numPr>
        <w:rPr>
          <w:lang w:val="en-US"/>
        </w:rPr>
      </w:pPr>
      <w:r>
        <w:rPr>
          <w:lang w:val="en-US"/>
        </w:rPr>
        <w:t xml:space="preserve">If the relative reduction in average word error rate for the DSR AFE codec and its extension compared to the AMR 12.2kbps codec is between 20% and 30% then the performance results will be further considered by SA4 and if there is no consensus the results will be passed to SA for decision on what recommendation to make. </w:t>
      </w:r>
    </w:p>
    <w:p>
      <w:pPr>
        <w:pStyle w:val="Normal"/>
        <w:ind w:left="1080" w:hanging="0"/>
        <w:rPr>
          <w:lang w:val="en-US"/>
        </w:rPr>
      </w:pPr>
      <w:r>
        <w:rPr>
          <w:lang w:val="en-US"/>
        </w:rPr>
      </w:r>
    </w:p>
    <w:p>
      <w:pPr>
        <w:pStyle w:val="Normal"/>
        <w:numPr>
          <w:ilvl w:val="0"/>
          <w:numId w:val="6"/>
        </w:numPr>
        <w:rPr>
          <w:lang w:val="en-US"/>
        </w:rPr>
      </w:pPr>
      <w:r>
        <w:rPr>
          <w:lang w:val="en-US"/>
        </w:rPr>
        <w:t xml:space="preserve">For the high data-rate comparison at 16kHz: </w:t>
      </w:r>
    </w:p>
    <w:p>
      <w:pPr>
        <w:pStyle w:val="Normal"/>
        <w:numPr>
          <w:ilvl w:val="0"/>
          <w:numId w:val="3"/>
        </w:numPr>
        <w:rPr>
          <w:lang w:val="en-US"/>
        </w:rPr>
      </w:pPr>
      <w:r>
        <w:rPr>
          <w:lang w:val="en-US"/>
        </w:rPr>
        <w:t xml:space="preserve">If the relative reduction in average word error rate for the DSR AFE codec and its extension compared to the AMR-WB codec is more than 25% then the DSR codec and its extension will be recommended. </w:t>
      </w:r>
    </w:p>
    <w:p>
      <w:pPr>
        <w:pStyle w:val="Normal"/>
        <w:numPr>
          <w:ilvl w:val="0"/>
          <w:numId w:val="3"/>
        </w:numPr>
        <w:rPr>
          <w:lang w:val="en-US"/>
        </w:rPr>
      </w:pPr>
      <w:r>
        <w:rPr>
          <w:lang w:val="en-US"/>
        </w:rPr>
        <w:t>If the relative reduction in average word error rate for the DSR AFE codec and its extension compared to the AMR-WB codec is less than 15% then the DSR codec will not be recommended.</w:t>
      </w:r>
    </w:p>
    <w:p>
      <w:pPr>
        <w:pStyle w:val="Normal"/>
        <w:numPr>
          <w:ilvl w:val="0"/>
          <w:numId w:val="3"/>
        </w:numPr>
        <w:rPr>
          <w:lang w:val="en-US"/>
        </w:rPr>
      </w:pPr>
      <w:r>
        <w:rPr>
          <w:lang w:val="en-US"/>
        </w:rPr>
        <w:t>If the relative reduction in average word error rate for the DSR AFE codec and its extension compared to the AMR-WB codec is less than 15% then AMR-WB will be recommended.</w:t>
      </w:r>
    </w:p>
    <w:p>
      <w:pPr>
        <w:pStyle w:val="Normal"/>
        <w:numPr>
          <w:ilvl w:val="0"/>
          <w:numId w:val="3"/>
        </w:numPr>
        <w:rPr>
          <w:lang w:val="en-US"/>
        </w:rPr>
      </w:pPr>
      <w:r>
        <w:rPr>
          <w:lang w:val="en-US"/>
        </w:rPr>
        <w:t xml:space="preserve">If the relative reduction in average word error rate for the DSR AFE codec and its extension compared to the AMR-WB codec is between 15% and 25% then the performance results will be further considered by SA4 and if there is no consensus the results will be passed to SA for decision on what recommendation to make. </w:t>
      </w:r>
    </w:p>
    <w:p>
      <w:pPr>
        <w:pStyle w:val="Normal"/>
        <w:rPr>
          <w:rFonts w:ascii="Arial" w:hAnsi="Arial" w:cs="Arial"/>
          <w:lang w:val="en-US"/>
        </w:rPr>
      </w:pPr>
      <w:r>
        <w:rPr>
          <w:rFonts w:cs="Arial" w:ascii="Arial" w:hAnsi="Arial"/>
          <w:lang w:val="en-US"/>
        </w:rPr>
      </w:r>
    </w:p>
    <w:p>
      <w:pPr>
        <w:pStyle w:val="Normal"/>
        <w:ind w:left="360" w:hanging="0"/>
        <w:rPr>
          <w:rFonts w:ascii="Arial" w:hAnsi="Arial" w:cs="Arial"/>
        </w:rPr>
      </w:pPr>
      <w:r>
        <w:rPr>
          <w:rFonts w:cs="Arial" w:ascii="Arial" w:hAnsi="Arial"/>
        </w:rPr>
      </w:r>
    </w:p>
    <w:p>
      <w:pPr>
        <w:pStyle w:val="Heading1"/>
        <w:spacing w:before="0" w:after="120"/>
        <w:ind w:left="0" w:hanging="0"/>
        <w:rPr>
          <w:rFonts w:ascii="Times New Roman" w:hAnsi="Times New Roman" w:cs="Times New Roman"/>
        </w:rPr>
      </w:pPr>
      <w:r>
        <w:rPr>
          <w:rFonts w:cs="Times New Roman" w:ascii="Times New Roman" w:hAnsi="Times New Roman"/>
        </w:rPr>
        <w:t>References</w:t>
      </w:r>
    </w:p>
    <w:p>
      <w:pPr>
        <w:pStyle w:val="Normal"/>
        <w:numPr>
          <w:ilvl w:val="0"/>
          <w:numId w:val="5"/>
        </w:numPr>
        <w:tabs>
          <w:tab w:val="left" w:pos="720" w:leader="none"/>
        </w:tabs>
        <w:ind w:left="540" w:hanging="540"/>
        <w:rPr/>
      </w:pPr>
      <w:r>
        <w:rPr>
          <w:sz w:val="22"/>
          <w:lang w:val="en-US" w:eastAsia="de-DE"/>
        </w:rPr>
        <w:tab/>
      </w:r>
      <w:r>
        <w:rPr/>
        <w:t xml:space="preserve">Design Constraints for default codec for speech enabled services (SES) </w:t>
      </w:r>
      <w:r>
        <w:rPr>
          <w:sz w:val="22"/>
        </w:rPr>
        <w:br/>
        <w:t>Tdoc S4-030248</w:t>
      </w:r>
      <w:r>
        <w:rPr>
          <w:lang w:val="en-US" w:eastAsia="de-DE"/>
        </w:rPr>
        <w:br/>
      </w:r>
      <w:r>
        <w:rPr>
          <w:sz w:val="22"/>
        </w:rPr>
        <w:t>3GPP TSG SA4 meeting #25bis, Berlin, Germany, 24-28 Feb 2003</w:t>
      </w:r>
    </w:p>
    <w:p>
      <w:pPr>
        <w:pStyle w:val="Normal"/>
        <w:numPr>
          <w:ilvl w:val="0"/>
          <w:numId w:val="5"/>
        </w:numPr>
        <w:tabs>
          <w:tab w:val="left" w:pos="720" w:leader="none"/>
        </w:tabs>
        <w:ind w:left="540" w:hanging="540"/>
        <w:rPr/>
      </w:pPr>
      <w:r>
        <w:rPr>
          <w:sz w:val="22"/>
          <w:lang w:val="en-US" w:eastAsia="de-DE"/>
        </w:rPr>
        <w:t xml:space="preserve">   </w:t>
      </w:r>
      <w:r>
        <w:rPr>
          <w:sz w:val="22"/>
          <w:lang w:val="en-US" w:eastAsia="de-DE"/>
        </w:rPr>
        <w:t xml:space="preserve">Test and Processing plan for default codec evaluation for speech enabled services (SES), Tdoc S4-030395 </w:t>
      </w:r>
      <w:r>
        <w:rPr>
          <w:sz w:val="22"/>
        </w:rPr>
        <w:br/>
        <w:t>3GPP TSG SA4 meeting #26, Paris, France, 5-9 May 2003</w:t>
      </w:r>
      <w:r>
        <w:br w:type="page"/>
      </w:r>
    </w:p>
    <w:p>
      <w:pPr>
        <w:pStyle w:val="Normal"/>
        <w:rPr>
          <w:rFonts w:ascii="Arial" w:hAnsi="Arial" w:cs="Arial"/>
        </w:rPr>
      </w:pPr>
      <w:r>
        <w:rPr>
          <w:rFonts w:cs="Arial" w:ascii="Arial" w:hAnsi="Arial"/>
        </w:rPr>
      </w:r>
    </w:p>
    <w:p>
      <w:pPr>
        <w:pStyle w:val="Normal"/>
        <w:rPr>
          <w:b/>
          <w:b/>
        </w:rPr>
      </w:pPr>
      <w:r>
        <w:rPr>
          <w:b/>
        </w:rPr>
        <w:t>Appendix 1: Weighting scheme for results on each database</w:t>
      </w:r>
    </w:p>
    <w:p>
      <w:pPr>
        <w:pStyle w:val="Normal"/>
        <w:rPr>
          <w:b/>
          <w:b/>
        </w:rPr>
      </w:pPr>
      <w:r>
        <w:rPr>
          <w:b/>
        </w:rPr>
      </w:r>
    </w:p>
    <w:p>
      <w:pPr>
        <w:pStyle w:val="Normal"/>
        <w:rPr/>
      </w:pPr>
      <w:r>
        <w:rPr/>
        <w:t>Each database in the test and processing plan [2] produces a set of results for different training conditions and test sets. The weighting scheme to be used to combine the different results to give a single average performance on each database is defined below</w:t>
      </w:r>
    </w:p>
    <w:p>
      <w:pPr>
        <w:pStyle w:val="Normal"/>
        <w:rPr/>
      </w:pPr>
      <w:r>
        <w:rPr/>
      </w:r>
    </w:p>
    <w:p>
      <w:pPr>
        <w:pStyle w:val="Heading1"/>
        <w:ind w:left="1985" w:hanging="1985"/>
        <w:rPr>
          <w:rFonts w:ascii="Times New Roman" w:hAnsi="Times New Roman" w:cs="Times New Roman"/>
        </w:rPr>
      </w:pPr>
      <w:r>
        <w:rPr>
          <w:rFonts w:cs="Times New Roman" w:ascii="Times New Roman" w:hAnsi="Times New Roman"/>
        </w:rPr>
        <w:t>1.  3GPP supplied databases</w:t>
      </w:r>
    </w:p>
    <w:p>
      <w:pPr>
        <w:pStyle w:val="Normal"/>
        <w:rPr>
          <w:rFonts w:ascii="Times New Roman" w:hAnsi="Times New Roman" w:cs="Times New Roman"/>
        </w:rPr>
      </w:pPr>
      <w:r>
        <w:rPr>
          <w:rFonts w:cs="Times New Roman"/>
        </w:rPr>
      </w:r>
    </w:p>
    <w:p>
      <w:pPr>
        <w:pStyle w:val="Normal"/>
        <w:rPr>
          <w:b/>
          <w:b/>
        </w:rPr>
      </w:pPr>
      <w:r>
        <w:rPr>
          <w:b/>
        </w:rPr>
        <w:t>1.1 Aurora 2</w:t>
      </w:r>
    </w:p>
    <w:p>
      <w:pPr>
        <w:pStyle w:val="Normal"/>
        <w:spacing w:before="0" w:after="120"/>
        <w:rPr>
          <w:b/>
          <w:b/>
        </w:rPr>
      </w:pPr>
      <w:r>
        <w:rPr>
          <w:b/>
        </w:rPr>
      </w:r>
    </w:p>
    <w:tbl>
      <w:tblPr>
        <w:tblW w:w="5290" w:type="dxa"/>
        <w:jc w:val="left"/>
        <w:tblInd w:w="-75" w:type="dxa"/>
        <w:tblLayout w:type="fixed"/>
        <w:tblCellMar>
          <w:top w:w="0" w:type="dxa"/>
          <w:left w:w="70" w:type="dxa"/>
          <w:bottom w:w="0" w:type="dxa"/>
          <w:right w:w="70" w:type="dxa"/>
        </w:tblCellMar>
      </w:tblPr>
      <w:tblGrid>
        <w:gridCol w:w="2590"/>
        <w:gridCol w:w="900"/>
        <w:gridCol w:w="900"/>
        <w:gridCol w:w="900"/>
      </w:tblGrid>
      <w:tr>
        <w:trPr>
          <w:trHeight w:val="446" w:hRule="atLeast"/>
        </w:trPr>
        <w:tc>
          <w:tcPr>
            <w:tcW w:w="2590" w:type="dxa"/>
            <w:tcBorders>
              <w:top w:val="single" w:sz="4" w:space="0" w:color="000000"/>
              <w:left w:val="single" w:sz="4" w:space="0" w:color="000000"/>
              <w:bottom w:val="single" w:sz="4" w:space="0" w:color="000000"/>
              <w:right w:val="single" w:sz="4" w:space="0" w:color="000000"/>
            </w:tcBorders>
          </w:tcPr>
          <w:p>
            <w:pPr>
              <w:pStyle w:val="Normal"/>
              <w:spacing w:before="0" w:after="120"/>
              <w:rPr>
                <w:b/>
                <w:b/>
              </w:rPr>
            </w:pPr>
            <w:r>
              <w:rPr>
                <w:b/>
              </w:rPr>
              <w:t>Database</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Normal"/>
              <w:spacing w:before="0" w:after="120"/>
              <w:jc w:val="center"/>
              <w:rPr>
                <w:vertAlign w:val="superscript"/>
              </w:rPr>
            </w:pPr>
            <w:r>
              <w:rPr/>
              <w:t>Aurora 2</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Test Set </w:t>
            </w:r>
          </w:p>
          <w:p>
            <w:pPr>
              <w:pStyle w:val="Normal"/>
              <w:spacing w:before="0" w:after="120"/>
              <w:rPr>
                <w:b/>
                <w:b/>
              </w:rPr>
            </w:pPr>
            <w:r>
              <w:rPr>
                <w:b/>
              </w:rPr>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0" w:after="120"/>
              <w:rPr>
                <w:vertAlign w:val="superscript"/>
              </w:rPr>
            </w:pPr>
            <w:r>
              <w:rPr/>
              <w:t xml:space="preserve">Set A </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t xml:space="preserve">Set B </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t>Set C</w:t>
            </w:r>
          </w:p>
        </w:tc>
      </w:tr>
      <w:tr>
        <w:trPr/>
        <w:tc>
          <w:tcPr>
            <w:tcW w:w="2590" w:type="dxa"/>
            <w:tcBorders>
              <w:top w:val="single" w:sz="4" w:space="0" w:color="000000"/>
              <w:left w:val="single" w:sz="4" w:space="0" w:color="000000"/>
              <w:bottom w:val="single" w:sz="4" w:space="0" w:color="000000"/>
              <w:right w:val="single" w:sz="4" w:space="0" w:color="000000"/>
            </w:tcBorders>
          </w:tcPr>
          <w:p>
            <w:pPr>
              <w:pStyle w:val="Normal"/>
              <w:rPr>
                <w:b/>
                <w:b/>
              </w:rPr>
            </w:pPr>
            <w:r>
              <w:rPr>
                <w:b/>
              </w:rPr>
              <w:t>Weight of the test set</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t>40 %</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t xml:space="preserve">40 % </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t>20 %</w:t>
            </w:r>
          </w:p>
        </w:tc>
      </w:tr>
    </w:tbl>
    <w:p>
      <w:pPr>
        <w:pStyle w:val="Caption"/>
        <w:rPr/>
      </w:pPr>
      <w:r>
        <w:rPr/>
        <w:t xml:space="preserve">Table A1: Weighting scheme within the databases Aurora 2 </w:t>
      </w:r>
    </w:p>
    <w:p>
      <w:pPr>
        <w:pStyle w:val="Normal"/>
        <w:rPr/>
      </w:pPr>
      <w:r>
        <w:rPr/>
      </w:r>
    </w:p>
    <w:p>
      <w:pPr>
        <w:pStyle w:val="Normal"/>
        <w:rPr/>
      </w:pPr>
      <w:r>
        <w:rPr/>
        <w:t>Multicondition and clean trained results to be weighted equally.</w:t>
      </w:r>
    </w:p>
    <w:p>
      <w:pPr>
        <w:pStyle w:val="Normal"/>
        <w:rPr/>
      </w:pPr>
      <w:r>
        <w:rPr/>
      </w:r>
    </w:p>
    <w:p>
      <w:pPr>
        <w:pStyle w:val="Normal"/>
        <w:rPr>
          <w:b/>
          <w:b/>
        </w:rPr>
      </w:pPr>
      <w:r>
        <w:rPr>
          <w:b/>
        </w:rPr>
        <w:t>2.2 Aurora 3</w:t>
      </w:r>
    </w:p>
    <w:p>
      <w:pPr>
        <w:pStyle w:val="Normal"/>
        <w:rPr>
          <w:b/>
          <w:b/>
        </w:rPr>
      </w:pPr>
      <w:r>
        <w:rPr>
          <w:b/>
        </w:rPr>
      </w:r>
    </w:p>
    <w:p>
      <w:pPr>
        <w:pStyle w:val="Normal"/>
        <w:rPr/>
      </w:pPr>
      <w:r>
        <w:rPr/>
        <w:t>For the Aurora 3 databases there are three test sets, well matched, medium mismatch and high mismatch. These will be weighted equally.</w:t>
      </w:r>
    </w:p>
    <w:p>
      <w:pPr>
        <w:pStyle w:val="Normal"/>
        <w:rPr/>
      </w:pPr>
      <w:r>
        <w:rPr/>
      </w:r>
    </w:p>
    <w:p>
      <w:pPr>
        <w:pStyle w:val="Normal"/>
        <w:rPr/>
      </w:pPr>
      <w:r>
        <w:rPr/>
      </w:r>
    </w:p>
    <w:p>
      <w:pPr>
        <w:pStyle w:val="Normal"/>
        <w:rPr>
          <w:b/>
          <w:b/>
        </w:rPr>
      </w:pPr>
      <w:r>
        <w:rPr>
          <w:b/>
        </w:rPr>
        <w:t>2.   ASR vendor supplied databases</w:t>
      </w:r>
    </w:p>
    <w:p>
      <w:pPr>
        <w:pStyle w:val="Normal"/>
        <w:rPr>
          <w:b/>
          <w:b/>
        </w:rPr>
      </w:pPr>
      <w:r>
        <w:rPr>
          <w:b/>
        </w:rPr>
      </w:r>
    </w:p>
    <w:p>
      <w:pPr>
        <w:pStyle w:val="Normal"/>
        <w:rPr/>
      </w:pPr>
      <w:r>
        <w:rPr/>
      </w:r>
    </w:p>
    <w:p>
      <w:pPr>
        <w:pStyle w:val="Normal"/>
        <w:rPr/>
      </w:pPr>
      <w:r>
        <w:rPr/>
        <w:t xml:space="preserve">Test sets within the ASR vendor supplied databases will be weighted equally. </w:t>
      </w:r>
    </w:p>
    <w:p>
      <w:pPr>
        <w:pStyle w:val="Normal"/>
        <w:jc w:val="center"/>
        <w:rPr/>
      </w:pPr>
      <w:r>
        <w:rPr/>
      </w:r>
      <w:r>
        <w:br w:type="page"/>
      </w:r>
    </w:p>
    <w:p>
      <w:pPr>
        <w:pStyle w:val="Normal"/>
        <w:jc w:val="center"/>
        <w:rPr>
          <w:b/>
          <w:b/>
          <w:lang w:val="en-US"/>
        </w:rPr>
      </w:pPr>
      <w:r>
        <w:rPr>
          <w:b/>
        </w:rPr>
        <w:t>Appendix 2: Weighting of evaluation databases</w:t>
      </w:r>
    </w:p>
    <w:p>
      <w:pPr>
        <w:pStyle w:val="Normal"/>
        <w:rPr>
          <w:rFonts w:ascii="Arial" w:hAnsi="Arial" w:cs="Arial"/>
          <w:b/>
          <w:b/>
          <w:lang w:val="en-US"/>
        </w:rPr>
      </w:pPr>
      <w:r>
        <w:rPr>
          <w:rFonts w:cs="Arial" w:ascii="Arial" w:hAnsi="Arial"/>
          <w:b/>
          <w:lang w:val="en-US"/>
        </w:rPr>
      </w:r>
    </w:p>
    <w:p>
      <w:pPr>
        <w:pStyle w:val="Normal"/>
        <w:rPr>
          <w:rFonts w:ascii="Arial" w:hAnsi="Arial" w:cs="Arial"/>
          <w:lang w:val="en-US"/>
        </w:rPr>
      </w:pPr>
      <w:r>
        <w:rPr>
          <w:rFonts w:cs="Arial" w:ascii="Arial" w:hAnsi="Arial"/>
          <w:lang w:val="en-US"/>
        </w:rPr>
      </w:r>
    </w:p>
    <w:tbl>
      <w:tblPr>
        <w:tblW w:w="6948" w:type="dxa"/>
        <w:jc w:val="left"/>
        <w:tblInd w:w="-138" w:type="dxa"/>
        <w:tblLayout w:type="fixed"/>
        <w:tblCellMar>
          <w:top w:w="0" w:type="dxa"/>
          <w:left w:w="108" w:type="dxa"/>
          <w:bottom w:w="0" w:type="dxa"/>
          <w:right w:w="108" w:type="dxa"/>
        </w:tblCellMar>
      </w:tblPr>
      <w:tblGrid>
        <w:gridCol w:w="1368"/>
        <w:gridCol w:w="2520"/>
        <w:gridCol w:w="1080"/>
        <w:gridCol w:w="900"/>
        <w:gridCol w:w="1080"/>
      </w:tblGrid>
      <w:tr>
        <w:trPr/>
        <w:tc>
          <w:tcPr>
            <w:tcW w:w="1368" w:type="dxa"/>
            <w:tcBorders>
              <w:top w:val="single" w:sz="24" w:space="0" w:color="000000"/>
              <w:left w:val="single" w:sz="24" w:space="0" w:color="000000"/>
              <w:bottom w:val="single" w:sz="24" w:space="0" w:color="000000"/>
              <w:right w:val="single" w:sz="24" w:space="0" w:color="000000"/>
            </w:tcBorders>
          </w:tcPr>
          <w:p>
            <w:pPr>
              <w:pStyle w:val="Normal"/>
              <w:rPr>
                <w:b/>
                <w:b/>
                <w:sz w:val="20"/>
                <w:szCs w:val="20"/>
              </w:rPr>
            </w:pPr>
            <w:r>
              <w:rPr>
                <w:b/>
                <w:sz w:val="20"/>
                <w:szCs w:val="20"/>
              </w:rPr>
              <w:t>Task</w:t>
            </w:r>
          </w:p>
        </w:tc>
        <w:tc>
          <w:tcPr>
            <w:tcW w:w="2520" w:type="dxa"/>
            <w:tcBorders>
              <w:top w:val="single" w:sz="24" w:space="0" w:color="000000"/>
              <w:left w:val="single" w:sz="24" w:space="0" w:color="000000"/>
              <w:bottom w:val="single" w:sz="24" w:space="0" w:color="000000"/>
              <w:right w:val="single" w:sz="24" w:space="0" w:color="000000"/>
            </w:tcBorders>
          </w:tcPr>
          <w:p>
            <w:pPr>
              <w:pStyle w:val="Normal"/>
              <w:rPr>
                <w:b/>
                <w:b/>
                <w:sz w:val="20"/>
                <w:szCs w:val="20"/>
              </w:rPr>
            </w:pPr>
            <w:r>
              <w:rPr>
                <w:b/>
                <w:sz w:val="20"/>
                <w:szCs w:val="20"/>
              </w:rPr>
              <w:t>Database</w:t>
            </w:r>
          </w:p>
        </w:tc>
        <w:tc>
          <w:tcPr>
            <w:tcW w:w="1080" w:type="dxa"/>
            <w:tcBorders>
              <w:top w:val="single" w:sz="24" w:space="0" w:color="000000"/>
              <w:left w:val="single" w:sz="24" w:space="0" w:color="000000"/>
              <w:bottom w:val="single" w:sz="24" w:space="0" w:color="000000"/>
              <w:right w:val="single" w:sz="24" w:space="0" w:color="000000"/>
            </w:tcBorders>
          </w:tcPr>
          <w:p>
            <w:pPr>
              <w:pStyle w:val="Normal"/>
              <w:rPr>
                <w:b/>
                <w:b/>
                <w:sz w:val="20"/>
                <w:szCs w:val="20"/>
              </w:rPr>
            </w:pPr>
            <w:r>
              <w:rPr>
                <w:b/>
                <w:sz w:val="20"/>
                <w:szCs w:val="20"/>
              </w:rPr>
              <w:t>Evaluator</w:t>
            </w:r>
          </w:p>
        </w:tc>
        <w:tc>
          <w:tcPr>
            <w:tcW w:w="900" w:type="dxa"/>
            <w:tcBorders>
              <w:top w:val="single" w:sz="24" w:space="0" w:color="000000"/>
              <w:left w:val="single" w:sz="24" w:space="0" w:color="000000"/>
              <w:bottom w:val="single" w:sz="24" w:space="0" w:color="000000"/>
              <w:right w:val="single" w:sz="24" w:space="0" w:color="000000"/>
            </w:tcBorders>
          </w:tcPr>
          <w:p>
            <w:pPr>
              <w:pStyle w:val="Normal"/>
              <w:rPr>
                <w:b/>
                <w:b/>
                <w:sz w:val="20"/>
                <w:szCs w:val="20"/>
              </w:rPr>
            </w:pPr>
            <w:r>
              <w:rPr>
                <w:b/>
                <w:sz w:val="20"/>
                <w:szCs w:val="20"/>
              </w:rPr>
              <w:t xml:space="preserve">Task </w:t>
            </w:r>
          </w:p>
          <w:p>
            <w:pPr>
              <w:pStyle w:val="Normal"/>
              <w:rPr>
                <w:b/>
                <w:b/>
                <w:sz w:val="20"/>
                <w:szCs w:val="20"/>
              </w:rPr>
            </w:pPr>
            <w:r>
              <w:rPr>
                <w:b/>
                <w:sz w:val="20"/>
                <w:szCs w:val="20"/>
              </w:rPr>
              <w:t>Weight</w:t>
            </w:r>
          </w:p>
        </w:tc>
        <w:tc>
          <w:tcPr>
            <w:tcW w:w="1080" w:type="dxa"/>
            <w:tcBorders>
              <w:top w:val="single" w:sz="24" w:space="0" w:color="000000"/>
              <w:left w:val="single" w:sz="24" w:space="0" w:color="000000"/>
              <w:bottom w:val="single" w:sz="24" w:space="0" w:color="000000"/>
              <w:right w:val="single" w:sz="24" w:space="0" w:color="000000"/>
            </w:tcBorders>
          </w:tcPr>
          <w:p>
            <w:pPr>
              <w:pStyle w:val="Normal"/>
              <w:rPr>
                <w:b/>
                <w:b/>
                <w:sz w:val="20"/>
                <w:szCs w:val="20"/>
              </w:rPr>
            </w:pPr>
            <w:r>
              <w:rPr>
                <w:b/>
                <w:sz w:val="20"/>
                <w:szCs w:val="20"/>
              </w:rPr>
              <w:t>Database Weight</w:t>
            </w:r>
          </w:p>
        </w:tc>
      </w:tr>
      <w:tr>
        <w:trPr>
          <w:trHeight w:val="282" w:hRule="atLeast"/>
        </w:trPr>
        <w:tc>
          <w:tcPr>
            <w:tcW w:w="1368" w:type="dxa"/>
            <w:vMerge w:val="restart"/>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Digits</w:t>
            </w:r>
          </w:p>
        </w:tc>
        <w:tc>
          <w:tcPr>
            <w:tcW w:w="252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Aurora-3 German</w:t>
            </w:r>
          </w:p>
        </w:tc>
        <w:tc>
          <w:tcPr>
            <w:tcW w:w="108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2</w:t>
            </w:r>
          </w:p>
        </w:tc>
        <w:tc>
          <w:tcPr>
            <w:tcW w:w="900" w:type="dxa"/>
            <w:vMerge w:val="restart"/>
            <w:tcBorders>
              <w:top w:val="single" w:sz="2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3/10</w:t>
            </w:r>
          </w:p>
        </w:tc>
        <w:tc>
          <w:tcPr>
            <w:tcW w:w="1080" w:type="dxa"/>
            <w:tcBorders>
              <w:top w:val="single" w:sz="24" w:space="0" w:color="000000"/>
              <w:left w:val="single" w:sz="24" w:space="0" w:color="000000"/>
              <w:bottom w:val="single" w:sz="4" w:space="0" w:color="000000"/>
              <w:right w:val="single" w:sz="24" w:space="0" w:color="000000"/>
            </w:tcBorders>
          </w:tcPr>
          <w:p>
            <w:pPr>
              <w:pStyle w:val="Normal"/>
              <w:rPr>
                <w:sz w:val="20"/>
                <w:szCs w:val="20"/>
                <w:lang w:val="sv-SE"/>
              </w:rPr>
            </w:pPr>
            <w:r>
              <w:rPr>
                <w:sz w:val="20"/>
                <w:szCs w:val="20"/>
                <w:lang w:val="sv-SE"/>
              </w:rPr>
              <w:t>1/11</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lang w:val="sv-SE"/>
              </w:rPr>
            </w:pPr>
            <w:r>
              <w:rPr>
                <w:sz w:val="20"/>
                <w:szCs w:val="20"/>
                <w:lang w:val="sv-SE"/>
              </w:rPr>
            </w:r>
          </w:p>
        </w:tc>
        <w:tc>
          <w:tcPr>
            <w:tcW w:w="2520" w:type="dxa"/>
            <w:tcBorders>
              <w:top w:val="single" w:sz="4" w:space="0" w:color="000000"/>
              <w:left w:val="single" w:sz="24" w:space="0" w:color="000000"/>
              <w:bottom w:val="single" w:sz="4" w:space="0" w:color="000000"/>
              <w:right w:val="single" w:sz="24" w:space="0" w:color="000000"/>
            </w:tcBorders>
          </w:tcPr>
          <w:p>
            <w:pPr>
              <w:pStyle w:val="Normal"/>
              <w:rPr>
                <w:sz w:val="20"/>
                <w:szCs w:val="20"/>
                <w:lang w:val="sv-SE"/>
              </w:rPr>
            </w:pPr>
            <w:r>
              <w:rPr>
                <w:sz w:val="20"/>
                <w:szCs w:val="20"/>
                <w:lang w:val="sv-SE"/>
              </w:rPr>
              <w:t>Aurora-3 Spanish</w:t>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lang w:val="sv-SE"/>
              </w:rPr>
            </w:pPr>
            <w:r>
              <w:rPr>
                <w:sz w:val="20"/>
                <w:szCs w:val="20"/>
                <w:lang w:val="sv-SE"/>
              </w:rPr>
              <w:t>Vendor 2</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lang w:val="sv-SE"/>
              </w:rPr>
            </w:pPr>
            <w:r>
              <w:rPr>
                <w:sz w:val="20"/>
                <w:szCs w:val="20"/>
                <w:lang w:val="sv-SE"/>
              </w:rPr>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lang w:val="sv-SE"/>
              </w:rPr>
            </w:pPr>
            <w:r>
              <w:rPr>
                <w:sz w:val="20"/>
                <w:szCs w:val="20"/>
                <w:lang w:val="sv-SE"/>
              </w:rPr>
              <w:t>1/11</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lang w:val="sv-SE"/>
              </w:rPr>
            </w:pPr>
            <w:r>
              <w:rPr>
                <w:sz w:val="20"/>
                <w:szCs w:val="20"/>
                <w:lang w:val="sv-SE"/>
              </w:rPr>
            </w:r>
          </w:p>
        </w:tc>
        <w:tc>
          <w:tcPr>
            <w:tcW w:w="252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 xml:space="preserve">Aurora-2 </w:t>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1/11</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Aurora-3 Italian</w:t>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1/11</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Aurora-3 Spanish</w:t>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1/11</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8" w:space="0" w:color="000000"/>
              <w:right w:val="single" w:sz="24" w:space="0" w:color="000000"/>
            </w:tcBorders>
          </w:tcPr>
          <w:p>
            <w:pPr>
              <w:pStyle w:val="Normal"/>
              <w:rPr>
                <w:sz w:val="20"/>
                <w:szCs w:val="20"/>
              </w:rPr>
            </w:pPr>
            <w:r>
              <w:rPr>
                <w:sz w:val="20"/>
                <w:szCs w:val="20"/>
              </w:rPr>
              <w:t>Aurora-2</w:t>
            </w:r>
          </w:p>
        </w:tc>
        <w:tc>
          <w:tcPr>
            <w:tcW w:w="1080" w:type="dxa"/>
            <w:tcBorders>
              <w:top w:val="single" w:sz="4" w:space="0" w:color="000000"/>
              <w:left w:val="single" w:sz="24" w:space="0" w:color="000000"/>
              <w:bottom w:val="single" w:sz="8"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8" w:space="0" w:color="000000"/>
              <w:right w:val="single" w:sz="24" w:space="0" w:color="000000"/>
            </w:tcBorders>
          </w:tcPr>
          <w:p>
            <w:pPr>
              <w:pStyle w:val="Normal"/>
              <w:rPr>
                <w:sz w:val="20"/>
                <w:szCs w:val="20"/>
              </w:rPr>
            </w:pPr>
            <w:r>
              <w:rPr>
                <w:sz w:val="20"/>
                <w:szCs w:val="20"/>
              </w:rPr>
              <w:t>1/11</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US English In-Car (digit test)</w:t>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1/11</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German In-Car (digit test)</w:t>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1/11</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Japanese In-Car (digit test)</w:t>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1/11</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US English In-Car (digit test)</w:t>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1/11</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8" w:space="0" w:color="000000"/>
              <w:left w:val="single" w:sz="24" w:space="0" w:color="000000"/>
              <w:bottom w:val="single" w:sz="24" w:space="0" w:color="000000"/>
              <w:right w:val="single" w:sz="24" w:space="0" w:color="000000"/>
            </w:tcBorders>
          </w:tcPr>
          <w:p>
            <w:pPr>
              <w:pStyle w:val="Normal"/>
              <w:rPr>
                <w:sz w:val="20"/>
                <w:szCs w:val="20"/>
              </w:rPr>
            </w:pPr>
            <w:r>
              <w:rPr>
                <w:sz w:val="20"/>
                <w:szCs w:val="20"/>
              </w:rPr>
              <w:t>Mandarin Embedded PDA (digit test set)</w:t>
            </w:r>
          </w:p>
        </w:tc>
        <w:tc>
          <w:tcPr>
            <w:tcW w:w="1080" w:type="dxa"/>
            <w:tcBorders>
              <w:top w:val="single" w:sz="8" w:space="0" w:color="000000"/>
              <w:left w:val="single" w:sz="24" w:space="0" w:color="000000"/>
              <w:bottom w:val="single" w:sz="24"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8" w:space="0" w:color="000000"/>
              <w:left w:val="single" w:sz="24" w:space="0" w:color="000000"/>
              <w:bottom w:val="single" w:sz="24" w:space="0" w:color="000000"/>
              <w:right w:val="single" w:sz="24" w:space="0" w:color="000000"/>
            </w:tcBorders>
          </w:tcPr>
          <w:p>
            <w:pPr>
              <w:pStyle w:val="Normal"/>
              <w:rPr>
                <w:sz w:val="20"/>
                <w:szCs w:val="20"/>
              </w:rPr>
            </w:pPr>
            <w:r>
              <w:rPr>
                <w:sz w:val="20"/>
                <w:szCs w:val="20"/>
              </w:rPr>
              <w:t>1/11</w:t>
            </w:r>
          </w:p>
        </w:tc>
      </w:tr>
      <w:tr>
        <w:trPr>
          <w:trHeight w:val="279" w:hRule="atLeast"/>
        </w:trPr>
        <w:tc>
          <w:tcPr>
            <w:tcW w:w="1368" w:type="dxa"/>
            <w:vMerge w:val="restart"/>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subword</w:t>
            </w:r>
          </w:p>
        </w:tc>
        <w:tc>
          <w:tcPr>
            <w:tcW w:w="2520" w:type="dxa"/>
            <w:tcBorders>
              <w:top w:val="single" w:sz="24" w:space="0" w:color="000000"/>
              <w:left w:val="single" w:sz="24" w:space="0" w:color="000000"/>
              <w:bottom w:val="single" w:sz="4" w:space="0" w:color="000000"/>
              <w:right w:val="single" w:sz="24" w:space="0" w:color="000000"/>
            </w:tcBorders>
          </w:tcPr>
          <w:p>
            <w:pPr>
              <w:pStyle w:val="Normal"/>
              <w:rPr/>
            </w:pPr>
            <w:r>
              <w:rPr>
                <w:sz w:val="20"/>
                <w:szCs w:val="20"/>
              </w:rPr>
              <w:t xml:space="preserve">Mandarin Embedded PDA </w:t>
            </w:r>
            <w:r>
              <w:rPr>
                <w:b/>
                <w:bCs/>
                <w:sz w:val="20"/>
                <w:szCs w:val="20"/>
              </w:rPr>
              <w:t>(</w:t>
            </w:r>
            <w:r>
              <w:rPr>
                <w:color w:val="000000"/>
                <w:sz w:val="20"/>
                <w:szCs w:val="20"/>
              </w:rPr>
              <w:t>names /street names /organization names/commands)</w:t>
            </w:r>
            <w:r>
              <w:rPr>
                <w:sz w:val="20"/>
                <w:szCs w:val="20"/>
              </w:rPr>
              <w:t xml:space="preserve"> </w:t>
            </w:r>
          </w:p>
        </w:tc>
        <w:tc>
          <w:tcPr>
            <w:tcW w:w="108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restart"/>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4/10</w:t>
            </w:r>
          </w:p>
        </w:tc>
        <w:tc>
          <w:tcPr>
            <w:tcW w:w="108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1/6</w:t>
            </w:r>
          </w:p>
        </w:tc>
      </w:tr>
      <w:tr>
        <w:trPr>
          <w:trHeight w:val="279" w:hRule="atLeast"/>
        </w:trPr>
        <w:tc>
          <w:tcPr>
            <w:tcW w:w="1368" w:type="dxa"/>
            <w:vMerge w:val="continue"/>
            <w:tcBorders>
              <w:top w:val="single" w:sz="12"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12" w:space="0" w:color="000000"/>
              <w:left w:val="single" w:sz="24" w:space="0" w:color="000000"/>
              <w:bottom w:val="single" w:sz="4" w:space="0" w:color="000000"/>
              <w:right w:val="single" w:sz="24" w:space="0" w:color="000000"/>
            </w:tcBorders>
          </w:tcPr>
          <w:p>
            <w:pPr>
              <w:pStyle w:val="TextBody"/>
              <w:jc w:val="left"/>
              <w:rPr>
                <w:sz w:val="20"/>
                <w:szCs w:val="20"/>
              </w:rPr>
            </w:pPr>
            <w:r>
              <w:rPr>
                <w:sz w:val="20"/>
                <w:szCs w:val="20"/>
              </w:rPr>
              <w:t>US English In-Car</w:t>
            </w:r>
          </w:p>
          <w:p>
            <w:pPr>
              <w:pStyle w:val="TextBody"/>
              <w:jc w:val="left"/>
              <w:rPr>
                <w:sz w:val="20"/>
                <w:szCs w:val="20"/>
              </w:rPr>
            </w:pPr>
            <w:r>
              <w:rPr/>
              <w:t>(commands, addresses, radio-controls, navigation, lifestyle information services and points-of-interest)</w:t>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1/6</w:t>
            </w:r>
          </w:p>
        </w:tc>
      </w:tr>
      <w:tr>
        <w:trPr>
          <w:trHeight w:val="279" w:hRule="atLeast"/>
        </w:trPr>
        <w:tc>
          <w:tcPr>
            <w:tcW w:w="1368" w:type="dxa"/>
            <w:vMerge w:val="continue"/>
            <w:tcBorders>
              <w:top w:val="single" w:sz="12"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US English In-Car</w:t>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1/6</w:t>
            </w:r>
          </w:p>
        </w:tc>
      </w:tr>
      <w:tr>
        <w:trPr>
          <w:trHeight w:val="279" w:hRule="atLeast"/>
        </w:trPr>
        <w:tc>
          <w:tcPr>
            <w:tcW w:w="1368" w:type="dxa"/>
            <w:vMerge w:val="continue"/>
            <w:tcBorders>
              <w:top w:val="single" w:sz="12"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German In-Car</w:t>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1/6</w:t>
            </w:r>
          </w:p>
        </w:tc>
      </w:tr>
      <w:tr>
        <w:trPr>
          <w:trHeight w:val="279" w:hRule="atLeast"/>
        </w:trPr>
        <w:tc>
          <w:tcPr>
            <w:tcW w:w="1368" w:type="dxa"/>
            <w:vMerge w:val="continue"/>
            <w:tcBorders>
              <w:top w:val="single" w:sz="12"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Japanese In-Car</w:t>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1/6</w:t>
            </w:r>
          </w:p>
        </w:tc>
      </w:tr>
      <w:tr>
        <w:trPr>
          <w:trHeight w:val="279" w:hRule="atLeast"/>
        </w:trPr>
        <w:tc>
          <w:tcPr>
            <w:tcW w:w="1368" w:type="dxa"/>
            <w:vMerge w:val="continue"/>
            <w:tcBorders>
              <w:top w:val="single" w:sz="12"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12" w:space="0" w:color="000000"/>
              <w:left w:val="single" w:sz="24" w:space="0" w:color="000000"/>
              <w:bottom w:val="single" w:sz="24" w:space="0" w:color="000000"/>
              <w:right w:val="single" w:sz="24" w:space="0" w:color="000000"/>
            </w:tcBorders>
          </w:tcPr>
          <w:p>
            <w:pPr>
              <w:pStyle w:val="Normal"/>
              <w:rPr>
                <w:sz w:val="20"/>
                <w:szCs w:val="20"/>
              </w:rPr>
            </w:pPr>
            <w:r>
              <w:rPr>
                <w:sz w:val="20"/>
                <w:szCs w:val="20"/>
              </w:rPr>
              <w:t>Mandarin Name dialling (baseform test)</w:t>
            </w:r>
          </w:p>
        </w:tc>
        <w:tc>
          <w:tcPr>
            <w:tcW w:w="1080" w:type="dxa"/>
            <w:tcBorders>
              <w:top w:val="single" w:sz="12" w:space="0" w:color="000000"/>
              <w:left w:val="single" w:sz="24" w:space="0" w:color="000000"/>
              <w:bottom w:val="single" w:sz="24"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12" w:space="0" w:color="000000"/>
              <w:left w:val="single" w:sz="24" w:space="0" w:color="000000"/>
              <w:bottom w:val="single" w:sz="24" w:space="0" w:color="000000"/>
              <w:right w:val="single" w:sz="24" w:space="0" w:color="000000"/>
            </w:tcBorders>
          </w:tcPr>
          <w:p>
            <w:pPr>
              <w:pStyle w:val="Normal"/>
              <w:rPr>
                <w:sz w:val="20"/>
                <w:szCs w:val="20"/>
              </w:rPr>
            </w:pPr>
            <w:r>
              <w:rPr>
                <w:sz w:val="20"/>
                <w:szCs w:val="20"/>
              </w:rPr>
              <w:t>1/6</w:t>
            </w:r>
          </w:p>
        </w:tc>
      </w:tr>
      <w:tr>
        <w:trPr>
          <w:trHeight w:val="279" w:hRule="atLeast"/>
        </w:trPr>
        <w:tc>
          <w:tcPr>
            <w:tcW w:w="1368" w:type="dxa"/>
            <w:tcBorders>
              <w:top w:val="single" w:sz="2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Tone confusability</w:t>
            </w:r>
          </w:p>
        </w:tc>
        <w:tc>
          <w:tcPr>
            <w:tcW w:w="2520" w:type="dxa"/>
            <w:tcBorders>
              <w:top w:val="single" w:sz="2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Mandarin Name dialling (tone confusable test)</w:t>
            </w:r>
          </w:p>
        </w:tc>
        <w:tc>
          <w:tcPr>
            <w:tcW w:w="1080" w:type="dxa"/>
            <w:tcBorders>
              <w:top w:val="single" w:sz="2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Vendor 1</w:t>
            </w:r>
          </w:p>
        </w:tc>
        <w:tc>
          <w:tcPr>
            <w:tcW w:w="900" w:type="dxa"/>
            <w:tcBorders>
              <w:top w:val="single" w:sz="2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1/10</w:t>
            </w:r>
          </w:p>
        </w:tc>
        <w:tc>
          <w:tcPr>
            <w:tcW w:w="1080" w:type="dxa"/>
            <w:tcBorders>
              <w:top w:val="single" w:sz="2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1</w:t>
            </w:r>
          </w:p>
        </w:tc>
      </w:tr>
      <w:tr>
        <w:trPr>
          <w:trHeight w:val="279" w:hRule="atLeast"/>
        </w:trPr>
        <w:tc>
          <w:tcPr>
            <w:tcW w:w="1368" w:type="dxa"/>
            <w:vMerge w:val="restart"/>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Channel errors</w:t>
            </w:r>
          </w:p>
        </w:tc>
        <w:tc>
          <w:tcPr>
            <w:tcW w:w="252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1% BLER</w:t>
            </w:r>
          </w:p>
        </w:tc>
        <w:tc>
          <w:tcPr>
            <w:tcW w:w="108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restart"/>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2/10</w:t>
            </w:r>
          </w:p>
        </w:tc>
        <w:tc>
          <w:tcPr>
            <w:tcW w:w="108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¼</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3% BLER</w:t>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¼</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1% BLER</w:t>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¼</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3% BLER</w:t>
            </w:r>
          </w:p>
        </w:tc>
        <w:tc>
          <w:tcPr>
            <w:tcW w:w="1080" w:type="dxa"/>
            <w:tcBorders>
              <w:top w:val="single" w:sz="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¼</w:t>
            </w:r>
          </w:p>
        </w:tc>
      </w:tr>
    </w:tbl>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b/>
          <w:b/>
          <w:lang w:val="en-US"/>
        </w:rPr>
      </w:pPr>
      <w:r>
        <w:rPr>
          <w:rFonts w:cs="Arial" w:ascii="Arial" w:hAnsi="Arial"/>
          <w:b/>
          <w:lang w:val="en-US"/>
        </w:rPr>
        <w:t>Table A2.1: Weighting of evaluation databases at 8kHz</w:t>
      </w:r>
      <w:r>
        <w:br w:type="page"/>
      </w:r>
    </w:p>
    <w:p>
      <w:pPr>
        <w:pStyle w:val="Normal"/>
        <w:rPr>
          <w:rFonts w:ascii="Arial" w:hAnsi="Arial" w:cs="Arial"/>
          <w:b/>
          <w:b/>
          <w:lang w:val="en-US"/>
        </w:rPr>
      </w:pPr>
      <w:r>
        <w:rPr>
          <w:rFonts w:cs="Arial" w:ascii="Arial" w:hAnsi="Arial"/>
          <w:b/>
          <w:lang w:val="en-US"/>
        </w:rPr>
      </w:r>
    </w:p>
    <w:tbl>
      <w:tblPr>
        <w:tblW w:w="6948" w:type="dxa"/>
        <w:jc w:val="left"/>
        <w:tblInd w:w="-138" w:type="dxa"/>
        <w:tblLayout w:type="fixed"/>
        <w:tblCellMar>
          <w:top w:w="0" w:type="dxa"/>
          <w:left w:w="108" w:type="dxa"/>
          <w:bottom w:w="0" w:type="dxa"/>
          <w:right w:w="108" w:type="dxa"/>
        </w:tblCellMar>
      </w:tblPr>
      <w:tblGrid>
        <w:gridCol w:w="1368"/>
        <w:gridCol w:w="2520"/>
        <w:gridCol w:w="1080"/>
        <w:gridCol w:w="900"/>
        <w:gridCol w:w="1080"/>
      </w:tblGrid>
      <w:tr>
        <w:trPr/>
        <w:tc>
          <w:tcPr>
            <w:tcW w:w="1368" w:type="dxa"/>
            <w:tcBorders>
              <w:top w:val="single" w:sz="24" w:space="0" w:color="000000"/>
              <w:left w:val="single" w:sz="24" w:space="0" w:color="000000"/>
              <w:bottom w:val="single" w:sz="24" w:space="0" w:color="000000"/>
              <w:right w:val="single" w:sz="24" w:space="0" w:color="000000"/>
            </w:tcBorders>
          </w:tcPr>
          <w:p>
            <w:pPr>
              <w:pStyle w:val="Normal"/>
              <w:rPr>
                <w:b/>
                <w:b/>
                <w:sz w:val="20"/>
                <w:szCs w:val="20"/>
              </w:rPr>
            </w:pPr>
            <w:r>
              <w:rPr>
                <w:b/>
                <w:sz w:val="20"/>
                <w:szCs w:val="20"/>
              </w:rPr>
              <w:t>Task</w:t>
            </w:r>
          </w:p>
        </w:tc>
        <w:tc>
          <w:tcPr>
            <w:tcW w:w="2520" w:type="dxa"/>
            <w:tcBorders>
              <w:top w:val="single" w:sz="24" w:space="0" w:color="000000"/>
              <w:left w:val="single" w:sz="24" w:space="0" w:color="000000"/>
              <w:bottom w:val="single" w:sz="24" w:space="0" w:color="000000"/>
              <w:right w:val="single" w:sz="24" w:space="0" w:color="000000"/>
            </w:tcBorders>
          </w:tcPr>
          <w:p>
            <w:pPr>
              <w:pStyle w:val="Normal"/>
              <w:rPr>
                <w:b/>
                <w:b/>
                <w:sz w:val="20"/>
                <w:szCs w:val="20"/>
              </w:rPr>
            </w:pPr>
            <w:r>
              <w:rPr>
                <w:b/>
                <w:sz w:val="20"/>
                <w:szCs w:val="20"/>
              </w:rPr>
              <w:t>Database</w:t>
            </w:r>
          </w:p>
        </w:tc>
        <w:tc>
          <w:tcPr>
            <w:tcW w:w="1080" w:type="dxa"/>
            <w:tcBorders>
              <w:top w:val="single" w:sz="24" w:space="0" w:color="000000"/>
              <w:left w:val="single" w:sz="24" w:space="0" w:color="000000"/>
              <w:bottom w:val="single" w:sz="24" w:space="0" w:color="000000"/>
              <w:right w:val="single" w:sz="24" w:space="0" w:color="000000"/>
            </w:tcBorders>
          </w:tcPr>
          <w:p>
            <w:pPr>
              <w:pStyle w:val="Normal"/>
              <w:rPr>
                <w:b/>
                <w:b/>
                <w:sz w:val="20"/>
                <w:szCs w:val="20"/>
              </w:rPr>
            </w:pPr>
            <w:r>
              <w:rPr>
                <w:b/>
                <w:sz w:val="20"/>
                <w:szCs w:val="20"/>
              </w:rPr>
              <w:t>Evaluator</w:t>
            </w:r>
          </w:p>
        </w:tc>
        <w:tc>
          <w:tcPr>
            <w:tcW w:w="900" w:type="dxa"/>
            <w:tcBorders>
              <w:top w:val="single" w:sz="24" w:space="0" w:color="000000"/>
              <w:left w:val="single" w:sz="24" w:space="0" w:color="000000"/>
              <w:bottom w:val="single" w:sz="24" w:space="0" w:color="000000"/>
              <w:right w:val="single" w:sz="24" w:space="0" w:color="000000"/>
            </w:tcBorders>
          </w:tcPr>
          <w:p>
            <w:pPr>
              <w:pStyle w:val="Normal"/>
              <w:rPr>
                <w:b/>
                <w:b/>
                <w:sz w:val="20"/>
                <w:szCs w:val="20"/>
              </w:rPr>
            </w:pPr>
            <w:r>
              <w:rPr>
                <w:b/>
                <w:sz w:val="20"/>
                <w:szCs w:val="20"/>
              </w:rPr>
              <w:t xml:space="preserve">Task </w:t>
            </w:r>
          </w:p>
          <w:p>
            <w:pPr>
              <w:pStyle w:val="Normal"/>
              <w:rPr>
                <w:b/>
                <w:b/>
                <w:sz w:val="20"/>
                <w:szCs w:val="20"/>
              </w:rPr>
            </w:pPr>
            <w:r>
              <w:rPr>
                <w:b/>
                <w:sz w:val="20"/>
                <w:szCs w:val="20"/>
              </w:rPr>
              <w:t>Weight</w:t>
            </w:r>
          </w:p>
        </w:tc>
        <w:tc>
          <w:tcPr>
            <w:tcW w:w="1080" w:type="dxa"/>
            <w:tcBorders>
              <w:top w:val="single" w:sz="24" w:space="0" w:color="000000"/>
              <w:left w:val="single" w:sz="24" w:space="0" w:color="000000"/>
              <w:bottom w:val="single" w:sz="24" w:space="0" w:color="000000"/>
              <w:right w:val="single" w:sz="24" w:space="0" w:color="000000"/>
            </w:tcBorders>
          </w:tcPr>
          <w:p>
            <w:pPr>
              <w:pStyle w:val="Normal"/>
              <w:rPr>
                <w:b/>
                <w:b/>
                <w:sz w:val="20"/>
                <w:szCs w:val="20"/>
              </w:rPr>
            </w:pPr>
            <w:r>
              <w:rPr>
                <w:b/>
                <w:sz w:val="20"/>
                <w:szCs w:val="20"/>
              </w:rPr>
              <w:t>Database Weight</w:t>
            </w:r>
          </w:p>
        </w:tc>
      </w:tr>
      <w:tr>
        <w:trPr>
          <w:trHeight w:val="282" w:hRule="atLeast"/>
        </w:trPr>
        <w:tc>
          <w:tcPr>
            <w:tcW w:w="1368" w:type="dxa"/>
            <w:vMerge w:val="restart"/>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Digits</w:t>
            </w:r>
          </w:p>
        </w:tc>
        <w:tc>
          <w:tcPr>
            <w:tcW w:w="2520" w:type="dxa"/>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900" w:type="dxa"/>
            <w:vMerge w:val="restart"/>
            <w:tcBorders>
              <w:top w:val="single" w:sz="2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3.5/10</w:t>
            </w:r>
          </w:p>
        </w:tc>
        <w:tc>
          <w:tcPr>
            <w:tcW w:w="1080" w:type="dxa"/>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lang w:val="sv-SE"/>
              </w:rPr>
            </w:pPr>
            <w:r>
              <w:rPr>
                <w:sz w:val="20"/>
                <w:szCs w:val="20"/>
                <w:lang w:val="sv-SE"/>
              </w:rPr>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lang w:val="sv-SE"/>
              </w:rPr>
            </w:pPr>
            <w:r>
              <w:rPr>
                <w:sz w:val="20"/>
                <w:szCs w:val="20"/>
                <w:lang w:val="sv-SE"/>
              </w:rPr>
            </w:r>
          </w:p>
        </w:tc>
        <w:tc>
          <w:tcPr>
            <w:tcW w:w="2520" w:type="dxa"/>
            <w:tcBorders>
              <w:top w:val="single" w:sz="4" w:space="0" w:color="000000"/>
              <w:left w:val="single" w:sz="24" w:space="0" w:color="000000"/>
              <w:bottom w:val="single" w:sz="4" w:space="0" w:color="000000"/>
              <w:right w:val="single" w:sz="24" w:space="0" w:color="000000"/>
            </w:tcBorders>
          </w:tcPr>
          <w:p>
            <w:pPr>
              <w:pStyle w:val="Normal"/>
              <w:rPr>
                <w:sz w:val="20"/>
                <w:szCs w:val="20"/>
                <w:lang w:val="sv-SE"/>
              </w:rPr>
            </w:pPr>
            <w:r>
              <w:rPr>
                <w:sz w:val="20"/>
                <w:szCs w:val="20"/>
                <w:lang w:val="sv-SE"/>
              </w:rPr>
              <w:t>Aurora-3 Spanish</w:t>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lang w:val="sv-SE"/>
              </w:rPr>
            </w:pPr>
            <w:r>
              <w:rPr>
                <w:sz w:val="20"/>
                <w:szCs w:val="20"/>
                <w:lang w:val="sv-SE"/>
              </w:rPr>
              <w:t>Vendor 2</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lang w:val="sv-SE"/>
              </w:rPr>
            </w:pPr>
            <w:r>
              <w:rPr>
                <w:sz w:val="20"/>
                <w:szCs w:val="20"/>
                <w:lang w:val="sv-SE"/>
              </w:rPr>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lang w:val="sv-SE"/>
              </w:rPr>
            </w:pPr>
            <w:r>
              <w:rPr>
                <w:sz w:val="20"/>
                <w:szCs w:val="20"/>
                <w:lang w:val="sv-SE"/>
              </w:rPr>
              <w:t>1/8</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lang w:val="sv-SE"/>
              </w:rPr>
            </w:pPr>
            <w:r>
              <w:rPr>
                <w:sz w:val="20"/>
                <w:szCs w:val="20"/>
                <w:lang w:val="sv-SE"/>
              </w:rPr>
            </w:r>
          </w:p>
        </w:tc>
        <w:tc>
          <w:tcPr>
            <w:tcW w:w="2520" w:type="dxa"/>
            <w:tcBorders>
              <w:top w:val="single" w:sz="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Aurora-3 Italian</w:t>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1/8</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Aurora-3 Spanish</w:t>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1/8</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8"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8" w:space="0" w:color="000000"/>
              <w:right w:val="single" w:sz="24" w:space="0" w:color="000000"/>
            </w:tcBorders>
          </w:tcPr>
          <w:p>
            <w:pPr>
              <w:pStyle w:val="Normal"/>
              <w:snapToGrid w:val="false"/>
              <w:rPr>
                <w:sz w:val="20"/>
                <w:szCs w:val="20"/>
              </w:rPr>
            </w:pPr>
            <w:r>
              <w:rPr>
                <w:sz w:val="20"/>
                <w:szCs w:val="20"/>
              </w:rPr>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8" w:space="0" w:color="000000"/>
              <w:right w:val="single" w:sz="24" w:space="0" w:color="000000"/>
            </w:tcBorders>
          </w:tcPr>
          <w:p>
            <w:pPr>
              <w:pStyle w:val="Normal"/>
              <w:snapToGrid w:val="false"/>
              <w:rPr>
                <w:sz w:val="20"/>
                <w:szCs w:val="20"/>
              </w:rPr>
            </w:pPr>
            <w:r>
              <w:rPr>
                <w:sz w:val="20"/>
                <w:szCs w:val="20"/>
              </w:rPr>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US English In-Car (digit test)</w:t>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1/8</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German In-Car (digit test)</w:t>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1/8</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Japanese In-Car (digit test)</w:t>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1/8</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US English In-Car (digit test)</w:t>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8" w:space="0" w:color="000000"/>
              <w:left w:val="single" w:sz="24" w:space="0" w:color="000000"/>
              <w:bottom w:val="single" w:sz="8" w:space="0" w:color="000000"/>
              <w:right w:val="single" w:sz="24" w:space="0" w:color="000000"/>
            </w:tcBorders>
          </w:tcPr>
          <w:p>
            <w:pPr>
              <w:pStyle w:val="Normal"/>
              <w:rPr>
                <w:sz w:val="20"/>
                <w:szCs w:val="20"/>
              </w:rPr>
            </w:pPr>
            <w:r>
              <w:rPr>
                <w:sz w:val="20"/>
                <w:szCs w:val="20"/>
              </w:rPr>
              <w:t>1/8</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8" w:space="0" w:color="000000"/>
              <w:left w:val="single" w:sz="24" w:space="0" w:color="000000"/>
              <w:bottom w:val="single" w:sz="24" w:space="0" w:color="000000"/>
              <w:right w:val="single" w:sz="24" w:space="0" w:color="000000"/>
            </w:tcBorders>
          </w:tcPr>
          <w:p>
            <w:pPr>
              <w:pStyle w:val="Normal"/>
              <w:rPr>
                <w:sz w:val="20"/>
                <w:szCs w:val="20"/>
              </w:rPr>
            </w:pPr>
            <w:r>
              <w:rPr>
                <w:sz w:val="20"/>
                <w:szCs w:val="20"/>
              </w:rPr>
              <w:t>Mandarin Embedded PDA (digit test set)</w:t>
            </w:r>
          </w:p>
        </w:tc>
        <w:tc>
          <w:tcPr>
            <w:tcW w:w="1080" w:type="dxa"/>
            <w:tcBorders>
              <w:top w:val="single" w:sz="8" w:space="0" w:color="000000"/>
              <w:left w:val="single" w:sz="24" w:space="0" w:color="000000"/>
              <w:bottom w:val="single" w:sz="24"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8" w:space="0" w:color="000000"/>
              <w:left w:val="single" w:sz="24" w:space="0" w:color="000000"/>
              <w:bottom w:val="single" w:sz="24" w:space="0" w:color="000000"/>
              <w:right w:val="single" w:sz="24" w:space="0" w:color="000000"/>
            </w:tcBorders>
          </w:tcPr>
          <w:p>
            <w:pPr>
              <w:pStyle w:val="Normal"/>
              <w:rPr>
                <w:sz w:val="20"/>
                <w:szCs w:val="20"/>
              </w:rPr>
            </w:pPr>
            <w:r>
              <w:rPr>
                <w:sz w:val="20"/>
                <w:szCs w:val="20"/>
              </w:rPr>
              <w:t>1/8</w:t>
            </w:r>
          </w:p>
        </w:tc>
      </w:tr>
      <w:tr>
        <w:trPr>
          <w:trHeight w:val="279" w:hRule="atLeast"/>
        </w:trPr>
        <w:tc>
          <w:tcPr>
            <w:tcW w:w="1368" w:type="dxa"/>
            <w:vMerge w:val="restart"/>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subword</w:t>
            </w:r>
          </w:p>
        </w:tc>
        <w:tc>
          <w:tcPr>
            <w:tcW w:w="2520" w:type="dxa"/>
            <w:tcBorders>
              <w:top w:val="single" w:sz="24" w:space="0" w:color="000000"/>
              <w:left w:val="single" w:sz="24" w:space="0" w:color="000000"/>
              <w:bottom w:val="single" w:sz="4" w:space="0" w:color="000000"/>
              <w:right w:val="single" w:sz="24" w:space="0" w:color="000000"/>
            </w:tcBorders>
          </w:tcPr>
          <w:p>
            <w:pPr>
              <w:pStyle w:val="Normal"/>
              <w:rPr/>
            </w:pPr>
            <w:r>
              <w:rPr>
                <w:sz w:val="20"/>
                <w:szCs w:val="20"/>
              </w:rPr>
              <w:t xml:space="preserve">Mandarin Embedded PDA </w:t>
            </w:r>
            <w:r>
              <w:rPr>
                <w:b/>
                <w:bCs/>
                <w:sz w:val="20"/>
                <w:szCs w:val="20"/>
              </w:rPr>
              <w:t>(</w:t>
            </w:r>
            <w:r>
              <w:rPr>
                <w:color w:val="000000"/>
                <w:sz w:val="20"/>
                <w:szCs w:val="20"/>
              </w:rPr>
              <w:t>names /street names /organization names/commands)</w:t>
            </w:r>
            <w:r>
              <w:rPr>
                <w:sz w:val="20"/>
                <w:szCs w:val="20"/>
              </w:rPr>
              <w:t xml:space="preserve"> </w:t>
            </w:r>
          </w:p>
        </w:tc>
        <w:tc>
          <w:tcPr>
            <w:tcW w:w="108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restart"/>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4.5/10</w:t>
            </w:r>
          </w:p>
        </w:tc>
        <w:tc>
          <w:tcPr>
            <w:tcW w:w="108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1/5</w:t>
            </w:r>
          </w:p>
        </w:tc>
      </w:tr>
      <w:tr>
        <w:trPr>
          <w:trHeight w:val="279" w:hRule="atLeast"/>
        </w:trPr>
        <w:tc>
          <w:tcPr>
            <w:tcW w:w="1368" w:type="dxa"/>
            <w:vMerge w:val="continue"/>
            <w:tcBorders>
              <w:top w:val="single" w:sz="12"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12" w:space="0" w:color="000000"/>
              <w:left w:val="single" w:sz="24" w:space="0" w:color="000000"/>
              <w:bottom w:val="single" w:sz="4" w:space="0" w:color="000000"/>
              <w:right w:val="single" w:sz="24" w:space="0" w:color="000000"/>
            </w:tcBorders>
          </w:tcPr>
          <w:p>
            <w:pPr>
              <w:pStyle w:val="TextBody"/>
              <w:jc w:val="left"/>
              <w:rPr>
                <w:sz w:val="20"/>
                <w:szCs w:val="20"/>
              </w:rPr>
            </w:pPr>
            <w:r>
              <w:rPr>
                <w:sz w:val="20"/>
                <w:szCs w:val="20"/>
              </w:rPr>
              <w:t>US English In-Car</w:t>
            </w:r>
          </w:p>
          <w:p>
            <w:pPr>
              <w:pStyle w:val="TextBody"/>
              <w:jc w:val="left"/>
              <w:rPr>
                <w:sz w:val="20"/>
                <w:szCs w:val="20"/>
              </w:rPr>
            </w:pPr>
            <w:r>
              <w:rPr/>
              <w:t>(commands, addresses, radio-controls, navigation, lifestyle information services and points-of-interest)</w:t>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1/5</w:t>
            </w:r>
          </w:p>
        </w:tc>
      </w:tr>
      <w:tr>
        <w:trPr>
          <w:trHeight w:val="279" w:hRule="atLeast"/>
        </w:trPr>
        <w:tc>
          <w:tcPr>
            <w:tcW w:w="1368" w:type="dxa"/>
            <w:vMerge w:val="continue"/>
            <w:tcBorders>
              <w:top w:val="single" w:sz="12"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US English In-Car</w:t>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1/5</w:t>
            </w:r>
          </w:p>
        </w:tc>
      </w:tr>
      <w:tr>
        <w:trPr>
          <w:trHeight w:val="279" w:hRule="atLeast"/>
        </w:trPr>
        <w:tc>
          <w:tcPr>
            <w:tcW w:w="1368" w:type="dxa"/>
            <w:vMerge w:val="continue"/>
            <w:tcBorders>
              <w:top w:val="single" w:sz="12"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German In-Car</w:t>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1/5</w:t>
            </w:r>
          </w:p>
        </w:tc>
      </w:tr>
      <w:tr>
        <w:trPr>
          <w:trHeight w:val="279" w:hRule="atLeast"/>
        </w:trPr>
        <w:tc>
          <w:tcPr>
            <w:tcW w:w="1368" w:type="dxa"/>
            <w:vMerge w:val="continue"/>
            <w:tcBorders>
              <w:top w:val="single" w:sz="12"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Japanese In-Car</w:t>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12" w:space="0" w:color="000000"/>
              <w:left w:val="single" w:sz="24" w:space="0" w:color="000000"/>
              <w:bottom w:val="single" w:sz="4" w:space="0" w:color="000000"/>
              <w:right w:val="single" w:sz="24" w:space="0" w:color="000000"/>
            </w:tcBorders>
          </w:tcPr>
          <w:p>
            <w:pPr>
              <w:pStyle w:val="Normal"/>
              <w:rPr>
                <w:sz w:val="20"/>
                <w:szCs w:val="20"/>
              </w:rPr>
            </w:pPr>
            <w:r>
              <w:rPr>
                <w:sz w:val="20"/>
                <w:szCs w:val="20"/>
              </w:rPr>
              <w:t>1/5</w:t>
            </w:r>
          </w:p>
        </w:tc>
      </w:tr>
      <w:tr>
        <w:trPr>
          <w:trHeight w:val="279" w:hRule="atLeast"/>
        </w:trPr>
        <w:tc>
          <w:tcPr>
            <w:tcW w:w="1368" w:type="dxa"/>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900" w:type="dxa"/>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24" w:space="0" w:color="000000"/>
              <w:left w:val="single" w:sz="24" w:space="0" w:color="000000"/>
              <w:bottom w:val="single" w:sz="24" w:space="0" w:color="000000"/>
              <w:right w:val="single" w:sz="24" w:space="0" w:color="000000"/>
            </w:tcBorders>
          </w:tcPr>
          <w:p>
            <w:pPr>
              <w:pStyle w:val="Normal"/>
              <w:snapToGrid w:val="false"/>
              <w:rPr>
                <w:sz w:val="20"/>
                <w:szCs w:val="20"/>
              </w:rPr>
            </w:pPr>
            <w:r>
              <w:rPr>
                <w:sz w:val="20"/>
                <w:szCs w:val="20"/>
              </w:rPr>
            </w:r>
          </w:p>
        </w:tc>
      </w:tr>
      <w:tr>
        <w:trPr>
          <w:trHeight w:val="279" w:hRule="atLeast"/>
        </w:trPr>
        <w:tc>
          <w:tcPr>
            <w:tcW w:w="1368" w:type="dxa"/>
            <w:vMerge w:val="restart"/>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Channel errors</w:t>
            </w:r>
          </w:p>
        </w:tc>
        <w:tc>
          <w:tcPr>
            <w:tcW w:w="252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1% BLER</w:t>
            </w:r>
          </w:p>
        </w:tc>
        <w:tc>
          <w:tcPr>
            <w:tcW w:w="108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restart"/>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2/10</w:t>
            </w:r>
          </w:p>
        </w:tc>
        <w:tc>
          <w:tcPr>
            <w:tcW w:w="1080" w:type="dxa"/>
            <w:tcBorders>
              <w:top w:val="single" w:sz="24" w:space="0" w:color="000000"/>
              <w:left w:val="single" w:sz="24" w:space="0" w:color="000000"/>
              <w:bottom w:val="single" w:sz="4" w:space="0" w:color="000000"/>
              <w:right w:val="single" w:sz="24" w:space="0" w:color="000000"/>
            </w:tcBorders>
          </w:tcPr>
          <w:p>
            <w:pPr>
              <w:pStyle w:val="Normal"/>
              <w:rPr>
                <w:sz w:val="20"/>
                <w:szCs w:val="20"/>
              </w:rPr>
            </w:pPr>
            <w:r>
              <w:rPr>
                <w:sz w:val="20"/>
                <w:szCs w:val="20"/>
              </w:rPr>
              <w:t>¼</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3% BLER</w:t>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1</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¼</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1% BLER</w:t>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4" w:space="0" w:color="000000"/>
              <w:right w:val="single" w:sz="24" w:space="0" w:color="000000"/>
            </w:tcBorders>
          </w:tcPr>
          <w:p>
            <w:pPr>
              <w:pStyle w:val="Normal"/>
              <w:rPr>
                <w:sz w:val="20"/>
                <w:szCs w:val="20"/>
              </w:rPr>
            </w:pPr>
            <w:r>
              <w:rPr>
                <w:sz w:val="20"/>
                <w:szCs w:val="20"/>
              </w:rPr>
              <w:t>¼</w:t>
            </w:r>
          </w:p>
        </w:tc>
      </w:tr>
      <w:tr>
        <w:trPr>
          <w:trHeight w:val="279" w:hRule="atLeast"/>
        </w:trPr>
        <w:tc>
          <w:tcPr>
            <w:tcW w:w="1368"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2520" w:type="dxa"/>
            <w:tcBorders>
              <w:top w:val="single" w:sz="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3% BLER</w:t>
            </w:r>
          </w:p>
        </w:tc>
        <w:tc>
          <w:tcPr>
            <w:tcW w:w="1080" w:type="dxa"/>
            <w:tcBorders>
              <w:top w:val="single" w:sz="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Vendor 2</w:t>
            </w:r>
          </w:p>
        </w:tc>
        <w:tc>
          <w:tcPr>
            <w:tcW w:w="900" w:type="dxa"/>
            <w:vMerge w:val="continue"/>
            <w:tcBorders>
              <w:top w:val="single" w:sz="24" w:space="0" w:color="000000"/>
              <w:left w:val="single" w:sz="24" w:space="0" w:color="000000"/>
              <w:bottom w:val="single" w:sz="4" w:space="0" w:color="000000"/>
              <w:right w:val="single" w:sz="24" w:space="0" w:color="000000"/>
            </w:tcBorders>
          </w:tcPr>
          <w:p>
            <w:pPr>
              <w:pStyle w:val="Normal"/>
              <w:snapToGrid w:val="false"/>
              <w:rPr>
                <w:sz w:val="20"/>
                <w:szCs w:val="20"/>
              </w:rPr>
            </w:pPr>
            <w:r>
              <w:rPr>
                <w:sz w:val="20"/>
                <w:szCs w:val="20"/>
              </w:rPr>
            </w:r>
          </w:p>
        </w:tc>
        <w:tc>
          <w:tcPr>
            <w:tcW w:w="1080" w:type="dxa"/>
            <w:tcBorders>
              <w:top w:val="single" w:sz="4" w:space="0" w:color="000000"/>
              <w:left w:val="single" w:sz="24" w:space="0" w:color="000000"/>
              <w:bottom w:val="single" w:sz="24" w:space="0" w:color="000000"/>
              <w:right w:val="single" w:sz="24" w:space="0" w:color="000000"/>
            </w:tcBorders>
          </w:tcPr>
          <w:p>
            <w:pPr>
              <w:pStyle w:val="Normal"/>
              <w:rPr>
                <w:sz w:val="20"/>
                <w:szCs w:val="20"/>
              </w:rPr>
            </w:pPr>
            <w:r>
              <w:rPr>
                <w:sz w:val="20"/>
                <w:szCs w:val="20"/>
              </w:rPr>
              <w:t>¼</w:t>
            </w:r>
          </w:p>
        </w:tc>
      </w:tr>
    </w:tbl>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b/>
          <w:b/>
          <w:lang w:val="en-US"/>
        </w:rPr>
      </w:pPr>
      <w:r>
        <w:rPr>
          <w:rFonts w:cs="Arial" w:ascii="Arial" w:hAnsi="Arial"/>
          <w:b/>
          <w:lang w:val="en-US"/>
        </w:rPr>
        <w:t>Table A2.2: Weighting of evaluation databases at 16kHz</w:t>
      </w:r>
    </w:p>
    <w:p>
      <w:pPr>
        <w:pStyle w:val="Normal"/>
        <w:rPr>
          <w:rFonts w:ascii="Arial" w:hAnsi="Arial" w:cs="Arial"/>
          <w:b/>
          <w:b/>
          <w:lang w:val="en-US"/>
        </w:rPr>
      </w:pPr>
      <w:r>
        <w:rPr>
          <w:rFonts w:cs="Arial" w:ascii="Arial" w:hAnsi="Arial"/>
          <w:b/>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jc w:val="center"/>
        <w:rPr>
          <w:rFonts w:ascii="Arial" w:hAnsi="Arial" w:cs="Arial"/>
          <w:lang w:val="en-US"/>
        </w:rPr>
      </w:pPr>
      <w:r>
        <w:rPr>
          <w:b/>
        </w:rPr>
        <w:t>Appendix 3: Illustration of recommendation based on relative improvement</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pPr>
      <w:r>
        <w:rPr/>
      </w:r>
    </w:p>
    <w:p>
      <w:pPr>
        <w:pStyle w:val="Normal"/>
        <w:rPr/>
      </w:pPr>
      <w:r>
        <w:rPr/>
      </w:r>
    </w:p>
    <w:p>
      <w:pPr>
        <w:pStyle w:val="Normal"/>
        <w:rPr/>
      </w:pPr>
      <w:r>
        <w:rPr/>
        <w:drawing>
          <wp:inline distT="0" distB="0" distL="0" distR="0">
            <wp:extent cx="5484495" cy="25787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5" t="-10" r="-5" b="-10"/>
                    <a:stretch>
                      <a:fillRect/>
                    </a:stretch>
                  </pic:blipFill>
                  <pic:spPr bwMode="auto">
                    <a:xfrm>
                      <a:off x="0" y="0"/>
                      <a:ext cx="5484495" cy="2578735"/>
                    </a:xfrm>
                    <a:prstGeom prst="rect">
                      <a:avLst/>
                    </a:prstGeom>
                  </pic:spPr>
                </pic:pic>
              </a:graphicData>
            </a:graphic>
          </wp:inline>
        </w:drawing>
      </w:r>
    </w:p>
    <w:p>
      <w:pPr>
        <w:pStyle w:val="Normal"/>
        <w:rPr/>
      </w:pPr>
      <w:r>
        <w:rPr/>
      </w:r>
    </w:p>
    <w:p>
      <w:pPr>
        <w:pStyle w:val="Normal"/>
        <w:rPr>
          <w:rFonts w:ascii="Arial" w:hAnsi="Arial" w:cs="Arial"/>
          <w:lang w:val="en-US"/>
        </w:rPr>
      </w:pPr>
      <w:r>
        <w:rPr>
          <w:rFonts w:cs="Arial" w:ascii="Arial" w:hAnsi="Arial"/>
          <w:lang w:val="en-US"/>
        </w:rPr>
      </w:r>
    </w:p>
    <w:sectPr>
      <w:headerReference w:type="default" r:id="rId4"/>
      <w:headerReference w:type="first" r:id="rId5"/>
      <w:footerReference w:type="default" r:id="rId6"/>
      <w:footerReference w:type="first" r:id="rId7"/>
      <w:type w:val="nextPage"/>
      <w:pgSz w:w="12240" w:h="15840"/>
      <w:pgMar w:left="1797" w:right="1797"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Arial" w:ascii="Arial" w:hAnsi="Arial"/>
        <w:b/>
      </w:rPr>
      <w:t xml:space="preserve">SA4#27- </w:t>
    </w:r>
    <w:r>
      <w:rPr>
        <w:rFonts w:cs="Arial" w:ascii="Arial" w:hAnsi="Arial"/>
        <w:b/>
        <w:lang w:val="de-DE" w:eastAsia="de-DE"/>
      </w:rPr>
      <w:t>S4-030540</w:t>
    </w:r>
    <w:r>
      <w:rPr>
        <w:rFonts w:cs="Arial" w:ascii="Arial" w:hAnsi="Arial"/>
        <w:b/>
      </w:rPr>
      <w:tab/>
      <w:t xml:space="preserve">page </w:t>
    </w:r>
    <w:r>
      <w:rPr>
        <w:rStyle w:val="PageNumber"/>
        <w:rFonts w:cs="Arial" w:ascii="Arial" w:hAnsi="Arial"/>
        <w:b/>
      </w:rPr>
      <w:fldChar w:fldCharType="begin"/>
    </w:r>
    <w:r>
      <w:rPr>
        <w:rStyle w:val="PageNumber"/>
        <w:b/>
        <w:rFonts w:cs="Arial" w:ascii="Arial" w:hAnsi="Arial"/>
      </w:rPr>
      <w:instrText xml:space="preserve"> PAGE </w:instrText>
    </w:r>
    <w:r>
      <w:rPr>
        <w:rStyle w:val="PageNumber"/>
        <w:b/>
        <w:rFonts w:cs="Arial" w:ascii="Arial" w:hAnsi="Arial"/>
      </w:rPr>
      <w:fldChar w:fldCharType="separate"/>
    </w:r>
    <w:r>
      <w:rPr>
        <w:rStyle w:val="PageNumber"/>
        <w:b/>
        <w:rFonts w:cs="Arial" w:ascii="Arial" w:hAnsi="Arial"/>
      </w:rPr>
      <w:t>8</w:t>
    </w:r>
    <w:r>
      <w:rPr>
        <w:rStyle w:val="PageNumber"/>
        <w:b/>
        <w:rFonts w:cs="Arial" w:ascii="Arial" w:hAnsi="Arial"/>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8460" w:leader="none"/>
      </w:tabs>
      <w:rPr>
        <w:rFonts w:cs="Arial"/>
        <w:b/>
        <w:b/>
        <w:i/>
        <w:i/>
      </w:rPr>
    </w:pPr>
    <w:r>
      <w:rPr>
        <w:rFonts w:cs="Arial"/>
      </w:rPr>
      <w:t>Technical Specification Group Services and System Aspects</w:t>
    </w:r>
    <w:r>
      <w:rPr>
        <w:rFonts w:cs="Arial"/>
        <w:b/>
        <w:i/>
      </w:rPr>
      <w:tab/>
    </w:r>
    <w:r>
      <w:rPr>
        <w:rFonts w:cs="Arial"/>
        <w:b/>
        <w:iCs/>
        <w:sz w:val="32"/>
      </w:rPr>
      <w:t>TSGS#21(03)0440</w:t>
    </w:r>
  </w:p>
  <w:p>
    <w:pPr>
      <w:pStyle w:val="Normal"/>
      <w:pBdr>
        <w:bottom w:val="single" w:sz="4" w:space="1" w:color="000000"/>
      </w:pBdr>
      <w:tabs>
        <w:tab w:val="clear" w:pos="720"/>
        <w:tab w:val="right" w:pos="9639" w:leader="none"/>
      </w:tabs>
      <w:rPr>
        <w:b/>
        <w:b/>
      </w:rPr>
    </w:pPr>
    <w:r>
      <w:rPr>
        <w:rFonts w:cs="Arial"/>
      </w:rPr>
      <w:t>Meeting #21, Frankfurt, Germany, 22-25 September 2003</w:t>
    </w:r>
  </w:p>
  <w:p>
    <w:pPr>
      <w:pStyle w:val="Normal"/>
      <w:rPr>
        <w:b/>
        <w:b/>
      </w:rPr>
    </w:pPr>
    <w:r>
      <w:rPr>
        <w:b/>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lvl w:ilvl="0">
      <w:start w:val="1"/>
      <w:numFmt w:val="bullet"/>
      <w:lvlText w:val=""/>
      <w:lvlJc w:val="left"/>
      <w:pPr>
        <w:tabs>
          <w:tab w:val="num" w:pos="1440"/>
        </w:tabs>
        <w:ind w:left="1440" w:hanging="360"/>
      </w:pPr>
      <w:rPr>
        <w:rFonts w:ascii="Symbol" w:hAnsi="Symbol" w:cs="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abstractNum>
  <w:abstractNum w:abstractNumId="5">
    <w:lvl w:ilvl="0">
      <w:start w:val="1"/>
      <w:numFmt w:val="decimal"/>
      <w:lvlText w:val="[%1]"/>
      <w:lvlJc w:val="left"/>
      <w:pPr>
        <w:tabs>
          <w:tab w:val="num" w:pos="360"/>
        </w:tabs>
        <w:ind w:left="360" w:hanging="360"/>
      </w:pPr>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lvl w:ilvl="0">
      <w:start w:val="1"/>
      <w:numFmt w:val="decimal"/>
      <w:lvlText w:val="%1."/>
      <w:lvlJc w:val="left"/>
      <w:pPr>
        <w:tabs>
          <w:tab w:val="num" w:pos="1080"/>
        </w:tabs>
        <w:ind w:left="10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paragraph" w:styleId="Heading1">
    <w:name w:val="Heading 1"/>
    <w:basedOn w:val="Normal"/>
    <w:next w:val="Normal"/>
    <w:qFormat/>
    <w:pPr>
      <w:keepNext w:val="true"/>
      <w:numPr>
        <w:ilvl w:val="0"/>
        <w:numId w:val="1"/>
      </w:numPr>
      <w:ind w:left="1985" w:hanging="1985"/>
      <w:outlineLvl w:val="0"/>
    </w:pPr>
    <w:rPr>
      <w:rFonts w:ascii="Arial" w:hAnsi="Arial" w:cs="Arial"/>
      <w:b/>
    </w:rPr>
  </w:style>
  <w:style w:type="paragraph" w:styleId="Heading2">
    <w:name w:val="Heading 2"/>
    <w:basedOn w:val="Normal"/>
    <w:next w:val="Normal"/>
    <w:qFormat/>
    <w:pPr>
      <w:keepNext w:val="true"/>
      <w:numPr>
        <w:ilvl w:val="1"/>
        <w:numId w:val="1"/>
      </w:numPr>
      <w:jc w:val="center"/>
      <w:outlineLvl w:val="1"/>
    </w:pPr>
    <w:rPr>
      <w:b/>
      <w:bCs/>
      <w:caps/>
      <w:sz w:val="22"/>
      <w:szCs w:val="28"/>
    </w:rPr>
  </w:style>
  <w:style w:type="paragraph" w:styleId="Heading3">
    <w:name w:val="Heading 3"/>
    <w:basedOn w:val="Normal"/>
    <w:next w:val="Normal"/>
    <w:qFormat/>
    <w:pPr>
      <w:keepNext w:val="true"/>
      <w:numPr>
        <w:ilvl w:val="2"/>
        <w:numId w:val="1"/>
      </w:numPr>
      <w:ind w:right="-360" w:hanging="0"/>
      <w:outlineLvl w:val="2"/>
    </w:pPr>
    <w:rPr>
      <w:b/>
      <w:bCs/>
    </w:rPr>
  </w:style>
  <w:style w:type="paragraph" w:styleId="Heading4">
    <w:name w:val="Heading 4"/>
    <w:basedOn w:val="Normal"/>
    <w:next w:val="Normal"/>
    <w:qFormat/>
    <w:pPr>
      <w:keepNext w:val="true"/>
      <w:numPr>
        <w:ilvl w:val="3"/>
        <w:numId w:val="1"/>
      </w:numPr>
      <w:jc w:val="center"/>
      <w:outlineLvl w:val="3"/>
    </w:pPr>
    <w:rPr>
      <w:rFonts w:ascii="Arial" w:hAnsi="Arial" w:cs="Aria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Times New Roman" w:hAnsi="Times New Roman" w:cs="Times New Roman"/>
    </w:rPr>
  </w:style>
  <w:style w:type="character" w:styleId="WW8Num16z0">
    <w:name w:val="WW8Num16z0"/>
    <w:qFormat/>
    <w:rPr>
      <w:rFonts w:ascii="Symbol" w:hAnsi="Symbol" w:cs="Symbol"/>
    </w:rPr>
  </w:style>
  <w:style w:type="character" w:styleId="WW8Num18z0">
    <w:name w:val="WW8Num18z0"/>
    <w:qFormat/>
    <w:rPr>
      <w:rFonts w:ascii="Times New Roman" w:hAnsi="Times New Roman" w:cs="Times New Roman"/>
    </w:rPr>
  </w:style>
  <w:style w:type="character" w:styleId="WW8Num19z0">
    <w:name w:val="WW8Num19z0"/>
    <w:qFormat/>
    <w:rPr>
      <w:rFonts w:ascii="Symbol" w:hAnsi="Symbol" w:cs="Symbol"/>
    </w:rPr>
  </w:style>
  <w:style w:type="character" w:styleId="WW8Num21z0">
    <w:name w:val="WW8Num21z0"/>
    <w:qFormat/>
    <w:rPr/>
  </w:style>
  <w:style w:type="character" w:styleId="WW8Num22z0">
    <w:name w:val="WW8Num22z0"/>
    <w:qFormat/>
    <w:rPr>
      <w:rFonts w:ascii="Symbol" w:hAnsi="Symbol" w:cs="Symbol"/>
    </w:rPr>
  </w:style>
  <w:style w:type="character" w:styleId="WW8Num24z0">
    <w:name w:val="WW8Num24z0"/>
    <w:qFormat/>
    <w:rPr>
      <w:rFonts w:ascii="Symbol" w:hAnsi="Symbol" w:cs="Symbol"/>
    </w:rPr>
  </w:style>
  <w:style w:type="character" w:styleId="WW8Num26z0">
    <w:name w:val="WW8Num26z0"/>
    <w:qFormat/>
    <w:rPr/>
  </w:style>
  <w:style w:type="character" w:styleId="WW8Num27z0">
    <w:name w:val="WW8Num27z0"/>
    <w:qFormat/>
    <w:rPr>
      <w:rFonts w:ascii="Symbol" w:hAnsi="Symbol" w:cs="Symbol"/>
    </w:rPr>
  </w:style>
  <w:style w:type="character" w:styleId="WW8Num28z0">
    <w:name w:val="WW8Num28z0"/>
    <w:qFormat/>
    <w:rPr>
      <w:rFonts w:ascii="Symbol" w:hAnsi="Symbol" w:cs="Symbol"/>
    </w:rPr>
  </w:style>
  <w:style w:type="character" w:styleId="WW8Num29z0">
    <w:name w:val="WW8Num29z0"/>
    <w:qFormat/>
    <w:rPr/>
  </w:style>
  <w:style w:type="character" w:styleId="WW8Num30z0">
    <w:name w:val="WW8Num30z0"/>
    <w:qFormat/>
    <w:rPr>
      <w:rFonts w:ascii="Symbol" w:hAnsi="Symbol" w:cs="Symbol"/>
    </w:rPr>
  </w:style>
  <w:style w:type="character" w:styleId="WW8Num31z0">
    <w:name w:val="WW8Num31z0"/>
    <w:qFormat/>
    <w:rPr>
      <w:rFonts w:ascii="Symbol" w:hAnsi="Symbol" w:cs="Symbol"/>
    </w:rPr>
  </w:style>
  <w:style w:type="character" w:styleId="WW8Num32z0">
    <w:name w:val="WW8Num32z0"/>
    <w:qFormat/>
    <w:rPr>
      <w:rFonts w:ascii="Symbol" w:hAnsi="Symbol" w:cs="Symbol"/>
    </w:rPr>
  </w:style>
  <w:style w:type="character" w:styleId="WW8Num33z0">
    <w:name w:val="WW8Num33z0"/>
    <w:qFormat/>
    <w:rPr/>
  </w:style>
  <w:style w:type="character" w:styleId="WW8Num34z0">
    <w:name w:val="WW8Num34z0"/>
    <w:qFormat/>
    <w:rPr>
      <w:rFonts w:ascii="Symbol" w:hAnsi="Symbol" w:cs="Symbol"/>
    </w:rPr>
  </w:style>
  <w:style w:type="character" w:styleId="WW8Num35z0">
    <w:name w:val="WW8Num35z0"/>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style>
  <w:style w:type="character" w:styleId="WW8Num38z0">
    <w:name w:val="WW8Num38z0"/>
    <w:qFormat/>
    <w:rPr>
      <w:rFonts w:ascii="Symbol" w:hAnsi="Symbol" w:cs="Symbol"/>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PageNumber">
    <w:name w:val="Page Number"/>
    <w:basedOn w:val="DefaultParagraphFont"/>
    <w:rPr/>
  </w:style>
  <w:style w:type="character" w:styleId="CommentReference">
    <w:name w:val="Comment Reference"/>
    <w:basedOn w:val="DefaultParagraphFont"/>
    <w:qFormat/>
    <w:rPr>
      <w:sz w:val="16"/>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z w:val="18"/>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E">
    <w:name w:val="HE"/>
    <w:basedOn w:val="Normal"/>
    <w:qFormat/>
    <w:pPr>
      <w:overflowPunct w:val="false"/>
      <w:autoSpaceDE w:val="false"/>
      <w:textAlignment w:val="baseline"/>
    </w:pPr>
    <w:rPr>
      <w:b/>
      <w:sz w:val="20"/>
      <w:szCs w:val="20"/>
    </w:rPr>
  </w:style>
  <w:style w:type="paragraph" w:styleId="TextBodyIndent">
    <w:name w:val="Body Text Indent"/>
    <w:basedOn w:val="Normal"/>
    <w:pPr>
      <w:ind w:left="540" w:hanging="540"/>
    </w:pPr>
    <w:rPr>
      <w:sz w:val="20"/>
      <w:szCs w:val="20"/>
    </w:rPr>
  </w:style>
  <w:style w:type="paragraph" w:styleId="BodyText2">
    <w:name w:val="Body Text 2"/>
    <w:basedOn w:val="Normal"/>
    <w:qFormat/>
    <w:pPr>
      <w:ind w:right="-360" w:hanging="0"/>
    </w:pPr>
    <w:rPr/>
  </w:style>
  <w:style w:type="paragraph" w:styleId="BodyText3">
    <w:name w:val="Body Text 3"/>
    <w:basedOn w:val="Normal"/>
    <w:qFormat/>
    <w:pPr>
      <w:jc w:val="center"/>
    </w:pPr>
    <w:rPr>
      <w:rFonts w:ascii="Arial" w:hAnsi="Arial" w:cs="Arial"/>
      <w:b/>
      <w:bCs/>
      <w:szCs w:val="20"/>
      <w:lang w:val="en-U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z w:val="22"/>
    </w:rPr>
  </w:style>
  <w:style w:type="paragraph" w:styleId="Footer">
    <w:name w:val="Footer"/>
    <w:basedOn w:val="Normal"/>
    <w:pPr>
      <w:tabs>
        <w:tab w:val="clear" w:pos="720"/>
        <w:tab w:val="center" w:pos="4536" w:leader="none"/>
        <w:tab w:val="right" w:pos="9072" w:leader="none"/>
      </w:tabs>
    </w:pPr>
    <w:rPr/>
  </w:style>
  <w:style w:type="paragraph" w:styleId="CommentText">
    <w:name w:val="Comment Text"/>
    <w:basedOn w:val="Normal"/>
    <w:qFormat/>
    <w:pPr/>
    <w:rPr>
      <w:sz w:val="20"/>
    </w:rPr>
  </w:style>
  <w:style w:type="paragraph" w:styleId="Contents1">
    <w:name w:val="TOC 1"/>
    <w:basedOn w:val="Normal"/>
    <w:next w:val="Normal"/>
    <w:pPr/>
    <w:rPr/>
  </w:style>
  <w:style w:type="paragraph" w:styleId="Contents2">
    <w:name w:val="TOC 2"/>
    <w:basedOn w:val="Normal"/>
    <w:next w:val="Normal"/>
    <w:pPr>
      <w:ind w:left="240" w:hanging="0"/>
    </w:pPr>
    <w:rPr/>
  </w:style>
  <w:style w:type="paragraph" w:styleId="Contents3">
    <w:name w:val="TOC 3"/>
    <w:basedOn w:val="Normal"/>
    <w:next w:val="Normal"/>
    <w:pPr>
      <w:ind w:left="480" w:hanging="0"/>
    </w:pPr>
    <w:rPr/>
  </w:style>
  <w:style w:type="paragraph" w:styleId="Contents4">
    <w:name w:val="TOC 4"/>
    <w:basedOn w:val="Normal"/>
    <w:next w:val="Normal"/>
    <w:pPr>
      <w:ind w:left="720" w:hanging="0"/>
    </w:pPr>
    <w:rPr/>
  </w:style>
  <w:style w:type="paragraph" w:styleId="Contents5">
    <w:name w:val="TOC 5"/>
    <w:basedOn w:val="Normal"/>
    <w:next w:val="Normal"/>
    <w:pPr>
      <w:ind w:left="960" w:hanging="0"/>
    </w:pPr>
    <w:rPr/>
  </w:style>
  <w:style w:type="paragraph" w:styleId="Contents6">
    <w:name w:val="TOC 6"/>
    <w:basedOn w:val="Normal"/>
    <w:next w:val="Normal"/>
    <w:pPr>
      <w:ind w:left="1200" w:hanging="0"/>
    </w:pPr>
    <w:rPr/>
  </w:style>
  <w:style w:type="paragraph" w:styleId="Contents7">
    <w:name w:val="TOC 7"/>
    <w:basedOn w:val="Normal"/>
    <w:next w:val="Normal"/>
    <w:pPr>
      <w:ind w:left="1440" w:hanging="0"/>
    </w:pPr>
    <w:rPr/>
  </w:style>
  <w:style w:type="paragraph" w:styleId="Contents8">
    <w:name w:val="TOC 8"/>
    <w:basedOn w:val="Normal"/>
    <w:next w:val="Normal"/>
    <w:pPr>
      <w:ind w:left="1680" w:hanging="0"/>
    </w:pPr>
    <w:rPr/>
  </w:style>
  <w:style w:type="paragraph" w:styleId="Contents9">
    <w:name w:val="TOC 9"/>
    <w:basedOn w:val="Normal"/>
    <w:next w:val="Normal"/>
    <w:pPr>
      <w:ind w:left="1920" w:hanging="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 TargetMode="External"/><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2003-09-11T19:17:00Z</dcterms:created>
  <dc:creator>David Pearce</dc:creator>
  <dc:description/>
  <dc:language>en-US</dc:language>
  <cp:lastModifiedBy>Administrator</cp:lastModifiedBy>
  <cp:lastPrinted>2003-01-16T10:00:00Z</cp:lastPrinted>
  <dcterms:modified xsi:type="dcterms:W3CDTF">2003-09-11T19:19:00Z</dcterms:modified>
  <cp:revision>3</cp:revision>
  <dc:subject/>
  <dc:title>TSG (Services) meeting </dc:title>
</cp:coreProperties>
</file>