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eastAsia="ko-KR"/>
        </w:rPr>
      </w:pPr>
      <w:r>
        <w:rPr>
          <w:lang w:eastAsia="ko-KR"/>
        </w:rPr>
      </w:r>
    </w:p>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27.002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27.002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Terminal Adaptation Functions (TAF) for services using asynchronous bearer capabilities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Terminal Adaptation Functions (TAF) for services using asynchronous bearer capabilities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21765"/>
                <wp:effectExtent l="0" t="0" r="0" b="0"/>
                <wp:wrapTopAndBottom/>
                <wp:docPr id="4" name="Frame4"/>
                <a:graphic xmlns:a="http://schemas.openxmlformats.org/drawingml/2006/main">
                  <a:graphicData uri="http://schemas.microsoft.com/office/word/2010/wordprocessingShape">
                    <wps:wsp>
                      <wps:cNvSpPr txBox="1"/>
                      <wps:spPr>
                        <a:xfrm>
                          <a:off x="0" y="0"/>
                          <a:ext cx="6480810" cy="142176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1.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lang w:val="fr-FR"/>
                              </w:rPr>
                            </w:pPr>
                            <w:r>
                              <w:rPr>
                                <w:lang w:val="fr-FR"/>
                              </w:rPr>
                              <w:t>Keywords</w:t>
                            </w:r>
                          </w:p>
                          <w:p>
                            <w:pPr>
                              <w:pStyle w:val="FP"/>
                              <w:ind w:left="2835" w:right="2835" w:hanging="0"/>
                              <w:jc w:val="center"/>
                              <w:rPr/>
                            </w:pPr>
                            <w:r>
                              <w:rPr>
                                <w:rFonts w:cs="Arial" w:ascii="Arial" w:hAnsi="Arial"/>
                                <w:sz w:val="18"/>
                                <w:lang w:val="fr-FR"/>
                              </w:rPr>
                              <w:t>UTRAN Iu mode,</w:t>
                            </w:r>
                            <w:r>
                              <w:rPr>
                                <w:rFonts w:cs="Arial" w:ascii="Arial" w:hAnsi="Arial"/>
                                <w:sz w:val="18"/>
                                <w:lang w:val="fr-FR" w:eastAsia="ko-KR"/>
                              </w:rPr>
                              <w:t xml:space="preserve"> LTE,</w:t>
                            </w:r>
                            <w:r>
                              <w:rPr>
                                <w:rFonts w:cs="Arial" w:ascii="Arial" w:hAnsi="Arial"/>
                                <w:sz w:val="18"/>
                                <w:lang w:val="fr-FR"/>
                              </w:rPr>
                              <w:t xml:space="preserve"> A/Gb mode, Iu mode GSM, terminal, adaption</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fr-FR"/>
                        </w:rPr>
                      </w:pPr>
                      <w:r>
                        <w:rPr>
                          <w:lang w:val="fr-FR"/>
                        </w:rPr>
                        <w:t>Keywords</w:t>
                      </w:r>
                    </w:p>
                    <w:p>
                      <w:pPr>
                        <w:pStyle w:val="FP"/>
                        <w:ind w:left="2835" w:right="2835" w:hanging="0"/>
                        <w:jc w:val="center"/>
                        <w:rPr/>
                      </w:pPr>
                      <w:r>
                        <w:rPr>
                          <w:rFonts w:cs="Arial" w:ascii="Arial" w:hAnsi="Arial"/>
                          <w:sz w:val="18"/>
                          <w:lang w:val="fr-FR"/>
                        </w:rPr>
                        <w:t>UTRAN Iu mode,</w:t>
                      </w:r>
                      <w:r>
                        <w:rPr>
                          <w:rFonts w:cs="Arial" w:ascii="Arial" w:hAnsi="Arial"/>
                          <w:sz w:val="18"/>
                          <w:lang w:val="fr-FR" w:eastAsia="ko-KR"/>
                        </w:rPr>
                        <w:t xml:space="preserve"> LTE,</w:t>
                      </w:r>
                      <w:r>
                        <w:rPr>
                          <w:rFonts w:cs="Arial" w:ascii="Arial" w:hAnsi="Arial"/>
                          <w:sz w:val="18"/>
                          <w:lang w:val="fr-FR"/>
                        </w:rPr>
                        <w:t xml:space="preserve"> A/Gb mode, Iu mode GSM, terminal, adaption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0" w:name="copyrightaddon"/>
                            <w:bookmarkEnd w:id="0"/>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 w:name="copyrightaddon"/>
                      <w:bookmarkEnd w:id="1"/>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40169">
            <w:r>
              <w:rPr>
                <w:rStyle w:val="IndexLink"/>
                <w:rFonts w:eastAsia="Batang;Batang" w:cs="Times New Roman"/>
                <w:color w:val="auto"/>
                <w:sz w:val="22"/>
                <w:szCs w:val="20"/>
                <w:lang w:val="en-GB" w:eastAsia="en-US" w:bidi="ar-SA"/>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17240170">
            <w:r>
              <w:rPr>
                <w:rStyle w:val="IndexLink"/>
              </w:rPr>
              <w:t>6</w:t>
            </w:r>
          </w:hyperlink>
        </w:p>
        <w:p>
          <w:pPr>
            <w:pStyle w:val="Contents2"/>
            <w:rPr>
              <w:sz w:val="24"/>
              <w:szCs w:val="24"/>
              <w:lang w:val="en-US" w:eastAsia="en-US"/>
            </w:rPr>
          </w:pPr>
          <w:r>
            <w:rPr/>
            <w:t>1.1</w:t>
          </w:r>
          <w:r>
            <w:rPr>
              <w:sz w:val="24"/>
              <w:szCs w:val="24"/>
              <w:lang w:val="en-US" w:eastAsia="en-US"/>
            </w:rPr>
            <w:tab/>
          </w:r>
          <w:r>
            <w:rPr/>
            <w:t>References</w:t>
            <w:tab/>
          </w:r>
          <w:hyperlink w:anchor="__RefHeading___Toc217240171">
            <w:r>
              <w:rPr>
                <w:rStyle w:val="IndexLink"/>
              </w:rPr>
              <w:t>6</w:t>
            </w:r>
          </w:hyperlink>
        </w:p>
        <w:p>
          <w:pPr>
            <w:pStyle w:val="Contents2"/>
            <w:rPr>
              <w:sz w:val="24"/>
              <w:szCs w:val="24"/>
              <w:lang w:val="en-US" w:eastAsia="en-US"/>
            </w:rPr>
          </w:pPr>
          <w:r>
            <w:rPr/>
            <w:t>1.2</w:t>
          </w:r>
          <w:r>
            <w:rPr>
              <w:sz w:val="24"/>
              <w:szCs w:val="24"/>
              <w:lang w:val="en-US" w:eastAsia="en-US"/>
            </w:rPr>
            <w:tab/>
          </w:r>
          <w:r>
            <w:rPr/>
            <w:t>Abbreviations</w:t>
            <w:tab/>
          </w:r>
          <w:hyperlink w:anchor="__RefHeading___Toc217240172">
            <w:r>
              <w:rPr>
                <w:rStyle w:val="IndexLink"/>
              </w:rPr>
              <w:t>8</w:t>
            </w:r>
          </w:hyperlink>
        </w:p>
        <w:p>
          <w:pPr>
            <w:pStyle w:val="Contents2"/>
            <w:rPr>
              <w:sz w:val="24"/>
              <w:szCs w:val="24"/>
              <w:lang w:val="en-US" w:eastAsia="en-US"/>
            </w:rPr>
          </w:pPr>
          <w:r>
            <w:rPr/>
            <w:t>1.3</w:t>
          </w:r>
          <w:r>
            <w:rPr>
              <w:sz w:val="24"/>
              <w:szCs w:val="24"/>
              <w:lang w:val="en-US" w:eastAsia="en-US"/>
            </w:rPr>
            <w:tab/>
          </w:r>
          <w:r>
            <w:rPr/>
            <w:t>Definitions</w:t>
            <w:tab/>
          </w:r>
          <w:hyperlink w:anchor="__RefHeading___Toc217240173">
            <w:r>
              <w:rPr>
                <w:rStyle w:val="IndexLink"/>
              </w:rPr>
              <w:t>8</w:t>
            </w:r>
          </w:hyperlink>
        </w:p>
        <w:p>
          <w:pPr>
            <w:pStyle w:val="Contents1"/>
            <w:rPr>
              <w:sz w:val="24"/>
              <w:szCs w:val="24"/>
              <w:lang w:val="en-US" w:eastAsia="en-US"/>
            </w:rPr>
          </w:pPr>
          <w:r>
            <w:rPr/>
            <w:t>2</w:t>
          </w:r>
          <w:r>
            <w:rPr>
              <w:sz w:val="24"/>
              <w:szCs w:val="24"/>
              <w:lang w:val="en-US" w:eastAsia="en-US"/>
            </w:rPr>
            <w:tab/>
          </w:r>
          <w:r>
            <w:rPr/>
            <w:t>Reference Configuration</w:t>
            <w:tab/>
          </w:r>
          <w:hyperlink w:anchor="__RefHeading___Toc217240174">
            <w:r>
              <w:rPr>
                <w:rStyle w:val="IndexLink"/>
              </w:rPr>
              <w:t>8</w:t>
            </w:r>
          </w:hyperlink>
        </w:p>
        <w:p>
          <w:pPr>
            <w:pStyle w:val="Contents2"/>
            <w:rPr>
              <w:sz w:val="24"/>
              <w:szCs w:val="24"/>
              <w:lang w:val="en-US" w:eastAsia="en-US"/>
            </w:rPr>
          </w:pPr>
          <w:r>
            <w:rPr/>
            <w:t>2.1</w:t>
          </w:r>
          <w:r>
            <w:rPr>
              <w:sz w:val="24"/>
              <w:szCs w:val="24"/>
              <w:lang w:val="en-US" w:eastAsia="en-US"/>
            </w:rPr>
            <w:tab/>
          </w:r>
          <w:r>
            <w:rPr/>
            <w:t>Customer Access Configuration</w:t>
            <w:tab/>
          </w:r>
          <w:hyperlink w:anchor="__RefHeading___Toc217240175">
            <w:r>
              <w:rPr>
                <w:rStyle w:val="IndexLink"/>
              </w:rPr>
              <w:t>8</w:t>
            </w:r>
          </w:hyperlink>
        </w:p>
        <w:p>
          <w:pPr>
            <w:pStyle w:val="Contents2"/>
            <w:rPr>
              <w:sz w:val="24"/>
              <w:szCs w:val="24"/>
              <w:lang w:val="en-US" w:eastAsia="en-US"/>
            </w:rPr>
          </w:pPr>
          <w:r>
            <w:rPr/>
            <w:t>2.2</w:t>
          </w:r>
          <w:r>
            <w:rPr>
              <w:sz w:val="24"/>
              <w:szCs w:val="24"/>
              <w:lang w:val="en-US" w:eastAsia="en-US"/>
            </w:rPr>
            <w:tab/>
          </w:r>
          <w:r>
            <w:rPr/>
            <w:t>Terminal Adaptation Function (TAF)</w:t>
            <w:tab/>
          </w:r>
          <w:hyperlink w:anchor="__RefHeading___Toc217240176">
            <w:r>
              <w:rPr>
                <w:rStyle w:val="IndexLink"/>
              </w:rPr>
              <w:t>8</w:t>
            </w:r>
          </w:hyperlink>
        </w:p>
        <w:p>
          <w:pPr>
            <w:pStyle w:val="Contents1"/>
            <w:rPr>
              <w:sz w:val="24"/>
              <w:szCs w:val="24"/>
              <w:lang w:val="en-US" w:eastAsia="en-US"/>
            </w:rPr>
          </w:pPr>
          <w:r>
            <w:rPr/>
            <w:t>3</w:t>
          </w:r>
          <w:r>
            <w:rPr>
              <w:sz w:val="24"/>
              <w:szCs w:val="24"/>
              <w:lang w:val="en-US" w:eastAsia="en-US"/>
            </w:rPr>
            <w:tab/>
          </w:r>
          <w:r>
            <w:rPr/>
            <w:t>Terminal Adaptation Functions for transparent services</w:t>
            <w:tab/>
          </w:r>
          <w:hyperlink w:anchor="__RefHeading___Toc217240177">
            <w:r>
              <w:rPr>
                <w:rStyle w:val="IndexLink"/>
              </w:rPr>
              <w:t>9</w:t>
            </w:r>
          </w:hyperlink>
        </w:p>
        <w:p>
          <w:pPr>
            <w:pStyle w:val="Contents2"/>
            <w:rPr>
              <w:sz w:val="24"/>
              <w:szCs w:val="24"/>
              <w:lang w:val="en-US" w:eastAsia="en-US"/>
            </w:rPr>
          </w:pPr>
          <w:r>
            <w:rPr/>
            <w:t>3.1</w:t>
          </w:r>
          <w:r>
            <w:rPr>
              <w:sz w:val="24"/>
              <w:szCs w:val="24"/>
              <w:lang w:val="en-US" w:eastAsia="en-US"/>
            </w:rPr>
            <w:tab/>
          </w:r>
          <w:r>
            <w:rPr/>
            <w:t>Rate Adaptation in A/Gb mode</w:t>
            <w:tab/>
          </w:r>
          <w:hyperlink w:anchor="__RefHeading___Toc217240178">
            <w:r>
              <w:rPr>
                <w:rStyle w:val="IndexLink"/>
              </w:rPr>
              <w:t>9</w:t>
            </w:r>
          </w:hyperlink>
        </w:p>
        <w:p>
          <w:pPr>
            <w:pStyle w:val="Contents3"/>
            <w:rPr>
              <w:sz w:val="24"/>
              <w:szCs w:val="24"/>
              <w:lang w:val="en-US" w:eastAsia="en-US"/>
            </w:rPr>
          </w:pPr>
          <w:r>
            <w:rPr/>
            <w:t>3.1.1</w:t>
          </w:r>
          <w:r>
            <w:rPr>
              <w:sz w:val="24"/>
              <w:szCs w:val="24"/>
              <w:lang w:val="en-US" w:eastAsia="en-US"/>
            </w:rPr>
            <w:tab/>
          </w:r>
          <w:r>
            <w:rPr/>
            <w:t>Rate Adaptation - R interface</w:t>
            <w:tab/>
          </w:r>
          <w:hyperlink w:anchor="__RefHeading___Toc217240179">
            <w:r>
              <w:rPr>
                <w:rStyle w:val="IndexLink"/>
              </w:rPr>
              <w:t>9</w:t>
            </w:r>
          </w:hyperlink>
        </w:p>
        <w:p>
          <w:pPr>
            <w:pStyle w:val="Contents3"/>
            <w:rPr>
              <w:sz w:val="24"/>
              <w:szCs w:val="24"/>
              <w:lang w:val="en-US" w:eastAsia="en-US"/>
            </w:rPr>
          </w:pPr>
          <w:r>
            <w:rPr/>
            <w:t>3.1.2</w:t>
          </w:r>
          <w:r>
            <w:rPr>
              <w:sz w:val="24"/>
              <w:szCs w:val="24"/>
              <w:lang w:val="en-US" w:eastAsia="en-US"/>
            </w:rPr>
            <w:tab/>
          </w:r>
          <w:r>
            <w:rPr/>
            <w:t>Rate Adaptation - S Interface (ITU-T I.420 [14])</w:t>
            <w:tab/>
          </w:r>
          <w:hyperlink w:anchor="__RefHeading___Toc217240180">
            <w:r>
              <w:rPr>
                <w:rStyle w:val="IndexLink"/>
              </w:rPr>
              <w:t>9</w:t>
            </w:r>
          </w:hyperlink>
        </w:p>
        <w:p>
          <w:pPr>
            <w:pStyle w:val="Contents2"/>
            <w:rPr>
              <w:sz w:val="24"/>
              <w:szCs w:val="24"/>
              <w:lang w:val="en-US" w:eastAsia="en-US"/>
            </w:rPr>
          </w:pPr>
          <w:r>
            <w:rPr/>
            <w:t>3.2</w:t>
          </w:r>
          <w:r>
            <w:rPr>
              <w:sz w:val="24"/>
              <w:szCs w:val="24"/>
              <w:lang w:val="en-US" w:eastAsia="en-US"/>
            </w:rPr>
            <w:tab/>
          </w:r>
          <w:r>
            <w:rPr/>
            <w:t>Interchange Circuit Signalling Mapping - ITU-T V-series interface</w:t>
            <w:tab/>
          </w:r>
          <w:hyperlink w:anchor="__RefHeading___Toc217240181">
            <w:r>
              <w:rPr>
                <w:rStyle w:val="IndexLink"/>
              </w:rPr>
              <w:t>9</w:t>
            </w:r>
          </w:hyperlink>
        </w:p>
        <w:p>
          <w:pPr>
            <w:pStyle w:val="Contents3"/>
            <w:rPr>
              <w:sz w:val="24"/>
              <w:szCs w:val="24"/>
              <w:lang w:val="en-US" w:eastAsia="en-US"/>
            </w:rPr>
          </w:pPr>
          <w:r>
            <w:rPr/>
            <w:t>3.2.1</w:t>
          </w:r>
          <w:r>
            <w:rPr>
              <w:sz w:val="24"/>
              <w:szCs w:val="24"/>
              <w:lang w:val="en-US" w:eastAsia="en-US"/>
            </w:rPr>
            <w:tab/>
          </w:r>
          <w:r>
            <w:rPr/>
            <w:t>Mapping of V.24 [19] circuits to status bits</w:t>
            <w:tab/>
          </w:r>
          <w:hyperlink w:anchor="__RefHeading___Toc217240182">
            <w:r>
              <w:rPr>
                <w:rStyle w:val="IndexLink"/>
              </w:rPr>
              <w:t>9</w:t>
            </w:r>
          </w:hyperlink>
        </w:p>
        <w:p>
          <w:pPr>
            <w:pStyle w:val="Contents3"/>
            <w:rPr>
              <w:sz w:val="24"/>
              <w:szCs w:val="24"/>
              <w:lang w:val="en-US" w:eastAsia="en-US"/>
            </w:rPr>
          </w:pPr>
          <w:r>
            <w:rPr/>
            <w:t>3.2.2</w:t>
          </w:r>
          <w:r>
            <w:rPr>
              <w:sz w:val="24"/>
              <w:szCs w:val="24"/>
              <w:lang w:val="en-US" w:eastAsia="en-US"/>
            </w:rPr>
            <w:tab/>
          </w:r>
          <w:r>
            <w:rPr/>
            <w:t>Single slot configurations (TCH/F9.6 or TCH/F4.8)</w:t>
            <w:tab/>
          </w:r>
          <w:hyperlink w:anchor="__RefHeading___Toc217240183">
            <w:r>
              <w:rPr>
                <w:rStyle w:val="IndexLink"/>
              </w:rPr>
              <w:t>10</w:t>
            </w:r>
          </w:hyperlink>
        </w:p>
        <w:p>
          <w:pPr>
            <w:pStyle w:val="Contents3"/>
            <w:rPr>
              <w:sz w:val="24"/>
              <w:szCs w:val="24"/>
              <w:lang w:val="en-US" w:eastAsia="en-US"/>
            </w:rPr>
          </w:pPr>
          <w:r>
            <w:rPr/>
            <w:t>3.2.3</w:t>
          </w:r>
          <w:r>
            <w:rPr>
              <w:sz w:val="24"/>
              <w:szCs w:val="24"/>
              <w:lang w:val="en-US" w:eastAsia="en-US"/>
            </w:rPr>
            <w:tab/>
          </w:r>
          <w:r>
            <w:rPr/>
            <w:t>Multislot configurations (TCH/F9.6 or TCH/F4.8)</w:t>
            <w:tab/>
          </w:r>
          <w:hyperlink w:anchor="__RefHeading___Toc217240184">
            <w:r>
              <w:rPr>
                <w:rStyle w:val="IndexLink"/>
              </w:rPr>
              <w:t>10</w:t>
            </w:r>
          </w:hyperlink>
        </w:p>
        <w:p>
          <w:pPr>
            <w:pStyle w:val="Contents3"/>
            <w:rPr>
              <w:sz w:val="24"/>
              <w:szCs w:val="24"/>
              <w:lang w:val="en-US" w:eastAsia="en-US"/>
            </w:rPr>
          </w:pPr>
          <w:r>
            <w:rPr/>
            <w:t>3.2.4</w:t>
          </w:r>
          <w:r>
            <w:rPr>
              <w:sz w:val="24"/>
              <w:szCs w:val="24"/>
              <w:lang w:val="en-US" w:eastAsia="en-US"/>
            </w:rPr>
            <w:tab/>
          </w:r>
          <w:r>
            <w:rPr/>
            <w:t>Channel codings TCH/F14.4, TCH/F28.8</w:t>
            <w:tab/>
          </w:r>
          <w:hyperlink w:anchor="__RefHeading___Toc217240185">
            <w:r>
              <w:rPr>
                <w:rStyle w:val="IndexLink"/>
              </w:rPr>
              <w:t>10</w:t>
            </w:r>
          </w:hyperlink>
        </w:p>
        <w:p>
          <w:pPr>
            <w:pStyle w:val="Contents2"/>
            <w:rPr>
              <w:sz w:val="24"/>
              <w:szCs w:val="24"/>
              <w:lang w:val="en-US" w:eastAsia="en-US"/>
            </w:rPr>
          </w:pPr>
          <w:r>
            <w:rPr/>
            <w:t>3.3</w:t>
          </w:r>
          <w:r>
            <w:rPr>
              <w:sz w:val="24"/>
              <w:szCs w:val="24"/>
              <w:lang w:val="en-US" w:eastAsia="en-US"/>
            </w:rPr>
            <w:tab/>
          </w:r>
          <w:r>
            <w:rPr/>
            <w:t>Interface Signal Levels - R interface</w:t>
            <w:tab/>
          </w:r>
          <w:hyperlink w:anchor="__RefHeading___Toc217240186">
            <w:r>
              <w:rPr>
                <w:rStyle w:val="IndexLink"/>
              </w:rPr>
              <w:t>10</w:t>
            </w:r>
          </w:hyperlink>
        </w:p>
        <w:p>
          <w:pPr>
            <w:pStyle w:val="Contents2"/>
            <w:rPr>
              <w:sz w:val="24"/>
              <w:szCs w:val="24"/>
              <w:lang w:val="en-US" w:eastAsia="en-US"/>
            </w:rPr>
          </w:pPr>
          <w:r>
            <w:rPr/>
            <w:t>3.4</w:t>
          </w:r>
          <w:r>
            <w:rPr>
              <w:sz w:val="24"/>
              <w:szCs w:val="24"/>
              <w:lang w:val="en-US" w:eastAsia="en-US"/>
            </w:rPr>
            <w:tab/>
          </w:r>
          <w:r>
            <w:rPr/>
            <w:t>Call Establishment and Clearing Signalling Mapping</w:t>
            <w:tab/>
          </w:r>
          <w:hyperlink w:anchor="__RefHeading___Toc217240187">
            <w:r>
              <w:rPr>
                <w:rStyle w:val="IndexLink"/>
              </w:rPr>
              <w:t>11</w:t>
            </w:r>
          </w:hyperlink>
        </w:p>
        <w:p>
          <w:pPr>
            <w:pStyle w:val="Contents3"/>
            <w:rPr>
              <w:sz w:val="24"/>
              <w:szCs w:val="24"/>
              <w:lang w:val="en-US" w:eastAsia="en-US"/>
            </w:rPr>
          </w:pPr>
          <w:r>
            <w:rPr/>
            <w:t>3.4.1</w:t>
          </w:r>
          <w:r>
            <w:rPr>
              <w:sz w:val="24"/>
              <w:szCs w:val="24"/>
              <w:lang w:val="en-US" w:eastAsia="en-US"/>
            </w:rPr>
            <w:tab/>
          </w:r>
          <w:r>
            <w:rPr/>
            <w:t>V-series interface Autocalling/answering</w:t>
            <w:tab/>
          </w:r>
          <w:hyperlink w:anchor="__RefHeading___Toc217240188">
            <w:r>
              <w:rPr>
                <w:rStyle w:val="IndexLink"/>
              </w:rPr>
              <w:t>11</w:t>
            </w:r>
          </w:hyperlink>
        </w:p>
        <w:p>
          <w:pPr>
            <w:pStyle w:val="Contents3"/>
            <w:rPr>
              <w:sz w:val="24"/>
              <w:szCs w:val="24"/>
              <w:lang w:val="en-US" w:eastAsia="en-US"/>
            </w:rPr>
          </w:pPr>
          <w:r>
            <w:rPr/>
            <w:t>3.4.2</w:t>
          </w:r>
          <w:r>
            <w:rPr>
              <w:sz w:val="24"/>
              <w:szCs w:val="24"/>
              <w:lang w:val="en-US" w:eastAsia="en-US"/>
            </w:rPr>
            <w:tab/>
          </w:r>
          <w:r>
            <w:rPr/>
            <w:t>S Interface (I.420) Signalling Mapping</w:t>
            <w:tab/>
          </w:r>
          <w:hyperlink w:anchor="__RefHeading___Toc217240189">
            <w:r>
              <w:rPr>
                <w:rStyle w:val="IndexLink"/>
              </w:rPr>
              <w:t>11</w:t>
            </w:r>
          </w:hyperlink>
        </w:p>
        <w:p>
          <w:pPr>
            <w:pStyle w:val="Contents3"/>
            <w:rPr>
              <w:sz w:val="24"/>
              <w:szCs w:val="24"/>
              <w:lang w:val="en-US" w:eastAsia="en-US"/>
            </w:rPr>
          </w:pPr>
          <w:r>
            <w:rPr/>
            <w:t>3.4.3</w:t>
          </w:r>
          <w:r>
            <w:rPr>
              <w:sz w:val="24"/>
              <w:szCs w:val="24"/>
              <w:lang w:val="en-US" w:eastAsia="en-US"/>
            </w:rPr>
            <w:tab/>
          </w:r>
          <w:r>
            <w:rPr/>
            <w:t>Call Establishment Manual Operation - Utilizing the Unrestricted Digital Capability</w:t>
            <w:tab/>
          </w:r>
          <w:hyperlink w:anchor="__RefHeading___Toc217240190">
            <w:r>
              <w:rPr>
                <w:rStyle w:val="IndexLink"/>
              </w:rPr>
              <w:t>11</w:t>
            </w:r>
          </w:hyperlink>
        </w:p>
        <w:p>
          <w:pPr>
            <w:pStyle w:val="Contents3"/>
            <w:rPr>
              <w:sz w:val="24"/>
              <w:szCs w:val="24"/>
              <w:lang w:val="en-US" w:eastAsia="en-US"/>
            </w:rPr>
          </w:pPr>
          <w:r>
            <w:rPr/>
            <w:t>3.4.4</w:t>
          </w:r>
          <w:r>
            <w:rPr>
              <w:sz w:val="24"/>
              <w:szCs w:val="24"/>
              <w:lang w:val="en-US" w:eastAsia="en-US"/>
            </w:rPr>
            <w:tab/>
          </w:r>
          <w:r>
            <w:rPr/>
            <w:t>V-series interface Call Clearing</w:t>
            <w:tab/>
          </w:r>
          <w:hyperlink w:anchor="__RefHeading___Toc217240191">
            <w:r>
              <w:rPr>
                <w:rStyle w:val="IndexLink"/>
              </w:rPr>
              <w:t>11</w:t>
            </w:r>
          </w:hyperlink>
        </w:p>
        <w:p>
          <w:pPr>
            <w:pStyle w:val="Contents1"/>
            <w:rPr>
              <w:sz w:val="24"/>
              <w:szCs w:val="24"/>
              <w:lang w:val="en-US" w:eastAsia="en-US"/>
            </w:rPr>
          </w:pPr>
          <w:r>
            <w:rPr/>
            <w:t>4</w:t>
          </w:r>
          <w:r>
            <w:rPr>
              <w:sz w:val="24"/>
              <w:szCs w:val="24"/>
              <w:lang w:val="en-US" w:eastAsia="en-US"/>
            </w:rPr>
            <w:tab/>
          </w:r>
          <w:r>
            <w:rPr/>
            <w:t>Terminal Adaptation Functions for non-transparent services</w:t>
            <w:tab/>
          </w:r>
          <w:hyperlink w:anchor="__RefHeading___Toc217240192">
            <w:r>
              <w:rPr>
                <w:rStyle w:val="IndexLink"/>
              </w:rPr>
              <w:t>11</w:t>
            </w:r>
          </w:hyperlink>
        </w:p>
        <w:p>
          <w:pPr>
            <w:pStyle w:val="Contents2"/>
            <w:rPr>
              <w:sz w:val="24"/>
              <w:szCs w:val="24"/>
              <w:lang w:val="en-US" w:eastAsia="en-US"/>
            </w:rPr>
          </w:pPr>
          <w:r>
            <w:rPr/>
            <w:t>4.1</w:t>
          </w:r>
          <w:r>
            <w:rPr>
              <w:sz w:val="24"/>
              <w:szCs w:val="24"/>
              <w:lang w:val="en-US" w:eastAsia="en-US"/>
            </w:rPr>
            <w:tab/>
          </w:r>
          <w:r>
            <w:rPr/>
            <w:t>Data Structure</w:t>
            <w:tab/>
          </w:r>
          <w:hyperlink w:anchor="__RefHeading___Toc217240193">
            <w:r>
              <w:rPr>
                <w:rStyle w:val="IndexLink"/>
              </w:rPr>
              <w:t>11</w:t>
            </w:r>
          </w:hyperlink>
        </w:p>
        <w:p>
          <w:pPr>
            <w:pStyle w:val="Contents3"/>
            <w:rPr>
              <w:sz w:val="24"/>
              <w:szCs w:val="24"/>
              <w:lang w:val="en-US" w:eastAsia="en-US"/>
            </w:rPr>
          </w:pPr>
          <w:r>
            <w:rPr/>
            <w:t>4.1.1</w:t>
          </w:r>
          <w:r>
            <w:rPr>
              <w:sz w:val="24"/>
              <w:szCs w:val="24"/>
              <w:lang w:val="en-US" w:eastAsia="en-US"/>
            </w:rPr>
            <w:tab/>
          </w:r>
          <w:r>
            <w:rPr/>
            <w:t>Data Structure on S Interface</w:t>
            <w:tab/>
          </w:r>
          <w:hyperlink w:anchor="__RefHeading___Toc217240194">
            <w:r>
              <w:rPr>
                <w:rStyle w:val="IndexLink"/>
              </w:rPr>
              <w:t>11</w:t>
            </w:r>
          </w:hyperlink>
        </w:p>
        <w:p>
          <w:pPr>
            <w:pStyle w:val="Contents3"/>
            <w:rPr>
              <w:sz w:val="24"/>
              <w:szCs w:val="24"/>
              <w:lang w:val="en-US" w:eastAsia="en-US"/>
            </w:rPr>
          </w:pPr>
          <w:r>
            <w:rPr/>
            <w:t>4.1.2</w:t>
          </w:r>
          <w:r>
            <w:rPr>
              <w:sz w:val="24"/>
              <w:szCs w:val="24"/>
              <w:lang w:val="en-US" w:eastAsia="en-US"/>
            </w:rPr>
            <w:tab/>
          </w:r>
          <w:r>
            <w:rPr/>
            <w:t>Data Structure on R Interface</w:t>
            <w:tab/>
          </w:r>
          <w:hyperlink w:anchor="__RefHeading___Toc217240195">
            <w:r>
              <w:rPr>
                <w:rStyle w:val="IndexLink"/>
              </w:rPr>
              <w:t>12</w:t>
            </w:r>
          </w:hyperlink>
        </w:p>
        <w:p>
          <w:pPr>
            <w:pStyle w:val="Contents3"/>
            <w:rPr>
              <w:sz w:val="24"/>
              <w:szCs w:val="24"/>
              <w:lang w:val="en-US" w:eastAsia="en-US"/>
            </w:rPr>
          </w:pPr>
          <w:r>
            <w:rPr/>
            <w:t>4.1.3</w:t>
          </w:r>
          <w:r>
            <w:rPr>
              <w:sz w:val="24"/>
              <w:szCs w:val="24"/>
              <w:lang w:val="en-US" w:eastAsia="en-US"/>
            </w:rPr>
            <w:tab/>
          </w:r>
          <w:r>
            <w:rPr/>
            <w:t>Data Structure Provided by the L2R Function to the RLP Function</w:t>
            <w:tab/>
          </w:r>
          <w:hyperlink w:anchor="__RefHeading___Toc217240196">
            <w:r>
              <w:rPr>
                <w:rStyle w:val="IndexLink"/>
              </w:rPr>
              <w:t>12</w:t>
            </w:r>
          </w:hyperlink>
        </w:p>
        <w:p>
          <w:pPr>
            <w:pStyle w:val="Contents2"/>
            <w:rPr>
              <w:sz w:val="24"/>
              <w:szCs w:val="24"/>
              <w:lang w:val="en-US" w:eastAsia="en-US"/>
            </w:rPr>
          </w:pPr>
          <w:r>
            <w:rPr/>
            <w:t>4.2</w:t>
          </w:r>
          <w:r>
            <w:rPr>
              <w:sz w:val="24"/>
              <w:szCs w:val="24"/>
              <w:lang w:val="en-US" w:eastAsia="en-US"/>
            </w:rPr>
            <w:tab/>
          </w:r>
          <w:r>
            <w:rPr/>
            <w:t>Signalling Mapping</w:t>
            <w:tab/>
          </w:r>
          <w:hyperlink w:anchor="__RefHeading___Toc217240197">
            <w:r>
              <w:rPr>
                <w:rStyle w:val="IndexLink"/>
              </w:rPr>
              <w:t>12</w:t>
            </w:r>
          </w:hyperlink>
        </w:p>
        <w:p>
          <w:pPr>
            <w:pStyle w:val="Contents3"/>
            <w:rPr>
              <w:sz w:val="24"/>
              <w:szCs w:val="24"/>
              <w:lang w:val="en-US" w:eastAsia="en-US"/>
            </w:rPr>
          </w:pPr>
          <w:r>
            <w:rPr/>
            <w:t>4.2.1</w:t>
          </w:r>
          <w:r>
            <w:rPr>
              <w:sz w:val="24"/>
              <w:szCs w:val="24"/>
              <w:lang w:val="en-US" w:eastAsia="en-US"/>
            </w:rPr>
            <w:tab/>
          </w:r>
          <w:r>
            <w:rPr/>
            <w:t>Interchange Circuit Signalling Mapping - ITU-T V-series interface</w:t>
            <w:tab/>
          </w:r>
          <w:hyperlink w:anchor="__RefHeading___Toc217240198">
            <w:r>
              <w:rPr>
                <w:rStyle w:val="IndexLink"/>
              </w:rPr>
              <w:t>12</w:t>
            </w:r>
          </w:hyperlink>
        </w:p>
        <w:p>
          <w:pPr>
            <w:pStyle w:val="Contents3"/>
            <w:rPr>
              <w:sz w:val="24"/>
              <w:szCs w:val="24"/>
              <w:lang w:val="en-US" w:eastAsia="en-US"/>
            </w:rPr>
          </w:pPr>
          <w:r>
            <w:rPr/>
            <w:t>4.2.2</w:t>
          </w:r>
          <w:r>
            <w:rPr>
              <w:sz w:val="24"/>
              <w:szCs w:val="24"/>
              <w:lang w:val="en-US" w:eastAsia="en-US"/>
            </w:rPr>
            <w:tab/>
          </w:r>
          <w:r>
            <w:rPr/>
            <w:t>Call Establishment and Clearing Signalling Mapping</w:t>
            <w:tab/>
          </w:r>
          <w:hyperlink w:anchor="__RefHeading___Toc217240199">
            <w:r>
              <w:rPr>
                <w:rStyle w:val="IndexLink"/>
              </w:rPr>
              <w:t>13</w:t>
            </w:r>
          </w:hyperlink>
        </w:p>
        <w:p>
          <w:pPr>
            <w:pStyle w:val="Contents2"/>
            <w:rPr>
              <w:sz w:val="24"/>
              <w:szCs w:val="24"/>
              <w:lang w:val="en-US" w:eastAsia="en-US"/>
            </w:rPr>
          </w:pPr>
          <w:r>
            <w:rPr/>
            <w:t>4.3</w:t>
          </w:r>
          <w:r>
            <w:rPr>
              <w:sz w:val="24"/>
              <w:szCs w:val="24"/>
              <w:lang w:val="en-US" w:eastAsia="en-US"/>
            </w:rPr>
            <w:tab/>
          </w:r>
          <w:r>
            <w:rPr/>
            <w:t>Flow Control</w:t>
            <w:tab/>
          </w:r>
          <w:hyperlink w:anchor="__RefHeading___Toc217240200">
            <w:r>
              <w:rPr>
                <w:rStyle w:val="IndexLink"/>
              </w:rPr>
              <w:t>13</w:t>
            </w:r>
          </w:hyperlink>
        </w:p>
        <w:p>
          <w:pPr>
            <w:pStyle w:val="Contents3"/>
            <w:rPr>
              <w:sz w:val="24"/>
              <w:szCs w:val="24"/>
              <w:lang w:val="en-US" w:eastAsia="en-US"/>
            </w:rPr>
          </w:pPr>
          <w:r>
            <w:rPr/>
            <w:t>4.3.1</w:t>
          </w:r>
          <w:r>
            <w:rPr>
              <w:sz w:val="24"/>
              <w:szCs w:val="24"/>
              <w:lang w:val="en-US" w:eastAsia="en-US"/>
            </w:rPr>
            <w:tab/>
          </w:r>
          <w:r>
            <w:rPr/>
            <w:t>Conditions Requiring Flow Control towards the Network</w:t>
            <w:tab/>
          </w:r>
          <w:hyperlink w:anchor="__RefHeading___Toc217240201">
            <w:r>
              <w:rPr>
                <w:rStyle w:val="IndexLink"/>
              </w:rPr>
              <w:t>13</w:t>
            </w:r>
          </w:hyperlink>
        </w:p>
        <w:p>
          <w:pPr>
            <w:pStyle w:val="Contents3"/>
            <w:rPr>
              <w:sz w:val="24"/>
              <w:szCs w:val="24"/>
              <w:lang w:val="en-US" w:eastAsia="en-US"/>
            </w:rPr>
          </w:pPr>
          <w:r>
            <w:rPr/>
            <w:t>4.3.2</w:t>
          </w:r>
          <w:r>
            <w:rPr>
              <w:sz w:val="24"/>
              <w:szCs w:val="24"/>
              <w:lang w:val="en-US" w:eastAsia="en-US"/>
            </w:rPr>
            <w:tab/>
          </w:r>
          <w:r>
            <w:rPr/>
            <w:t>Conditions Requiring Flow Control towards TE2</w:t>
            <w:tab/>
          </w:r>
          <w:hyperlink w:anchor="__RefHeading___Toc217240202">
            <w:r>
              <w:rPr>
                <w:rStyle w:val="IndexLink"/>
              </w:rPr>
              <w:t>13</w:t>
            </w:r>
          </w:hyperlink>
        </w:p>
        <w:p>
          <w:pPr>
            <w:pStyle w:val="Contents3"/>
            <w:rPr>
              <w:sz w:val="24"/>
              <w:szCs w:val="24"/>
              <w:lang w:val="en-US" w:eastAsia="en-US"/>
            </w:rPr>
          </w:pPr>
          <w:r>
            <w:rPr/>
            <w:t>4.3.3</w:t>
          </w:r>
          <w:r>
            <w:rPr>
              <w:sz w:val="24"/>
              <w:szCs w:val="24"/>
              <w:lang w:val="en-US" w:eastAsia="en-US"/>
            </w:rPr>
            <w:tab/>
          </w:r>
          <w:r>
            <w:rPr/>
            <w:t>Local Flow Control</w:t>
            <w:tab/>
          </w:r>
          <w:hyperlink w:anchor="__RefHeading___Toc217240203">
            <w:r>
              <w:rPr>
                <w:rStyle w:val="IndexLink"/>
              </w:rPr>
              <w:t>13</w:t>
            </w:r>
          </w:hyperlink>
        </w:p>
        <w:p>
          <w:pPr>
            <w:pStyle w:val="Contents3"/>
            <w:rPr>
              <w:sz w:val="24"/>
              <w:szCs w:val="24"/>
              <w:lang w:val="en-US" w:eastAsia="en-US"/>
            </w:rPr>
          </w:pPr>
          <w:r>
            <w:rPr/>
            <w:t>4.3.4</w:t>
          </w:r>
          <w:r>
            <w:rPr>
              <w:sz w:val="24"/>
              <w:szCs w:val="24"/>
              <w:lang w:val="en-US" w:eastAsia="en-US"/>
            </w:rPr>
            <w:tab/>
          </w:r>
          <w:r>
            <w:rPr/>
            <w:t>Character Orientated Protocol with No Flow Control</w:t>
            <w:tab/>
          </w:r>
          <w:hyperlink w:anchor="__RefHeading___Toc217240204">
            <w:r>
              <w:rPr>
                <w:rStyle w:val="IndexLink"/>
              </w:rPr>
              <w:t>14</w:t>
            </w:r>
          </w:hyperlink>
        </w:p>
        <w:p>
          <w:pPr>
            <w:pStyle w:val="Contents2"/>
            <w:rPr>
              <w:sz w:val="24"/>
              <w:szCs w:val="24"/>
              <w:lang w:val="en-US" w:eastAsia="en-US"/>
            </w:rPr>
          </w:pPr>
          <w:r>
            <w:rPr/>
            <w:t>4.4</w:t>
          </w:r>
          <w:r>
            <w:rPr>
              <w:sz w:val="24"/>
              <w:szCs w:val="24"/>
              <w:lang w:val="en-US" w:eastAsia="en-US"/>
            </w:rPr>
            <w:tab/>
          </w:r>
          <w:r>
            <w:rPr/>
            <w:t>Buffers</w:t>
            <w:tab/>
          </w:r>
          <w:hyperlink w:anchor="__RefHeading___Toc217240205">
            <w:r>
              <w:rPr>
                <w:rStyle w:val="IndexLink"/>
              </w:rPr>
              <w:t>14</w:t>
            </w:r>
          </w:hyperlink>
        </w:p>
        <w:p>
          <w:pPr>
            <w:pStyle w:val="Contents3"/>
            <w:rPr>
              <w:sz w:val="24"/>
              <w:szCs w:val="24"/>
              <w:lang w:val="en-US" w:eastAsia="en-US"/>
            </w:rPr>
          </w:pPr>
          <w:r>
            <w:rPr/>
            <w:t>4.4.1</w:t>
          </w:r>
          <w:r>
            <w:rPr>
              <w:sz w:val="24"/>
              <w:szCs w:val="24"/>
              <w:lang w:val="en-US" w:eastAsia="en-US"/>
            </w:rPr>
            <w:tab/>
          </w:r>
          <w:r>
            <w:rPr/>
            <w:t>TX Buffers</w:t>
            <w:tab/>
          </w:r>
          <w:hyperlink w:anchor="__RefHeading___Toc217240206">
            <w:r>
              <w:rPr>
                <w:rStyle w:val="IndexLink"/>
              </w:rPr>
              <w:t>14</w:t>
            </w:r>
          </w:hyperlink>
        </w:p>
        <w:p>
          <w:pPr>
            <w:pStyle w:val="Contents3"/>
            <w:rPr>
              <w:sz w:val="24"/>
              <w:szCs w:val="24"/>
              <w:lang w:val="en-US" w:eastAsia="en-US"/>
            </w:rPr>
          </w:pPr>
          <w:r>
            <w:rPr/>
            <w:t>4.4.2</w:t>
          </w:r>
          <w:r>
            <w:rPr>
              <w:sz w:val="24"/>
              <w:szCs w:val="24"/>
              <w:lang w:val="en-US" w:eastAsia="en-US"/>
            </w:rPr>
            <w:tab/>
          </w:r>
          <w:r>
            <w:rPr/>
            <w:t>RX Buffers</w:t>
            <w:tab/>
          </w:r>
          <w:hyperlink w:anchor="__RefHeading___Toc217240207">
            <w:r>
              <w:rPr>
                <w:rStyle w:val="IndexLink"/>
              </w:rPr>
              <w:t>14</w:t>
            </w:r>
          </w:hyperlink>
        </w:p>
        <w:p>
          <w:pPr>
            <w:pStyle w:val="Contents2"/>
            <w:rPr>
              <w:sz w:val="24"/>
              <w:szCs w:val="24"/>
              <w:lang w:val="en-US" w:eastAsia="en-US"/>
            </w:rPr>
          </w:pPr>
          <w:r>
            <w:rPr/>
            <w:t>4.5</w:t>
          </w:r>
          <w:r>
            <w:rPr>
              <w:sz w:val="24"/>
              <w:szCs w:val="24"/>
              <w:lang w:val="en-US" w:eastAsia="en-US"/>
            </w:rPr>
            <w:tab/>
          </w:r>
          <w:r>
            <w:rPr/>
            <w:t>Bit Transparency</w:t>
            <w:tab/>
          </w:r>
          <w:hyperlink w:anchor="__RefHeading___Toc217240208">
            <w:r>
              <w:rPr>
                <w:rStyle w:val="IndexLink"/>
              </w:rPr>
              <w:t>14</w:t>
            </w:r>
          </w:hyperlink>
        </w:p>
        <w:p>
          <w:pPr>
            <w:pStyle w:val="Contents2"/>
            <w:rPr>
              <w:sz w:val="24"/>
              <w:szCs w:val="24"/>
              <w:lang w:val="en-US" w:eastAsia="en-US"/>
            </w:rPr>
          </w:pPr>
          <w:r>
            <w:rPr/>
            <w:t>4.6</w:t>
          </w:r>
          <w:r>
            <w:rPr>
              <w:sz w:val="24"/>
              <w:szCs w:val="24"/>
              <w:lang w:val="en-US" w:eastAsia="en-US"/>
            </w:rPr>
            <w:tab/>
          </w:r>
          <w:r>
            <w:rPr/>
            <w:t>Transportation of "BREAK" condition</w:t>
            <w:tab/>
          </w:r>
          <w:hyperlink w:anchor="__RefHeading___Toc217240209">
            <w:r>
              <w:rPr>
                <w:rStyle w:val="IndexLink"/>
              </w:rPr>
              <w:t>14</w:t>
            </w:r>
          </w:hyperlink>
        </w:p>
        <w:p>
          <w:pPr>
            <w:pStyle w:val="Contents2"/>
            <w:rPr>
              <w:sz w:val="24"/>
              <w:szCs w:val="24"/>
              <w:lang w:val="en-US" w:eastAsia="en-US"/>
            </w:rPr>
          </w:pPr>
          <w:r>
            <w:rPr/>
            <w:t>4.7</w:t>
          </w:r>
          <w:r>
            <w:rPr>
              <w:sz w:val="24"/>
              <w:szCs w:val="24"/>
              <w:lang w:val="en-US" w:eastAsia="en-US"/>
            </w:rPr>
            <w:tab/>
          </w:r>
          <w:r>
            <w:rPr/>
            <w:t>Data Compression</w:t>
            <w:tab/>
          </w:r>
          <w:hyperlink w:anchor="__RefHeading___Toc217240210">
            <w:r>
              <w:rPr>
                <w:rStyle w:val="IndexLink"/>
              </w:rPr>
              <w:t>14</w:t>
            </w:r>
          </w:hyperlink>
        </w:p>
        <w:p>
          <w:pPr>
            <w:pStyle w:val="Contents1"/>
            <w:rPr>
              <w:sz w:val="24"/>
              <w:szCs w:val="24"/>
              <w:lang w:val="en-US" w:eastAsia="en-US"/>
            </w:rPr>
          </w:pPr>
          <w:r>
            <w:rPr/>
            <w:t>5</w:t>
          </w:r>
          <w:r>
            <w:rPr>
              <w:sz w:val="24"/>
              <w:szCs w:val="24"/>
              <w:lang w:val="en-US" w:eastAsia="en-US"/>
            </w:rPr>
            <w:tab/>
          </w:r>
          <w:r>
            <w:rPr/>
            <w:t>Terminal interfacing to 3GPP TS 24.008 [8] Mapping</w:t>
            <w:tab/>
          </w:r>
          <w:hyperlink w:anchor="__RefHeading___Toc217240211">
            <w:r>
              <w:rPr>
                <w:rStyle w:val="IndexLink"/>
              </w:rPr>
              <w:t>15</w:t>
            </w:r>
          </w:hyperlink>
        </w:p>
        <w:p>
          <w:pPr>
            <w:pStyle w:val="Contents2"/>
            <w:rPr>
              <w:sz w:val="24"/>
              <w:szCs w:val="24"/>
              <w:lang w:val="en-US" w:eastAsia="en-US"/>
            </w:rPr>
          </w:pPr>
          <w:r>
            <w:rPr/>
            <w:t>5.1</w:t>
          </w:r>
          <w:r>
            <w:rPr>
              <w:sz w:val="24"/>
              <w:szCs w:val="24"/>
              <w:lang w:val="en-US" w:eastAsia="en-US"/>
            </w:rPr>
            <w:tab/>
          </w:r>
          <w:r>
            <w:rPr/>
            <w:t>Mobile Originated Calls</w:t>
            <w:tab/>
          </w:r>
          <w:hyperlink w:anchor="__RefHeading___Toc217240212">
            <w:r>
              <w:rPr>
                <w:rStyle w:val="IndexLink"/>
              </w:rPr>
              <w:t>16</w:t>
            </w:r>
          </w:hyperlink>
        </w:p>
        <w:p>
          <w:pPr>
            <w:pStyle w:val="Contents2"/>
            <w:rPr>
              <w:sz w:val="24"/>
              <w:szCs w:val="24"/>
              <w:lang w:val="en-US" w:eastAsia="en-US"/>
            </w:rPr>
          </w:pPr>
          <w:r>
            <w:rPr/>
            <w:t>5.2</w:t>
          </w:r>
          <w:r>
            <w:rPr>
              <w:sz w:val="24"/>
              <w:szCs w:val="24"/>
              <w:lang w:val="en-US" w:eastAsia="en-US"/>
            </w:rPr>
            <w:tab/>
          </w:r>
          <w:r>
            <w:rPr/>
            <w:t>Mobile Terminated Calls</w:t>
            <w:tab/>
          </w:r>
          <w:hyperlink w:anchor="__RefHeading___Toc217240213">
            <w:r>
              <w:rPr>
                <w:rStyle w:val="IndexLink"/>
              </w:rPr>
              <w:t>16</w:t>
            </w:r>
          </w:hyperlink>
        </w:p>
        <w:p>
          <w:pPr>
            <w:pStyle w:val="Contents2"/>
            <w:rPr>
              <w:sz w:val="24"/>
              <w:szCs w:val="24"/>
              <w:lang w:val="en-US" w:eastAsia="en-US"/>
            </w:rPr>
          </w:pPr>
          <w:r>
            <w:rPr/>
            <w:t>5.3</w:t>
          </w:r>
          <w:r>
            <w:rPr>
              <w:sz w:val="24"/>
              <w:szCs w:val="24"/>
              <w:lang w:val="en-US" w:eastAsia="en-US"/>
            </w:rPr>
            <w:tab/>
          </w:r>
          <w:r>
            <w:rPr/>
            <w:t>Call Clearing</w:t>
            <w:tab/>
          </w:r>
          <w:hyperlink w:anchor="__RefHeading___Toc217240214">
            <w:r>
              <w:rPr>
                <w:rStyle w:val="IndexLink"/>
              </w:rPr>
              <w:t>17</w:t>
            </w:r>
          </w:hyperlink>
        </w:p>
        <w:p>
          <w:pPr>
            <w:pStyle w:val="Contents3"/>
            <w:rPr>
              <w:sz w:val="24"/>
              <w:szCs w:val="24"/>
              <w:lang w:val="en-US" w:eastAsia="en-US"/>
            </w:rPr>
          </w:pPr>
          <w:r>
            <w:rPr/>
            <w:t>5.3.1</w:t>
          </w:r>
          <w:r>
            <w:rPr>
              <w:sz w:val="24"/>
              <w:szCs w:val="24"/>
              <w:lang w:val="en-US" w:eastAsia="en-US"/>
            </w:rPr>
            <w:tab/>
          </w:r>
          <w:r>
            <w:rPr/>
            <w:t>Mobile initiated</w:t>
            <w:tab/>
          </w:r>
          <w:hyperlink w:anchor="__RefHeading___Toc217240215">
            <w:r>
              <w:rPr>
                <w:rStyle w:val="IndexLink"/>
              </w:rPr>
              <w:t>17</w:t>
            </w:r>
          </w:hyperlink>
        </w:p>
        <w:p>
          <w:pPr>
            <w:pStyle w:val="Contents3"/>
            <w:rPr>
              <w:sz w:val="24"/>
              <w:szCs w:val="24"/>
              <w:lang w:val="en-US" w:eastAsia="en-US"/>
            </w:rPr>
          </w:pPr>
          <w:r>
            <w:rPr/>
            <w:t>5.3.2</w:t>
          </w:r>
          <w:r>
            <w:rPr>
              <w:sz w:val="24"/>
              <w:szCs w:val="24"/>
              <w:lang w:val="en-US" w:eastAsia="en-US"/>
            </w:rPr>
            <w:tab/>
          </w:r>
          <w:r>
            <w:rPr/>
            <w:t>Network initiated</w:t>
            <w:tab/>
          </w:r>
          <w:hyperlink w:anchor="__RefHeading___Toc217240216">
            <w:r>
              <w:rPr>
                <w:rStyle w:val="IndexLink"/>
              </w:rPr>
              <w:t>17</w:t>
            </w:r>
          </w:hyperlink>
        </w:p>
        <w:p>
          <w:pPr>
            <w:pStyle w:val="Contents8"/>
            <w:rPr>
              <w:b w:val="false"/>
              <w:b w:val="false"/>
              <w:sz w:val="24"/>
              <w:szCs w:val="24"/>
              <w:lang w:val="en-US" w:eastAsia="en-US"/>
            </w:rPr>
          </w:pPr>
          <w:r>
            <w:rPr/>
            <w:t>Annex A (normative):</w:t>
            <w:tab/>
            <w:t>L2R Functionality</w:t>
            <w:tab/>
          </w:r>
          <w:hyperlink w:anchor="__RefHeading___Toc217240217">
            <w:r>
              <w:rPr>
                <w:rStyle w:val="IndexLink"/>
              </w:rPr>
              <w:t>18</w:t>
            </w:r>
          </w:hyperlink>
        </w:p>
        <w:p>
          <w:pPr>
            <w:pStyle w:val="Contents1"/>
            <w:rPr>
              <w:sz w:val="24"/>
              <w:szCs w:val="24"/>
              <w:lang w:val="en-US" w:eastAsia="en-US"/>
            </w:rPr>
          </w:pPr>
          <w:r>
            <w:rPr/>
            <w:t>A.1</w:t>
          </w:r>
          <w:r>
            <w:rPr>
              <w:sz w:val="24"/>
              <w:szCs w:val="24"/>
              <w:lang w:val="en-US" w:eastAsia="en-US"/>
            </w:rPr>
            <w:tab/>
          </w:r>
          <w:r>
            <w:rPr/>
            <w:t>Introduction</w:t>
            <w:tab/>
          </w:r>
          <w:hyperlink w:anchor="__RefHeading___Toc217240218">
            <w:r>
              <w:rPr>
                <w:rStyle w:val="IndexLink"/>
              </w:rPr>
              <w:t>18</w:t>
            </w:r>
          </w:hyperlink>
        </w:p>
        <w:p>
          <w:pPr>
            <w:pStyle w:val="Contents1"/>
            <w:rPr>
              <w:sz w:val="24"/>
              <w:szCs w:val="24"/>
              <w:lang w:val="en-US" w:eastAsia="en-US"/>
            </w:rPr>
          </w:pPr>
          <w:r>
            <w:rPr/>
            <w:t>A.2</w:t>
          </w:r>
          <w:r>
            <w:rPr>
              <w:sz w:val="24"/>
              <w:szCs w:val="24"/>
              <w:lang w:val="en-US" w:eastAsia="en-US"/>
            </w:rPr>
            <w:tab/>
          </w:r>
          <w:r>
            <w:rPr/>
            <w:t>The L2RCOP</w:t>
            <w:tab/>
          </w:r>
          <w:hyperlink w:anchor="__RefHeading___Toc217240219">
            <w:r>
              <w:rPr>
                <w:rStyle w:val="IndexLink"/>
              </w:rPr>
              <w:t>18</w:t>
            </w:r>
          </w:hyperlink>
        </w:p>
        <w:p>
          <w:pPr>
            <w:pStyle w:val="Contents1"/>
            <w:rPr>
              <w:sz w:val="24"/>
              <w:szCs w:val="24"/>
              <w:lang w:val="en-US" w:eastAsia="en-US"/>
            </w:rPr>
          </w:pPr>
          <w:r>
            <w:rPr/>
            <w:t>A.3</w:t>
          </w:r>
          <w:r>
            <w:rPr>
              <w:sz w:val="24"/>
              <w:szCs w:val="24"/>
              <w:lang w:val="en-US" w:eastAsia="en-US"/>
            </w:rPr>
            <w:tab/>
          </w:r>
          <w:r>
            <w:rPr/>
            <w:t>Use of the L2RCOP</w:t>
            <w:tab/>
          </w:r>
          <w:hyperlink w:anchor="__RefHeading___Toc217240220">
            <w:r>
              <w:rPr>
                <w:rStyle w:val="IndexLink"/>
              </w:rPr>
              <w:t>21</w:t>
            </w:r>
          </w:hyperlink>
        </w:p>
        <w:p>
          <w:pPr>
            <w:pStyle w:val="Contents2"/>
            <w:rPr>
              <w:sz w:val="24"/>
              <w:szCs w:val="24"/>
              <w:lang w:val="en-US" w:eastAsia="en-US"/>
            </w:rPr>
          </w:pPr>
          <w:r>
            <w:rPr/>
            <w:t>A.3.1</w:t>
          </w:r>
          <w:r>
            <w:rPr>
              <w:sz w:val="24"/>
              <w:szCs w:val="24"/>
              <w:lang w:val="en-US" w:eastAsia="en-US"/>
            </w:rPr>
            <w:tab/>
          </w:r>
          <w:r>
            <w:rPr/>
            <w:t>Radio Link Connection Control</w:t>
            <w:tab/>
          </w:r>
          <w:hyperlink w:anchor="__RefHeading___Toc217240221">
            <w:r>
              <w:rPr>
                <w:rStyle w:val="IndexLink"/>
              </w:rPr>
              <w:t>21</w:t>
            </w:r>
          </w:hyperlink>
        </w:p>
        <w:p>
          <w:pPr>
            <w:pStyle w:val="Contents2"/>
            <w:rPr>
              <w:sz w:val="24"/>
              <w:szCs w:val="24"/>
              <w:lang w:val="en-US" w:eastAsia="en-US"/>
            </w:rPr>
          </w:pPr>
          <w:r>
            <w:rPr/>
            <w:t>A.3.2</w:t>
          </w:r>
          <w:r>
            <w:rPr>
              <w:sz w:val="24"/>
              <w:szCs w:val="24"/>
              <w:lang w:val="en-US" w:eastAsia="en-US"/>
            </w:rPr>
            <w:tab/>
          </w:r>
          <w:r>
            <w:rPr/>
            <w:t>Data Transfer</w:t>
            <w:tab/>
          </w:r>
          <w:hyperlink w:anchor="__RefHeading___Toc217240222">
            <w:r>
              <w:rPr>
                <w:rStyle w:val="IndexLink"/>
              </w:rPr>
              <w:t>21</w:t>
            </w:r>
          </w:hyperlink>
        </w:p>
        <w:p>
          <w:pPr>
            <w:pStyle w:val="Contents2"/>
            <w:rPr>
              <w:sz w:val="24"/>
              <w:szCs w:val="24"/>
              <w:lang w:val="en-US" w:eastAsia="en-US"/>
            </w:rPr>
          </w:pPr>
          <w:r>
            <w:rPr/>
            <w:t>A.3.3</w:t>
          </w:r>
          <w:r>
            <w:rPr>
              <w:sz w:val="24"/>
              <w:szCs w:val="24"/>
              <w:lang w:val="en-US" w:eastAsia="en-US"/>
            </w:rPr>
            <w:tab/>
          </w:r>
          <w:r>
            <w:rPr/>
            <w:t>Status Transfer</w:t>
            <w:tab/>
          </w:r>
          <w:hyperlink w:anchor="__RefHeading___Toc217240223">
            <w:r>
              <w:rPr>
                <w:rStyle w:val="IndexLink"/>
              </w:rPr>
              <w:t>21</w:t>
            </w:r>
          </w:hyperlink>
        </w:p>
        <w:p>
          <w:pPr>
            <w:pStyle w:val="Contents2"/>
            <w:rPr>
              <w:sz w:val="24"/>
              <w:szCs w:val="24"/>
              <w:lang w:val="en-US" w:eastAsia="en-US"/>
            </w:rPr>
          </w:pPr>
          <w:r>
            <w:rPr/>
            <w:t>A.3.4</w:t>
          </w:r>
          <w:r>
            <w:rPr>
              <w:sz w:val="24"/>
              <w:szCs w:val="24"/>
              <w:lang w:val="en-US" w:eastAsia="en-US"/>
            </w:rPr>
            <w:tab/>
          </w:r>
          <w:r>
            <w:rPr/>
            <w:t>Flow Control</w:t>
            <w:tab/>
          </w:r>
          <w:hyperlink w:anchor="__RefHeading___Toc217240224">
            <w:r>
              <w:rPr>
                <w:rStyle w:val="IndexLink"/>
              </w:rPr>
              <w:t>21</w:t>
            </w:r>
          </w:hyperlink>
        </w:p>
        <w:p>
          <w:pPr>
            <w:pStyle w:val="Contents2"/>
            <w:rPr>
              <w:sz w:val="24"/>
              <w:szCs w:val="24"/>
              <w:lang w:val="en-US" w:eastAsia="en-US"/>
            </w:rPr>
          </w:pPr>
          <w:r>
            <w:rPr/>
            <w:t>A.3.5</w:t>
          </w:r>
          <w:r>
            <w:rPr>
              <w:sz w:val="24"/>
              <w:szCs w:val="24"/>
              <w:lang w:val="en-US" w:eastAsia="en-US"/>
            </w:rPr>
            <w:tab/>
          </w:r>
          <w:r>
            <w:rPr/>
            <w:t>Break</w:t>
            <w:tab/>
          </w:r>
          <w:hyperlink w:anchor="__RefHeading___Toc217240225">
            <w:r>
              <w:rPr>
                <w:rStyle w:val="IndexLink"/>
              </w:rPr>
              <w:t>21</w:t>
            </w:r>
          </w:hyperlink>
        </w:p>
        <w:p>
          <w:pPr>
            <w:pStyle w:val="Contents3"/>
            <w:rPr>
              <w:sz w:val="24"/>
              <w:szCs w:val="24"/>
              <w:lang w:val="en-US" w:eastAsia="en-US"/>
            </w:rPr>
          </w:pPr>
          <w:r>
            <w:rPr/>
            <w:t>A.3.5.1</w:t>
          </w:r>
          <w:r>
            <w:rPr>
              <w:sz w:val="24"/>
              <w:szCs w:val="24"/>
              <w:lang w:val="en-US" w:eastAsia="en-US"/>
            </w:rPr>
            <w:tab/>
          </w:r>
          <w:r>
            <w:rPr/>
            <w:t>Normal Realization</w:t>
            <w:tab/>
          </w:r>
          <w:hyperlink w:anchor="__RefHeading___Toc217240226">
            <w:r>
              <w:rPr>
                <w:rStyle w:val="IndexLink"/>
              </w:rPr>
              <w:t>21</w:t>
            </w:r>
          </w:hyperlink>
        </w:p>
        <w:p>
          <w:pPr>
            <w:pStyle w:val="Contents3"/>
            <w:rPr>
              <w:sz w:val="24"/>
              <w:szCs w:val="24"/>
              <w:lang w:val="en-US" w:eastAsia="en-US"/>
            </w:rPr>
          </w:pPr>
          <w:r>
            <w:rPr/>
            <w:t>A.3.5.2</w:t>
          </w:r>
          <w:r>
            <w:rPr>
              <w:sz w:val="24"/>
              <w:szCs w:val="24"/>
              <w:lang w:val="en-US" w:eastAsia="en-US"/>
            </w:rPr>
            <w:tab/>
          </w:r>
          <w:r>
            <w:rPr/>
            <w:t>Realization in case of Data Compression is used</w:t>
            <w:tab/>
          </w:r>
          <w:hyperlink w:anchor="__RefHeading___Toc217240227">
            <w:r>
              <w:rPr>
                <w:rStyle w:val="IndexLink"/>
              </w:rPr>
              <w:t>22</w:t>
            </w:r>
          </w:hyperlink>
        </w:p>
        <w:p>
          <w:pPr>
            <w:pStyle w:val="Contents8"/>
            <w:rPr>
              <w:b w:val="false"/>
              <w:b w:val="false"/>
              <w:sz w:val="24"/>
              <w:szCs w:val="24"/>
              <w:lang w:val="en-US" w:eastAsia="en-US"/>
            </w:rPr>
          </w:pPr>
          <w:r>
            <w:rPr/>
            <w:t>Annex B (informative):</w:t>
            <w:tab/>
            <w:t>Use of a 9 pin connector as an MT2 type interface</w:t>
            <w:tab/>
          </w:r>
          <w:hyperlink w:anchor="__RefHeading___Toc217240228">
            <w:r>
              <w:rPr>
                <w:rStyle w:val="IndexLink"/>
              </w:rPr>
              <w:t>23</w:t>
            </w:r>
          </w:hyperlink>
        </w:p>
        <w:p>
          <w:pPr>
            <w:pStyle w:val="Contents8"/>
            <w:rPr>
              <w:b w:val="false"/>
              <w:b w:val="false"/>
              <w:sz w:val="24"/>
              <w:szCs w:val="24"/>
              <w:lang w:val="en-US" w:eastAsia="en-US"/>
            </w:rPr>
          </w:pPr>
          <w:r>
            <w:rPr/>
            <w:t>Annex C (informative):</w:t>
            <w:tab/>
            <w:t>General mapping of ITU-T V.24 [19] circuits to channel status bits</w:t>
            <w:tab/>
          </w:r>
          <w:hyperlink w:anchor="__RefHeading___Toc217240229">
            <w:r>
              <w:rPr>
                <w:rStyle w:val="IndexLink"/>
              </w:rPr>
              <w:t>24</w:t>
            </w:r>
          </w:hyperlink>
        </w:p>
        <w:p>
          <w:pPr>
            <w:pStyle w:val="Contents8"/>
            <w:rPr>
              <w:sz w:val="24"/>
              <w:szCs w:val="24"/>
              <w:lang w:val="en-US" w:eastAsia="en-US"/>
            </w:rPr>
          </w:pPr>
          <w:r>
            <w:rPr>
              <w:b w:val="false"/>
            </w:rPr>
            <w:t>Annex D (informative):</w:t>
            <w:tab/>
            <w:t>Change history</w:t>
            <w:tab/>
          </w:r>
          <w:hyperlink w:anchor="__RefHeading___Toc217240230">
            <w:r>
              <w:rPr>
                <w:rStyle w:val="IndexLink"/>
                <w:b w:val="false"/>
              </w:rPr>
              <w:t>25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2" w:name="__RefHeading___Toc217240169"/>
      <w:bookmarkEnd w:id="2"/>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3" w:name="__RefHeading___Toc217240170"/>
      <w:bookmarkEnd w:id="3"/>
      <w:r>
        <w:rPr/>
        <w:t>1</w:t>
        <w:tab/>
        <w:t>Scope</w:t>
      </w:r>
    </w:p>
    <w:p>
      <w:pPr>
        <w:pStyle w:val="Normal"/>
        <w:rPr/>
      </w:pPr>
      <w:r>
        <w:rPr/>
        <w:t>The present document defines the interfaces and Terminal Adaptation Functions (TAF) integral to a Mobile Termination (MT) which enable the use of asynchronous bearer services in the PLMN and the attachment of asynchronous terminals to a MT (see 3GPP TS 24.002 [3] and 3GPP TS 23.101 [6]).</w:t>
      </w:r>
    </w:p>
    <w:p>
      <w:pPr>
        <w:pStyle w:val="Normal"/>
        <w:rPr/>
      </w:pPr>
      <w:r>
        <w:rPr/>
        <w:t>The general aspects of Terminal Adaptation Functions are contained in 3GPP TS 27.001 [10].</w:t>
      </w:r>
    </w:p>
    <w:p>
      <w:pPr>
        <w:pStyle w:val="Normal"/>
        <w:rPr/>
      </w:pPr>
      <w:r>
        <w:rPr/>
        <w:t>The present document covers support of these services for the following interfaces and procedures:</w:t>
      </w:r>
    </w:p>
    <w:p>
      <w:pPr>
        <w:pStyle w:val="EW"/>
        <w:rPr>
          <w:lang w:val="fr-FR"/>
        </w:rPr>
      </w:pPr>
      <w:r>
        <w:rPr>
          <w:lang w:val="fr-FR"/>
        </w:rPr>
        <w:t>(i)</w:t>
        <w:tab/>
        <w:t>ITU-T V.14 [16] procedures.</w:t>
      </w:r>
    </w:p>
    <w:p>
      <w:pPr>
        <w:pStyle w:val="EW"/>
        <w:rPr>
          <w:lang w:val="fr-FR"/>
        </w:rPr>
      </w:pPr>
      <w:r>
        <w:rPr>
          <w:lang w:val="fr-FR"/>
        </w:rPr>
        <w:t>(ii)</w:t>
        <w:tab/>
        <w:t>ITU-T  V.21 [17] DTE/DCE interface.</w:t>
      </w:r>
    </w:p>
    <w:p>
      <w:pPr>
        <w:pStyle w:val="EW"/>
        <w:rPr/>
      </w:pPr>
      <w:r>
        <w:rPr>
          <w:lang w:val="de-DE"/>
        </w:rPr>
        <w:t>(iii)</w:t>
        <w:tab/>
        <w:tab/>
        <w:t>ITU-T  V.22bis [18] DTE/DCE interface.</w:t>
      </w:r>
    </w:p>
    <w:p>
      <w:pPr>
        <w:pStyle w:val="EW"/>
        <w:rPr>
          <w:lang w:val="fr-FR"/>
        </w:rPr>
      </w:pPr>
      <w:r>
        <w:rPr>
          <w:lang w:val="fr-FR"/>
        </w:rPr>
        <w:t>(iv)</w:t>
        <w:tab/>
        <w:tab/>
        <w:t>ITU-T  V.32 [24] DTE/DCE procedures.</w:t>
      </w:r>
    </w:p>
    <w:p>
      <w:pPr>
        <w:pStyle w:val="EW"/>
        <w:rPr/>
      </w:pPr>
      <w:r>
        <w:rPr/>
        <w:t>(v)</w:t>
        <w:tab/>
        <w:t>ITU-T  I.420 [14] S interface.</w:t>
      </w:r>
    </w:p>
    <w:p>
      <w:pPr>
        <w:pStyle w:val="EX"/>
        <w:rPr/>
      </w:pPr>
      <w:r>
        <w:rPr/>
        <w:t>(vi)</w:t>
        <w:tab/>
        <w:t>ITU-T  V.250 [22] signalling procedures.</w:t>
      </w:r>
    </w:p>
    <w:p>
      <w:pPr>
        <w:pStyle w:val="Normal"/>
        <w:rPr/>
      </w:pPr>
      <w:r>
        <w:rPr/>
        <w:t>The asynchronous data rates between the MT and the IWF are defined in 3GPP TS 22.002 [5].</w:t>
      </w:r>
    </w:p>
    <w:p>
      <w:pPr>
        <w:pStyle w:val="NO"/>
        <w:rPr/>
      </w:pPr>
      <w:r>
        <w:rPr/>
        <w:t>NOTE:</w:t>
        <w:tab/>
        <w:t>From GSM R99 onwards the following services are no longer required in a PLMN:</w:t>
      </w:r>
    </w:p>
    <w:p>
      <w:pPr>
        <w:pStyle w:val="B4"/>
        <w:rPr/>
      </w:pPr>
      <w:r>
        <w:rPr/>
        <w:t>-</w:t>
        <w:tab/>
        <w:t>the dual Bearer Services "alternate speech/data" and "speech followed by data";</w:t>
      </w:r>
    </w:p>
    <w:p>
      <w:pPr>
        <w:pStyle w:val="B4"/>
        <w:rPr/>
      </w:pPr>
      <w:r>
        <w:rPr/>
        <w:t>-</w:t>
        <w:tab/>
        <w:t>the dedicated services for PAD and Packet access;</w:t>
      </w:r>
    </w:p>
    <w:p>
      <w:pPr>
        <w:pStyle w:val="B4"/>
        <w:rPr/>
      </w:pPr>
      <w:r>
        <w:rPr/>
        <w:t>-</w:t>
        <w:tab/>
        <w:t>the BS 21 ... 26 and BS 31 ... 34.</w:t>
      </w:r>
    </w:p>
    <w:p>
      <w:pPr>
        <w:pStyle w:val="Normal"/>
        <w:rPr/>
      </w:pPr>
      <w:r>
        <w:rPr/>
        <w:t>The support of these services is still optional. The specification of these services is not within the scope of the present document. For that, the reader is referred to GSM Release 98.</w:t>
      </w:r>
    </w:p>
    <w:p>
      <w:pPr>
        <w:pStyle w:val="NO"/>
        <w:rPr/>
      </w:pPr>
      <w:r>
        <w:rPr/>
        <w:t xml:space="preserve">NOTE: </w:t>
        <w:tab/>
        <w:t>Please note that the Gb interface does not play any role in the scope of the present document although the term “A/Gb mode” is used. GERAN Iu mode is for further study.</w:t>
      </w:r>
    </w:p>
    <w:p>
      <w:pPr>
        <w:pStyle w:val="Heading2H2"/>
        <w:rPr/>
      </w:pPr>
      <w:bookmarkStart w:id="4" w:name="__RefHeading___Toc217240171"/>
      <w:bookmarkEnd w:id="4"/>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Void.</w:t>
      </w:r>
    </w:p>
    <w:p>
      <w:pPr>
        <w:pStyle w:val="EX"/>
        <w:rPr/>
      </w:pPr>
      <w:r>
        <w:rPr/>
        <w:t>[2]</w:t>
        <w:tab/>
        <w:t>3GPP TS 43.010: "GSM Public Land Mobile Network (PLMN) connection types".</w:t>
      </w:r>
    </w:p>
    <w:p>
      <w:pPr>
        <w:pStyle w:val="EX"/>
        <w:rPr/>
      </w:pPr>
      <w:r>
        <w:rPr/>
        <w:t>[3]</w:t>
        <w:tab/>
        <w:t>3GPP TS 24.002: "GSM-UMTS Public Land Mobile Network (PLMN) access reference configuration".</w:t>
      </w:r>
    </w:p>
    <w:p>
      <w:pPr>
        <w:pStyle w:val="EX"/>
        <w:rPr/>
      </w:pPr>
      <w:r>
        <w:rPr/>
        <w:t>[4]</w:t>
        <w:tab/>
        <w:t xml:space="preserve">3GPP TS 44.021: "Rate adaption on the Mobile Station - Base Station System (MS </w:t>
        <w:noBreakHyphen/>
        <w:t xml:space="preserve"> BSS) interface".</w:t>
      </w:r>
    </w:p>
    <w:p>
      <w:pPr>
        <w:pStyle w:val="EX"/>
        <w:rPr/>
      </w:pPr>
      <w:r>
        <w:rPr/>
        <w:t>[5]</w:t>
        <w:tab/>
        <w:t>3GPP TS 22.002: "Circuit Bearer Services (BS) supported by a Public Land Mobile Network (PLMN)".</w:t>
      </w:r>
    </w:p>
    <w:p>
      <w:pPr>
        <w:pStyle w:val="EX"/>
        <w:rPr/>
      </w:pPr>
      <w:r>
        <w:rPr/>
        <w:t>[6]</w:t>
        <w:tab/>
        <w:t>3GPP TS 23.101: "General UMTS Architecture".</w:t>
      </w:r>
    </w:p>
    <w:p>
      <w:pPr>
        <w:pStyle w:val="EX"/>
        <w:rPr/>
      </w:pPr>
      <w:r>
        <w:rPr/>
        <w:t>[7]</w:t>
        <w:tab/>
        <w:t>3GPP TR 23.910: "Circuit Switched Data Bearer Services".</w:t>
      </w:r>
    </w:p>
    <w:p>
      <w:pPr>
        <w:pStyle w:val="EX"/>
        <w:rPr/>
      </w:pPr>
      <w:r>
        <w:rPr/>
        <w:t>[8]</w:t>
        <w:tab/>
        <w:t>3GPP TS 24.008: "Mobile Radio Interface Layer 3 specification; Core Network Protocols-Stage 3".</w:t>
      </w:r>
    </w:p>
    <w:p>
      <w:pPr>
        <w:pStyle w:val="EX"/>
        <w:rPr/>
      </w:pPr>
      <w:r>
        <w:rPr/>
        <w:t>[9]</w:t>
        <w:tab/>
        <w:t>3GPP TS 24.022: "Radio Link Protocol (RLP) for Circuit Switched Bearer and Teleservices".</w:t>
      </w:r>
    </w:p>
    <w:p>
      <w:pPr>
        <w:pStyle w:val="EX"/>
        <w:rPr/>
      </w:pPr>
      <w:r>
        <w:rPr/>
        <w:t>[10]</w:t>
        <w:tab/>
        <w:t>3GPP TS 27.001: "General on Terminal Adaptation Functions (TAF) for Mobile Stations (MS)".</w:t>
      </w:r>
    </w:p>
    <w:p>
      <w:pPr>
        <w:pStyle w:val="EX"/>
        <w:rPr/>
      </w:pPr>
      <w:r>
        <w:rPr/>
        <w:t>[11]</w:t>
        <w:tab/>
        <w:t>3GPP TS 27.007: "AT command set for 3G User Equipment (UE)".</w:t>
      </w:r>
    </w:p>
    <w:p>
      <w:pPr>
        <w:pStyle w:val="EX"/>
        <w:rPr/>
      </w:pPr>
      <w:r>
        <w:rPr/>
        <w:t>[12]</w:t>
        <w:tab/>
        <w:t xml:space="preserve">3GPP TR 21.905: </w:t>
      </w:r>
      <w:r>
        <w:rPr>
          <w:lang w:val="nb-NO"/>
        </w:rPr>
        <w:t>"Vocabulary for 3GPP Specifications"</w:t>
      </w:r>
      <w:r>
        <w:rPr>
          <w:lang w:val="en-US"/>
        </w:rPr>
        <w:t>.</w:t>
      </w:r>
    </w:p>
    <w:p>
      <w:pPr>
        <w:pStyle w:val="EX"/>
        <w:rPr/>
      </w:pPr>
      <w:r>
        <w:rPr/>
        <w:t>[13]</w:t>
        <w:tab/>
        <w:t>3GPP TS 29.007: "General requirements on Interworking between the Public Land Mobile Network (PLMN) and the Integrated Services Digital Network (ISDN) or Public Switched Telephone Network (PSTN)".</w:t>
      </w:r>
    </w:p>
    <w:p>
      <w:pPr>
        <w:pStyle w:val="EX"/>
        <w:rPr/>
      </w:pPr>
      <w:r>
        <w:rPr/>
        <w:t>[14]</w:t>
        <w:tab/>
        <w:t>ITU-T Recommendation I.420 (1998):"Basic user</w:t>
        <w:noBreakHyphen/>
        <w:t>network interface".</w:t>
      </w:r>
    </w:p>
    <w:p>
      <w:pPr>
        <w:pStyle w:val="EX"/>
        <w:rPr/>
      </w:pPr>
      <w:r>
        <w:rPr/>
        <w:t>[15]</w:t>
        <w:tab/>
        <w:t>ITU-T Recommendation V.4 (1988): "General structure of signals of international alphabet No.5 code for character oriented data transmission over public telephone networks".</w:t>
      </w:r>
    </w:p>
    <w:p>
      <w:pPr>
        <w:pStyle w:val="EX"/>
        <w:rPr/>
      </w:pPr>
      <w:r>
        <w:rPr/>
        <w:t>[16]</w:t>
        <w:tab/>
        <w:t>ITU-T Recommendation V.14 (1993): "Transmission of start</w:t>
        <w:noBreakHyphen/>
        <w:t>stop characters over synchronous bearer channels".</w:t>
      </w:r>
    </w:p>
    <w:p>
      <w:pPr>
        <w:pStyle w:val="EX"/>
        <w:rPr/>
      </w:pPr>
      <w:r>
        <w:rPr/>
        <w:t>[17]</w:t>
        <w:tab/>
        <w:t>ITU-T Recommendation V.21 (1988): "300 bits per second duplex modem standardized for use in the general switched telephone network".</w:t>
      </w:r>
    </w:p>
    <w:p>
      <w:pPr>
        <w:pStyle w:val="EX"/>
        <w:rPr/>
      </w:pPr>
      <w:r>
        <w:rPr/>
        <w:t>[18]</w:t>
        <w:tab/>
        <w:t>ITU-T Recommendation V.22bis (1988): "2400 bits per second duplex modem using the frequency division technique standardized for use on the general switched telephone network and on point-to-point 2-wire leased telephone-type circuits".</w:t>
      </w:r>
    </w:p>
    <w:p>
      <w:pPr>
        <w:pStyle w:val="EX"/>
        <w:rPr/>
      </w:pPr>
      <w:r>
        <w:rPr/>
        <w:t>[19]</w:t>
        <w:tab/>
        <w:t>ITU-T Recommendation V.24 (1996): "List of definitions for interchange circuits between data terminal equipment (DTE) and data circuit</w:t>
        <w:noBreakHyphen/>
        <w:t>terminating equipment (DCE)".</w:t>
      </w:r>
    </w:p>
    <w:p>
      <w:pPr>
        <w:pStyle w:val="EX"/>
        <w:rPr/>
      </w:pPr>
      <w:r>
        <w:rPr/>
        <w:t>[20]</w:t>
        <w:tab/>
        <w:t>ITU-T Recommendation V.25 (1996): "Automatic answering equipment and general procedures for automatic calling equipment on the general switched telephone network including procedures for disabling of echo control devices for both manually and automatically established calls".</w:t>
      </w:r>
    </w:p>
    <w:p>
      <w:pPr>
        <w:pStyle w:val="EX"/>
        <w:rPr/>
      </w:pPr>
      <w:r>
        <w:rPr/>
        <w:t>[21]</w:t>
        <w:tab/>
        <w:t>Void.</w:t>
      </w:r>
    </w:p>
    <w:p>
      <w:pPr>
        <w:pStyle w:val="EX"/>
        <w:rPr/>
      </w:pPr>
      <w:r>
        <w:rPr/>
        <w:t>[22]</w:t>
        <w:tab/>
        <w:t>ITU</w:t>
        <w:noBreakHyphen/>
        <w:t>T Recommendation V.250</w:t>
      </w:r>
      <w:r>
        <w:rPr>
          <w:lang w:eastAsia="ko-KR"/>
        </w:rPr>
        <w:t xml:space="preserve"> </w:t>
      </w:r>
      <w:r>
        <w:rPr/>
        <w:t>(1999): "Serial asynchronous automatic dialling and control".</w:t>
      </w:r>
    </w:p>
    <w:p>
      <w:pPr>
        <w:pStyle w:val="EX"/>
        <w:rPr/>
      </w:pPr>
      <w:r>
        <w:rPr/>
        <w:t>[23]</w:t>
        <w:tab/>
        <w:t>ITU</w:t>
        <w:noBreakHyphen/>
        <w:t>T Recommendation V.28 (1993): "Electrical characteristics for unbalanced double-current interchange circuits".</w:t>
      </w:r>
    </w:p>
    <w:p>
      <w:pPr>
        <w:pStyle w:val="EX"/>
        <w:rPr/>
      </w:pPr>
      <w:r>
        <w:rPr/>
        <w:t>[24]</w:t>
        <w:tab/>
        <w:t>ITU-T Recommendation V.32 (1993): "A family of 2</w:t>
        <w:noBreakHyphen/>
        <w:t>wire, duplex modems operating at data signalling rates of up to 9600 bit/s for use in the general switched telephone network and on leased telephone</w:t>
        <w:noBreakHyphen/>
        <w:t>type circuits".</w:t>
      </w:r>
    </w:p>
    <w:p>
      <w:pPr>
        <w:pStyle w:val="EX"/>
        <w:rPr/>
      </w:pPr>
      <w:r>
        <w:rPr/>
        <w:t>[25]</w:t>
        <w:tab/>
        <w:t>ITU-T Recommendation V.42 (1996): "Error</w:t>
        <w:noBreakHyphen/>
        <w:t>correcting procedures for DCEs using asynchronous</w:t>
        <w:noBreakHyphen/>
        <w:t>to</w:t>
        <w:noBreakHyphen/>
        <w:t>synchronous conversion".</w:t>
      </w:r>
    </w:p>
    <w:p>
      <w:pPr>
        <w:pStyle w:val="EX"/>
        <w:rPr/>
      </w:pPr>
      <w:r>
        <w:rPr/>
        <w:t>[26]</w:t>
        <w:tab/>
        <w:t>ITU</w:t>
        <w:noBreakHyphen/>
        <w:t>T Recommendation V.42 bis (1990): "Data compression procedures for data circuit-terminating equipment (DCE) using error correction procedures".</w:t>
      </w:r>
    </w:p>
    <w:p>
      <w:pPr>
        <w:pStyle w:val="EX"/>
        <w:rPr/>
      </w:pPr>
      <w:r>
        <w:rPr/>
        <w:t>[27]</w:t>
        <w:tab/>
        <w:t>ITU-T Recommendation V.110 (1996): "Support of data terminal equipments with V</w:t>
        <w:noBreakHyphen/>
        <w:t>Series interfaces by an integrated services digital network".</w:t>
      </w:r>
    </w:p>
    <w:p>
      <w:pPr>
        <w:pStyle w:val="EX"/>
        <w:rPr/>
      </w:pPr>
      <w:r>
        <w:rPr/>
        <w:t>[28]</w:t>
        <w:tab/>
        <w:t>ITU-T Recommendation X.28 (1997): "DTE/DCE interface for a start</w:t>
        <w:noBreakHyphen/>
        <w:t>stop mode Data Terminal Equipment accessing the Packet Assembly/Disassembly facility (PAD) in a public data network situated in the same country".</w:t>
      </w:r>
    </w:p>
    <w:p>
      <w:pPr>
        <w:pStyle w:val="EX"/>
        <w:rPr/>
      </w:pPr>
      <w:r>
        <w:rPr/>
        <w:t>[29]</w:t>
        <w:tab/>
        <w:t>Personal Computer Memory Card Association: "PCMCIA 2.1 or PC</w:t>
        <w:noBreakHyphen/>
        <w:t>Card 3.0 electrical specification or later revisions".</w:t>
      </w:r>
    </w:p>
    <w:p>
      <w:pPr>
        <w:pStyle w:val="EX"/>
        <w:keepNext w:val="true"/>
        <w:rPr/>
      </w:pPr>
      <w:r>
        <w:rPr/>
        <w:t>[30]</w:t>
        <w:tab/>
        <w:t>Infrared Data Association IrDA "IrPHY Physical layer signalling standard".</w:t>
      </w:r>
    </w:p>
    <w:p>
      <w:pPr>
        <w:pStyle w:val="EX"/>
        <w:keepNext w:val="true"/>
        <w:rPr/>
      </w:pPr>
      <w:r>
        <w:rPr/>
        <w:t>[31]</w:t>
        <w:tab/>
        <w:t>ISO 2110</w:t>
      </w:r>
      <w:r>
        <w:rPr>
          <w:lang w:eastAsia="ko-KR"/>
        </w:rPr>
        <w:t xml:space="preserve"> </w:t>
      </w:r>
      <w:r>
        <w:rPr/>
        <w:t>(1989): "Data communication - 25-pole DTE/DCE interface connector and contact number assignments".</w:t>
      </w:r>
    </w:p>
    <w:p>
      <w:pPr>
        <w:pStyle w:val="EX"/>
        <w:keepNext w:val="true"/>
        <w:rPr/>
      </w:pPr>
      <w:r>
        <w:rPr/>
        <w:t>[32]</w:t>
        <w:tab/>
        <w:t>ITU-T Recommendation Q.931</w:t>
      </w:r>
      <w:r>
        <w:rPr>
          <w:lang w:eastAsia="ko-KR"/>
        </w:rPr>
        <w:t xml:space="preserve"> </w:t>
      </w:r>
      <w:r>
        <w:rPr/>
        <w:t>(1998): "ISDN user-network interface layer 3 specification for basic call control".</w:t>
      </w:r>
    </w:p>
    <w:p>
      <w:pPr>
        <w:pStyle w:val="Heading2H2"/>
        <w:rPr/>
      </w:pPr>
      <w:bookmarkStart w:id="5" w:name="__RefHeading___Toc217240172"/>
      <w:bookmarkEnd w:id="5"/>
      <w:r>
        <w:rPr/>
        <w:t>1.2</w:t>
        <w:tab/>
        <w:t>Abbreviations</w:t>
      </w:r>
    </w:p>
    <w:p>
      <w:pPr>
        <w:pStyle w:val="Normal"/>
        <w:rPr/>
      </w:pPr>
      <w:r>
        <w:rPr/>
        <w:t>In addition to the abbreviations used in the present document that are listed in TR 21.905 [12] the following internal abbreviations are used:</w:t>
      </w:r>
    </w:p>
    <w:p>
      <w:pPr>
        <w:pStyle w:val="EW"/>
        <w:rPr/>
      </w:pPr>
      <w:r>
        <w:rPr/>
        <w:t>CFI</w:t>
        <w:tab/>
        <w:t>Call Failure Indication</w:t>
      </w:r>
    </w:p>
    <w:p>
      <w:pPr>
        <w:pStyle w:val="EW"/>
        <w:rPr/>
      </w:pPr>
      <w:r>
        <w:rPr/>
        <w:t>CRN</w:t>
        <w:tab/>
        <w:t>Call Request with Number</w:t>
      </w:r>
    </w:p>
    <w:p>
      <w:pPr>
        <w:pStyle w:val="EW"/>
        <w:rPr/>
      </w:pPr>
      <w:r>
        <w:rPr/>
        <w:t>DIC</w:t>
        <w:tab/>
        <w:t>Disregard Incoming Call</w:t>
      </w:r>
    </w:p>
    <w:p>
      <w:pPr>
        <w:pStyle w:val="EW"/>
        <w:rPr/>
      </w:pPr>
      <w:r>
        <w:rPr/>
        <w:t>IA5</w:t>
        <w:tab/>
        <w:t>International Alphabet no. 5</w:t>
      </w:r>
    </w:p>
    <w:p>
      <w:pPr>
        <w:pStyle w:val="EW"/>
        <w:rPr/>
      </w:pPr>
      <w:r>
        <w:rPr/>
        <w:t>INC</w:t>
        <w:tab/>
        <w:t>INcoming Call</w:t>
      </w:r>
    </w:p>
    <w:p>
      <w:pPr>
        <w:pStyle w:val="EW"/>
        <w:rPr/>
      </w:pPr>
      <w:r>
        <w:rPr/>
        <w:t>INV</w:t>
        <w:tab/>
        <w:t>INValid</w:t>
      </w:r>
    </w:p>
    <w:p>
      <w:pPr>
        <w:pStyle w:val="EW"/>
        <w:rPr/>
      </w:pPr>
      <w:r>
        <w:rPr/>
        <w:t>ITU-T</w:t>
        <w:tab/>
      </w:r>
      <w:r>
        <w:rPr>
          <w:lang w:val="en-AU"/>
        </w:rPr>
        <w:t>ITU-Telecommunication Standardization Sector</w:t>
      </w:r>
    </w:p>
    <w:p>
      <w:pPr>
        <w:pStyle w:val="EW"/>
        <w:rPr/>
      </w:pPr>
      <w:r>
        <w:rPr/>
        <w:t>VAL</w:t>
        <w:tab/>
        <w:t>VALid</w:t>
      </w:r>
    </w:p>
    <w:p>
      <w:pPr>
        <w:pStyle w:val="Heading2H2"/>
        <w:rPr/>
      </w:pPr>
      <w:bookmarkStart w:id="6" w:name="__RefHeading___Toc217240173"/>
      <w:bookmarkEnd w:id="6"/>
      <w:r>
        <w:rPr/>
        <w:t>1.3</w:t>
        <w:tab/>
        <w:t>Definitions</w:t>
      </w:r>
    </w:p>
    <w:p>
      <w:pPr>
        <w:pStyle w:val="Normal"/>
        <w:rPr/>
      </w:pPr>
      <w:r>
        <w:rPr/>
        <w:t>The term 'mobile station' (MS) in the present document is synonymous with the term 'user equipment' (UE ) as defined in 3GPP TR 21.905 [12].</w:t>
      </w:r>
    </w:p>
    <w:p>
      <w:pPr>
        <w:pStyle w:val="Normal"/>
        <w:rPr/>
      </w:pPr>
      <w:r>
        <w:rPr/>
        <w:t>The term 'TE2' in the present document is synonymous with the term 'TE' as defined in 3GPP TR 21.905 [12].</w:t>
      </w:r>
    </w:p>
    <w:p>
      <w:pPr>
        <w:pStyle w:val="Normal"/>
        <w:rPr/>
      </w:pPr>
      <w:r>
        <w:rPr/>
        <w:t>The term 'MT2' in the present document is synonymous with the term 'MT' as defined in 3GPP TR 21.905 [12].</w:t>
      </w:r>
    </w:p>
    <w:p>
      <w:pPr>
        <w:pStyle w:val="Normal"/>
        <w:rPr/>
      </w:pPr>
      <w:r>
        <w:rPr/>
        <w:t>In addition to the definitions used in the present document that are listed in TR 21.905 [12] the following internal definitions are used:</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1"/>
        <w:ind w:left="1134" w:hanging="1134"/>
        <w:rPr/>
      </w:pPr>
      <w:bookmarkStart w:id="7" w:name="__RefHeading___Toc217240174"/>
      <w:bookmarkEnd w:id="7"/>
      <w:r>
        <w:rPr/>
        <w:t>2</w:t>
        <w:tab/>
        <w:t>Reference Configuration</w:t>
      </w:r>
    </w:p>
    <w:p>
      <w:pPr>
        <w:pStyle w:val="Normal"/>
        <w:rPr/>
      </w:pPr>
      <w:r>
        <w:rPr/>
        <w:t>3GPP TS 27.001 [10], 3GPP TS 23.101 [6] and 3GPP TS 24.002 [3] describe the basic reference configurations.</w:t>
      </w:r>
    </w:p>
    <w:p>
      <w:pPr>
        <w:pStyle w:val="Heading2H2"/>
        <w:rPr/>
      </w:pPr>
      <w:bookmarkStart w:id="8" w:name="__RefHeading___Toc217240175"/>
      <w:bookmarkEnd w:id="8"/>
      <w:r>
        <w:rPr/>
        <w:t>2.1</w:t>
        <w:tab/>
        <w:t>Customer Access Configuration</w:t>
      </w:r>
    </w:p>
    <w:p>
      <w:pPr>
        <w:pStyle w:val="Normal"/>
        <w:rPr/>
      </w:pPr>
      <w:r>
        <w:rPr/>
        <w:t>This configuration is as shown in figure 1 of 3GPP TS 24.002 [3]. The present document specifically refers to the Mobile Terminations (MTs) which support terminals of the type TE1 and TE2 with asynchronous capabilities. The TAF is functionally a part of an MT1, MT2 or MT0 with an integral asynchronous data capability.</w:t>
      </w:r>
    </w:p>
    <w:p>
      <w:pPr>
        <w:pStyle w:val="Heading2H2"/>
        <w:rPr/>
      </w:pPr>
      <w:bookmarkStart w:id="9" w:name="__RefHeading___Toc217240176"/>
      <w:bookmarkEnd w:id="9"/>
      <w:r>
        <w:rPr/>
        <w:t>2.2</w:t>
        <w:tab/>
        <w:t>Terminal Adaptation Function (TAF)</w:t>
      </w:r>
    </w:p>
    <w:p>
      <w:pPr>
        <w:pStyle w:val="Normal"/>
        <w:rPr/>
      </w:pPr>
      <w:r>
        <w:rPr/>
        <w:t>The TAF provides facilities to allow manual or automatic call control functions associated with circuit switched services. The following functions are also included:</w:t>
      </w:r>
    </w:p>
    <w:p>
      <w:pPr>
        <w:pStyle w:val="B1"/>
        <w:rPr/>
      </w:pPr>
      <w:r>
        <w:rPr/>
        <w:noBreakHyphen/>
      </w:r>
      <w:r>
        <w:rPr/>
        <w:tab/>
        <w:t>Conversion of electrical, mechanical, functional and procedural characteristics of the ITU-T  V series and ISDN type interfaces to those required by the PLMN.</w:t>
      </w:r>
    </w:p>
    <w:p>
      <w:pPr>
        <w:pStyle w:val="B1"/>
        <w:rPr/>
      </w:pPr>
      <w:r>
        <w:rPr/>
        <w:noBreakHyphen/>
      </w:r>
      <w:r>
        <w:rPr/>
        <w:tab/>
        <w:t>Bit rate adaptation of the ITU-T  V series data signalling rates and the ISDN 64 kbit/s to that provided in the PLMN.</w:t>
      </w:r>
    </w:p>
    <w:p>
      <w:pPr>
        <w:pStyle w:val="B1"/>
        <w:rPr/>
      </w:pPr>
      <w:r>
        <w:rPr/>
        <w:noBreakHyphen/>
      </w:r>
      <w:r>
        <w:rPr/>
        <w:tab/>
        <w:t>The mapping functions necessary to convert automatic calling and/or automatic answering procedures of  the ITU-T  recommendation V.250 [22] and parameters for asynchronous operation.</w:t>
      </w:r>
    </w:p>
    <w:p>
      <w:pPr>
        <w:pStyle w:val="B1"/>
        <w:rPr/>
      </w:pPr>
      <w:r>
        <w:rPr/>
        <w:noBreakHyphen/>
      </w:r>
      <w:r>
        <w:rPr/>
        <w:tab/>
        <w:t>The mapping functions necessary to convert S interface signalling to the PLMN Dm channel signalling.</w:t>
      </w:r>
    </w:p>
    <w:p>
      <w:pPr>
        <w:pStyle w:val="B1"/>
        <w:rPr/>
      </w:pPr>
      <w:r>
        <w:rPr/>
        <w:noBreakHyphen/>
      </w:r>
      <w:r>
        <w:rPr/>
        <w:tab/>
        <w:t>Flow control (in some cases resulting in non</w:t>
        <w:noBreakHyphen/>
        <w:t>transparency of data as described in 4.3).</w:t>
      </w:r>
    </w:p>
    <w:p>
      <w:pPr>
        <w:pStyle w:val="B1"/>
        <w:rPr/>
      </w:pPr>
      <w:r>
        <w:rPr/>
        <w:noBreakHyphen/>
      </w:r>
      <w:r>
        <w:rPr/>
        <w:tab/>
        <w:t>Layer 2 Relaying (see annex A).</w:t>
      </w:r>
    </w:p>
    <w:p>
      <w:pPr>
        <w:pStyle w:val="B1"/>
        <w:rPr/>
      </w:pPr>
      <w:r>
        <w:rPr/>
        <w:noBreakHyphen/>
      </w:r>
      <w:r>
        <w:rPr/>
        <w:tab/>
        <w:t>In</w:t>
        <w:noBreakHyphen/>
        <w:t>call modification function.</w:t>
      </w:r>
    </w:p>
    <w:p>
      <w:pPr>
        <w:pStyle w:val="B1"/>
        <w:rPr/>
      </w:pPr>
      <w:r>
        <w:rPr/>
        <w:noBreakHyphen/>
      </w:r>
      <w:r>
        <w:rPr/>
        <w:tab/>
        <w:t>Synchronization procedure, which means the task of synchronizing the entry to and the exit from the data transfer phase between two user terminals. This is described in 3GPP TS 27.001 [10].</w:t>
      </w:r>
    </w:p>
    <w:p>
      <w:pPr>
        <w:pStyle w:val="B1"/>
        <w:rPr/>
      </w:pPr>
      <w:r>
        <w:rPr/>
        <w:noBreakHyphen/>
      </w:r>
      <w:r>
        <w:rPr/>
        <w:tab/>
        <w:t>Filtering of channel control information as described in 3GPP TS 27.001 [10].</w:t>
      </w:r>
    </w:p>
    <w:p>
      <w:pPr>
        <w:pStyle w:val="B1"/>
        <w:rPr/>
      </w:pPr>
      <w:r>
        <w:rPr/>
        <w:noBreakHyphen/>
      </w:r>
      <w:r>
        <w:rPr/>
        <w:tab/>
        <w:t>Terminal compatibility checking.</w:t>
      </w:r>
    </w:p>
    <w:p>
      <w:pPr>
        <w:pStyle w:val="B1"/>
        <w:rPr/>
      </w:pPr>
      <w:r>
        <w:rPr/>
        <w:t>-</w:t>
        <w:tab/>
        <w:t>Splitting and combining of the data flow in case of multiple substream data configurations.</w:t>
      </w:r>
    </w:p>
    <w:p>
      <w:pPr>
        <w:pStyle w:val="Heading1"/>
        <w:ind w:left="1134" w:hanging="1134"/>
        <w:rPr/>
      </w:pPr>
      <w:bookmarkStart w:id="10" w:name="__RefHeading___Toc217240177"/>
      <w:bookmarkEnd w:id="10"/>
      <w:r>
        <w:rPr/>
        <w:t>3</w:t>
        <w:tab/>
        <w:t>Terminal Adaptation Functions for transparent services</w:t>
      </w:r>
    </w:p>
    <w:p>
      <w:pPr>
        <w:pStyle w:val="Normal"/>
        <w:rPr/>
      </w:pPr>
      <w:r>
        <w:rPr/>
        <w:t>3GPP TS 43.010 [2] defines connection types for  the support of transparent services in A/Gb mode whilst 3GPP TR 23.910 [7] defines connection types for transparent services in UTRAN Iu mode.</w:t>
      </w:r>
    </w:p>
    <w:p>
      <w:pPr>
        <w:pStyle w:val="Heading2H2"/>
        <w:rPr/>
      </w:pPr>
      <w:bookmarkStart w:id="11" w:name="__RefHeading___Toc217240178"/>
      <w:bookmarkEnd w:id="11"/>
      <w:r>
        <w:rPr/>
        <w:t>3.1</w:t>
        <w:tab/>
        <w:t>Rate Adaptation in A/Gb mode</w:t>
      </w:r>
    </w:p>
    <w:p>
      <w:pPr>
        <w:pStyle w:val="Normal"/>
        <w:rPr/>
      </w:pPr>
      <w:r>
        <w:rPr/>
        <w:t>3GPP TS 44.021 [4] describes the rate adaptation scheme to be utilized over the Base Station (BS) to Mobile Station (MS) link. 3GPP TS 43.010 [2] refers to the rate adaptation elements to be provided in the MS.</w:t>
      </w:r>
    </w:p>
    <w:p>
      <w:pPr>
        <w:pStyle w:val="Heading3"/>
        <w:rPr/>
      </w:pPr>
      <w:bookmarkStart w:id="12" w:name="__RefHeading___Toc217240179"/>
      <w:bookmarkEnd w:id="12"/>
      <w:r>
        <w:rPr/>
        <w:t>3.1.1</w:t>
        <w:tab/>
        <w:t>Rate Adaptation - R interface</w:t>
      </w:r>
    </w:p>
    <w:p>
      <w:pPr>
        <w:pStyle w:val="Normal"/>
        <w:rPr/>
      </w:pPr>
      <w:r>
        <w:rPr/>
        <w:t>This is provided as indicated in 3GPP TS 44.021 [4].</w:t>
      </w:r>
    </w:p>
    <w:p>
      <w:pPr>
        <w:pStyle w:val="Heading3"/>
        <w:rPr/>
      </w:pPr>
      <w:bookmarkStart w:id="13" w:name="__RefHeading___Toc217240180"/>
      <w:bookmarkEnd w:id="13"/>
      <w:r>
        <w:rPr/>
        <w:t>3.1.2</w:t>
        <w:tab/>
        <w:t>Rate Adaptation - S Interface (ITU-T I.420 [14])</w:t>
      </w:r>
    </w:p>
    <w:p>
      <w:pPr>
        <w:pStyle w:val="Normal"/>
        <w:rPr/>
      </w:pPr>
      <w:r>
        <w:rPr/>
        <w:t>VOID</w:t>
      </w:r>
    </w:p>
    <w:p>
      <w:pPr>
        <w:pStyle w:val="Heading2H2"/>
        <w:rPr/>
      </w:pPr>
      <w:bookmarkStart w:id="14" w:name="__RefHeading___Toc217240181"/>
      <w:bookmarkEnd w:id="14"/>
      <w:r>
        <w:rPr/>
        <w:t>3.2</w:t>
        <w:tab/>
        <w:t>Interchange Circuit Signalling Mapping - ITU-T V-series interface</w:t>
      </w:r>
    </w:p>
    <w:p>
      <w:pPr>
        <w:pStyle w:val="Normal"/>
        <w:rPr/>
      </w:pPr>
      <w:r>
        <w:rPr/>
        <w:t>The interchange circuit signalling at the interface between the TE2 and the MT shall conform to ITU</w:t>
        <w:noBreakHyphen/>
        <w:t>T Recommendation V.24 [19]. The signals required at this interface are shown in table 3.</w:t>
      </w:r>
    </w:p>
    <w:p>
      <w:pPr>
        <w:pStyle w:val="Normal"/>
        <w:rPr/>
      </w:pPr>
      <w:r>
        <w:rPr/>
        <w:t>The mapping of these signals to the pins of a 25 pin D-type connector is given in ISO 2110 [31]. The mapping for a commonly used 9 pin connector is given in annex B.</w:t>
      </w:r>
    </w:p>
    <w:p>
      <w:pPr>
        <w:pStyle w:val="Heading3"/>
        <w:rPr/>
      </w:pPr>
      <w:bookmarkStart w:id="15" w:name="__RefHeading___Toc217240182"/>
      <w:r>
        <w:rPr/>
        <w:t>3.2.1</w:t>
        <w:tab/>
        <w:t>Mapping of V.24 [19] circuits to status bits</w:t>
      </w:r>
      <w:bookmarkEnd w:id="15"/>
      <w:r>
        <w:rPr/>
        <w:t xml:space="preserve"> </w:t>
      </w:r>
    </w:p>
    <w:p>
      <w:pPr>
        <w:pStyle w:val="Normal"/>
        <w:rPr/>
      </w:pPr>
      <w:r>
        <w:rPr/>
        <w:t>Status bits SA, SB and X are used to convey channel control information associated with the data bits in the data transfer state. Table 1 shows the mapping scheme between the ITU-T  V.24 [19] circuit numbers and the status bits for the transparent mode. It also shows how the unused status bits should be handled. It is derived from the general mapping scheme described in annex C. A binary 0 corresponds to the ON condition, a binary 1 to the OFF condition.</w:t>
      </w:r>
    </w:p>
    <w:p>
      <w:pPr>
        <w:pStyle w:val="Normal"/>
        <w:rPr/>
      </w:pPr>
      <w:r>
        <w:rPr/>
        <w:t>The transport of these status bits by the various channel codings is described in subsequent sections.</w:t>
      </w:r>
    </w:p>
    <w:p>
      <w:pPr>
        <w:pStyle w:val="TH"/>
        <w:rPr/>
      </w:pPr>
      <w:r>
        <w:rPr/>
        <w:t>Table 1: Mapping scheme at the MT for the transparent mode</w:t>
      </w:r>
    </w:p>
    <w:tbl>
      <w:tblPr>
        <w:tblW w:w="7795" w:type="dxa"/>
        <w:jc w:val="center"/>
        <w:tblInd w:w="0" w:type="dxa"/>
        <w:tblLayout w:type="fixed"/>
        <w:tblCellMar>
          <w:top w:w="0" w:type="dxa"/>
          <w:left w:w="28" w:type="dxa"/>
          <w:bottom w:w="0" w:type="dxa"/>
          <w:right w:w="28" w:type="dxa"/>
        </w:tblCellMar>
      </w:tblPr>
      <w:tblGrid>
        <w:gridCol w:w="3259"/>
        <w:gridCol w:w="2268"/>
        <w:gridCol w:w="2268"/>
      </w:tblGrid>
      <w:tr>
        <w:trPr/>
        <w:tc>
          <w:tcPr>
            <w:tcW w:w="3259"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Signal at TE2/MT interface or condition within the MT</w:t>
            </w:r>
          </w:p>
        </w:tc>
        <w:tc>
          <w:tcPr>
            <w:tcW w:w="2268"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Mapping</w:t>
              <w:br/>
              <w:t>direction: MT to IWF</w:t>
            </w:r>
          </w:p>
        </w:tc>
        <w:tc>
          <w:tcPr>
            <w:tcW w:w="2268" w:type="dxa"/>
            <w:tcBorders>
              <w:top w:val="single" w:sz="4" w:space="0" w:color="000000"/>
              <w:left w:val="single" w:sz="6" w:space="0" w:color="000000"/>
              <w:bottom w:val="single" w:sz="6" w:space="0" w:color="000000"/>
              <w:right w:val="single" w:sz="4" w:space="0" w:color="000000"/>
            </w:tcBorders>
          </w:tcPr>
          <w:p>
            <w:pPr>
              <w:pStyle w:val="TAH"/>
              <w:rPr/>
            </w:pPr>
            <w:r>
              <w:rPr>
                <w:lang w:eastAsia="en-US"/>
              </w:rPr>
              <w:t>Mapping</w:t>
              <w:br/>
              <w:t>direction: IWF to MT</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105</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 mapped (note 1)</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106</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X (note 7)</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107</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not mapped (note 5)</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108/2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not mapped (note 6)</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109</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SB (note 7)</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133</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 mapped (note 2)</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to status bit SA (note 3)</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to status bit SB (note 1)</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to status bit X (note 4)</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ignored by MT</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SA (note 3)</w:t>
            </w:r>
          </w:p>
        </w:tc>
      </w:tr>
      <w:tr>
        <w:trPr>
          <w:cantSplit w:val="true"/>
        </w:trPr>
        <w:tc>
          <w:tcPr>
            <w:tcW w:w="7795"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en-US"/>
              </w:rPr>
              <w:t>NOTE 1:</w:t>
              <w:tab/>
              <w:t>The SB bit towards the IWF, according to the General Mapping (annex C), could be used to carry CT 105. However, CT 105 should always be ON in the data transfer state since only duplex operation is supported. Also, many DTEs use the connector pin assigned to CT 105 for CT 133. No interchange circuit shall be mapped to the SB bit, which shall always be set to ON in the data transfer state.</w:t>
            </w:r>
          </w:p>
          <w:p>
            <w:pPr>
              <w:pStyle w:val="TAN"/>
              <w:rPr/>
            </w:pPr>
            <w:r>
              <w:rPr>
                <w:lang w:eastAsia="en-US"/>
              </w:rPr>
              <w:t>NOTE 2:</w:t>
              <w:tab/>
              <w:t>CT 133 is not mapped since there is no flow control in transparent mode.</w:t>
            </w:r>
          </w:p>
          <w:p>
            <w:pPr>
              <w:pStyle w:val="TAN"/>
              <w:rPr/>
            </w:pPr>
            <w:r>
              <w:rPr>
                <w:lang w:eastAsia="en-US"/>
              </w:rPr>
              <w:t>NOTE 3:</w:t>
              <w:tab/>
              <w:t>The SA bits in both directions are available only with certain channel codings. Therefore, for maximum compatibility, they should not be mapped.</w:t>
            </w:r>
          </w:p>
          <w:p>
            <w:pPr>
              <w:pStyle w:val="TAN"/>
              <w:rPr/>
            </w:pPr>
            <w:r>
              <w:rPr>
                <w:lang w:eastAsia="en-US"/>
              </w:rPr>
              <w:t>NOTE 4:</w:t>
              <w:tab/>
              <w:t>The X bit towards the IWF is not mapped and shall always be set to ON in the data transfer state since there is no flow control in transparent mode.</w:t>
            </w:r>
          </w:p>
          <w:p>
            <w:pPr>
              <w:pStyle w:val="TAN"/>
              <w:rPr>
                <w:lang w:eastAsia="en-US"/>
              </w:rPr>
            </w:pPr>
            <w:r>
              <w:rPr>
                <w:lang w:eastAsia="en-US"/>
              </w:rPr>
              <w:t>NOTE 5:</w:t>
              <w:tab/>
              <w:t>CT 107 is controlled by the channel synchronisation process (07.01).</w:t>
            </w:r>
          </w:p>
          <w:p>
            <w:pPr>
              <w:pStyle w:val="TAN"/>
              <w:rPr/>
            </w:pPr>
            <w:r>
              <w:rPr>
                <w:lang w:eastAsia="en-US"/>
              </w:rPr>
              <w:t>NOTE 6:</w:t>
              <w:tab/>
              <w:t>CT 108/2 may be used in the call setup and answering processes.</w:t>
            </w:r>
          </w:p>
          <w:p>
            <w:pPr>
              <w:pStyle w:val="TAN"/>
              <w:rPr/>
            </w:pPr>
            <w:r>
              <w:rPr>
                <w:lang w:eastAsia="en-US"/>
              </w:rPr>
              <w:t>NOTE 7:</w:t>
              <w:tab/>
              <w:t>The status bits are filtered before being mapped to the ITU-T  V.24 [19] circuits (3GPP TS 27.001 [10]).</w:t>
            </w:r>
          </w:p>
        </w:tc>
      </w:tr>
    </w:tbl>
    <w:p>
      <w:pPr>
        <w:pStyle w:val="Normal"/>
        <w:rPr/>
      </w:pPr>
      <w:r>
        <w:rPr/>
      </w:r>
    </w:p>
    <w:p>
      <w:pPr>
        <w:pStyle w:val="Heading3"/>
        <w:rPr/>
      </w:pPr>
      <w:bookmarkStart w:id="16" w:name="__RefHeading___Toc217240183"/>
      <w:bookmarkEnd w:id="16"/>
      <w:r>
        <w:rPr/>
        <w:t>3.2.2</w:t>
        <w:tab/>
        <w:t>Single slot configurations (TCH/F9.6 or TCH/F4.8)</w:t>
      </w:r>
    </w:p>
    <w:p>
      <w:pPr>
        <w:pStyle w:val="Normal"/>
        <w:rPr/>
      </w:pPr>
      <w:r>
        <w:rPr/>
        <w:t>3GPP TS 44.021 [4] refers to the frame structure and identifies the use of the status bits for the carriage of signalling information in transparent mode. The S bits are put into two groups. SA is carried by bits S1, S3, S6, S8 and SB by bits S4, S9 in the ITU</w:t>
        <w:noBreakHyphen/>
        <w:t>T Recommendation V.110 [27] 80-bit intermediate rate frame.</w:t>
      </w:r>
    </w:p>
    <w:p>
      <w:pPr>
        <w:pStyle w:val="Heading3"/>
        <w:rPr/>
      </w:pPr>
      <w:bookmarkStart w:id="17" w:name="__RefHeading___Toc217240184"/>
      <w:bookmarkEnd w:id="17"/>
      <w:r>
        <w:rPr/>
        <w:t>3.2.3</w:t>
        <w:tab/>
        <w:t>Multislot configurations (TCH/F9.6 or TCH/F4.8)</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In transparent multislot configurations, status bits S1, S3 and the X-bit between the D12 and D13 - in the ITU</w:t>
        <w:noBreakHyphen/>
        <w:t>T Recommendation V.110 [27] 80-bit intermediate rate frame - are used for transferring substream numbering information. The S4-bit is used for frame synchronization between the parallel substreams (reference 3GPP TS 44.021 [4]). The remaining S bits are put into two groups. SA is carried by bits S6, S8 and SB by bit S9. The remaining X bits can be used as described in subclause 3.2.1.</w:t>
      </w:r>
    </w:p>
    <w:p>
      <w:pPr>
        <w:pStyle w:val="Heading3"/>
        <w:rPr/>
      </w:pPr>
      <w:bookmarkStart w:id="18" w:name="__RefHeading___Toc217240185"/>
      <w:bookmarkEnd w:id="18"/>
      <w:r>
        <w:rPr/>
        <w:t>3.2.4</w:t>
        <w:tab/>
        <w:t>Channel codings TCH/F14.4, TCH/F28.8</w:t>
      </w:r>
    </w:p>
    <w:p>
      <w:pPr>
        <w:pStyle w:val="Normal"/>
        <w:rPr/>
      </w:pPr>
      <w:r>
        <w:rPr/>
        <w:t>For information on the mapping of the interchange circuit signalling bits in the 14,5 kbit/s multiframe structure, refer to 3GPP TS 44.021 [4]. There is no SA bit in this channel coding. Only the SB and X bits are carried.</w:t>
      </w:r>
    </w:p>
    <w:p>
      <w:pPr>
        <w:pStyle w:val="Heading2H2"/>
        <w:rPr/>
      </w:pPr>
      <w:bookmarkStart w:id="19" w:name="__RefHeading___Toc217240186"/>
      <w:bookmarkEnd w:id="19"/>
      <w:r>
        <w:rPr/>
        <w:t>3.3</w:t>
        <w:tab/>
        <w:t>Interface Signal Levels - R interface</w:t>
      </w:r>
    </w:p>
    <w:p>
      <w:pPr>
        <w:pStyle w:val="Normal"/>
        <w:rPr/>
      </w:pPr>
      <w:r>
        <w:rPr/>
        <w:t>The signal levels at the interface between the TE2 and the MT shall conform to ITU-T V.28 [23], or to IrDA IrPHY physical signalling standard specification [30], or to PCMCIA 2.1 [29], or to PC</w:t>
        <w:noBreakHyphen/>
        <w:t>Card 3.0 [29] electrical specification or to later revisions.</w:t>
      </w:r>
    </w:p>
    <w:p>
      <w:pPr>
        <w:pStyle w:val="Heading2H2"/>
        <w:rPr/>
      </w:pPr>
      <w:bookmarkStart w:id="20" w:name="__RefHeading___Toc217240187"/>
      <w:bookmarkEnd w:id="20"/>
      <w:r>
        <w:rPr/>
        <w:t>3.4</w:t>
        <w:tab/>
        <w:t>Call Establishment and Clearing Signalling Mapping</w:t>
      </w:r>
    </w:p>
    <w:p>
      <w:pPr>
        <w:pStyle w:val="Heading3"/>
        <w:rPr/>
      </w:pPr>
      <w:bookmarkStart w:id="21" w:name="__RefHeading___Toc217240188"/>
      <w:bookmarkEnd w:id="21"/>
      <w:r>
        <w:rPr/>
        <w:t>3.4.1</w:t>
        <w:tab/>
        <w:t>V-series interface Autocalling/answering</w:t>
      </w:r>
    </w:p>
    <w:p>
      <w:pPr>
        <w:pStyle w:val="B2"/>
        <w:rPr/>
      </w:pPr>
      <w:r>
        <w:rPr/>
        <w:t>-</w:t>
        <w:tab/>
        <w:t>These procedures are provided according to ITU-T Recommendation V.250 [22] and 3GPP TS 27.007 [11].</w:t>
      </w:r>
    </w:p>
    <w:p>
      <w:pPr>
        <w:pStyle w:val="B2"/>
        <w:rPr/>
      </w:pPr>
      <w:r>
        <w:rPr/>
        <w:t>-</w:t>
        <w:tab/>
        <w:t>For autocalling, during the call establishment phase, i.e. after signalling, calling tone according to ITU-T Recommendation V.25 [20] shall be generated in the IWF (3GPP TS 29.007 [13]).</w:t>
      </w:r>
    </w:p>
    <w:p>
      <w:pPr>
        <w:pStyle w:val="Normal"/>
        <w:keepNext w:val="true"/>
        <w:rPr/>
      </w:pPr>
      <w:r>
        <w:rPr/>
        <w:t>During the call establishment phase:</w:t>
      </w:r>
    </w:p>
    <w:p>
      <w:pPr>
        <w:pStyle w:val="B1"/>
        <w:rPr/>
      </w:pPr>
      <w:r>
        <w:rPr/>
        <w:t>-</w:t>
        <w:tab/>
        <w:t>the states of the ITU-T Recommendation V.24 [19] interchange circuits shall be according to 3GPP TS 27.001 [10];</w:t>
      </w:r>
    </w:p>
    <w:p>
      <w:pPr>
        <w:pStyle w:val="B1"/>
        <w:rPr/>
      </w:pPr>
      <w:r>
        <w:rPr/>
        <w:t>-</w:t>
        <w:tab/>
        <w:t>the data and status bits from the IWF shall not be mapped;</w:t>
      </w:r>
    </w:p>
    <w:p>
      <w:pPr>
        <w:pStyle w:val="B1"/>
        <w:rPr/>
      </w:pPr>
      <w:r>
        <w:rPr/>
        <w:t>-</w:t>
        <w:tab/>
        <w:t>the data and status bits towards the IWF shall be according to 3GPP TS 27.001 [10].</w:t>
      </w:r>
    </w:p>
    <w:p>
      <w:pPr>
        <w:pStyle w:val="Heading3"/>
        <w:rPr/>
      </w:pPr>
      <w:bookmarkStart w:id="22" w:name="__RefHeading___Toc217240189"/>
      <w:bookmarkEnd w:id="22"/>
      <w:r>
        <w:rPr/>
        <w:t>3.4.2</w:t>
        <w:tab/>
        <w:t>S Interface (I.420) Signalling Mapping</w:t>
      </w:r>
    </w:p>
    <w:p>
      <w:pPr>
        <w:pStyle w:val="Normal"/>
        <w:rPr/>
      </w:pPr>
      <w:r>
        <w:rPr/>
        <w:t>Void.</w:t>
      </w:r>
    </w:p>
    <w:p>
      <w:pPr>
        <w:pStyle w:val="Heading3"/>
        <w:rPr/>
      </w:pPr>
      <w:bookmarkStart w:id="23" w:name="__RefHeading___Toc217240190"/>
      <w:bookmarkEnd w:id="23"/>
      <w:r>
        <w:rPr/>
        <w:t>3.4.3</w:t>
        <w:tab/>
        <w:t>Call Establishment Manual Operation - Utilizing the Unrestricted Digital Capability</w:t>
      </w:r>
    </w:p>
    <w:p>
      <w:pPr>
        <w:pStyle w:val="Normal"/>
        <w:rPr/>
      </w:pPr>
      <w:r>
        <w:rPr/>
        <w:t>In this case the user shall not hear network supervisory tones or answer tone. The data transfer phase shall be entered automatically.</w:t>
      </w:r>
    </w:p>
    <w:p>
      <w:pPr>
        <w:pStyle w:val="Heading3"/>
        <w:rPr/>
      </w:pPr>
      <w:bookmarkStart w:id="24" w:name="__RefHeading___Toc217240191"/>
      <w:bookmarkEnd w:id="24"/>
      <w:r>
        <w:rPr/>
        <w:t>3.4.4</w:t>
        <w:tab/>
        <w:t>V-series interface Call Clearing</w:t>
      </w:r>
    </w:p>
    <w:p>
      <w:pPr>
        <w:pStyle w:val="Normal"/>
        <w:numPr>
          <w:ilvl w:val="0"/>
          <w:numId w:val="0"/>
        </w:numPr>
        <w:outlineLvl w:val="0"/>
        <w:rPr/>
      </w:pPr>
      <w:r>
        <w:rPr/>
        <w:t>This procedure is provided according to ITU-T Recommendation V.250 [22] and 3GPP TS 27.007 [11].</w:t>
      </w:r>
    </w:p>
    <w:p>
      <w:pPr>
        <w:pStyle w:val="Normal"/>
        <w:keepNext w:val="true"/>
        <w:keepLines/>
        <w:rPr/>
      </w:pPr>
      <w:r>
        <w:rPr/>
        <w:t>During the call clearing phase:</w:t>
      </w:r>
    </w:p>
    <w:p>
      <w:pPr>
        <w:pStyle w:val="B1"/>
        <w:keepNext w:val="true"/>
        <w:keepLines/>
        <w:rPr/>
      </w:pPr>
      <w:r>
        <w:rPr/>
        <w:t>-</w:t>
        <w:tab/>
        <w:t>the states of the ITU-T Recommendation V.24 [19] interchange circuits shall be according to ITU-T Recommendation V.24 [19];</w:t>
      </w:r>
    </w:p>
    <w:p>
      <w:pPr>
        <w:pStyle w:val="B1"/>
        <w:keepNext w:val="true"/>
        <w:keepLines/>
        <w:rPr/>
      </w:pPr>
      <w:r>
        <w:rPr/>
        <w:t>-</w:t>
        <w:tab/>
        <w:t>the data and status bits from the IWF shall not be mapped or used by the MT in any way;</w:t>
      </w:r>
    </w:p>
    <w:p>
      <w:pPr>
        <w:pStyle w:val="B1"/>
        <w:rPr/>
      </w:pPr>
      <w:r>
        <w:rPr/>
        <w:t>-</w:t>
        <w:tab/>
        <w:t>the data and status bits towards the IWF have no significance and may be set to 1 and OFF respectively.</w:t>
      </w:r>
    </w:p>
    <w:p>
      <w:pPr>
        <w:pStyle w:val="Heading1"/>
        <w:ind w:left="1134" w:hanging="1134"/>
        <w:rPr/>
      </w:pPr>
      <w:bookmarkStart w:id="25" w:name="__RefHeading___Toc217240192"/>
      <w:bookmarkEnd w:id="25"/>
      <w:r>
        <w:rPr/>
        <w:t>4</w:t>
        <w:tab/>
        <w:t>Terminal Adaptation Functions for non-transparent services</w:t>
      </w:r>
    </w:p>
    <w:p>
      <w:pPr>
        <w:pStyle w:val="Normal"/>
        <w:rPr/>
      </w:pPr>
      <w:r>
        <w:rPr/>
        <w:t>3GPP TS 43.010 [2] defines connection types for the support of non-transparent services in A/Gb mode whilst 3GPP TR 23.910 [7] defines connection types for non-transparent services in UTRAN Iu mode.</w:t>
      </w:r>
    </w:p>
    <w:p>
      <w:pPr>
        <w:pStyle w:val="Heading2H2"/>
        <w:rPr/>
      </w:pPr>
      <w:bookmarkStart w:id="26" w:name="__RefHeading___Toc217240193"/>
      <w:bookmarkEnd w:id="26"/>
      <w:r>
        <w:rPr/>
        <w:t>4.1</w:t>
        <w:tab/>
        <w:t>Data Structure</w:t>
      </w:r>
    </w:p>
    <w:p>
      <w:pPr>
        <w:pStyle w:val="Heading3"/>
        <w:rPr/>
      </w:pPr>
      <w:bookmarkStart w:id="27" w:name="__RefHeading___Toc217240194"/>
      <w:bookmarkEnd w:id="27"/>
      <w:r>
        <w:rPr/>
        <w:t>4.1.1</w:t>
        <w:tab/>
        <w:t>Data Structure on S Interface</w:t>
      </w:r>
    </w:p>
    <w:p>
      <w:pPr>
        <w:pStyle w:val="Normal"/>
        <w:rPr/>
      </w:pPr>
      <w:r>
        <w:rPr/>
        <w:t>Void.</w:t>
      </w:r>
    </w:p>
    <w:p>
      <w:pPr>
        <w:pStyle w:val="Heading3"/>
        <w:rPr/>
      </w:pPr>
      <w:bookmarkStart w:id="28" w:name="__RefHeading___Toc217240195"/>
      <w:bookmarkEnd w:id="28"/>
      <w:r>
        <w:rPr/>
        <w:t>4.1.2</w:t>
        <w:tab/>
        <w:t>Data Structure on R Interface</w:t>
      </w:r>
    </w:p>
    <w:p>
      <w:pPr>
        <w:pStyle w:val="Normal"/>
        <w:rPr/>
      </w:pPr>
      <w:r>
        <w:rPr/>
        <w:t>The protocol models for this are described in 3GPP TS 43.010 [2]. The data consists of 7 or 8 bit characters with additional start and stop elements. The 7 bit data can additionally have an associated parity bit, 8 bit data cannot have an additional parity bit.</w:t>
      </w:r>
    </w:p>
    <w:p>
      <w:pPr>
        <w:pStyle w:val="Normal"/>
        <w:rPr/>
      </w:pPr>
      <w:r>
        <w:rPr/>
        <w:t>The interchange circuit signalling at the interface between the TE2 and the MT shall conform to ITU</w:t>
        <w:noBreakHyphen/>
        <w:t>T Recommendation V.24 [19]. The signals required at this interface are shown in table 3.</w:t>
      </w:r>
    </w:p>
    <w:p>
      <w:pPr>
        <w:pStyle w:val="Normal"/>
        <w:rPr/>
      </w:pPr>
      <w:r>
        <w:rPr/>
        <w:t>The interface shall provide inband (XON/XOFF) and out of band (CT106) flow control. The use of CT133 for out of band flow control shall be implemented according to ITU-T Recommendation V.42 [25].</w:t>
      </w:r>
    </w:p>
    <w:p>
      <w:pPr>
        <w:pStyle w:val="Heading3"/>
        <w:rPr/>
      </w:pPr>
      <w:bookmarkStart w:id="29" w:name="__RefHeading___Toc217240196"/>
      <w:bookmarkEnd w:id="29"/>
      <w:r>
        <w:rPr/>
        <w:t>4.1.3</w:t>
        <w:tab/>
        <w:t>Data Structure Provided by the L2R Function to the RLP Function</w:t>
      </w:r>
    </w:p>
    <w:p>
      <w:pPr>
        <w:pStyle w:val="Normal"/>
        <w:rPr/>
      </w:pPr>
      <w:r>
        <w:rPr/>
        <w:t>See annex A.</w:t>
      </w:r>
    </w:p>
    <w:p>
      <w:pPr>
        <w:pStyle w:val="Heading2H2"/>
        <w:rPr/>
      </w:pPr>
      <w:bookmarkStart w:id="30" w:name="__RefHeading___Toc217240197"/>
      <w:bookmarkEnd w:id="30"/>
      <w:r>
        <w:rPr/>
        <w:t>4.2</w:t>
        <w:tab/>
        <w:t>Signalling Mapping</w:t>
      </w:r>
    </w:p>
    <w:p>
      <w:pPr>
        <w:pStyle w:val="Heading3"/>
        <w:rPr/>
      </w:pPr>
      <w:bookmarkStart w:id="31" w:name="__RefHeading___Toc217240198"/>
      <w:bookmarkEnd w:id="31"/>
      <w:r>
        <w:rPr/>
        <w:t>4.2.1</w:t>
        <w:tab/>
        <w:t>Interchange Circuit Signalling Mapping - ITU-T V-series interface</w:t>
      </w:r>
    </w:p>
    <w:p>
      <w:pPr>
        <w:pStyle w:val="Normal"/>
        <w:rPr/>
      </w:pPr>
      <w:r>
        <w:rPr/>
        <w:t>Status bits SA, SB and X are used to convey channel control information associated with the data bits in the data transfer state. Table 2 shows the mapping scheme between the ITU-T Recommendation V.24 [19] circuit numbers and the status bits for the non-transparent mode. It also shows how the unused status bits should be handled. It is derived from the general mapping scheme described in annex C. A binary 0 corresponds to the ON condition, a binary 1 to the OFF condition.</w:t>
      </w:r>
    </w:p>
    <w:p>
      <w:pPr>
        <w:pStyle w:val="Normal"/>
        <w:rPr/>
      </w:pPr>
      <w:r>
        <w:rPr/>
        <w:t>The transport of the status bits by the L2RCOP is described in annex A.</w:t>
      </w:r>
    </w:p>
    <w:p>
      <w:pPr>
        <w:pStyle w:val="TH"/>
        <w:rPr/>
      </w:pPr>
      <w:r>
        <w:rPr/>
        <w:t>Table 2: Mapping scheme at the MT for the non-transparent mode</w:t>
      </w:r>
    </w:p>
    <w:tbl>
      <w:tblPr>
        <w:tblW w:w="7795" w:type="dxa"/>
        <w:jc w:val="center"/>
        <w:tblInd w:w="0" w:type="dxa"/>
        <w:tblLayout w:type="fixed"/>
        <w:tblCellMar>
          <w:top w:w="0" w:type="dxa"/>
          <w:left w:w="28" w:type="dxa"/>
          <w:bottom w:w="0" w:type="dxa"/>
          <w:right w:w="28" w:type="dxa"/>
        </w:tblCellMar>
      </w:tblPr>
      <w:tblGrid>
        <w:gridCol w:w="3259"/>
        <w:gridCol w:w="2268"/>
        <w:gridCol w:w="2268"/>
      </w:tblGrid>
      <w:tr>
        <w:trPr/>
        <w:tc>
          <w:tcPr>
            <w:tcW w:w="3259"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Signal at TE2/MT interface or condition within the MT</w:t>
            </w:r>
          </w:p>
        </w:tc>
        <w:tc>
          <w:tcPr>
            <w:tcW w:w="2268"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Mapping</w:t>
              <w:br/>
              <w:t>direction: MT to IWF</w:t>
            </w:r>
          </w:p>
        </w:tc>
        <w:tc>
          <w:tcPr>
            <w:tcW w:w="2268" w:type="dxa"/>
            <w:tcBorders>
              <w:top w:val="single" w:sz="4" w:space="0" w:color="000000"/>
              <w:left w:val="single" w:sz="6" w:space="0" w:color="000000"/>
              <w:bottom w:val="single" w:sz="6" w:space="0" w:color="000000"/>
              <w:right w:val="single" w:sz="4" w:space="0" w:color="000000"/>
            </w:tcBorders>
          </w:tcPr>
          <w:p>
            <w:pPr>
              <w:pStyle w:val="TAH"/>
              <w:rPr/>
            </w:pPr>
            <w:r>
              <w:rPr>
                <w:lang w:eastAsia="en-US"/>
              </w:rPr>
              <w:t>Mapping</w:t>
              <w:br/>
              <w:t>direction: IWF to MT</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105</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 mapped (note 1)</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106 (note 4)</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X (note 7)</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107</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not mapped (note 5)</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108/2</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 mapped (note 6)</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CT 109</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SB</w:t>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133 (note 8)</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to status bit X (notes 3,8) </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to status bit SA (note 2)</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always ON</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to status bit SB (note 1)</w:t>
            </w:r>
          </w:p>
        </w:tc>
        <w:tc>
          <w:tcPr>
            <w:tcW w:w="2268"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ignored by MT</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from status bit SA (note 2)</w:t>
            </w:r>
          </w:p>
        </w:tc>
      </w:tr>
      <w:tr>
        <w:trPr>
          <w:cantSplit w:val="true"/>
        </w:trPr>
        <w:tc>
          <w:tcPr>
            <w:tcW w:w="7795"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en-US"/>
              </w:rPr>
              <w:t>NOTE 1:</w:t>
              <w:tab/>
              <w:t>The SB bit towards the IWF, according to the General Mapping (annex C), could be used to carry CT 105. However, CT 105 should always be ON in the data transfer state since only duplex operation is supported. Also, many DTEs use the connector pin assigned to CT 105 for CT 133. No interchange circuit shall be mapped to the SB bit which shall always be set to ON in the data transfer state.</w:t>
            </w:r>
          </w:p>
          <w:p>
            <w:pPr>
              <w:pStyle w:val="TAN"/>
              <w:rPr/>
            </w:pPr>
            <w:r>
              <w:rPr>
                <w:lang w:eastAsia="en-US"/>
              </w:rPr>
              <w:t>NOTE 2:</w:t>
              <w:tab/>
              <w:t>The SA bits (both directions) are not mapped since CTs 107 and 108/2 are handled locally (notes 5 and 6).</w:t>
            </w:r>
          </w:p>
          <w:p>
            <w:pPr>
              <w:pStyle w:val="TAN"/>
              <w:rPr/>
            </w:pPr>
            <w:r>
              <w:rPr>
                <w:lang w:eastAsia="en-US"/>
              </w:rPr>
              <w:t>NOTE 3:</w:t>
              <w:tab/>
              <w:t>The condition of status bit X towards the IWF may also be affected by the state of the receive buffer in the MT.</w:t>
            </w:r>
          </w:p>
          <w:p>
            <w:pPr>
              <w:pStyle w:val="TAN"/>
              <w:rPr/>
            </w:pPr>
            <w:r>
              <w:rPr>
                <w:lang w:eastAsia="en-US"/>
              </w:rPr>
              <w:t>NOTE 4:</w:t>
              <w:tab/>
              <w:t>The state of CT 106 (or other local flow control mechanism) may also be affected by the state of the transmit buffer in the MT and the state of the RLP (RR/RNR).</w:t>
            </w:r>
          </w:p>
          <w:p>
            <w:pPr>
              <w:pStyle w:val="TAN"/>
              <w:rPr/>
            </w:pPr>
            <w:r>
              <w:rPr>
                <w:lang w:eastAsia="en-US"/>
              </w:rPr>
              <w:t>NOTE 5:</w:t>
              <w:tab/>
              <w:t>CT 107 is controlled by the channel synchronisation process (3GPP TS 27.001 [10]).</w:t>
            </w:r>
          </w:p>
          <w:p>
            <w:pPr>
              <w:pStyle w:val="TAN"/>
              <w:rPr/>
            </w:pPr>
            <w:r>
              <w:rPr>
                <w:lang w:eastAsia="en-US"/>
              </w:rPr>
              <w:t>NOTE 6:</w:t>
              <w:tab/>
              <w:t>CT 108/2 may be used in the call setup and answering processes.</w:t>
            </w:r>
          </w:p>
          <w:p>
            <w:pPr>
              <w:pStyle w:val="TAN"/>
              <w:rPr/>
            </w:pPr>
            <w:r>
              <w:rPr>
                <w:lang w:eastAsia="en-US"/>
              </w:rPr>
              <w:t>NOTE 7:</w:t>
              <w:tab/>
              <w:t>For inband local flow control, changes in the condition of the status bit X from the IWF also result in the sending of XON or XOFF to the DTE.</w:t>
            </w:r>
          </w:p>
          <w:p>
            <w:pPr>
              <w:pStyle w:val="TAN"/>
              <w:rPr/>
            </w:pPr>
            <w:r>
              <w:rPr>
                <w:lang w:eastAsia="en-US"/>
              </w:rPr>
              <w:t>NOTE 8:</w:t>
              <w:tab/>
              <w:t>For inband local flow control, CT 133 is not mapped and the status bit X towards the IWF is controlled by the reception of XON and XOFF characters from the DTE.</w:t>
            </w:r>
          </w:p>
        </w:tc>
      </w:tr>
    </w:tbl>
    <w:p>
      <w:pPr>
        <w:pStyle w:val="Normal"/>
        <w:rPr/>
      </w:pPr>
      <w:r>
        <w:rPr/>
      </w:r>
    </w:p>
    <w:p>
      <w:pPr>
        <w:pStyle w:val="Heading3"/>
        <w:rPr/>
      </w:pPr>
      <w:bookmarkStart w:id="32" w:name="__RefHeading___Toc217240199"/>
      <w:bookmarkEnd w:id="32"/>
      <w:r>
        <w:rPr/>
        <w:t>4.2.2</w:t>
        <w:tab/>
        <w:t>Call Establishment and Clearing Signalling Mapping</w:t>
      </w:r>
    </w:p>
    <w:p>
      <w:pPr>
        <w:pStyle w:val="Normal"/>
        <w:rPr/>
      </w:pPr>
      <w:r>
        <w:rPr/>
        <w:t>This is identical to the transparent case with the exception of the transparent/non</w:t>
        <w:noBreakHyphen/>
        <w:t>transparent element, see clause 5.</w:t>
      </w:r>
    </w:p>
    <w:p>
      <w:pPr>
        <w:pStyle w:val="Normal"/>
        <w:rPr/>
      </w:pPr>
      <w:r>
        <w:rPr/>
        <w:t>In addition, the L2R/RLP shall give an explicit indication when the link into the connected network is established. If the link fails, an explicit "link lost" indication shall be given.</w:t>
      </w:r>
    </w:p>
    <w:p>
      <w:pPr>
        <w:pStyle w:val="Heading2H2"/>
        <w:rPr/>
      </w:pPr>
      <w:bookmarkStart w:id="33" w:name="__RefHeading___Toc217240200"/>
      <w:bookmarkEnd w:id="33"/>
      <w:r>
        <w:rPr/>
        <w:t>4.3</w:t>
        <w:tab/>
        <w:t>Flow Control</w:t>
      </w:r>
    </w:p>
    <w:p>
      <w:pPr>
        <w:pStyle w:val="Normal"/>
        <w:rPr/>
      </w:pPr>
      <w:r>
        <w:rPr/>
        <w:t>The passage of flow control information between L2Rs is described in annex A. subclauses 4.3.1, 4.3.2 and 4.3.3 describe the operation of the flow control mechanisms. These mechanisms apply for all the non</w:t>
        <w:noBreakHyphen/>
        <w:t>transparent services covered by the present document, with the exception of Character Orientated Protocol with No Flow Control which is treated in subclause 4.3.4.</w:t>
      </w:r>
    </w:p>
    <w:p>
      <w:pPr>
        <w:pStyle w:val="Heading3"/>
        <w:rPr/>
      </w:pPr>
      <w:bookmarkStart w:id="34" w:name="__RefHeading___Toc217240201"/>
      <w:bookmarkEnd w:id="34"/>
      <w:r>
        <w:rPr/>
        <w:t>4.3.1</w:t>
        <w:tab/>
        <w:t>Conditions Requiring Flow Control towards the Network</w:t>
      </w:r>
    </w:p>
    <w:p>
      <w:pPr>
        <w:pStyle w:val="Normal"/>
        <w:rPr/>
      </w:pPr>
      <w:r>
        <w:rPr/>
        <w:t>The L2R function shall send immediately a "flow control active" indication in the following circumstances:</w:t>
      </w:r>
    </w:p>
    <w:p>
      <w:pPr>
        <w:pStyle w:val="B1"/>
        <w:rPr/>
      </w:pPr>
      <w:r>
        <w:rPr/>
        <w:t>(i)</w:t>
        <w:tab/>
        <w:t>If the receive buffer from the radio side reaches a preset threshold (BACKPRESSURE).</w:t>
      </w:r>
    </w:p>
    <w:p>
      <w:pPr>
        <w:pStyle w:val="B1"/>
        <w:rPr/>
      </w:pPr>
      <w:r>
        <w:rPr/>
        <w:t>(ii)</w:t>
        <w:tab/>
        <w:t>If local flow control is initiated by the TE2 (see 4.3.3 a) or c)). On receipt of this flow control indication transmission of data from the receive buffer towards the TE2 is halted.</w:t>
      </w:r>
    </w:p>
    <w:p>
      <w:pPr>
        <w:pStyle w:val="Normal"/>
        <w:rPr/>
      </w:pPr>
      <w:r>
        <w:rPr/>
        <w:t>On removal of the buffer congestion or local flow control the L2R shall send a "flow control inactive" indication.</w:t>
      </w:r>
    </w:p>
    <w:p>
      <w:pPr>
        <w:pStyle w:val="Normal"/>
        <w:rPr/>
      </w:pPr>
      <w:r>
        <w:rPr/>
        <w:t>In addition, for the local flow control condition, transmission of data from the receive buffers shall be restarted.</w:t>
      </w:r>
    </w:p>
    <w:p>
      <w:pPr>
        <w:pStyle w:val="Heading3"/>
        <w:rPr/>
      </w:pPr>
      <w:bookmarkStart w:id="35" w:name="__RefHeading___Toc217240202"/>
      <w:bookmarkEnd w:id="35"/>
      <w:r>
        <w:rPr/>
        <w:t>4.3.2</w:t>
        <w:tab/>
        <w:t>Conditions Requiring Flow Control towards TE2</w:t>
      </w:r>
    </w:p>
    <w:p>
      <w:pPr>
        <w:pStyle w:val="Normal"/>
        <w:keepNext w:val="true"/>
        <w:keepLines/>
        <w:rPr/>
      </w:pPr>
      <w:r>
        <w:rPr/>
        <w:t>The L2R functions shall immediately activate local flow control (see 4.3.3 b) or d)) under the following circumstances:</w:t>
      </w:r>
    </w:p>
    <w:p>
      <w:pPr>
        <w:pStyle w:val="B1"/>
        <w:keepNext w:val="true"/>
        <w:keepLines/>
        <w:rPr/>
      </w:pPr>
      <w:r>
        <w:rPr/>
        <w:t>(i)</w:t>
        <w:tab/>
        <w:t>The transmit buffer reaches a pre</w:t>
        <w:noBreakHyphen/>
        <w:t>set threshold (BACKPRESSURE).</w:t>
      </w:r>
    </w:p>
    <w:p>
      <w:pPr>
        <w:pStyle w:val="B1"/>
        <w:rPr/>
      </w:pPr>
      <w:r>
        <w:rPr/>
        <w:t>(ii)</w:t>
        <w:tab/>
        <w:t>The L2R receives a "flow control active" indication.</w:t>
      </w:r>
    </w:p>
    <w:p>
      <w:pPr>
        <w:pStyle w:val="Normal"/>
        <w:rPr/>
      </w:pPr>
      <w:r>
        <w:rPr/>
        <w:t>On removal of buffer congestion or receipt of L2R/RLP "flow control inactive" the local flow control shall be removed.</w:t>
      </w:r>
    </w:p>
    <w:p>
      <w:pPr>
        <w:pStyle w:val="Heading3"/>
        <w:rPr/>
      </w:pPr>
      <w:bookmarkStart w:id="36" w:name="__RefHeading___Toc217240203"/>
      <w:bookmarkEnd w:id="36"/>
      <w:r>
        <w:rPr/>
        <w:t>4.3.3</w:t>
        <w:tab/>
        <w:t>Local Flow Control</w:t>
      </w:r>
    </w:p>
    <w:p>
      <w:pPr>
        <w:pStyle w:val="Normal"/>
        <w:rPr/>
      </w:pPr>
      <w:r>
        <w:rPr/>
        <w:t>Two methods of local flow control are allowed:</w:t>
      </w:r>
    </w:p>
    <w:p>
      <w:pPr>
        <w:pStyle w:val="Normal"/>
        <w:rPr/>
      </w:pPr>
      <w:r>
        <w:rPr/>
        <w:t>Outband:</w:t>
      </w:r>
    </w:p>
    <w:p>
      <w:pPr>
        <w:pStyle w:val="B1"/>
        <w:rPr/>
      </w:pPr>
      <w:r>
        <w:rPr/>
        <w:t>a)</w:t>
        <w:tab/>
        <w:t>From TE2: CT133 shall be turned OFF to indicate flow control active, and ON to indicate flow control inactive.</w:t>
      </w:r>
    </w:p>
    <w:p>
      <w:pPr>
        <w:pStyle w:val="B1"/>
        <w:rPr/>
      </w:pPr>
      <w:r>
        <w:rPr/>
        <w:t>b)</w:t>
        <w:tab/>
        <w:t>From TAF: CT106 shall be turned OFF to indicate flow control active, and ON to indicate flow control inactive.</w:t>
      </w:r>
    </w:p>
    <w:p>
      <w:pPr>
        <w:pStyle w:val="Normal"/>
        <w:rPr/>
      </w:pPr>
      <w:r>
        <w:rPr/>
        <w:t>Inband:</w:t>
      </w:r>
    </w:p>
    <w:p>
      <w:pPr>
        <w:pStyle w:val="B1"/>
        <w:rPr/>
      </w:pPr>
      <w:r>
        <w:rPr/>
        <w:t>c)</w:t>
        <w:tab/>
        <w:t>From TE2: XOFF (DC3) is sent to indicate flow control active. XON (DC1) is sent to indicate flow control inactive. The XON/XOFF characters received from the TE2 are extracted by the L2R from the data stream and are not sent across the radio interface. Where XON/XOFF is utilized then the TAF shall generate flow control active/inactive immediately, i.e. the XON/XOFF characters do not enter the transmit buffer.</w:t>
      </w:r>
    </w:p>
    <w:p>
      <w:pPr>
        <w:pStyle w:val="B1"/>
        <w:rPr/>
      </w:pPr>
      <w:r>
        <w:rPr/>
        <w:t>d)</w:t>
        <w:tab/>
        <w:t>From TAF: As from TE2.</w:t>
      </w:r>
    </w:p>
    <w:p>
      <w:pPr>
        <w:pStyle w:val="Normal"/>
        <w:rPr/>
      </w:pPr>
      <w:r>
        <w:rPr/>
        <w:t>If the outband method is used, the L2R shall pass the DC1/DC3 characters as data, i.e. no flow control indications shall be generated on receipt of DC1/DC3.</w:t>
      </w:r>
    </w:p>
    <w:p>
      <w:pPr>
        <w:pStyle w:val="Heading3"/>
        <w:rPr/>
      </w:pPr>
      <w:bookmarkStart w:id="37" w:name="__RefHeading___Toc217240204"/>
      <w:bookmarkEnd w:id="37"/>
      <w:r>
        <w:rPr/>
        <w:t>4.3.4</w:t>
        <w:tab/>
        <w:t>Character Orientated Protocol with No Flow Control</w:t>
      </w:r>
    </w:p>
    <w:p>
      <w:pPr>
        <w:pStyle w:val="Normal"/>
        <w:rPr/>
      </w:pPr>
      <w:r>
        <w:rPr/>
        <w:t>If the users layer 2 indicates Character Orientated Protocol with no flow control then no flow control is used, i.e. the X</w:t>
        <w:noBreakHyphen/>
        <w:t>bit is not set to OFF and DC1/DC3 characters are passed through as data.</w:t>
      </w:r>
    </w:p>
    <w:p>
      <w:pPr>
        <w:pStyle w:val="Heading2H2"/>
        <w:rPr/>
      </w:pPr>
      <w:bookmarkStart w:id="38" w:name="__RefHeading___Toc217240205"/>
      <w:bookmarkEnd w:id="38"/>
      <w:r>
        <w:rPr/>
        <w:t>4.4</w:t>
        <w:tab/>
        <w:t>Buffers</w:t>
      </w:r>
    </w:p>
    <w:p>
      <w:pPr>
        <w:pStyle w:val="Heading3"/>
        <w:rPr/>
      </w:pPr>
      <w:bookmarkStart w:id="39" w:name="__RefHeading___Toc217240206"/>
      <w:bookmarkEnd w:id="39"/>
      <w:r>
        <w:rPr/>
        <w:t>4.4.1</w:t>
        <w:tab/>
        <w:t>TX Buffers</w:t>
      </w:r>
    </w:p>
    <w:p>
      <w:pPr>
        <w:pStyle w:val="Normal"/>
        <w:rPr/>
      </w:pPr>
      <w:r>
        <w:rPr/>
        <w:t>Data received on CT103 from the TE2 shall be buffered such that if the MT is unable to transfer the data over the radio path then data is not lost.</w:t>
      </w:r>
    </w:p>
    <w:p>
      <w:pPr>
        <w:pStyle w:val="Normal"/>
        <w:rPr/>
      </w:pPr>
      <w:r>
        <w:rPr/>
        <w:t>The buffer shall be capable of holding the data. Its size is up to the implementers.</w:t>
      </w:r>
    </w:p>
    <w:p>
      <w:pPr>
        <w:pStyle w:val="Normal"/>
        <w:rPr/>
      </w:pPr>
      <w:r>
        <w:rPr/>
        <w:t>When the buffer is half full, TE2 shall be flow controlled as per 4.3.2, unless Character Orientated Protocol with No Flow Control is being used (see 4.3.4).</w:t>
      </w:r>
    </w:p>
    <w:p>
      <w:pPr>
        <w:pStyle w:val="Heading3"/>
        <w:rPr/>
      </w:pPr>
      <w:bookmarkStart w:id="40" w:name="__RefHeading___Toc217240207"/>
      <w:bookmarkEnd w:id="40"/>
      <w:r>
        <w:rPr/>
        <w:t>4.4.2</w:t>
        <w:tab/>
        <w:t>RX Buffers</w:t>
      </w:r>
    </w:p>
    <w:p>
      <w:pPr>
        <w:pStyle w:val="Normal"/>
        <w:rPr/>
      </w:pPr>
      <w:r>
        <w:rPr/>
        <w:t>Data for transfer to the TE2 on CT104 shall be buffered such that if the TE2 is unable to accept data then data transferred from the MT is not lost.</w:t>
      </w:r>
    </w:p>
    <w:p>
      <w:pPr>
        <w:pStyle w:val="Normal"/>
        <w:rPr/>
      </w:pPr>
      <w:r>
        <w:rPr/>
        <w:t>The buffer size should be up to the implementers.</w:t>
      </w:r>
    </w:p>
    <w:p>
      <w:pPr>
        <w:pStyle w:val="Normal"/>
        <w:rPr/>
      </w:pPr>
      <w:r>
        <w:rPr/>
        <w:t>When the buffer becomes half full, the L2R shall send a "flow control active" indication, unless Character Orientated Protocol with No Flow Control is being used.</w:t>
      </w:r>
    </w:p>
    <w:p>
      <w:pPr>
        <w:pStyle w:val="Heading2H2"/>
        <w:rPr/>
      </w:pPr>
      <w:bookmarkStart w:id="41" w:name="__RefHeading___Toc217240208"/>
      <w:bookmarkEnd w:id="41"/>
      <w:r>
        <w:rPr/>
        <w:t>4.5</w:t>
        <w:tab/>
        <w:t>Bit Transparency</w:t>
      </w:r>
    </w:p>
    <w:p>
      <w:pPr>
        <w:pStyle w:val="Normal"/>
        <w:rPr/>
      </w:pPr>
      <w:r>
        <w:rPr/>
        <w:t>Void.</w:t>
      </w:r>
    </w:p>
    <w:p>
      <w:pPr>
        <w:pStyle w:val="Heading2H2"/>
        <w:rPr/>
      </w:pPr>
      <w:bookmarkStart w:id="42" w:name="__RefHeading___Toc217240209"/>
      <w:bookmarkEnd w:id="42"/>
      <w:r>
        <w:rPr/>
        <w:t>4.6</w:t>
        <w:tab/>
        <w:t>Transportation of "BREAK" condition</w:t>
      </w:r>
    </w:p>
    <w:p>
      <w:pPr>
        <w:pStyle w:val="Normal"/>
        <w:rPr/>
      </w:pPr>
      <w:r>
        <w:rPr/>
        <w:t>The "BREAK" condition must be recognized by the L2R function and passed immediately to the IWF. The L2R shall generate a "BREAK" condition to the TE2 on receipt of a "BREAK" indication from the IWF.</w:t>
      </w:r>
    </w:p>
    <w:p>
      <w:pPr>
        <w:pStyle w:val="Normal"/>
        <w:rPr/>
      </w:pPr>
      <w:r>
        <w:rPr/>
        <w:t>Annex A describes how the L2R shall transport the "BREAK" indication.</w:t>
      </w:r>
    </w:p>
    <w:p>
      <w:pPr>
        <w:pStyle w:val="Heading2H2"/>
        <w:rPr/>
      </w:pPr>
      <w:bookmarkStart w:id="43" w:name="__RefHeading___Toc217240210"/>
      <w:bookmarkEnd w:id="43"/>
      <w:r>
        <w:rPr/>
        <w:t>4.7</w:t>
        <w:tab/>
        <w:t>Data Compression</w:t>
      </w:r>
    </w:p>
    <w:p>
      <w:pPr>
        <w:pStyle w:val="Normal"/>
        <w:rPr/>
      </w:pPr>
      <w:r>
        <w:rPr/>
        <w:t>L2R optionally includes a data compression function according to ITU</w:t>
        <w:noBreakHyphen/>
        <w:t>T V.42bis [26] that spans from the MS to the IWF in the MSC. The error correction function is provided by RLP instead of ITU</w:t>
        <w:noBreakHyphen/>
        <w:t>T Recommendation V.42 [25]. RLP XID is used to negotiate compression parameters. L2R includes the ITU-T  V.42bis [26] control function especially for reinitializing in case of break recognition or RLP reset and error indication by the data compression function respectively.</w:t>
      </w:r>
    </w:p>
    <w:p>
      <w:pPr>
        <w:pStyle w:val="TH"/>
        <w:rPr/>
      </w:pPr>
      <w:r>
        <w:rPr/>
        <w:t>Table 3: Minimum set of Interchange Circuits</w:t>
      </w:r>
    </w:p>
    <w:tbl>
      <w:tblPr>
        <w:tblW w:w="8788" w:type="dxa"/>
        <w:jc w:val="left"/>
        <w:tblInd w:w="277" w:type="dxa"/>
        <w:tblLayout w:type="fixed"/>
        <w:tblCellMar>
          <w:top w:w="0" w:type="dxa"/>
          <w:left w:w="108" w:type="dxa"/>
          <w:bottom w:w="0" w:type="dxa"/>
          <w:right w:w="108" w:type="dxa"/>
        </w:tblCellMar>
      </w:tblPr>
      <w:tblGrid>
        <w:gridCol w:w="1417"/>
        <w:gridCol w:w="1418"/>
        <w:gridCol w:w="1276"/>
        <w:gridCol w:w="1275"/>
        <w:gridCol w:w="993"/>
        <w:gridCol w:w="1275"/>
        <w:gridCol w:w="1134"/>
      </w:tblGrid>
      <w:tr>
        <w:trPr/>
        <w:tc>
          <w:tcPr>
            <w:tcW w:w="1417" w:type="dxa"/>
            <w:tcBorders>
              <w:top w:val="single" w:sz="6" w:space="0" w:color="000000"/>
              <w:left w:val="single" w:sz="6" w:space="0" w:color="000000"/>
              <w:right w:val="single" w:sz="6" w:space="0" w:color="000000"/>
            </w:tcBorders>
          </w:tcPr>
          <w:p>
            <w:pPr>
              <w:pStyle w:val="TAH"/>
              <w:rPr>
                <w:rFonts w:ascii="Courier New" w:hAnsi="Courier New" w:cs="Courier New"/>
                <w:lang w:eastAsia="en-US"/>
              </w:rPr>
            </w:pPr>
            <w:r>
              <w:rPr>
                <w:lang w:eastAsia="en-US"/>
              </w:rPr>
              <w:t xml:space="preserve">Circuit </w:t>
            </w:r>
          </w:p>
        </w:tc>
        <w:tc>
          <w:tcPr>
            <w:tcW w:w="1418" w:type="dxa"/>
            <w:tcBorders>
              <w:top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 xml:space="preserve">Circuit </w:t>
            </w:r>
          </w:p>
        </w:tc>
        <w:tc>
          <w:tcPr>
            <w:tcW w:w="1276" w:type="dxa"/>
            <w:tcBorders>
              <w:top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 xml:space="preserve">Ground </w:t>
            </w:r>
          </w:p>
        </w:tc>
        <w:tc>
          <w:tcPr>
            <w:tcW w:w="2268" w:type="dxa"/>
            <w:gridSpan w:val="2"/>
            <w:tcBorders>
              <w:top w:val="single" w:sz="6" w:space="0" w:color="000000"/>
              <w:bottom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Data</w:t>
            </w:r>
          </w:p>
        </w:tc>
        <w:tc>
          <w:tcPr>
            <w:tcW w:w="2409" w:type="dxa"/>
            <w:gridSpan w:val="2"/>
            <w:tcBorders>
              <w:top w:val="single" w:sz="6" w:space="0" w:color="000000"/>
              <w:bottom w:val="single" w:sz="6" w:space="0" w:color="000000"/>
              <w:right w:val="single" w:sz="6" w:space="0" w:color="000000"/>
            </w:tcBorders>
          </w:tcPr>
          <w:p>
            <w:pPr>
              <w:pStyle w:val="TAH"/>
              <w:rPr>
                <w:lang w:eastAsia="en-US"/>
              </w:rPr>
            </w:pPr>
            <w:r>
              <w:rPr>
                <w:rFonts w:eastAsia="Arial"/>
                <w:lang w:eastAsia="en-US"/>
              </w:rPr>
              <w:t xml:space="preserve"> </w:t>
            </w:r>
            <w:r>
              <w:rPr>
                <w:lang w:eastAsia="en-US"/>
              </w:rPr>
              <w:t xml:space="preserve">Control </w:t>
            </w:r>
          </w:p>
        </w:tc>
      </w:tr>
      <w:tr>
        <w:trPr/>
        <w:tc>
          <w:tcPr>
            <w:tcW w:w="1417" w:type="dxa"/>
            <w:tcBorders>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Number</w:t>
            </w:r>
          </w:p>
        </w:tc>
        <w:tc>
          <w:tcPr>
            <w:tcW w:w="1418" w:type="dxa"/>
            <w:tcBorders>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Name</w:t>
            </w:r>
          </w:p>
        </w:tc>
        <w:tc>
          <w:tcPr>
            <w:tcW w:w="1276" w:type="dxa"/>
            <w:tcBorders>
              <w:right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1275" w:type="dxa"/>
            <w:tcBorders>
              <w:top w:val="single" w:sz="6" w:space="0" w:color="000000"/>
              <w:right w:val="single" w:sz="6" w:space="0" w:color="000000"/>
            </w:tcBorders>
          </w:tcPr>
          <w:p>
            <w:pPr>
              <w:pStyle w:val="TAH"/>
              <w:rPr>
                <w:lang w:eastAsia="en-US"/>
              </w:rPr>
            </w:pPr>
            <w:r>
              <w:rPr>
                <w:lang w:eastAsia="en-US"/>
              </w:rPr>
              <w:t>To</w:t>
            </w:r>
          </w:p>
        </w:tc>
        <w:tc>
          <w:tcPr>
            <w:tcW w:w="993" w:type="dxa"/>
            <w:tcBorders>
              <w:top w:val="single" w:sz="6" w:space="0" w:color="000000"/>
              <w:right w:val="single" w:sz="6" w:space="0" w:color="000000"/>
            </w:tcBorders>
          </w:tcPr>
          <w:p>
            <w:pPr>
              <w:pStyle w:val="TAH"/>
              <w:rPr>
                <w:lang w:eastAsia="en-US"/>
              </w:rPr>
            </w:pPr>
            <w:r>
              <w:rPr>
                <w:lang w:eastAsia="en-US"/>
              </w:rPr>
              <w:t>From</w:t>
            </w:r>
          </w:p>
        </w:tc>
        <w:tc>
          <w:tcPr>
            <w:tcW w:w="1275" w:type="dxa"/>
            <w:tcBorders>
              <w:top w:val="single" w:sz="6" w:space="0" w:color="000000"/>
              <w:right w:val="single" w:sz="6" w:space="0" w:color="000000"/>
            </w:tcBorders>
          </w:tcPr>
          <w:p>
            <w:pPr>
              <w:pStyle w:val="TAH"/>
              <w:rPr>
                <w:lang w:eastAsia="en-US"/>
              </w:rPr>
            </w:pPr>
            <w:r>
              <w:rPr>
                <w:lang w:eastAsia="en-US"/>
              </w:rPr>
              <w:t>To</w:t>
            </w:r>
          </w:p>
        </w:tc>
        <w:tc>
          <w:tcPr>
            <w:tcW w:w="1134" w:type="dxa"/>
            <w:tcBorders>
              <w:top w:val="single" w:sz="6" w:space="0" w:color="000000"/>
              <w:right w:val="single" w:sz="6" w:space="0" w:color="000000"/>
            </w:tcBorders>
          </w:tcPr>
          <w:p>
            <w:pPr>
              <w:pStyle w:val="TAH"/>
              <w:rPr>
                <w:lang w:eastAsia="en-US"/>
              </w:rPr>
            </w:pPr>
            <w:r>
              <w:rPr>
                <w:lang w:eastAsia="en-US"/>
              </w:rPr>
              <w:t>From</w:t>
            </w:r>
          </w:p>
        </w:tc>
      </w:tr>
      <w:tr>
        <w:trPr/>
        <w:tc>
          <w:tcPr>
            <w:tcW w:w="1417" w:type="dxa"/>
            <w:tcBorders>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p>
        </w:tc>
        <w:tc>
          <w:tcPr>
            <w:tcW w:w="1418" w:type="dxa"/>
            <w:tcBorders>
              <w:right w:val="single" w:sz="6" w:space="0" w:color="000000"/>
            </w:tcBorders>
          </w:tcPr>
          <w:p>
            <w:pPr>
              <w:pStyle w:val="TAH"/>
              <w:rPr>
                <w:rFonts w:ascii="Courier New" w:hAnsi="Courier New" w:cs="Courier New"/>
                <w:lang w:eastAsia="en-US"/>
              </w:rPr>
            </w:pPr>
            <w:r>
              <w:rPr>
                <w:rFonts w:eastAsia="Arial"/>
                <w:lang w:eastAsia="en-US"/>
              </w:rPr>
              <w:t xml:space="preserve"> </w:t>
            </w:r>
          </w:p>
        </w:tc>
        <w:tc>
          <w:tcPr>
            <w:tcW w:w="1276" w:type="dxa"/>
            <w:tcBorders>
              <w:right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1275" w:type="dxa"/>
            <w:tcBorders>
              <w:right w:val="single" w:sz="6" w:space="0" w:color="000000"/>
            </w:tcBorders>
          </w:tcPr>
          <w:p>
            <w:pPr>
              <w:pStyle w:val="TAH"/>
              <w:rPr>
                <w:rFonts w:ascii="Courier New" w:hAnsi="Courier New" w:cs="Courier New"/>
                <w:lang w:eastAsia="en-US"/>
              </w:rPr>
            </w:pPr>
            <w:r>
              <w:rPr>
                <w:lang w:eastAsia="en-US"/>
              </w:rPr>
              <w:t>TE2</w:t>
            </w:r>
          </w:p>
        </w:tc>
        <w:tc>
          <w:tcPr>
            <w:tcW w:w="993" w:type="dxa"/>
            <w:tcBorders>
              <w:right w:val="single" w:sz="6" w:space="0" w:color="000000"/>
            </w:tcBorders>
          </w:tcPr>
          <w:p>
            <w:pPr>
              <w:pStyle w:val="TAH"/>
              <w:rPr>
                <w:rFonts w:ascii="Courier New" w:hAnsi="Courier New" w:cs="Courier New"/>
                <w:lang w:val="fr-FR" w:eastAsia="en-US"/>
              </w:rPr>
            </w:pPr>
            <w:r>
              <w:rPr>
                <w:lang w:val="fr-FR" w:eastAsia="en-US"/>
              </w:rPr>
              <w:t>TE2</w:t>
            </w:r>
          </w:p>
        </w:tc>
        <w:tc>
          <w:tcPr>
            <w:tcW w:w="1275" w:type="dxa"/>
            <w:tcBorders>
              <w:right w:val="single" w:sz="6" w:space="0" w:color="000000"/>
            </w:tcBorders>
          </w:tcPr>
          <w:p>
            <w:pPr>
              <w:pStyle w:val="TAH"/>
              <w:rPr>
                <w:rFonts w:ascii="Courier New" w:hAnsi="Courier New" w:cs="Courier New"/>
                <w:lang w:val="fr-FR" w:eastAsia="en-US"/>
              </w:rPr>
            </w:pPr>
            <w:r>
              <w:rPr>
                <w:lang w:val="fr-FR" w:eastAsia="en-US"/>
              </w:rPr>
              <w:t>TE2</w:t>
            </w:r>
          </w:p>
        </w:tc>
        <w:tc>
          <w:tcPr>
            <w:tcW w:w="1134" w:type="dxa"/>
            <w:tcBorders>
              <w:right w:val="single" w:sz="6" w:space="0" w:color="000000"/>
            </w:tcBorders>
          </w:tcPr>
          <w:p>
            <w:pPr>
              <w:pStyle w:val="TAH"/>
              <w:rPr>
                <w:rFonts w:ascii="Courier New" w:hAnsi="Courier New" w:cs="Courier New"/>
                <w:lang w:val="fr-FR" w:eastAsia="en-US"/>
              </w:rPr>
            </w:pPr>
            <w:r>
              <w:rPr>
                <w:lang w:val="fr-FR" w:eastAsia="en-US"/>
              </w:rPr>
              <w:t>TE2</w:t>
            </w:r>
          </w:p>
        </w:tc>
      </w:tr>
      <w:tr>
        <w:trPr/>
        <w:tc>
          <w:tcPr>
            <w:tcW w:w="1417"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val="fr-FR" w:eastAsia="en-US"/>
              </w:rPr>
              <w:t xml:space="preserve"> </w:t>
            </w:r>
            <w:r>
              <w:rPr>
                <w:lang w:eastAsia="en-US"/>
              </w:rPr>
              <w:t xml:space="preserve">CT102 </w:t>
            </w:r>
          </w:p>
        </w:tc>
        <w:tc>
          <w:tcPr>
            <w:tcW w:w="1418"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Common</w:t>
            </w:r>
          </w:p>
        </w:tc>
        <w:tc>
          <w:tcPr>
            <w:tcW w:w="1276"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x</w:t>
            </w:r>
          </w:p>
        </w:tc>
        <w:tc>
          <w:tcPr>
            <w:tcW w:w="1275"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top w:val="single" w:sz="6" w:space="0" w:color="000000"/>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return</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CT103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Trans</w:t>
              <w:noBreakHyphen/>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mitted</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data</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CT104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Received</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data</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return</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CT105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Request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to send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(note 2)</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CT106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Ready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for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sending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CT107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Data set</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ready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CT108/2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Data</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terminal</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ready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CT109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Data</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channel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received</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line</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signal</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detector</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CT125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Calling </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x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lang w:eastAsia="en-US"/>
              </w:rPr>
              <w:t>indicator</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(note 1)</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418"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993" w:type="dxa"/>
            <w:tcBorders>
              <w:left w:val="single" w:sz="6" w:space="0" w:color="000000"/>
              <w:right w:val="single" w:sz="6" w:space="0" w:color="000000"/>
            </w:tcBorders>
          </w:tcPr>
          <w:p>
            <w:pPr>
              <w:pStyle w:val="TAC"/>
              <w:snapToGrid w:val="false"/>
              <w:rPr>
                <w:lang w:eastAsia="en-US"/>
              </w:rPr>
            </w:pPr>
            <w:r>
              <w:rPr>
                <w:lang w:eastAsia="en-US"/>
              </w:rPr>
            </w:r>
          </w:p>
        </w:tc>
        <w:tc>
          <w:tcPr>
            <w:tcW w:w="1275"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CT133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lang w:eastAsia="en-US"/>
              </w:rPr>
              <w:t>Ready for</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x</w:t>
            </w:r>
          </w:p>
        </w:tc>
      </w:tr>
      <w:tr>
        <w:trPr/>
        <w:tc>
          <w:tcPr>
            <w:tcW w:w="141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right w:val="single" w:sz="6" w:space="0" w:color="000000"/>
            </w:tcBorders>
          </w:tcPr>
          <w:p>
            <w:pPr>
              <w:pStyle w:val="TAC"/>
              <w:rPr>
                <w:rFonts w:ascii="Courier New" w:hAnsi="Courier New" w:cs="Courier New"/>
                <w:lang w:eastAsia="en-US"/>
              </w:rPr>
            </w:pPr>
            <w:r>
              <w:rPr>
                <w:lang w:eastAsia="en-US"/>
              </w:rPr>
              <w:t>Receiving</w:t>
            </w:r>
          </w:p>
        </w:tc>
        <w:tc>
          <w:tcPr>
            <w:tcW w:w="1276" w:type="dxa"/>
            <w:tcBorders>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tc>
          <w:tcPr>
            <w:tcW w:w="1417"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418"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(note 2)</w:t>
            </w:r>
          </w:p>
        </w:tc>
        <w:tc>
          <w:tcPr>
            <w:tcW w:w="1276" w:type="dxa"/>
            <w:tcBorders>
              <w:left w:val="single" w:sz="6" w:space="0" w:color="000000"/>
              <w:bottom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1275"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993"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275"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1134"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bl>
    <w:p>
      <w:pPr>
        <w:pStyle w:val="Normal"/>
        <w:rPr/>
      </w:pPr>
      <w:r>
        <w:rPr/>
      </w:r>
    </w:p>
    <w:p>
      <w:pPr>
        <w:pStyle w:val="NO"/>
        <w:rPr/>
      </w:pPr>
      <w:r>
        <w:rPr/>
        <w:t>NOTE 1:</w:t>
        <w:tab/>
        <w:t>CT125 is used with the automatic answering function of the TAF.</w:t>
      </w:r>
    </w:p>
    <w:p>
      <w:pPr>
        <w:pStyle w:val="NO"/>
        <w:rPr/>
      </w:pPr>
      <w:r>
        <w:rPr/>
        <w:t>NOTE 2:</w:t>
        <w:tab/>
        <w:t>CT105 and CT133 are assigned to the same connector pin on both the standard 25 pin connector (ISO 2110) and the commonly used 9 pin connector (annex B). When this pin is used for CT133 then on the DCE (MT) side of the interface CT 105 is treated as being always in the ON condition. Similarly, when this pin is being used for CT105 then on the DCE (MT) side of the interface CT 133 is treated as being always in the ON condition. As circuit 133 is used only in duplex operation and circuit 105 is used only in half duplex operation (which is not supported by GSM or UMTS) there should be no conflict.</w:t>
      </w:r>
    </w:p>
    <w:p>
      <w:pPr>
        <w:pStyle w:val="Heading1"/>
        <w:ind w:left="1134" w:hanging="1134"/>
        <w:rPr/>
      </w:pPr>
      <w:bookmarkStart w:id="44" w:name="__RefHeading___Toc217240211"/>
      <w:bookmarkEnd w:id="44"/>
      <w:r>
        <w:rPr/>
        <w:t>5</w:t>
        <w:tab/>
        <w:t>Terminal interfacing to 3GPP TS 24.008 [8] Mapping</w:t>
      </w:r>
    </w:p>
    <w:p>
      <w:pPr>
        <w:pStyle w:val="Normal"/>
        <w:rPr/>
      </w:pPr>
      <w:r>
        <w:rPr/>
        <w:t>Only those elements/messages that are of particular relevance are considered.</w:t>
      </w:r>
    </w:p>
    <w:p>
      <w:pPr>
        <w:pStyle w:val="Normal"/>
        <w:rPr/>
      </w:pPr>
      <w:r>
        <w:rPr/>
        <w:t>Interface procedures not directly mappable to 3GPP TS 24.008 [8] are not considered. Mobile management procedures of 3GPP TS 24.008 [8] are not considered applicable.</w:t>
      </w:r>
    </w:p>
    <w:p>
      <w:pPr>
        <w:pStyle w:val="Normal"/>
        <w:rPr/>
      </w:pPr>
      <w:r>
        <w:rPr/>
        <w:t>Mapping of other call establishment or clearing messages to the S interface e.g. "Call proceeding" etc. has not been included. It is assumed these can be mapped directly and as such are of no relevance to the manual interfaces.</w:t>
      </w:r>
    </w:p>
    <w:p>
      <w:pPr>
        <w:pStyle w:val="Normal"/>
        <w:rPr/>
      </w:pPr>
      <w:r>
        <w:rPr/>
        <w:t>For the Alternate speech/group 3 facsimile service the TAF shall be able to generate a "Modify" message according to the defined procedure in 3GPP TS 24.008 [8].</w:t>
      </w:r>
    </w:p>
    <w:p>
      <w:pPr>
        <w:pStyle w:val="Heading2H2"/>
        <w:rPr/>
      </w:pPr>
      <w:bookmarkStart w:id="45" w:name="__RefHeading___Toc217240212"/>
      <w:bookmarkEnd w:id="45"/>
      <w:r>
        <w:rPr/>
        <w:t>5.1</w:t>
        <w:tab/>
        <w:t>Mobile Originated Calls</w:t>
      </w:r>
    </w:p>
    <w:p>
      <w:pPr>
        <w:pStyle w:val="Normal"/>
        <w:rPr/>
      </w:pPr>
      <w:r>
        <w:rPr/>
        <w:t>Call establishment is initiated by the keypad or DTE action:</w:t>
      </w:r>
    </w:p>
    <w:p>
      <w:pPr>
        <w:pStyle w:val="B1"/>
        <w:keepNext w:val="true"/>
        <w:keepLines/>
        <w:rPr/>
      </w:pPr>
      <w:r>
        <w:rPr/>
        <w:t>a)</w:t>
        <w:tab/>
        <w:t>Setup</w:t>
      </w:r>
    </w:p>
    <w:tbl>
      <w:tblPr>
        <w:tblW w:w="9050" w:type="dxa"/>
        <w:jc w:val="center"/>
        <w:tblInd w:w="0" w:type="dxa"/>
        <w:tblLayout w:type="fixed"/>
        <w:tblCellMar>
          <w:top w:w="0" w:type="dxa"/>
          <w:left w:w="28" w:type="dxa"/>
          <w:bottom w:w="0" w:type="dxa"/>
          <w:right w:w="28" w:type="dxa"/>
        </w:tblCellMar>
      </w:tblPr>
      <w:tblGrid>
        <w:gridCol w:w="4384"/>
        <w:gridCol w:w="4666"/>
      </w:tblGrid>
      <w:tr>
        <w:trPr>
          <w:cantSplit w:val="true"/>
        </w:trPr>
        <w:tc>
          <w:tcPr>
            <w:tcW w:w="4384" w:type="dxa"/>
            <w:tcBorders>
              <w:top w:val="single" w:sz="6" w:space="0" w:color="000000"/>
              <w:left w:val="single" w:sz="6" w:space="0" w:color="000000"/>
              <w:right w:val="single" w:sz="4" w:space="0" w:color="000000"/>
            </w:tcBorders>
          </w:tcPr>
          <w:p>
            <w:pPr>
              <w:pStyle w:val="TAH"/>
              <w:rPr>
                <w:rFonts w:ascii="Courier New" w:hAnsi="Courier New" w:cs="Courier New"/>
                <w:lang w:eastAsia="en-US"/>
              </w:rPr>
            </w:pPr>
            <w:r>
              <w:rPr>
                <w:rFonts w:eastAsia="Arial"/>
                <w:lang w:eastAsia="en-US"/>
              </w:rPr>
              <w:t xml:space="preserve"> </w:t>
            </w:r>
            <w:r>
              <w:rPr>
                <w:lang w:eastAsia="en-US"/>
              </w:rPr>
              <w:t>Element</w:t>
            </w:r>
          </w:p>
        </w:tc>
        <w:tc>
          <w:tcPr>
            <w:tcW w:w="466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Derived from</w:t>
            </w:r>
          </w:p>
        </w:tc>
      </w:tr>
      <w:tr>
        <w:trPr>
          <w:cantSplit w:val="true"/>
        </w:trPr>
        <w:tc>
          <w:tcPr>
            <w:tcW w:w="4384" w:type="dxa"/>
            <w:tcBorders>
              <w:left w:val="single" w:sz="6" w:space="0" w:color="000000"/>
              <w:bottom w:val="single" w:sz="6" w:space="0" w:color="000000"/>
              <w:right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4666" w:type="dxa"/>
            <w:tcBorders>
              <w:top w:val="single" w:sz="4" w:space="0" w:color="000000"/>
              <w:bottom w:val="single" w:sz="4" w:space="0" w:color="000000"/>
              <w:right w:val="single" w:sz="4" w:space="0" w:color="000000"/>
            </w:tcBorders>
          </w:tcPr>
          <w:p>
            <w:pPr>
              <w:pStyle w:val="TAH"/>
              <w:rPr>
                <w:rFonts w:ascii="Courier New" w:hAnsi="Courier New" w:cs="Courier New"/>
                <w:lang w:val="en-AU" w:eastAsia="en-US"/>
              </w:rPr>
            </w:pPr>
            <w:r>
              <w:rPr>
                <w:rFonts w:eastAsia="Arial"/>
                <w:lang w:eastAsia="en-US"/>
              </w:rPr>
              <w:t xml:space="preserve"> </w:t>
            </w:r>
            <w:r>
              <w:rPr>
                <w:lang w:eastAsia="en-US"/>
              </w:rPr>
              <w:t>MMI</w:t>
            </w:r>
          </w:p>
        </w:tc>
      </w:tr>
      <w:tr>
        <w:trPr>
          <w:cantSplit w:val="true"/>
        </w:trPr>
        <w:tc>
          <w:tcPr>
            <w:tcW w:w="4384" w:type="dxa"/>
            <w:tcBorders>
              <w:top w:val="single" w:sz="6" w:space="0" w:color="000000"/>
              <w:left w:val="single" w:sz="6" w:space="0" w:color="000000"/>
              <w:right w:val="single" w:sz="4" w:space="0" w:color="000000"/>
            </w:tcBorders>
          </w:tcPr>
          <w:p>
            <w:pPr>
              <w:pStyle w:val="TAC"/>
              <w:snapToGrid w:val="false"/>
              <w:rPr>
                <w:rFonts w:ascii="Courier New" w:hAnsi="Courier New" w:cs="Courier New"/>
                <w:lang w:val="en-AU" w:eastAsia="en-US"/>
              </w:rPr>
            </w:pPr>
            <w:r>
              <w:rPr>
                <w:rFonts w:cs="Courier New" w:ascii="Courier New" w:hAnsi="Courier New"/>
                <w:lang w:val="en-AU" w:eastAsia="en-US"/>
              </w:rPr>
            </w:r>
          </w:p>
        </w:tc>
        <w:tc>
          <w:tcPr>
            <w:tcW w:w="4666" w:type="dxa"/>
            <w:tcBorders>
              <w:top w:val="single" w:sz="4" w:space="0" w:color="000000"/>
              <w:left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Called </w:t>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Keypad </w:t>
            </w:r>
          </w:p>
        </w:tc>
      </w:tr>
      <w:tr>
        <w:trPr>
          <w:cantSplit w:val="true"/>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Address</w:t>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cantSplit w:val="true"/>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cantSplit w:val="true"/>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Called </w:t>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Keypad </w:t>
            </w:r>
          </w:p>
        </w:tc>
      </w:tr>
      <w:tr>
        <w:trPr>
          <w:cantSplit w:val="true"/>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Sub Address</w:t>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cantSplit w:val="true"/>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HLC</w:t>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Derived from internal</w:t>
            </w:r>
          </w:p>
        </w:tc>
      </w:tr>
      <w:tr>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settings or MMI infor</w:t>
              <w:noBreakHyphen/>
              <w:t xml:space="preserve"> mation.</w:t>
            </w:r>
          </w:p>
        </w:tc>
      </w:tr>
      <w:tr>
        <w:trPr>
          <w:cantSplit w:val="true"/>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cantSplit w:val="true"/>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LLC</w:t>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Same as HLC</w:t>
            </w:r>
          </w:p>
        </w:tc>
      </w:tr>
      <w:tr>
        <w:trPr>
          <w:cantSplit w:val="true"/>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r>
        <w:trPr/>
        <w:tc>
          <w:tcPr>
            <w:tcW w:w="4384" w:type="dxa"/>
            <w:tcBorders>
              <w:left w:val="single" w:sz="6"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BC </w:t>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Same as HLC 3GPP TS 27.001 [10]</w:t>
            </w:r>
          </w:p>
        </w:tc>
      </w:tr>
      <w:tr>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lang w:eastAsia="en-US"/>
              </w:rPr>
              <w:t>gives</w:t>
            </w:r>
          </w:p>
        </w:tc>
      </w:tr>
      <w:tr>
        <w:trPr/>
        <w:tc>
          <w:tcPr>
            <w:tcW w:w="4384" w:type="dxa"/>
            <w:tcBorders>
              <w:left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right w:val="single" w:sz="4"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allowed values </w:t>
            </w:r>
          </w:p>
        </w:tc>
      </w:tr>
      <w:tr>
        <w:trPr/>
        <w:tc>
          <w:tcPr>
            <w:tcW w:w="4384" w:type="dxa"/>
            <w:tcBorders>
              <w:left w:val="single" w:sz="6" w:space="0" w:color="000000"/>
              <w:bottom w:val="single" w:sz="6"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6" w:type="dxa"/>
            <w:tcBorders>
              <w:left w:val="single" w:sz="4" w:space="0" w:color="000000"/>
              <w:bottom w:val="single" w:sz="4" w:space="0" w:color="000000"/>
              <w:right w:val="single" w:sz="4"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r>
    </w:tbl>
    <w:p>
      <w:pPr>
        <w:pStyle w:val="Normal"/>
        <w:keepNext w:val="true"/>
        <w:keepLines/>
        <w:rPr/>
      </w:pPr>
      <w:r>
        <w:rPr/>
      </w:r>
    </w:p>
    <w:p>
      <w:pPr>
        <w:pStyle w:val="B1"/>
        <w:keepNext w:val="true"/>
        <w:keepLines/>
        <w:rPr/>
      </w:pPr>
      <w:r>
        <w:rPr/>
        <w:t>b)</w:t>
        <w:tab/>
        <w:t>Release Complete</w:t>
      </w:r>
    </w:p>
    <w:tbl>
      <w:tblPr>
        <w:tblW w:w="9039" w:type="dxa"/>
        <w:jc w:val="center"/>
        <w:tblInd w:w="0" w:type="dxa"/>
        <w:tblLayout w:type="fixed"/>
        <w:tblCellMar>
          <w:top w:w="0" w:type="dxa"/>
          <w:left w:w="28" w:type="dxa"/>
          <w:bottom w:w="0" w:type="dxa"/>
          <w:right w:w="28" w:type="dxa"/>
        </w:tblCellMar>
      </w:tblPr>
      <w:tblGrid>
        <w:gridCol w:w="4378"/>
        <w:gridCol w:w="4661"/>
      </w:tblGrid>
      <w:tr>
        <w:trPr/>
        <w:tc>
          <w:tcPr>
            <w:tcW w:w="4378" w:type="dxa"/>
            <w:tcBorders>
              <w:top w:val="single" w:sz="6" w:space="0" w:color="000000"/>
              <w:left w:val="single" w:sz="6" w:space="0" w:color="000000"/>
              <w:right w:val="single" w:sz="6" w:space="0" w:color="000000"/>
            </w:tcBorders>
          </w:tcPr>
          <w:p>
            <w:pPr>
              <w:pStyle w:val="TAH"/>
              <w:rPr>
                <w:rFonts w:ascii="Courier New" w:hAnsi="Courier New" w:cs="Courier New"/>
                <w:lang w:eastAsia="en-US"/>
              </w:rPr>
            </w:pPr>
            <w:r>
              <w:rPr>
                <w:lang w:eastAsia="en-US"/>
              </w:rPr>
              <w:t>Element</w:t>
            </w:r>
          </w:p>
        </w:tc>
        <w:tc>
          <w:tcPr>
            <w:tcW w:w="4661" w:type="dxa"/>
            <w:tcBorders>
              <w:top w:val="single" w:sz="6" w:space="0" w:color="000000"/>
              <w:bottom w:val="single" w:sz="6" w:space="0" w:color="000000"/>
              <w:right w:val="single" w:sz="6" w:space="0" w:color="000000"/>
            </w:tcBorders>
          </w:tcPr>
          <w:p>
            <w:pPr>
              <w:pStyle w:val="TAH"/>
              <w:rPr/>
            </w:pPr>
            <w:r>
              <w:rPr>
                <w:lang w:eastAsia="en-US"/>
              </w:rPr>
              <w:t xml:space="preserve">Derived from </w:t>
            </w:r>
          </w:p>
        </w:tc>
      </w:tr>
      <w:tr>
        <w:trPr>
          <w:cantSplit w:val="true"/>
        </w:trPr>
        <w:tc>
          <w:tcPr>
            <w:tcW w:w="4378" w:type="dxa"/>
            <w:tcBorders>
              <w:left w:val="single" w:sz="6" w:space="0" w:color="000000"/>
              <w:bottom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4661" w:type="dxa"/>
            <w:tcBorders>
              <w:top w:val="single" w:sz="6" w:space="0" w:color="000000"/>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val="en-AU" w:eastAsia="en-US"/>
              </w:rPr>
              <w:t>MMI</w:t>
            </w:r>
          </w:p>
        </w:tc>
      </w:tr>
      <w:tr>
        <w:trPr>
          <w:cantSplit w:val="true"/>
        </w:trPr>
        <w:tc>
          <w:tcPr>
            <w:tcW w:w="4378" w:type="dxa"/>
            <w:tcBorders>
              <w:lef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378" w:type="dxa"/>
            <w:tcBorders>
              <w:lef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Cause</w:t>
            </w:r>
          </w:p>
        </w:tc>
        <w:tc>
          <w:tcPr>
            <w:tcW w:w="4661"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Display</w:t>
            </w:r>
          </w:p>
        </w:tc>
      </w:tr>
      <w:tr>
        <w:trPr>
          <w:cantSplit w:val="true"/>
        </w:trPr>
        <w:tc>
          <w:tcPr>
            <w:tcW w:w="4378" w:type="dxa"/>
            <w:tcBorders>
              <w:left w:val="single" w:sz="6" w:space="0" w:color="000000"/>
              <w:bottom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61"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lang w:eastAsia="en-US"/>
              </w:rPr>
              <w:t>(optional)</w:t>
            </w:r>
          </w:p>
        </w:tc>
      </w:tr>
    </w:tbl>
    <w:p>
      <w:pPr>
        <w:pStyle w:val="Normal"/>
        <w:rPr/>
      </w:pPr>
      <w:r>
        <w:rPr/>
      </w:r>
    </w:p>
    <w:p>
      <w:pPr>
        <w:pStyle w:val="Heading2H2"/>
        <w:rPr/>
      </w:pPr>
      <w:bookmarkStart w:id="46" w:name="__RefHeading___Toc217240213"/>
      <w:bookmarkEnd w:id="46"/>
      <w:r>
        <w:rPr/>
        <w:t>5.2</w:t>
        <w:tab/>
        <w:t>Mobile Terminated Calls</w:t>
      </w:r>
    </w:p>
    <w:p>
      <w:pPr>
        <w:pStyle w:val="Normal"/>
        <w:rPr/>
      </w:pPr>
      <w:r>
        <w:rPr/>
        <w:t>Call establishment is initiated by receipt of Setup at the MS:</w:t>
      </w:r>
    </w:p>
    <w:p>
      <w:pPr>
        <w:pStyle w:val="B1"/>
        <w:rPr/>
      </w:pPr>
      <w:r>
        <w:rPr/>
        <w:t>a)</w:t>
        <w:tab/>
        <w:t>Setup</w:t>
      </w:r>
    </w:p>
    <w:tbl>
      <w:tblPr>
        <w:tblW w:w="9036" w:type="dxa"/>
        <w:jc w:val="center"/>
        <w:tblInd w:w="0" w:type="dxa"/>
        <w:tblLayout w:type="fixed"/>
        <w:tblCellMar>
          <w:top w:w="0" w:type="dxa"/>
          <w:left w:w="28" w:type="dxa"/>
          <w:bottom w:w="0" w:type="dxa"/>
          <w:right w:w="28" w:type="dxa"/>
        </w:tblCellMar>
      </w:tblPr>
      <w:tblGrid>
        <w:gridCol w:w="4377"/>
        <w:gridCol w:w="4659"/>
      </w:tblGrid>
      <w:tr>
        <w:trPr/>
        <w:tc>
          <w:tcPr>
            <w:tcW w:w="4377" w:type="dxa"/>
            <w:tcBorders>
              <w:top w:val="single" w:sz="6" w:space="0" w:color="000000"/>
              <w:left w:val="single" w:sz="6" w:space="0" w:color="000000"/>
            </w:tcBorders>
          </w:tcPr>
          <w:p>
            <w:pPr>
              <w:pStyle w:val="TAH"/>
              <w:rPr>
                <w:lang w:eastAsia="en-US"/>
              </w:rPr>
            </w:pPr>
            <w:r>
              <w:rPr>
                <w:lang w:eastAsia="en-US"/>
              </w:rPr>
              <w:t>Element</w:t>
            </w:r>
          </w:p>
        </w:tc>
        <w:tc>
          <w:tcPr>
            <w:tcW w:w="46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Mapped on to</w:t>
            </w:r>
          </w:p>
        </w:tc>
      </w:tr>
      <w:tr>
        <w:trPr>
          <w:cantSplit w:val="true"/>
        </w:trPr>
        <w:tc>
          <w:tcPr>
            <w:tcW w:w="4377" w:type="dxa"/>
            <w:tcBorders>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p>
        </w:tc>
        <w:tc>
          <w:tcPr>
            <w:tcW w:w="4659" w:type="dxa"/>
            <w:tcBorders>
              <w:top w:val="single" w:sz="6" w:space="0" w:color="000000"/>
              <w:right w:val="single" w:sz="6" w:space="0" w:color="000000"/>
            </w:tcBorders>
          </w:tcPr>
          <w:p>
            <w:pPr>
              <w:pStyle w:val="TAH"/>
              <w:rPr>
                <w:rFonts w:ascii="Courier New" w:hAnsi="Courier New" w:cs="Courier New"/>
                <w:lang w:eastAsia="en-US"/>
              </w:rPr>
            </w:pPr>
            <w:r>
              <w:rPr>
                <w:lang w:val="en-AU" w:eastAsia="en-US"/>
              </w:rPr>
              <w:t>MMI</w:t>
            </w:r>
          </w:p>
        </w:tc>
      </w:tr>
      <w:tr>
        <w:trPr>
          <w:cantSplit w:val="true"/>
        </w:trPr>
        <w:tc>
          <w:tcPr>
            <w:tcW w:w="4377" w:type="dxa"/>
            <w:tcBorders>
              <w:top w:val="single" w:sz="6" w:space="0" w:color="000000"/>
              <w:left w:val="single" w:sz="6" w:space="0" w:color="000000"/>
              <w:right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4659"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Called</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Display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Address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(optional)</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Called Sub</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Display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Address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(optional)</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HLC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Display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(optional)</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LLC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Display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(optional)</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BC</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 xml:space="preserve">Display </w:t>
            </w:r>
          </w:p>
        </w:tc>
      </w:tr>
      <w:tr>
        <w:trPr>
          <w:cantSplit w:val="true"/>
        </w:trPr>
        <w:tc>
          <w:tcPr>
            <w:tcW w:w="4377"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r>
              <w:rPr>
                <w:lang w:eastAsia="en-US"/>
              </w:rPr>
              <w:t>(optional)</w:t>
            </w:r>
          </w:p>
        </w:tc>
      </w:tr>
      <w:tr>
        <w:trPr>
          <w:cantSplit w:val="true"/>
        </w:trPr>
        <w:tc>
          <w:tcPr>
            <w:tcW w:w="4377"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c>
          <w:tcPr>
            <w:tcW w:w="4659"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rFonts w:eastAsia="Arial"/>
                <w:lang w:eastAsia="en-US"/>
              </w:rPr>
              <w:t xml:space="preserve"> </w:t>
            </w:r>
          </w:p>
        </w:tc>
      </w:tr>
    </w:tbl>
    <w:p>
      <w:pPr>
        <w:pStyle w:val="Normal"/>
        <w:rPr/>
      </w:pPr>
      <w:r>
        <w:rPr/>
      </w:r>
    </w:p>
    <w:p>
      <w:pPr>
        <w:pStyle w:val="B1"/>
        <w:rPr/>
      </w:pPr>
      <w:r>
        <w:rPr/>
        <w:t>b)</w:t>
        <w:tab/>
        <w:t>Call Confirm</w:t>
      </w:r>
    </w:p>
    <w:p>
      <w:pPr>
        <w:pStyle w:val="Normal"/>
        <w:rPr/>
      </w:pPr>
      <w:r>
        <w:rPr/>
        <w:t>Information for the BC element in the call confirm shall be derived from e.g. MMI or by internal settings.</w:t>
      </w:r>
    </w:p>
    <w:p>
      <w:pPr>
        <w:pStyle w:val="B1"/>
        <w:keepNext w:val="true"/>
        <w:keepLines/>
        <w:rPr/>
      </w:pPr>
      <w:r>
        <w:rPr/>
        <w:t>c)</w:t>
        <w:tab/>
        <w:t>Connect</w:t>
      </w:r>
    </w:p>
    <w:p>
      <w:pPr>
        <w:pStyle w:val="Normal"/>
        <w:keepNext w:val="true"/>
        <w:keepLines/>
        <w:rPr/>
      </w:pPr>
      <w:r>
        <w:rPr/>
        <w:t>Connect is sent in response to connect from MMI.</w:t>
      </w:r>
    </w:p>
    <w:p>
      <w:pPr>
        <w:pStyle w:val="Heading2H2"/>
        <w:rPr/>
      </w:pPr>
      <w:bookmarkStart w:id="47" w:name="__RefHeading___Toc217240214"/>
      <w:bookmarkEnd w:id="47"/>
      <w:r>
        <w:rPr/>
        <w:t>5.3</w:t>
        <w:tab/>
        <w:t>Call Clearing</w:t>
      </w:r>
    </w:p>
    <w:p>
      <w:pPr>
        <w:pStyle w:val="Heading3"/>
        <w:rPr/>
      </w:pPr>
      <w:bookmarkStart w:id="48" w:name="__RefHeading___Toc217240215"/>
      <w:bookmarkEnd w:id="48"/>
      <w:r>
        <w:rPr/>
        <w:t>5.3.1</w:t>
        <w:tab/>
        <w:t>Mobile initiated</w:t>
      </w:r>
    </w:p>
    <w:p>
      <w:pPr>
        <w:pStyle w:val="Normal"/>
        <w:rPr/>
      </w:pPr>
      <w:r>
        <w:rPr/>
        <w:t>Call clearing is initiated by the keypad or DTE action:</w:t>
      </w:r>
    </w:p>
    <w:p>
      <w:pPr>
        <w:pStyle w:val="B1"/>
        <w:keepNext w:val="true"/>
        <w:keepLines/>
        <w:rPr/>
      </w:pPr>
      <w:r>
        <w:rPr/>
        <w:t>Disconnect</w:t>
      </w:r>
    </w:p>
    <w:tbl>
      <w:tblPr>
        <w:tblW w:w="9039" w:type="dxa"/>
        <w:jc w:val="center"/>
        <w:tblInd w:w="0" w:type="dxa"/>
        <w:tblLayout w:type="fixed"/>
        <w:tblCellMar>
          <w:top w:w="0" w:type="dxa"/>
          <w:left w:w="28" w:type="dxa"/>
          <w:bottom w:w="0" w:type="dxa"/>
          <w:right w:w="28" w:type="dxa"/>
        </w:tblCellMar>
      </w:tblPr>
      <w:tblGrid>
        <w:gridCol w:w="1951"/>
        <w:gridCol w:w="2852"/>
        <w:gridCol w:w="4236"/>
      </w:tblGrid>
      <w:tr>
        <w:trPr/>
        <w:tc>
          <w:tcPr>
            <w:tcW w:w="1951" w:type="dxa"/>
            <w:tcBorders>
              <w:top w:val="single" w:sz="6" w:space="0" w:color="000000"/>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Element</w:t>
            </w:r>
          </w:p>
        </w:tc>
        <w:tc>
          <w:tcPr>
            <w:tcW w:w="7088" w:type="dxa"/>
            <w:gridSpan w:val="2"/>
            <w:tcBorders>
              <w:top w:val="single" w:sz="6" w:space="0" w:color="000000"/>
              <w:bottom w:val="single" w:sz="6" w:space="0" w:color="000000"/>
              <w:right w:val="single" w:sz="6" w:space="0" w:color="000000"/>
            </w:tcBorders>
          </w:tcPr>
          <w:p>
            <w:pPr>
              <w:pStyle w:val="TAH"/>
              <w:rPr>
                <w:lang w:eastAsia="en-US"/>
              </w:rPr>
            </w:pPr>
            <w:r>
              <w:rPr>
                <w:lang w:eastAsia="en-US"/>
              </w:rPr>
              <w:t xml:space="preserve">Derived from </w:t>
            </w:r>
          </w:p>
        </w:tc>
      </w:tr>
      <w:tr>
        <w:trPr>
          <w:cantSplit w:val="true"/>
        </w:trPr>
        <w:tc>
          <w:tcPr>
            <w:tcW w:w="1951" w:type="dxa"/>
            <w:tcBorders>
              <w:left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2852" w:type="dxa"/>
            <w:tcBorders>
              <w:top w:val="single" w:sz="6" w:space="0" w:color="000000"/>
              <w:left w:val="single" w:sz="6" w:space="0" w:color="000000"/>
              <w:right w:val="single" w:sz="6" w:space="0" w:color="000000"/>
            </w:tcBorders>
          </w:tcPr>
          <w:p>
            <w:pPr>
              <w:pStyle w:val="TAH"/>
              <w:rPr>
                <w:rFonts w:ascii="Courier New" w:hAnsi="Courier New" w:cs="Courier New"/>
                <w:lang w:val="fr-FR" w:eastAsia="en-US"/>
              </w:rPr>
            </w:pPr>
            <w:r>
              <w:rPr>
                <w:rFonts w:eastAsia="Arial"/>
                <w:lang w:eastAsia="en-US"/>
              </w:rPr>
              <w:t xml:space="preserve"> </w:t>
            </w:r>
            <w:r>
              <w:rPr>
                <w:lang w:val="fr-FR" w:eastAsia="en-US"/>
              </w:rPr>
              <w:t>MMI</w:t>
            </w:r>
          </w:p>
        </w:tc>
        <w:tc>
          <w:tcPr>
            <w:tcW w:w="4236" w:type="dxa"/>
            <w:tcBorders>
              <w:top w:val="single" w:sz="6" w:space="0" w:color="000000"/>
              <w:right w:val="single" w:sz="6" w:space="0" w:color="000000"/>
            </w:tcBorders>
          </w:tcPr>
          <w:p>
            <w:pPr>
              <w:pStyle w:val="TAH"/>
              <w:rPr>
                <w:rFonts w:ascii="Courier New" w:hAnsi="Courier New" w:cs="Courier New"/>
                <w:lang w:val="fr-FR" w:eastAsia="en-US"/>
              </w:rPr>
            </w:pPr>
            <w:r>
              <w:rPr>
                <w:lang w:val="fr-FR" w:eastAsia="en-US"/>
              </w:rPr>
              <w:t>ITU-T V.250 [22]</w:t>
            </w:r>
          </w:p>
        </w:tc>
      </w:tr>
      <w:tr>
        <w:trPr>
          <w:cantSplit w:val="true"/>
        </w:trPr>
        <w:tc>
          <w:tcPr>
            <w:tcW w:w="1951" w:type="dxa"/>
            <w:tcBorders>
              <w:top w:val="single" w:sz="6" w:space="0" w:color="000000"/>
              <w:left w:val="single" w:sz="6" w:space="0" w:color="000000"/>
            </w:tcBorders>
          </w:tcPr>
          <w:p>
            <w:pPr>
              <w:pStyle w:val="TAC"/>
              <w:snapToGrid w:val="false"/>
              <w:rPr>
                <w:rFonts w:ascii="Courier New" w:hAnsi="Courier New" w:cs="Courier New"/>
                <w:lang w:val="fr-FR" w:eastAsia="en-US"/>
              </w:rPr>
            </w:pPr>
            <w:r>
              <w:rPr>
                <w:rFonts w:cs="Courier New" w:ascii="Courier New" w:hAnsi="Courier New"/>
                <w:lang w:val="fr-FR" w:eastAsia="en-US"/>
              </w:rPr>
            </w:r>
          </w:p>
        </w:tc>
        <w:tc>
          <w:tcPr>
            <w:tcW w:w="2852" w:type="dxa"/>
            <w:tcBorders>
              <w:top w:val="single" w:sz="6" w:space="0" w:color="000000"/>
              <w:left w:val="single" w:sz="6" w:space="0" w:color="000000"/>
            </w:tcBorders>
          </w:tcPr>
          <w:p>
            <w:pPr>
              <w:pStyle w:val="TAC"/>
              <w:snapToGrid w:val="false"/>
              <w:rPr>
                <w:lang w:val="fr-FR" w:eastAsia="en-US"/>
              </w:rPr>
            </w:pPr>
            <w:r>
              <w:rPr>
                <w:lang w:val="fr-FR" w:eastAsia="en-US"/>
              </w:rPr>
            </w:r>
          </w:p>
        </w:tc>
        <w:tc>
          <w:tcPr>
            <w:tcW w:w="4236" w:type="dxa"/>
            <w:tcBorders>
              <w:top w:val="single" w:sz="6" w:space="0" w:color="000000"/>
              <w:left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951" w:type="dxa"/>
            <w:tcBorders>
              <w:left w:val="single" w:sz="6" w:space="0" w:color="000000"/>
              <w:bottom w:val="single" w:sz="6" w:space="0" w:color="000000"/>
            </w:tcBorders>
          </w:tcPr>
          <w:p>
            <w:pPr>
              <w:pStyle w:val="TAC"/>
              <w:rPr>
                <w:rFonts w:ascii="Courier New" w:hAnsi="Courier New" w:cs="Courier New"/>
                <w:lang w:eastAsia="en-US"/>
              </w:rPr>
            </w:pPr>
            <w:r>
              <w:rPr>
                <w:rFonts w:eastAsia="Arial"/>
                <w:lang w:val="fr-FR" w:eastAsia="en-US"/>
              </w:rPr>
              <w:t xml:space="preserve"> </w:t>
            </w:r>
            <w:r>
              <w:rPr>
                <w:lang w:eastAsia="en-US"/>
              </w:rPr>
              <w:t>Cause</w:t>
            </w:r>
          </w:p>
        </w:tc>
        <w:tc>
          <w:tcPr>
            <w:tcW w:w="2852" w:type="dxa"/>
            <w:tcBorders>
              <w:left w:val="single" w:sz="6" w:space="0" w:color="000000"/>
              <w:bottom w:val="single" w:sz="6" w:space="0" w:color="000000"/>
            </w:tcBorders>
          </w:tcPr>
          <w:p>
            <w:pPr>
              <w:pStyle w:val="TAC"/>
              <w:rPr>
                <w:rFonts w:ascii="Courier New" w:hAnsi="Courier New" w:cs="Courier New"/>
                <w:lang w:eastAsia="en-US"/>
              </w:rPr>
            </w:pPr>
            <w:r>
              <w:rPr>
                <w:lang w:eastAsia="en-US"/>
              </w:rPr>
              <w:t>Keypad</w:t>
            </w:r>
          </w:p>
        </w:tc>
        <w:tc>
          <w:tcPr>
            <w:tcW w:w="4236" w:type="dxa"/>
            <w:tcBorders>
              <w:left w:val="single" w:sz="6" w:space="0" w:color="000000"/>
              <w:bottom w:val="single" w:sz="6" w:space="0" w:color="000000"/>
              <w:right w:val="single" w:sz="6" w:space="0" w:color="000000"/>
            </w:tcBorders>
          </w:tcPr>
          <w:p>
            <w:pPr>
              <w:pStyle w:val="TAC"/>
              <w:rPr>
                <w:rFonts w:ascii="Courier New" w:hAnsi="Courier New" w:cs="Courier New"/>
                <w:lang w:eastAsia="en-US"/>
              </w:rPr>
            </w:pPr>
            <w:r>
              <w:rPr>
                <w:lang w:eastAsia="en-US"/>
              </w:rPr>
              <w:t>See section 3.4.4</w:t>
            </w:r>
          </w:p>
        </w:tc>
      </w:tr>
    </w:tbl>
    <w:p>
      <w:pPr>
        <w:pStyle w:val="Normal"/>
        <w:rPr/>
      </w:pPr>
      <w:r>
        <w:rPr/>
      </w:r>
    </w:p>
    <w:p>
      <w:pPr>
        <w:pStyle w:val="Heading3"/>
        <w:rPr/>
      </w:pPr>
      <w:bookmarkStart w:id="49" w:name="__RefHeading___Toc217240216"/>
      <w:bookmarkEnd w:id="49"/>
      <w:r>
        <w:rPr/>
        <w:t>5.3.2</w:t>
        <w:tab/>
        <w:t>Network initiated</w:t>
      </w:r>
    </w:p>
    <w:p>
      <w:pPr>
        <w:pStyle w:val="Normal"/>
        <w:rPr/>
      </w:pPr>
      <w:r>
        <w:rPr/>
        <w:t>Call clearing is initiated by receipt of Disconnect at the MS:</w:t>
      </w:r>
    </w:p>
    <w:p>
      <w:pPr>
        <w:pStyle w:val="B1"/>
        <w:keepNext w:val="true"/>
        <w:keepLines/>
        <w:rPr/>
      </w:pPr>
      <w:r>
        <w:rPr/>
        <w:t>Disconnect</w:t>
      </w:r>
    </w:p>
    <w:tbl>
      <w:tblPr>
        <w:tblW w:w="9039" w:type="dxa"/>
        <w:jc w:val="center"/>
        <w:tblInd w:w="0" w:type="dxa"/>
        <w:tblLayout w:type="fixed"/>
        <w:tblCellMar>
          <w:top w:w="0" w:type="dxa"/>
          <w:left w:w="28" w:type="dxa"/>
          <w:bottom w:w="0" w:type="dxa"/>
          <w:right w:w="28" w:type="dxa"/>
        </w:tblCellMar>
      </w:tblPr>
      <w:tblGrid>
        <w:gridCol w:w="1951"/>
        <w:gridCol w:w="2852"/>
        <w:gridCol w:w="4236"/>
      </w:tblGrid>
      <w:tr>
        <w:trPr/>
        <w:tc>
          <w:tcPr>
            <w:tcW w:w="1951" w:type="dxa"/>
            <w:tcBorders>
              <w:top w:val="single" w:sz="6" w:space="0" w:color="000000"/>
              <w:left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Element</w:t>
            </w:r>
          </w:p>
        </w:tc>
        <w:tc>
          <w:tcPr>
            <w:tcW w:w="7088" w:type="dxa"/>
            <w:gridSpan w:val="2"/>
            <w:tcBorders>
              <w:top w:val="single" w:sz="6" w:space="0" w:color="000000"/>
              <w:bottom w:val="single" w:sz="6" w:space="0" w:color="000000"/>
              <w:right w:val="single" w:sz="6" w:space="0" w:color="000000"/>
            </w:tcBorders>
          </w:tcPr>
          <w:p>
            <w:pPr>
              <w:pStyle w:val="TAH"/>
              <w:rPr>
                <w:lang w:eastAsia="en-US"/>
              </w:rPr>
            </w:pPr>
            <w:r>
              <w:rPr>
                <w:lang w:eastAsia="en-US"/>
              </w:rPr>
              <w:t xml:space="preserve">Mapped on to </w:t>
            </w:r>
          </w:p>
        </w:tc>
      </w:tr>
      <w:tr>
        <w:trPr>
          <w:cantSplit w:val="true"/>
        </w:trPr>
        <w:tc>
          <w:tcPr>
            <w:tcW w:w="1951" w:type="dxa"/>
            <w:tcBorders>
              <w:left w:val="single" w:sz="6" w:space="0" w:color="000000"/>
            </w:tcBorders>
          </w:tcPr>
          <w:p>
            <w:pPr>
              <w:pStyle w:val="TAH"/>
              <w:snapToGrid w:val="false"/>
              <w:rPr>
                <w:rFonts w:ascii="Courier New" w:hAnsi="Courier New" w:cs="Courier New"/>
                <w:lang w:eastAsia="en-US"/>
              </w:rPr>
            </w:pPr>
            <w:r>
              <w:rPr>
                <w:rFonts w:cs="Courier New" w:ascii="Courier New" w:hAnsi="Courier New"/>
                <w:lang w:eastAsia="en-US"/>
              </w:rPr>
            </w:r>
          </w:p>
        </w:tc>
        <w:tc>
          <w:tcPr>
            <w:tcW w:w="2852" w:type="dxa"/>
            <w:tcBorders>
              <w:top w:val="single" w:sz="6" w:space="0" w:color="000000"/>
              <w:left w:val="single" w:sz="6" w:space="0" w:color="000000"/>
              <w:right w:val="single" w:sz="6" w:space="0" w:color="000000"/>
            </w:tcBorders>
          </w:tcPr>
          <w:p>
            <w:pPr>
              <w:pStyle w:val="TAH"/>
              <w:rPr>
                <w:rFonts w:ascii="Courier New" w:hAnsi="Courier New" w:cs="Courier New"/>
                <w:lang w:val="fr-FR" w:eastAsia="en-US"/>
              </w:rPr>
            </w:pPr>
            <w:r>
              <w:rPr>
                <w:rFonts w:eastAsia="Arial"/>
                <w:lang w:eastAsia="en-US"/>
              </w:rPr>
              <w:t xml:space="preserve"> </w:t>
            </w:r>
            <w:r>
              <w:rPr>
                <w:lang w:val="fr-FR" w:eastAsia="en-US"/>
              </w:rPr>
              <w:t>MMI</w:t>
            </w:r>
          </w:p>
        </w:tc>
        <w:tc>
          <w:tcPr>
            <w:tcW w:w="4236" w:type="dxa"/>
            <w:tcBorders>
              <w:top w:val="single" w:sz="6" w:space="0" w:color="000000"/>
              <w:right w:val="single" w:sz="6" w:space="0" w:color="000000"/>
            </w:tcBorders>
          </w:tcPr>
          <w:p>
            <w:pPr>
              <w:pStyle w:val="TAH"/>
              <w:rPr>
                <w:rFonts w:ascii="Courier New" w:hAnsi="Courier New" w:cs="Courier New"/>
                <w:lang w:val="fr-FR" w:eastAsia="en-US"/>
              </w:rPr>
            </w:pPr>
            <w:r>
              <w:rPr>
                <w:lang w:val="fr-FR" w:eastAsia="en-US"/>
              </w:rPr>
              <w:t>ITU-T V.250 [22]</w:t>
            </w:r>
          </w:p>
        </w:tc>
      </w:tr>
      <w:tr>
        <w:trPr>
          <w:cantSplit w:val="true"/>
        </w:trPr>
        <w:tc>
          <w:tcPr>
            <w:tcW w:w="1951" w:type="dxa"/>
            <w:tcBorders>
              <w:top w:val="single" w:sz="6" w:space="0" w:color="000000"/>
              <w:left w:val="single" w:sz="6" w:space="0" w:color="000000"/>
            </w:tcBorders>
          </w:tcPr>
          <w:p>
            <w:pPr>
              <w:pStyle w:val="TAC"/>
              <w:snapToGrid w:val="false"/>
              <w:rPr>
                <w:rFonts w:ascii="Courier New" w:hAnsi="Courier New" w:cs="Courier New"/>
                <w:lang w:val="fr-FR" w:eastAsia="en-US"/>
              </w:rPr>
            </w:pPr>
            <w:r>
              <w:rPr>
                <w:rFonts w:cs="Courier New" w:ascii="Courier New" w:hAnsi="Courier New"/>
                <w:lang w:val="fr-FR" w:eastAsia="en-US"/>
              </w:rPr>
            </w:r>
          </w:p>
        </w:tc>
        <w:tc>
          <w:tcPr>
            <w:tcW w:w="2852" w:type="dxa"/>
            <w:tcBorders>
              <w:top w:val="single" w:sz="6" w:space="0" w:color="000000"/>
              <w:left w:val="single" w:sz="6" w:space="0" w:color="000000"/>
            </w:tcBorders>
          </w:tcPr>
          <w:p>
            <w:pPr>
              <w:pStyle w:val="TAC"/>
              <w:snapToGrid w:val="false"/>
              <w:rPr>
                <w:lang w:val="fr-FR" w:eastAsia="en-US"/>
              </w:rPr>
            </w:pPr>
            <w:r>
              <w:rPr>
                <w:lang w:val="fr-FR" w:eastAsia="en-US"/>
              </w:rPr>
            </w:r>
          </w:p>
        </w:tc>
        <w:tc>
          <w:tcPr>
            <w:tcW w:w="4236" w:type="dxa"/>
            <w:tcBorders>
              <w:top w:val="single" w:sz="6" w:space="0" w:color="000000"/>
              <w:left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951" w:type="dxa"/>
            <w:tcBorders>
              <w:left w:val="single" w:sz="6" w:space="0" w:color="000000"/>
            </w:tcBorders>
          </w:tcPr>
          <w:p>
            <w:pPr>
              <w:pStyle w:val="TAC"/>
              <w:rPr>
                <w:rFonts w:ascii="Courier New" w:hAnsi="Courier New" w:cs="Courier New"/>
                <w:lang w:eastAsia="en-US"/>
              </w:rPr>
            </w:pPr>
            <w:r>
              <w:rPr>
                <w:rFonts w:eastAsia="Arial"/>
                <w:lang w:val="fr-FR" w:eastAsia="en-US"/>
              </w:rPr>
              <w:t xml:space="preserve"> </w:t>
            </w:r>
            <w:r>
              <w:rPr>
                <w:lang w:eastAsia="en-US"/>
              </w:rPr>
              <w:t>Cause</w:t>
            </w:r>
          </w:p>
        </w:tc>
        <w:tc>
          <w:tcPr>
            <w:tcW w:w="2852" w:type="dxa"/>
            <w:tcBorders>
              <w:left w:val="single" w:sz="6" w:space="0" w:color="000000"/>
            </w:tcBorders>
          </w:tcPr>
          <w:p>
            <w:pPr>
              <w:pStyle w:val="TAC"/>
              <w:rPr>
                <w:lang w:eastAsia="en-US"/>
              </w:rPr>
            </w:pPr>
            <w:r>
              <w:rPr>
                <w:rFonts w:eastAsia="Arial"/>
                <w:lang w:eastAsia="en-US"/>
              </w:rPr>
              <w:t xml:space="preserve"> </w:t>
            </w:r>
            <w:r>
              <w:rPr>
                <w:lang w:eastAsia="en-US"/>
              </w:rPr>
              <w:t>Display</w:t>
            </w:r>
          </w:p>
          <w:p>
            <w:pPr>
              <w:pStyle w:val="TAC"/>
              <w:rPr>
                <w:rFonts w:ascii="Courier New" w:hAnsi="Courier New" w:cs="Courier New"/>
                <w:lang w:eastAsia="en-US"/>
              </w:rPr>
            </w:pPr>
            <w:r>
              <w:rPr>
                <w:lang w:eastAsia="en-US"/>
              </w:rPr>
              <w:t>(optional)</w:t>
            </w:r>
          </w:p>
        </w:tc>
        <w:tc>
          <w:tcPr>
            <w:tcW w:w="4236" w:type="dxa"/>
            <w:tcBorders>
              <w:left w:val="single" w:sz="6" w:space="0" w:color="000000"/>
              <w:right w:val="single" w:sz="6" w:space="0" w:color="000000"/>
            </w:tcBorders>
          </w:tcPr>
          <w:p>
            <w:pPr>
              <w:pStyle w:val="TAC"/>
              <w:rPr>
                <w:rFonts w:ascii="Courier New" w:hAnsi="Courier New" w:cs="Courier New"/>
                <w:lang w:eastAsia="en-US"/>
              </w:rPr>
            </w:pPr>
            <w:r>
              <w:rPr>
                <w:lang w:eastAsia="en-US"/>
              </w:rPr>
              <w:t>Unsolicited result codes</w:t>
            </w:r>
          </w:p>
        </w:tc>
      </w:tr>
      <w:tr>
        <w:trPr>
          <w:cantSplit w:val="true"/>
        </w:trPr>
        <w:tc>
          <w:tcPr>
            <w:tcW w:w="1951" w:type="dxa"/>
            <w:tcBorders>
              <w:left w:val="single" w:sz="6" w:space="0" w:color="000000"/>
              <w:bottom w:val="single" w:sz="6" w:space="0" w:color="000000"/>
            </w:tcBorders>
          </w:tcPr>
          <w:p>
            <w:pPr>
              <w:pStyle w:val="TAC"/>
              <w:snapToGrid w:val="false"/>
              <w:rPr>
                <w:rFonts w:ascii="Courier New" w:hAnsi="Courier New" w:cs="Courier New"/>
                <w:lang w:eastAsia="en-US"/>
              </w:rPr>
            </w:pPr>
            <w:r>
              <w:rPr>
                <w:rFonts w:cs="Courier New" w:ascii="Courier New" w:hAnsi="Courier New"/>
                <w:lang w:eastAsia="en-US"/>
              </w:rPr>
            </w:r>
          </w:p>
        </w:tc>
        <w:tc>
          <w:tcPr>
            <w:tcW w:w="2852" w:type="dxa"/>
            <w:tcBorders>
              <w:left w:val="single" w:sz="6" w:space="0" w:color="000000"/>
              <w:bottom w:val="single" w:sz="6" w:space="0" w:color="000000"/>
            </w:tcBorders>
          </w:tcPr>
          <w:p>
            <w:pPr>
              <w:pStyle w:val="TAC"/>
              <w:snapToGrid w:val="false"/>
              <w:rPr>
                <w:lang w:eastAsia="en-US"/>
              </w:rPr>
            </w:pPr>
            <w:r>
              <w:rPr>
                <w:lang w:eastAsia="en-US"/>
              </w:rPr>
            </w:r>
          </w:p>
        </w:tc>
        <w:tc>
          <w:tcPr>
            <w:tcW w:w="423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Normal"/>
        <w:rPr/>
      </w:pPr>
      <w:r>
        <w:rPr/>
      </w:r>
      <w:r>
        <w:br w:type="page"/>
      </w:r>
    </w:p>
    <w:p>
      <w:pPr>
        <w:pStyle w:val="Heading8"/>
        <w:keepNext w:val="false"/>
        <w:keepLines w:val="false"/>
        <w:ind w:left="0" w:hanging="0"/>
        <w:rPr/>
      </w:pPr>
      <w:bookmarkStart w:id="50" w:name="__RefHeading___Toc217240217"/>
      <w:bookmarkEnd w:id="50"/>
      <w:r>
        <w:rPr/>
        <w:t>Annex A (normative):</w:t>
        <w:br/>
        <w:t>L2R Functionality</w:t>
      </w:r>
    </w:p>
    <w:p>
      <w:pPr>
        <w:pStyle w:val="Heading1"/>
        <w:ind w:left="1134" w:hanging="1134"/>
        <w:rPr/>
      </w:pPr>
      <w:bookmarkStart w:id="51" w:name="__RefHeading___Toc217240218"/>
      <w:bookmarkEnd w:id="51"/>
      <w:r>
        <w:rPr/>
        <w:t>A.1</w:t>
        <w:tab/>
        <w:t>Introduction</w:t>
      </w:r>
    </w:p>
    <w:p>
      <w:pPr>
        <w:pStyle w:val="Normal"/>
        <w:rPr/>
      </w:pPr>
      <w:r>
        <w:rPr/>
        <w:t>This annex describes the L2R functionality for non</w:t>
        <w:noBreakHyphen/>
        <w:t>transparent character oriented protocols. The general aspects of L2Rs are described in 3GPP TS 27.001 [10]. Figure 1 shows the 3 sub</w:t>
        <w:noBreakHyphen/>
        <w:t>functions of a character oriented L2R.</w:t>
      </w:r>
    </w:p>
    <w:p>
      <w:pPr>
        <w:pStyle w:val="TH"/>
        <w:rPr/>
      </w:pPr>
      <w:r>
        <w:rPr/>
        <w:object w:dxaOrig="8517" w:dyaOrig="26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25.85pt;height:131pt" filled="f" o:ole="">
            <v:imagedata r:id="rId8" o:title=""/>
          </v:shape>
          <o:OLEObject Type="Embed" ProgID="" ShapeID="ole_rId7" DrawAspect="Content" ObjectID="_301058996" r:id="rId7"/>
        </w:object>
      </w:r>
    </w:p>
    <w:p>
      <w:pPr>
        <w:pStyle w:val="NF"/>
        <w:rPr/>
      </w:pPr>
      <w:r>
        <w:rPr/>
        <w:t>CONTP</w:t>
        <w:tab/>
        <w:tab/>
        <w:t>Character Oriented Non</w:t>
        <w:noBreakHyphen/>
        <w:t>Transparent Protocol.</w:t>
      </w:r>
    </w:p>
    <w:p>
      <w:pPr>
        <w:pStyle w:val="NF"/>
        <w:rPr/>
      </w:pPr>
      <w:r>
        <w:rPr/>
        <w:t>CORE</w:t>
        <w:tab/>
        <w:tab/>
        <w:t>Character Oriented Relay Entity.</w:t>
      </w:r>
    </w:p>
    <w:p>
      <w:pPr>
        <w:pStyle w:val="NF"/>
        <w:rPr/>
      </w:pPr>
      <w:r>
        <w:rPr/>
        <w:t>L2RCOP</w:t>
        <w:tab/>
        <w:tab/>
        <w:t>L2R Character Oriented Protocol.</w:t>
      </w:r>
    </w:p>
    <w:p>
      <w:pPr>
        <w:pStyle w:val="TF"/>
        <w:rPr/>
      </w:pPr>
      <w:r>
        <w:rPr/>
        <w:t>Figure 1</w:t>
      </w:r>
    </w:p>
    <w:p>
      <w:pPr>
        <w:pStyle w:val="Normal"/>
        <w:rPr/>
      </w:pPr>
      <w:r>
        <w:rPr/>
        <w:t>Section 2 describes the L2R Character Oriented Protocol (L2RCOP) and section 3 the use of the L2RCOP.</w:t>
      </w:r>
    </w:p>
    <w:p>
      <w:pPr>
        <w:pStyle w:val="Heading1"/>
        <w:ind w:left="1134" w:hanging="1134"/>
        <w:rPr/>
      </w:pPr>
      <w:bookmarkStart w:id="52" w:name="__RefHeading___Toc217240219"/>
      <w:bookmarkEnd w:id="52"/>
      <w:r>
        <w:rPr/>
        <w:t>A.2</w:t>
        <w:tab/>
        <w:t>The L2RCOP</w:t>
      </w:r>
    </w:p>
    <w:p>
      <w:pPr>
        <w:pStyle w:val="Normal"/>
        <w:rPr/>
      </w:pPr>
      <w:r>
        <w:rPr/>
        <w:t>Information is transferred between L2Rs in fixed length n octet Protocol Data Units (PDUs). This corresponds to the fixed length of the RLP frame information field. The octets within the L2RCOP</w:t>
        <w:noBreakHyphen/>
        <w:t>PDU are numbered 0 to n</w:t>
        <w:noBreakHyphen/>
        <w:t>1; octet 0 is transmitted first. The value of n depends on the negotiated RLP version and frame type ( 3GPP TS 24.022[9]). The bits within the octets are numbered 1 to 8; bit 1 is transmitted first.</w:t>
      </w:r>
    </w:p>
    <w:p>
      <w:pPr>
        <w:pStyle w:val="Normal"/>
        <w:rPr/>
      </w:pPr>
      <w:r>
        <w:rPr/>
        <w:t>The RLP version value 2 indicates RLP multi-link operation. The RLP version value 0 or 1 indicates RLP single-link operation.</w:t>
      </w:r>
    </w:p>
    <w:p>
      <w:pPr>
        <w:pStyle w:val="B1"/>
        <w:rPr/>
      </w:pPr>
      <w:r>
        <w:rPr/>
        <w:noBreakHyphen/>
      </w:r>
      <w:r>
        <w:rPr/>
        <w:tab/>
        <w:t>Each octet contains a status octet, an information octet or fill.</w:t>
      </w:r>
    </w:p>
    <w:p>
      <w:pPr>
        <w:pStyle w:val="B1"/>
        <w:rPr/>
      </w:pPr>
      <w:r>
        <w:rPr/>
        <w:tab/>
        <w:t>Octet 0 contains either a status octet or a user information octet.</w:t>
      </w:r>
    </w:p>
    <w:p>
      <w:pPr>
        <w:pStyle w:val="B1"/>
        <w:rPr/>
      </w:pPr>
      <w:r>
        <w:rPr/>
        <w:t>-</w:t>
        <w:tab/>
        <w:t>Octet 0 shall always contain a status octet in case at least one status octet is transported in the L2RCOP PDU. In RLP-versions 0 and 1 a PDU always carries at least one status octet. In RLP version 2 a PDU carries status octet(s) only if actual status change(s) has taken place within the period represented by the PDU. Here  the L2R status flag in the RLP version 2 header is set to 1 when status octet(s) is carried in the PDU.</w:t>
      </w:r>
    </w:p>
    <w:p>
      <w:pPr>
        <w:pStyle w:val="B1"/>
        <w:rPr/>
      </w:pPr>
      <w:r>
        <w:rPr/>
        <w:t>-</w:t>
        <w:tab/>
        <w:t>Status octets contain 3 status bits and 5 address bits. In cases where two status octets within the PDU are separated by more than 23 octets, the first status octet in octet m is followed by a pointer octet in octet m+1 forming a two-octet status field. The pointer octet contains one reserved bit and seven address bits indicating the number of characters between the status field and the second status octet.</w:t>
      </w:r>
    </w:p>
    <w:p>
      <w:pPr>
        <w:pStyle w:val="B1"/>
        <w:rPr/>
      </w:pPr>
      <w:r>
        <w:rPr/>
        <w:noBreakHyphen/>
      </w:r>
      <w:r>
        <w:rPr/>
        <w:tab/>
        <w:t>The 3 status bits correspond to SA, SB and X in ITU-T  Recommendation V.110 [27]. The SA, SB and X bits use bit positions 8, 7 and 6 in the status octets. When a status bit changes the current state of all three bits shall be transmitted.</w:t>
      </w:r>
    </w:p>
    <w:p>
      <w:pPr>
        <w:pStyle w:val="B1"/>
        <w:rPr/>
      </w:pPr>
      <w:r>
        <w:rPr/>
        <w:noBreakHyphen/>
      </w:r>
      <w:r>
        <w:rPr/>
        <w:tab/>
        <w:t>Information octets are character octets or encoded character octets.</w:t>
      </w:r>
    </w:p>
    <w:p>
      <w:pPr>
        <w:pStyle w:val="B1"/>
        <w:rPr/>
      </w:pPr>
      <w:r>
        <w:rPr/>
        <w:noBreakHyphen/>
      </w:r>
      <w:r>
        <w:rPr/>
        <w:tab/>
        <w:t>Character octets are coded in the following way:</w:t>
      </w:r>
    </w:p>
    <w:p>
      <w:pPr>
        <w:pStyle w:val="B2"/>
        <w:rPr/>
      </w:pPr>
      <w:r>
        <w:rPr/>
        <w:t>-</w:t>
        <w:tab/>
        <w:t>The first bit of the character received/transmitted corresponds to bit position 1 in the octet and the seventh bit corresponds to bit 7. For order of transmission of IA5 characters see ITU-T  Recommendation V.4 [15].</w:t>
      </w:r>
    </w:p>
    <w:p>
      <w:pPr>
        <w:pStyle w:val="B2"/>
        <w:rPr/>
      </w:pPr>
      <w:r>
        <w:rPr/>
        <w:noBreakHyphen/>
      </w:r>
      <w:r>
        <w:rPr/>
        <w:tab/>
        <w:t>7 bit characters are padded with a 0 in bit position 8. Received parity (if used) is inserted in bit position 8, if parity is not used bit 8 is set to 0.</w:t>
      </w:r>
    </w:p>
    <w:p>
      <w:pPr>
        <w:pStyle w:val="B2"/>
        <w:rPr/>
      </w:pPr>
      <w:r>
        <w:rPr/>
        <w:noBreakHyphen/>
      </w:r>
      <w:r>
        <w:rPr/>
        <w:tab/>
        <w:t>Any start/stop bits are removed by the L2R.</w:t>
      </w:r>
    </w:p>
    <w:p>
      <w:pPr>
        <w:pStyle w:val="B1"/>
        <w:rPr/>
      </w:pPr>
      <w:r>
        <w:rPr/>
        <w:noBreakHyphen/>
      </w:r>
      <w:r>
        <w:rPr/>
        <w:tab/>
        <w:t>Encoded character octets are provided by the compression function. They are encoded according to ITU</w:t>
        <w:noBreakHyphen/>
        <w:t>T Recommendation V.42bis [26].</w:t>
      </w:r>
    </w:p>
    <w:p>
      <w:pPr>
        <w:pStyle w:val="B1"/>
        <w:rPr/>
      </w:pPr>
      <w:r>
        <w:rPr/>
        <w:noBreakHyphen/>
      </w:r>
      <w:r>
        <w:rPr/>
        <w:tab/>
        <w:t>Information octets are inserted into L2RCOP</w:t>
        <w:noBreakHyphen/>
        <w:t>PDUs in order of transmission in octets 1 to n</w:t>
        <w:noBreakHyphen/>
        <w:t>1 for RLP single-link operation, in octets 1 to n</w:t>
        <w:noBreakHyphen/>
        <w:t>1 for RLP multi-link operation with status octet transportation, and in octets 0 to n</w:t>
        <w:noBreakHyphen/>
        <w:t>1 for multi-link operation with no status octet transportation.</w:t>
      </w:r>
    </w:p>
    <w:p>
      <w:pPr>
        <w:pStyle w:val="B1"/>
        <w:rPr/>
      </w:pPr>
      <w:r>
        <w:rPr/>
        <w:noBreakHyphen/>
      </w:r>
      <w:r>
        <w:rPr/>
        <w:tab/>
        <w:t>The address field in the status octets indicates the position of next status octet within the L2RCOP</w:t>
        <w:noBreakHyphen/>
        <w:t>PDU. This indicates the number of characters between status octets. Thus if two status octets are inserted into L2RCOP</w:t>
        <w:noBreakHyphen/>
        <w:t>PDU at offsets l and m the address value shall be defined by m</w:t>
        <w:noBreakHyphen/>
        <w:t>l</w:t>
        <w:noBreakHyphen/>
        <w:t>1. Address bit 2</w:t>
      </w:r>
      <w:r>
        <w:rPr>
          <w:vertAlign w:val="superscript"/>
        </w:rPr>
        <w:t>0</w:t>
      </w:r>
      <w:r>
        <w:rPr/>
        <w:t xml:space="preserve"> corresponds to bit 1 in the status octets. Address bit 2</w:t>
      </w:r>
      <w:r>
        <w:rPr>
          <w:vertAlign w:val="superscript"/>
        </w:rPr>
        <w:t>1</w:t>
      </w:r>
      <w:r>
        <w:rPr/>
        <w:t xml:space="preserve"> to bit 2 etc.</w:t>
      </w:r>
    </w:p>
    <w:p>
      <w:pPr>
        <w:pStyle w:val="B1"/>
        <w:rPr/>
      </w:pPr>
      <w:r>
        <w:rPr/>
        <w:noBreakHyphen/>
      </w:r>
      <w:r>
        <w:rPr/>
        <w:tab/>
        <w:t>Status octets are inserted in the character stream whenever a status change needs to be transmitted.</w:t>
      </w:r>
    </w:p>
    <w:p>
      <w:pPr>
        <w:pStyle w:val="B1"/>
        <w:rPr/>
      </w:pPr>
      <w:r>
        <w:rPr/>
        <w:noBreakHyphen/>
      </w:r>
      <w:r>
        <w:rPr/>
        <w:tab/>
        <w:t>Only address values 1 to n</w:t>
        <w:noBreakHyphen/>
        <w:t>2 (n</w:t>
        <w:noBreakHyphen/>
        <w:t xml:space="preserve">2 </w:t>
      </w:r>
      <w:r>
        <w:rPr>
          <w:rFonts w:eastAsia="Symbol" w:cs="Symbol" w:ascii="Symbol" w:hAnsi="Symbol"/>
        </w:rPr>
        <w:t></w:t>
      </w:r>
      <w:r>
        <w:rPr/>
        <w:t xml:space="preserve"> 23) in the address field of status octets are used for addressing purposes. The implication of not allowing address value 0 to be used for addressing is that two status octets cannot be sent after each other. The remaining codes are used to indicate:</w:t>
      </w:r>
    </w:p>
    <w:p>
      <w:pPr>
        <w:pStyle w:val="B2"/>
        <w:rPr/>
      </w:pPr>
      <w:r>
        <w:rPr/>
        <w:noBreakHyphen/>
      </w:r>
      <w:r>
        <w:rPr/>
        <w:tab/>
        <w:t>Last status change, remainder of L2RCOP</w:t>
        <w:noBreakHyphen/>
        <w:t>PDU empty. Address field value 31.</w:t>
      </w:r>
    </w:p>
    <w:p>
      <w:pPr>
        <w:pStyle w:val="B2"/>
        <w:rPr/>
      </w:pPr>
      <w:r>
        <w:rPr/>
        <w:noBreakHyphen/>
      </w:r>
      <w:r>
        <w:rPr/>
        <w:tab/>
        <w:t>Last status change, remainder of L2RCOP</w:t>
        <w:noBreakHyphen/>
        <w:t>PDU full of characters. Address field value 30.</w:t>
      </w:r>
    </w:p>
    <w:p>
      <w:pPr>
        <w:pStyle w:val="B2"/>
        <w:rPr/>
      </w:pPr>
      <w:r>
        <w:rPr/>
        <w:noBreakHyphen/>
      </w:r>
      <w:r>
        <w:rPr/>
        <w:tab/>
        <w:t>Destructive break signal, remainder of L2RCOP</w:t>
        <w:noBreakHyphen/>
        <w:t>PDU empty. Address field value 29.</w:t>
      </w:r>
    </w:p>
    <w:p>
      <w:pPr>
        <w:pStyle w:val="B2"/>
        <w:rPr/>
      </w:pPr>
      <w:r>
        <w:rPr/>
        <w:noBreakHyphen/>
      </w:r>
      <w:r>
        <w:rPr/>
        <w:tab/>
        <w:t>Destructive break acknowledge, remainder of L2RCOP</w:t>
        <w:noBreakHyphen/>
        <w:t>PDU empty. Address field value 28.</w:t>
      </w:r>
    </w:p>
    <w:p>
      <w:pPr>
        <w:pStyle w:val="B1"/>
        <w:ind w:left="1134" w:hanging="284"/>
        <w:rPr/>
      </w:pPr>
      <w:r>
        <w:rPr/>
        <w:t>-</w:t>
        <w:tab/>
        <w:t>L2RCOP-PDU contains at least two status octets which are separated by more than 23 characters; the address-field value in the first octet of the two-octet status field is 27 and the address bits in the pointer octet of the status field indicate the number of characters between the two-octet status field and the next status octet.</w:t>
      </w:r>
    </w:p>
    <w:p>
      <w:pPr>
        <w:pStyle w:val="B2"/>
        <w:rPr/>
      </w:pPr>
      <w:r>
        <w:rPr/>
        <w:noBreakHyphen/>
      </w:r>
      <w:r>
        <w:rPr/>
        <w:tab/>
        <w:t>Address field values from n</w:t>
        <w:noBreakHyphen/>
        <w:t>1 to 26 are reserved. In case of a PDU more than 25 octets in length, address field values from 24 to 26 are reserved.</w:t>
      </w:r>
    </w:p>
    <w:p>
      <w:pPr>
        <w:pStyle w:val="B1"/>
        <w:rPr/>
      </w:pPr>
      <w:r>
        <w:rPr/>
        <w:noBreakHyphen/>
      </w:r>
      <w:r>
        <w:rPr/>
        <w:tab/>
        <w:t>When it is necessary to insert a status octet into the character stream when no status change has occurred, e.g. to indicate that the reminder of a L2RCOP</w:t>
        <w:noBreakHyphen/>
        <w:t>PDU is empty or to indicate a break signal, the current status shall be repeated.</w:t>
      </w:r>
    </w:p>
    <w:p>
      <w:pPr>
        <w:pStyle w:val="B1"/>
        <w:rPr/>
      </w:pPr>
      <w:r>
        <w:rPr/>
        <w:t>-</w:t>
        <w:tab/>
        <w:t>In case when 64 data octets are carried by a 66-octet PDU, a status octet is carried in octet 0 and another status octet within the first 24 data octets. (The first status octet gives the address of the second status octet, which carries value 30 in its address field).</w:t>
      </w:r>
    </w:p>
    <w:p>
      <w:pPr>
        <w:pStyle w:val="Normal"/>
        <w:rPr/>
      </w:pPr>
      <w:r>
        <w:rPr/>
        <w:t>Three</w:t>
      </w:r>
      <w:r>
        <w:rPr>
          <w:i/>
        </w:rPr>
        <w:t xml:space="preserve"> </w:t>
      </w:r>
      <w:r>
        <w:rPr/>
        <w:t>example</w:t>
      </w:r>
      <w:r>
        <w:rPr>
          <w:i/>
        </w:rPr>
        <w:t>s</w:t>
      </w:r>
      <w:r>
        <w:rPr/>
        <w:t xml:space="preserve"> of an L2RCOP PDU are shown in figure 2.</w:t>
      </w:r>
    </w:p>
    <w:tbl>
      <w:tblPr>
        <w:tblW w:w="8047" w:type="dxa"/>
        <w:jc w:val="center"/>
        <w:tblInd w:w="0" w:type="dxa"/>
        <w:tblLayout w:type="fixed"/>
        <w:tblCellMar>
          <w:top w:w="0" w:type="dxa"/>
          <w:left w:w="107" w:type="dxa"/>
          <w:bottom w:w="0" w:type="dxa"/>
          <w:right w:w="107" w:type="dxa"/>
        </w:tblCellMar>
      </w:tblPr>
      <w:tblGrid>
        <w:gridCol w:w="709"/>
        <w:gridCol w:w="510"/>
        <w:gridCol w:w="510"/>
        <w:gridCol w:w="397"/>
        <w:gridCol w:w="397"/>
        <w:gridCol w:w="397"/>
        <w:gridCol w:w="397"/>
        <w:gridCol w:w="397"/>
        <w:gridCol w:w="397"/>
        <w:gridCol w:w="3936"/>
      </w:tblGrid>
      <w:tr>
        <w:trPr/>
        <w:tc>
          <w:tcPr>
            <w:tcW w:w="709" w:type="dxa"/>
            <w:tcBorders/>
          </w:tcPr>
          <w:p>
            <w:pPr>
              <w:pStyle w:val="TAC"/>
              <w:snapToGrid w:val="false"/>
              <w:spacing w:before="60" w:after="60"/>
              <w:rPr>
                <w:lang w:eastAsia="en-US"/>
              </w:rPr>
            </w:pPr>
            <w:r>
              <w:rPr>
                <w:lang w:eastAsia="en-US"/>
              </w:rPr>
            </w:r>
          </w:p>
        </w:tc>
        <w:tc>
          <w:tcPr>
            <w:tcW w:w="510" w:type="dxa"/>
            <w:tcBorders/>
          </w:tcPr>
          <w:p>
            <w:pPr>
              <w:pStyle w:val="TAC"/>
              <w:spacing w:before="60" w:after="60"/>
              <w:rPr>
                <w:lang w:val="fr-FR" w:eastAsia="en-US"/>
              </w:rPr>
            </w:pPr>
            <w:r>
              <w:rPr>
                <w:lang w:val="fr-FR" w:eastAsia="en-US"/>
              </w:rPr>
              <w:t>8</w:t>
            </w:r>
          </w:p>
        </w:tc>
        <w:tc>
          <w:tcPr>
            <w:tcW w:w="510" w:type="dxa"/>
            <w:tcBorders/>
          </w:tcPr>
          <w:p>
            <w:pPr>
              <w:pStyle w:val="TAC"/>
              <w:spacing w:before="60" w:after="60"/>
              <w:rPr>
                <w:lang w:val="fr-FR" w:eastAsia="en-US"/>
              </w:rPr>
            </w:pPr>
            <w:r>
              <w:rPr>
                <w:lang w:val="fr-FR" w:eastAsia="en-US"/>
              </w:rPr>
              <w:t>7</w:t>
            </w:r>
          </w:p>
        </w:tc>
        <w:tc>
          <w:tcPr>
            <w:tcW w:w="397" w:type="dxa"/>
            <w:tcBorders/>
          </w:tcPr>
          <w:p>
            <w:pPr>
              <w:pStyle w:val="TAC"/>
              <w:spacing w:before="60" w:after="60"/>
              <w:rPr>
                <w:lang w:val="fr-FR" w:eastAsia="en-US"/>
              </w:rPr>
            </w:pPr>
            <w:r>
              <w:rPr>
                <w:lang w:val="fr-FR" w:eastAsia="en-US"/>
              </w:rPr>
              <w:t>6</w:t>
            </w:r>
          </w:p>
        </w:tc>
        <w:tc>
          <w:tcPr>
            <w:tcW w:w="397" w:type="dxa"/>
            <w:tcBorders/>
          </w:tcPr>
          <w:p>
            <w:pPr>
              <w:pStyle w:val="TAC"/>
              <w:spacing w:before="60" w:after="60"/>
              <w:rPr>
                <w:lang w:val="fr-FR" w:eastAsia="en-US"/>
              </w:rPr>
            </w:pPr>
            <w:r>
              <w:rPr>
                <w:lang w:val="fr-FR" w:eastAsia="en-US"/>
              </w:rPr>
              <w:t>5</w:t>
            </w:r>
          </w:p>
        </w:tc>
        <w:tc>
          <w:tcPr>
            <w:tcW w:w="397" w:type="dxa"/>
            <w:tcBorders/>
          </w:tcPr>
          <w:p>
            <w:pPr>
              <w:pStyle w:val="TAC"/>
              <w:spacing w:before="60" w:after="60"/>
              <w:rPr>
                <w:lang w:val="fr-FR" w:eastAsia="en-US"/>
              </w:rPr>
            </w:pPr>
            <w:r>
              <w:rPr>
                <w:lang w:val="fr-FR" w:eastAsia="en-US"/>
              </w:rPr>
              <w:t>4</w:t>
            </w:r>
          </w:p>
        </w:tc>
        <w:tc>
          <w:tcPr>
            <w:tcW w:w="397" w:type="dxa"/>
            <w:tcBorders/>
          </w:tcPr>
          <w:p>
            <w:pPr>
              <w:pStyle w:val="TAC"/>
              <w:spacing w:before="60" w:after="60"/>
              <w:rPr>
                <w:lang w:val="fr-FR" w:eastAsia="en-US"/>
              </w:rPr>
            </w:pPr>
            <w:r>
              <w:rPr>
                <w:lang w:val="fr-FR" w:eastAsia="en-US"/>
              </w:rPr>
              <w:t>3</w:t>
            </w:r>
          </w:p>
        </w:tc>
        <w:tc>
          <w:tcPr>
            <w:tcW w:w="397" w:type="dxa"/>
            <w:tcBorders/>
          </w:tcPr>
          <w:p>
            <w:pPr>
              <w:pStyle w:val="TAC"/>
              <w:spacing w:before="60" w:after="60"/>
              <w:rPr>
                <w:lang w:val="fr-FR" w:eastAsia="en-US"/>
              </w:rPr>
            </w:pPr>
            <w:r>
              <w:rPr>
                <w:lang w:val="fr-FR" w:eastAsia="en-US"/>
              </w:rPr>
              <w:t>2</w:t>
            </w:r>
          </w:p>
        </w:tc>
        <w:tc>
          <w:tcPr>
            <w:tcW w:w="397" w:type="dxa"/>
            <w:tcBorders/>
          </w:tcPr>
          <w:p>
            <w:pPr>
              <w:pStyle w:val="TAC"/>
              <w:spacing w:before="60" w:after="60"/>
              <w:rPr>
                <w:lang w:val="fr-FR" w:eastAsia="en-US"/>
              </w:rPr>
            </w:pPr>
            <w:r>
              <w:rPr>
                <w:lang w:val="fr-FR" w:eastAsia="en-US"/>
              </w:rPr>
              <w:t>1</w:t>
            </w:r>
          </w:p>
        </w:tc>
        <w:tc>
          <w:tcPr>
            <w:tcW w:w="3936" w:type="dxa"/>
            <w:tcBorders/>
          </w:tcPr>
          <w:p>
            <w:pPr>
              <w:pStyle w:val="TAL"/>
              <w:snapToGrid w:val="false"/>
              <w:rPr>
                <w:lang w:val="fr-FR" w:eastAsia="en-US"/>
              </w:rPr>
            </w:pPr>
            <w:r>
              <w:rPr>
                <w:lang w:val="fr-FR" w:eastAsia="en-US"/>
              </w:rPr>
            </w:r>
          </w:p>
        </w:tc>
      </w:tr>
      <w:tr>
        <w:trPr/>
        <w:tc>
          <w:tcPr>
            <w:tcW w:w="709" w:type="dxa"/>
            <w:tcBorders/>
          </w:tcPr>
          <w:p>
            <w:pPr>
              <w:pStyle w:val="TAC"/>
              <w:spacing w:before="60" w:after="60"/>
              <w:rPr>
                <w:rFonts w:ascii="Courier New" w:hAnsi="Courier New" w:cs="Courier New"/>
                <w:lang w:val="fr-FR" w:eastAsia="en-US"/>
              </w:rPr>
            </w:pPr>
            <w:r>
              <w:rPr>
                <w:lang w:val="fr-FR" w:eastAsia="en-US"/>
              </w:rPr>
              <w:t xml:space="preserve">0 </w:t>
            </w:r>
          </w:p>
        </w:tc>
        <w:tc>
          <w:tcPr>
            <w:tcW w:w="510" w:type="dxa"/>
            <w:tcBorders>
              <w:top w:val="single" w:sz="6" w:space="0" w:color="000000"/>
              <w:left w:val="single" w:sz="6" w:space="0" w:color="000000"/>
            </w:tcBorders>
          </w:tcPr>
          <w:p>
            <w:pPr>
              <w:pStyle w:val="TAC"/>
              <w:spacing w:before="60" w:after="60"/>
              <w:rPr>
                <w:lang w:val="fr-FR" w:eastAsia="en-US"/>
              </w:rPr>
            </w:pPr>
            <w:r>
              <w:rPr>
                <w:lang w:val="fr-FR" w:eastAsia="en-US"/>
              </w:rPr>
              <w:t>SA</w:t>
            </w:r>
          </w:p>
        </w:tc>
        <w:tc>
          <w:tcPr>
            <w:tcW w:w="510" w:type="dxa"/>
            <w:tcBorders>
              <w:top w:val="single" w:sz="6" w:space="0" w:color="000000"/>
            </w:tcBorders>
          </w:tcPr>
          <w:p>
            <w:pPr>
              <w:pStyle w:val="TAC"/>
              <w:spacing w:before="60" w:after="60"/>
              <w:rPr>
                <w:lang w:val="fr-FR" w:eastAsia="en-US"/>
              </w:rPr>
            </w:pPr>
            <w:r>
              <w:rPr>
                <w:lang w:val="fr-FR" w:eastAsia="en-US"/>
              </w:rPr>
              <w:t>SB</w:t>
            </w:r>
          </w:p>
        </w:tc>
        <w:tc>
          <w:tcPr>
            <w:tcW w:w="397" w:type="dxa"/>
            <w:tcBorders>
              <w:top w:val="single" w:sz="6" w:space="0" w:color="000000"/>
            </w:tcBorders>
          </w:tcPr>
          <w:p>
            <w:pPr>
              <w:pStyle w:val="TAC"/>
              <w:spacing w:before="60" w:after="60"/>
              <w:rPr>
                <w:lang w:val="fr-FR" w:eastAsia="en-US"/>
              </w:rPr>
            </w:pPr>
            <w:r>
              <w:rPr>
                <w:lang w:val="fr-FR" w:eastAsia="en-US"/>
              </w:rPr>
              <w:t>x</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936" w:type="dxa"/>
            <w:tcBorders/>
          </w:tcPr>
          <w:p>
            <w:pPr>
              <w:pStyle w:val="TAL"/>
              <w:snapToGrid w:val="false"/>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 xml:space="preserve">1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936" w:type="dxa"/>
            <w:tcBorders/>
          </w:tcPr>
          <w:p>
            <w:pPr>
              <w:pStyle w:val="TAL"/>
              <w:rPr>
                <w:lang w:eastAsia="en-US"/>
              </w:rPr>
            </w:pPr>
            <w:r>
              <w:rPr>
                <w:rFonts w:eastAsia="Arial"/>
                <w:lang w:eastAsia="en-US"/>
              </w:rPr>
              <w:t xml:space="preserve"> </w:t>
            </w:r>
            <w:r>
              <w:rPr>
                <w:lang w:eastAsia="en-US"/>
              </w:rPr>
              <w:t>IA5 "G"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2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936" w:type="dxa"/>
            <w:tcBorders/>
          </w:tcPr>
          <w:p>
            <w:pPr>
              <w:pStyle w:val="TAL"/>
              <w:rPr/>
            </w:pPr>
            <w:r>
              <w:rPr>
                <w:rFonts w:eastAsia="Arial"/>
                <w:lang w:eastAsia="en-US"/>
              </w:rPr>
              <w:t xml:space="preserve"> </w:t>
            </w:r>
            <w:r>
              <w:rPr>
                <w:lang w:eastAsia="en-US"/>
              </w:rPr>
              <w:t>IA5 "S"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3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936" w:type="dxa"/>
            <w:tcBorders/>
          </w:tcPr>
          <w:p>
            <w:pPr>
              <w:pStyle w:val="TAL"/>
              <w:rPr>
                <w:lang w:eastAsia="en-US"/>
              </w:rPr>
            </w:pPr>
            <w:r>
              <w:rPr>
                <w:rFonts w:eastAsia="Arial"/>
                <w:lang w:eastAsia="en-US"/>
              </w:rPr>
              <w:t xml:space="preserve"> </w:t>
            </w:r>
            <w:r>
              <w:rPr>
                <w:lang w:eastAsia="en-US"/>
              </w:rPr>
              <w:t>IA5 "M" (odd parity)</w:t>
            </w:r>
          </w:p>
        </w:tc>
      </w:tr>
      <w:tr>
        <w:trPr/>
        <w:tc>
          <w:tcPr>
            <w:tcW w:w="709" w:type="dxa"/>
            <w:tcBorders/>
          </w:tcPr>
          <w:p>
            <w:pPr>
              <w:pStyle w:val="TAC"/>
              <w:spacing w:before="60" w:after="60"/>
              <w:rPr>
                <w:rFonts w:ascii="Courier New" w:hAnsi="Courier New" w:cs="Courier New"/>
                <w:lang w:val="fr-FR" w:eastAsia="en-US"/>
              </w:rPr>
            </w:pPr>
            <w:r>
              <w:rPr>
                <w:lang w:val="fr-FR" w:eastAsia="en-US"/>
              </w:rPr>
              <w:t xml:space="preserve">4 </w:t>
            </w:r>
          </w:p>
        </w:tc>
        <w:tc>
          <w:tcPr>
            <w:tcW w:w="510" w:type="dxa"/>
            <w:tcBorders>
              <w:top w:val="single" w:sz="6" w:space="0" w:color="000000"/>
              <w:left w:val="single" w:sz="6" w:space="0" w:color="000000"/>
            </w:tcBorders>
          </w:tcPr>
          <w:p>
            <w:pPr>
              <w:pStyle w:val="TAC"/>
              <w:spacing w:before="60" w:after="60"/>
              <w:rPr>
                <w:lang w:val="fr-FR" w:eastAsia="en-US"/>
              </w:rPr>
            </w:pPr>
            <w:r>
              <w:rPr>
                <w:lang w:val="fr-FR" w:eastAsia="en-US"/>
              </w:rPr>
              <w:t>SA</w:t>
            </w:r>
          </w:p>
        </w:tc>
        <w:tc>
          <w:tcPr>
            <w:tcW w:w="510" w:type="dxa"/>
            <w:tcBorders>
              <w:top w:val="single" w:sz="6" w:space="0" w:color="000000"/>
            </w:tcBorders>
          </w:tcPr>
          <w:p>
            <w:pPr>
              <w:pStyle w:val="TAC"/>
              <w:spacing w:before="60" w:after="60"/>
              <w:rPr>
                <w:lang w:val="fr-FR" w:eastAsia="en-US"/>
              </w:rPr>
            </w:pPr>
            <w:r>
              <w:rPr>
                <w:lang w:val="fr-FR" w:eastAsia="en-US"/>
              </w:rPr>
              <w:t>SB</w:t>
            </w:r>
          </w:p>
        </w:tc>
        <w:tc>
          <w:tcPr>
            <w:tcW w:w="397" w:type="dxa"/>
            <w:tcBorders>
              <w:top w:val="single" w:sz="6" w:space="0" w:color="000000"/>
            </w:tcBorders>
          </w:tcPr>
          <w:p>
            <w:pPr>
              <w:pStyle w:val="TAC"/>
              <w:spacing w:before="60" w:after="60"/>
              <w:rPr>
                <w:lang w:val="fr-FR" w:eastAsia="en-US"/>
              </w:rPr>
            </w:pPr>
            <w:r>
              <w:rPr>
                <w:lang w:val="fr-FR" w:eastAsia="en-US"/>
              </w:rPr>
              <w:t>x</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936" w:type="dxa"/>
            <w:tcBorders/>
          </w:tcPr>
          <w:p>
            <w:pPr>
              <w:pStyle w:val="TAL"/>
              <w:rPr>
                <w:lang w:eastAsia="en-US"/>
              </w:rPr>
            </w:pPr>
            <w:r>
              <w:rPr>
                <w:rFonts w:eastAsia="Arial"/>
                <w:lang w:eastAsia="en-US"/>
              </w:rPr>
              <w:t xml:space="preserve"> </w:t>
            </w:r>
            <w:r>
              <w:rPr>
                <w:lang w:eastAsia="en-US"/>
              </w:rPr>
              <w:t>(last status change, rest of PDU empty)</w:t>
            </w:r>
          </w:p>
        </w:tc>
      </w:tr>
      <w:tr>
        <w:trPr/>
        <w:tc>
          <w:tcPr>
            <w:tcW w:w="709" w:type="dxa"/>
            <w:tcBorders/>
          </w:tcPr>
          <w:p>
            <w:pPr>
              <w:pStyle w:val="TAC"/>
              <w:snapToGrid w:val="false"/>
              <w:spacing w:before="60" w:after="0"/>
              <w:rPr>
                <w:lang w:eastAsia="en-US"/>
              </w:rPr>
            </w:pPr>
            <w:r>
              <w:rPr>
                <w:lang w:eastAsia="en-US"/>
              </w:rPr>
            </w:r>
          </w:p>
        </w:tc>
        <w:tc>
          <w:tcPr>
            <w:tcW w:w="510" w:type="dxa"/>
            <w:tcBorders>
              <w:top w:val="single" w:sz="6" w:space="0" w:color="000000"/>
              <w:left w:val="single" w:sz="6" w:space="0" w:color="000000"/>
            </w:tcBorders>
          </w:tcPr>
          <w:p>
            <w:pPr>
              <w:pStyle w:val="TAC"/>
              <w:snapToGrid w:val="false"/>
              <w:spacing w:before="60" w:after="0"/>
              <w:rPr>
                <w:lang w:eastAsia="en-US"/>
              </w:rPr>
            </w:pPr>
            <w:r>
              <w:rPr>
                <w:lang w:eastAsia="en-US"/>
              </w:rPr>
            </w:r>
          </w:p>
        </w:tc>
        <w:tc>
          <w:tcPr>
            <w:tcW w:w="510"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right w:val="single" w:sz="6" w:space="0" w:color="000000"/>
            </w:tcBorders>
          </w:tcPr>
          <w:p>
            <w:pPr>
              <w:pStyle w:val="TAC"/>
              <w:snapToGrid w:val="false"/>
              <w:spacing w:before="60" w:after="0"/>
              <w:rPr>
                <w:lang w:eastAsia="en-US"/>
              </w:rPr>
            </w:pPr>
            <w:r>
              <w:rPr>
                <w:lang w:eastAsia="en-US"/>
              </w:rPr>
            </w:r>
          </w:p>
        </w:tc>
        <w:tc>
          <w:tcPr>
            <w:tcW w:w="3936"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right w:val="single" w:sz="6" w:space="0" w:color="000000"/>
            </w:tcBorders>
          </w:tcPr>
          <w:p>
            <w:pPr>
              <w:pStyle w:val="TAC"/>
              <w:snapToGrid w:val="false"/>
              <w:spacing w:before="60" w:after="0"/>
              <w:rPr>
                <w:lang w:eastAsia="en-US"/>
              </w:rPr>
            </w:pPr>
            <w:r>
              <w:rPr>
                <w:lang w:eastAsia="en-US"/>
              </w:rPr>
            </w:r>
          </w:p>
        </w:tc>
        <w:tc>
          <w:tcPr>
            <w:tcW w:w="3936"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right w:val="single" w:sz="6" w:space="0" w:color="000000"/>
            </w:tcBorders>
          </w:tcPr>
          <w:p>
            <w:pPr>
              <w:pStyle w:val="TAC"/>
              <w:snapToGrid w:val="false"/>
              <w:spacing w:before="60" w:after="0"/>
              <w:rPr>
                <w:lang w:eastAsia="en-US"/>
              </w:rPr>
            </w:pPr>
            <w:r>
              <w:rPr>
                <w:lang w:eastAsia="en-US"/>
              </w:rPr>
            </w:r>
          </w:p>
        </w:tc>
        <w:tc>
          <w:tcPr>
            <w:tcW w:w="3936"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bottom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right w:val="single" w:sz="6" w:space="0" w:color="000000"/>
            </w:tcBorders>
          </w:tcPr>
          <w:p>
            <w:pPr>
              <w:pStyle w:val="TAC"/>
              <w:snapToGrid w:val="false"/>
              <w:spacing w:before="60" w:after="0"/>
              <w:rPr>
                <w:lang w:eastAsia="en-US"/>
              </w:rPr>
            </w:pPr>
            <w:r>
              <w:rPr>
                <w:lang w:eastAsia="en-US"/>
              </w:rPr>
            </w:r>
          </w:p>
        </w:tc>
        <w:tc>
          <w:tcPr>
            <w:tcW w:w="3936"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n</w:t>
              <w:noBreakHyphen/>
              <w:t xml:space="preserve">1 </w:t>
            </w:r>
          </w:p>
        </w:tc>
        <w:tc>
          <w:tcPr>
            <w:tcW w:w="510" w:type="dxa"/>
            <w:tcBorders>
              <w:left w:val="single" w:sz="6" w:space="0" w:color="000000"/>
              <w:bottom w:val="single" w:sz="6" w:space="0" w:color="000000"/>
            </w:tcBorders>
          </w:tcPr>
          <w:p>
            <w:pPr>
              <w:pStyle w:val="TAC"/>
              <w:snapToGrid w:val="false"/>
              <w:spacing w:before="60" w:after="60"/>
              <w:rPr>
                <w:rFonts w:ascii="Courier New" w:hAnsi="Courier New" w:cs="Courier New"/>
                <w:lang w:eastAsia="en-US"/>
              </w:rPr>
            </w:pPr>
            <w:r>
              <w:rPr>
                <w:rFonts w:cs="Courier New" w:ascii="Courier New" w:hAnsi="Courier New"/>
                <w:lang w:eastAsia="en-US"/>
              </w:rPr>
            </w:r>
          </w:p>
        </w:tc>
        <w:tc>
          <w:tcPr>
            <w:tcW w:w="510"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tcBorders>
          </w:tcPr>
          <w:p>
            <w:pPr>
              <w:pStyle w:val="TAC"/>
              <w:snapToGrid w:val="false"/>
              <w:spacing w:before="60" w:after="60"/>
              <w:rPr>
                <w:lang w:eastAsia="en-US"/>
              </w:rPr>
            </w:pPr>
            <w:r>
              <w:rPr>
                <w:lang w:eastAsia="en-US"/>
              </w:rPr>
            </w:r>
          </w:p>
        </w:tc>
        <w:tc>
          <w:tcPr>
            <w:tcW w:w="397" w:type="dxa"/>
            <w:tcBorders>
              <w:bottom w:val="single" w:sz="6" w:space="0" w:color="000000"/>
              <w:right w:val="single" w:sz="6" w:space="0" w:color="000000"/>
            </w:tcBorders>
          </w:tcPr>
          <w:p>
            <w:pPr>
              <w:pStyle w:val="TAC"/>
              <w:snapToGrid w:val="false"/>
              <w:spacing w:before="60" w:after="60"/>
              <w:rPr>
                <w:lang w:eastAsia="en-US"/>
              </w:rPr>
            </w:pPr>
            <w:r>
              <w:rPr>
                <w:lang w:eastAsia="en-US"/>
              </w:rPr>
            </w:r>
          </w:p>
        </w:tc>
        <w:tc>
          <w:tcPr>
            <w:tcW w:w="3936" w:type="dxa"/>
            <w:tcBorders/>
          </w:tcPr>
          <w:p>
            <w:pPr>
              <w:pStyle w:val="TAC"/>
              <w:snapToGrid w:val="false"/>
              <w:spacing w:before="60" w:after="60"/>
              <w:rPr>
                <w:lang w:eastAsia="en-US"/>
              </w:rPr>
            </w:pPr>
            <w:r>
              <w:rPr>
                <w:lang w:eastAsia="en-US"/>
              </w:rPr>
            </w:r>
          </w:p>
        </w:tc>
      </w:tr>
    </w:tbl>
    <w:p>
      <w:pPr>
        <w:pStyle w:val="Normal"/>
        <w:rPr/>
      </w:pPr>
      <w:r>
        <w:rPr/>
      </w:r>
    </w:p>
    <w:p>
      <w:pPr>
        <w:pStyle w:val="TF"/>
        <w:rPr/>
      </w:pPr>
      <w:r>
        <w:rPr/>
        <w:t>Figure 2a: Single-link RLP and multi-link RLP with status octet transfer in PDU</w:t>
      </w:r>
    </w:p>
    <w:tbl>
      <w:tblPr>
        <w:tblW w:w="7230" w:type="dxa"/>
        <w:jc w:val="center"/>
        <w:tblInd w:w="0" w:type="dxa"/>
        <w:tblLayout w:type="fixed"/>
        <w:tblCellMar>
          <w:top w:w="0" w:type="dxa"/>
          <w:left w:w="107" w:type="dxa"/>
          <w:bottom w:w="0" w:type="dxa"/>
          <w:right w:w="107" w:type="dxa"/>
        </w:tblCellMar>
      </w:tblPr>
      <w:tblGrid>
        <w:gridCol w:w="709"/>
        <w:gridCol w:w="510"/>
        <w:gridCol w:w="510"/>
        <w:gridCol w:w="397"/>
        <w:gridCol w:w="397"/>
        <w:gridCol w:w="397"/>
        <w:gridCol w:w="397"/>
        <w:gridCol w:w="397"/>
        <w:gridCol w:w="397"/>
        <w:gridCol w:w="3119"/>
      </w:tblGrid>
      <w:tr>
        <w:trPr/>
        <w:tc>
          <w:tcPr>
            <w:tcW w:w="709" w:type="dxa"/>
            <w:tcBorders/>
          </w:tcPr>
          <w:p>
            <w:pPr>
              <w:pStyle w:val="TAC"/>
              <w:snapToGrid w:val="false"/>
              <w:spacing w:before="60" w:after="60"/>
              <w:rPr>
                <w:lang w:eastAsia="en-US"/>
              </w:rPr>
            </w:pPr>
            <w:r>
              <w:rPr>
                <w:lang w:eastAsia="en-US"/>
              </w:rPr>
            </w:r>
          </w:p>
        </w:tc>
        <w:tc>
          <w:tcPr>
            <w:tcW w:w="510" w:type="dxa"/>
            <w:tcBorders/>
          </w:tcPr>
          <w:p>
            <w:pPr>
              <w:pStyle w:val="TAC"/>
              <w:spacing w:before="60" w:after="60"/>
              <w:rPr>
                <w:lang w:eastAsia="en-US"/>
              </w:rPr>
            </w:pPr>
            <w:r>
              <w:rPr>
                <w:lang w:eastAsia="en-US"/>
              </w:rPr>
              <w:t>8</w:t>
            </w:r>
          </w:p>
        </w:tc>
        <w:tc>
          <w:tcPr>
            <w:tcW w:w="510" w:type="dxa"/>
            <w:tcBorders/>
          </w:tcPr>
          <w:p>
            <w:pPr>
              <w:pStyle w:val="TAC"/>
              <w:spacing w:before="60" w:after="60"/>
              <w:rPr>
                <w:lang w:eastAsia="en-US"/>
              </w:rPr>
            </w:pPr>
            <w:r>
              <w:rPr>
                <w:lang w:eastAsia="en-US"/>
              </w:rPr>
              <w:t>7</w:t>
            </w:r>
          </w:p>
        </w:tc>
        <w:tc>
          <w:tcPr>
            <w:tcW w:w="397" w:type="dxa"/>
            <w:tcBorders/>
          </w:tcPr>
          <w:p>
            <w:pPr>
              <w:pStyle w:val="TAC"/>
              <w:spacing w:before="60" w:after="60"/>
              <w:rPr>
                <w:lang w:eastAsia="en-US"/>
              </w:rPr>
            </w:pPr>
            <w:r>
              <w:rPr>
                <w:lang w:eastAsia="en-US"/>
              </w:rPr>
              <w:t>6</w:t>
            </w:r>
          </w:p>
        </w:tc>
        <w:tc>
          <w:tcPr>
            <w:tcW w:w="397" w:type="dxa"/>
            <w:tcBorders/>
          </w:tcPr>
          <w:p>
            <w:pPr>
              <w:pStyle w:val="TAC"/>
              <w:spacing w:before="60" w:after="60"/>
              <w:rPr>
                <w:lang w:eastAsia="en-US"/>
              </w:rPr>
            </w:pPr>
            <w:r>
              <w:rPr>
                <w:lang w:eastAsia="en-US"/>
              </w:rPr>
              <w:t>5</w:t>
            </w:r>
          </w:p>
        </w:tc>
        <w:tc>
          <w:tcPr>
            <w:tcW w:w="397" w:type="dxa"/>
            <w:tcBorders/>
          </w:tcPr>
          <w:p>
            <w:pPr>
              <w:pStyle w:val="TAC"/>
              <w:spacing w:before="60" w:after="60"/>
              <w:rPr>
                <w:lang w:eastAsia="en-US"/>
              </w:rPr>
            </w:pPr>
            <w:r>
              <w:rPr>
                <w:lang w:eastAsia="en-US"/>
              </w:rPr>
              <w:t>4</w:t>
            </w:r>
          </w:p>
        </w:tc>
        <w:tc>
          <w:tcPr>
            <w:tcW w:w="397" w:type="dxa"/>
            <w:tcBorders/>
          </w:tcPr>
          <w:p>
            <w:pPr>
              <w:pStyle w:val="TAC"/>
              <w:spacing w:before="60" w:after="60"/>
              <w:rPr>
                <w:lang w:eastAsia="en-US"/>
              </w:rPr>
            </w:pPr>
            <w:r>
              <w:rPr>
                <w:lang w:eastAsia="en-US"/>
              </w:rPr>
              <w:t>3</w:t>
            </w:r>
          </w:p>
        </w:tc>
        <w:tc>
          <w:tcPr>
            <w:tcW w:w="397" w:type="dxa"/>
            <w:tcBorders/>
          </w:tcPr>
          <w:p>
            <w:pPr>
              <w:pStyle w:val="TAC"/>
              <w:spacing w:before="60" w:after="60"/>
              <w:rPr>
                <w:lang w:eastAsia="en-US"/>
              </w:rPr>
            </w:pPr>
            <w:r>
              <w:rPr>
                <w:lang w:eastAsia="en-US"/>
              </w:rPr>
              <w:t>2</w:t>
            </w:r>
          </w:p>
        </w:tc>
        <w:tc>
          <w:tcPr>
            <w:tcW w:w="397" w:type="dxa"/>
            <w:tcBorders/>
          </w:tcPr>
          <w:p>
            <w:pPr>
              <w:pStyle w:val="TAC"/>
              <w:spacing w:before="60" w:after="60"/>
              <w:rPr>
                <w:lang w:eastAsia="en-US"/>
              </w:rPr>
            </w:pPr>
            <w:r>
              <w:rPr>
                <w:lang w:eastAsia="en-US"/>
              </w:rPr>
              <w:t>1</w:t>
            </w:r>
          </w:p>
        </w:tc>
        <w:tc>
          <w:tcPr>
            <w:tcW w:w="3119" w:type="dxa"/>
            <w:tcBorders/>
          </w:tcPr>
          <w:p>
            <w:pPr>
              <w:pStyle w:val="TAC"/>
              <w:snapToGrid w:val="false"/>
              <w:spacing w:before="60" w:after="60"/>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 xml:space="preserve">0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"S"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1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rFonts w:eastAsia="Arial"/>
                <w:lang w:eastAsia="en-US"/>
              </w:rPr>
              <w:t xml:space="preserve"> </w:t>
            </w:r>
            <w:r>
              <w:rPr>
                <w:lang w:eastAsia="en-US"/>
              </w:rPr>
              <w:t>IA5 "G"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2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"S"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3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"M"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4 </w:t>
            </w:r>
          </w:p>
        </w:tc>
        <w:tc>
          <w:tcPr>
            <w:tcW w:w="510" w:type="dxa"/>
            <w:tcBorders>
              <w:top w:val="single" w:sz="6" w:space="0" w:color="000000"/>
              <w:left w:val="single" w:sz="6" w:space="0" w:color="000000"/>
            </w:tcBorders>
          </w:tcPr>
          <w:p>
            <w:pPr>
              <w:pStyle w:val="TAC"/>
              <w:snapToGrid w:val="false"/>
              <w:spacing w:before="60" w:after="60"/>
              <w:rPr>
                <w:rFonts w:ascii="Courier New" w:hAnsi="Courier New" w:cs="Courier New"/>
                <w:lang w:eastAsia="en-US"/>
              </w:rPr>
            </w:pPr>
            <w:r>
              <w:rPr>
                <w:rFonts w:cs="Courier New" w:ascii="Courier New" w:hAnsi="Courier New"/>
                <w:lang w:eastAsia="en-US"/>
              </w:rPr>
            </w:r>
          </w:p>
        </w:tc>
        <w:tc>
          <w:tcPr>
            <w:tcW w:w="510"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tcBorders>
          </w:tcPr>
          <w:p>
            <w:pPr>
              <w:pStyle w:val="TAC"/>
              <w:snapToGrid w:val="false"/>
              <w:spacing w:before="60" w:after="60"/>
              <w:rPr>
                <w:lang w:eastAsia="en-US"/>
              </w:rPr>
            </w:pPr>
            <w:r>
              <w:rPr>
                <w:lang w:eastAsia="en-US"/>
              </w:rPr>
            </w:r>
          </w:p>
        </w:tc>
        <w:tc>
          <w:tcPr>
            <w:tcW w:w="397" w:type="dxa"/>
            <w:tcBorders>
              <w:top w:val="single" w:sz="6" w:space="0" w:color="000000"/>
              <w:right w:val="single" w:sz="6" w:space="0" w:color="000000"/>
            </w:tcBorders>
          </w:tcPr>
          <w:p>
            <w:pPr>
              <w:pStyle w:val="TAC"/>
              <w:snapToGrid w:val="false"/>
              <w:spacing w:before="60" w:after="60"/>
              <w:rPr>
                <w:lang w:eastAsia="en-US"/>
              </w:rPr>
            </w:pPr>
            <w:r>
              <w:rPr>
                <w:lang w:eastAsia="en-US"/>
              </w:rPr>
            </w:r>
          </w:p>
        </w:tc>
        <w:tc>
          <w:tcPr>
            <w:tcW w:w="3119" w:type="dxa"/>
            <w:tcBorders/>
          </w:tcPr>
          <w:p>
            <w:pPr>
              <w:pStyle w:val="TAC"/>
              <w:snapToGrid w:val="false"/>
              <w:spacing w:before="60" w:after="60"/>
              <w:rPr>
                <w:lang w:eastAsia="en-US"/>
              </w:rPr>
            </w:pPr>
            <w:r>
              <w:rPr>
                <w:lang w:eastAsia="en-US"/>
              </w:rPr>
            </w:r>
          </w:p>
        </w:tc>
      </w:tr>
      <w:tr>
        <w:trPr/>
        <w:tc>
          <w:tcPr>
            <w:tcW w:w="709" w:type="dxa"/>
            <w:tcBorders/>
          </w:tcPr>
          <w:p>
            <w:pPr>
              <w:pStyle w:val="TAC"/>
              <w:snapToGrid w:val="false"/>
              <w:spacing w:before="60" w:after="0"/>
              <w:rPr>
                <w:lang w:eastAsia="en-US"/>
              </w:rPr>
            </w:pPr>
            <w:r>
              <w:rPr>
                <w:lang w:eastAsia="en-US"/>
              </w:rPr>
            </w:r>
          </w:p>
        </w:tc>
        <w:tc>
          <w:tcPr>
            <w:tcW w:w="510" w:type="dxa"/>
            <w:tcBorders>
              <w:top w:val="single" w:sz="6" w:space="0" w:color="000000"/>
              <w:left w:val="single" w:sz="6" w:space="0" w:color="000000"/>
            </w:tcBorders>
          </w:tcPr>
          <w:p>
            <w:pPr>
              <w:pStyle w:val="TAC"/>
              <w:snapToGrid w:val="false"/>
              <w:spacing w:before="60" w:after="0"/>
              <w:rPr>
                <w:lang w:eastAsia="en-US"/>
              </w:rPr>
            </w:pPr>
            <w:r>
              <w:rPr>
                <w:lang w:eastAsia="en-US"/>
              </w:rPr>
            </w:r>
          </w:p>
        </w:tc>
        <w:tc>
          <w:tcPr>
            <w:tcW w:w="510"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tcBorders>
          </w:tcPr>
          <w:p>
            <w:pPr>
              <w:pStyle w:val="TAC"/>
              <w:snapToGrid w:val="false"/>
              <w:spacing w:before="60" w:after="0"/>
              <w:rPr>
                <w:lang w:eastAsia="en-US"/>
              </w:rPr>
            </w:pPr>
            <w:r>
              <w:rPr>
                <w:lang w:eastAsia="en-US"/>
              </w:rPr>
            </w:r>
          </w:p>
        </w:tc>
        <w:tc>
          <w:tcPr>
            <w:tcW w:w="397" w:type="dxa"/>
            <w:tcBorders>
              <w:top w:val="single" w:sz="6" w:space="0" w:color="000000"/>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rFonts w:ascii="Courier New" w:hAnsi="Courier New" w:cs="Courier New"/>
                <w:lang w:eastAsia="en-US"/>
              </w:rPr>
            </w:pPr>
            <w:r>
              <w:rPr>
                <w:lang w:eastAsia="en-US"/>
              </w:rPr>
              <w:t xml:space="preserve">. </w:t>
            </w:r>
          </w:p>
        </w:tc>
        <w:tc>
          <w:tcPr>
            <w:tcW w:w="510" w:type="dxa"/>
            <w:tcBorders>
              <w:left w:val="single" w:sz="6" w:space="0" w:color="000000"/>
              <w:bottom w:val="single" w:sz="6" w:space="0" w:color="000000"/>
            </w:tcBorders>
          </w:tcPr>
          <w:p>
            <w:pPr>
              <w:pStyle w:val="TAC"/>
              <w:snapToGrid w:val="false"/>
              <w:spacing w:before="60" w:after="0"/>
              <w:rPr>
                <w:rFonts w:ascii="Courier New" w:hAnsi="Courier New" w:cs="Courier New"/>
                <w:lang w:eastAsia="en-US"/>
              </w:rPr>
            </w:pPr>
            <w:r>
              <w:rPr>
                <w:rFonts w:cs="Courier New" w:ascii="Courier New" w:hAnsi="Courier New"/>
                <w:lang w:eastAsia="en-US"/>
              </w:rPr>
            </w:r>
          </w:p>
        </w:tc>
        <w:tc>
          <w:tcPr>
            <w:tcW w:w="510"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n</w:t>
              <w:noBreakHyphen/>
              <w:t xml:space="preserve">1 </w:t>
            </w:r>
          </w:p>
        </w:tc>
        <w:tc>
          <w:tcPr>
            <w:tcW w:w="510" w:type="dxa"/>
            <w:tcBorders>
              <w:left w:val="single" w:sz="6" w:space="0" w:color="000000"/>
              <w:bottom w:val="single" w:sz="6" w:space="0" w:color="000000"/>
            </w:tcBorders>
          </w:tcPr>
          <w:p>
            <w:pPr>
              <w:pStyle w:val="TAC"/>
              <w:spacing w:before="60" w:after="60"/>
              <w:rPr>
                <w:lang w:eastAsia="en-US"/>
              </w:rPr>
            </w:pPr>
            <w:r>
              <w:rPr>
                <w:lang w:eastAsia="en-US"/>
              </w:rPr>
              <w:t>1</w:t>
            </w:r>
          </w:p>
        </w:tc>
        <w:tc>
          <w:tcPr>
            <w:tcW w:w="510"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"M" (odd parity)</w:t>
            </w:r>
          </w:p>
        </w:tc>
      </w:tr>
    </w:tbl>
    <w:p>
      <w:pPr>
        <w:pStyle w:val="FP"/>
        <w:keepNext w:val="true"/>
        <w:rPr/>
      </w:pPr>
      <w:r>
        <w:rPr/>
      </w:r>
    </w:p>
    <w:p>
      <w:pPr>
        <w:pStyle w:val="TF"/>
        <w:rPr/>
      </w:pPr>
      <w:r>
        <w:rPr/>
        <w:t>Figure 2b: Multi-link RLP L2RCOP PDU with no status octet transfer</w:t>
      </w:r>
    </w:p>
    <w:tbl>
      <w:tblPr>
        <w:tblW w:w="7230" w:type="dxa"/>
        <w:jc w:val="center"/>
        <w:tblInd w:w="0" w:type="dxa"/>
        <w:tblLayout w:type="fixed"/>
        <w:tblCellMar>
          <w:top w:w="0" w:type="dxa"/>
          <w:left w:w="107" w:type="dxa"/>
          <w:bottom w:w="0" w:type="dxa"/>
          <w:right w:w="107" w:type="dxa"/>
        </w:tblCellMar>
      </w:tblPr>
      <w:tblGrid>
        <w:gridCol w:w="709"/>
        <w:gridCol w:w="510"/>
        <w:gridCol w:w="510"/>
        <w:gridCol w:w="397"/>
        <w:gridCol w:w="397"/>
        <w:gridCol w:w="397"/>
        <w:gridCol w:w="397"/>
        <w:gridCol w:w="397"/>
        <w:gridCol w:w="397"/>
        <w:gridCol w:w="3119"/>
      </w:tblGrid>
      <w:tr>
        <w:trPr/>
        <w:tc>
          <w:tcPr>
            <w:tcW w:w="709" w:type="dxa"/>
            <w:tcBorders/>
          </w:tcPr>
          <w:p>
            <w:pPr>
              <w:pStyle w:val="TAC"/>
              <w:snapToGrid w:val="false"/>
              <w:spacing w:before="60" w:after="60"/>
              <w:rPr>
                <w:lang w:eastAsia="en-US"/>
              </w:rPr>
            </w:pPr>
            <w:r>
              <w:rPr>
                <w:lang w:eastAsia="en-US"/>
              </w:rPr>
            </w:r>
          </w:p>
        </w:tc>
        <w:tc>
          <w:tcPr>
            <w:tcW w:w="510" w:type="dxa"/>
            <w:tcBorders/>
          </w:tcPr>
          <w:p>
            <w:pPr>
              <w:pStyle w:val="TAC"/>
              <w:spacing w:before="60" w:after="60"/>
              <w:rPr>
                <w:lang w:val="fr-FR" w:eastAsia="en-US"/>
              </w:rPr>
            </w:pPr>
            <w:r>
              <w:rPr>
                <w:lang w:val="fr-FR" w:eastAsia="en-US"/>
              </w:rPr>
              <w:t>8</w:t>
            </w:r>
          </w:p>
        </w:tc>
        <w:tc>
          <w:tcPr>
            <w:tcW w:w="510" w:type="dxa"/>
            <w:tcBorders/>
          </w:tcPr>
          <w:p>
            <w:pPr>
              <w:pStyle w:val="TAC"/>
              <w:spacing w:before="60" w:after="60"/>
              <w:rPr>
                <w:lang w:val="fr-FR" w:eastAsia="en-US"/>
              </w:rPr>
            </w:pPr>
            <w:r>
              <w:rPr>
                <w:lang w:val="fr-FR" w:eastAsia="en-US"/>
              </w:rPr>
              <w:t>7</w:t>
            </w:r>
          </w:p>
        </w:tc>
        <w:tc>
          <w:tcPr>
            <w:tcW w:w="397" w:type="dxa"/>
            <w:tcBorders/>
          </w:tcPr>
          <w:p>
            <w:pPr>
              <w:pStyle w:val="TAC"/>
              <w:spacing w:before="60" w:after="60"/>
              <w:rPr>
                <w:lang w:val="fr-FR" w:eastAsia="en-US"/>
              </w:rPr>
            </w:pPr>
            <w:r>
              <w:rPr>
                <w:lang w:val="fr-FR" w:eastAsia="en-US"/>
              </w:rPr>
              <w:t>6</w:t>
            </w:r>
          </w:p>
        </w:tc>
        <w:tc>
          <w:tcPr>
            <w:tcW w:w="397" w:type="dxa"/>
            <w:tcBorders/>
          </w:tcPr>
          <w:p>
            <w:pPr>
              <w:pStyle w:val="TAC"/>
              <w:spacing w:before="60" w:after="60"/>
              <w:rPr>
                <w:lang w:val="fr-FR" w:eastAsia="en-US"/>
              </w:rPr>
            </w:pPr>
            <w:r>
              <w:rPr>
                <w:lang w:val="fr-FR" w:eastAsia="en-US"/>
              </w:rPr>
              <w:t>5</w:t>
            </w:r>
          </w:p>
        </w:tc>
        <w:tc>
          <w:tcPr>
            <w:tcW w:w="397" w:type="dxa"/>
            <w:tcBorders/>
          </w:tcPr>
          <w:p>
            <w:pPr>
              <w:pStyle w:val="TAC"/>
              <w:spacing w:before="60" w:after="60"/>
              <w:rPr>
                <w:lang w:val="fr-FR" w:eastAsia="en-US"/>
              </w:rPr>
            </w:pPr>
            <w:r>
              <w:rPr>
                <w:lang w:val="fr-FR" w:eastAsia="en-US"/>
              </w:rPr>
              <w:t>4</w:t>
            </w:r>
          </w:p>
        </w:tc>
        <w:tc>
          <w:tcPr>
            <w:tcW w:w="397" w:type="dxa"/>
            <w:tcBorders/>
          </w:tcPr>
          <w:p>
            <w:pPr>
              <w:pStyle w:val="TAC"/>
              <w:spacing w:before="60" w:after="60"/>
              <w:rPr>
                <w:lang w:val="fr-FR" w:eastAsia="en-US"/>
              </w:rPr>
            </w:pPr>
            <w:r>
              <w:rPr>
                <w:lang w:val="fr-FR" w:eastAsia="en-US"/>
              </w:rPr>
              <w:t>3</w:t>
            </w:r>
          </w:p>
        </w:tc>
        <w:tc>
          <w:tcPr>
            <w:tcW w:w="397" w:type="dxa"/>
            <w:tcBorders/>
          </w:tcPr>
          <w:p>
            <w:pPr>
              <w:pStyle w:val="TAC"/>
              <w:spacing w:before="60" w:after="60"/>
              <w:rPr>
                <w:lang w:val="fr-FR" w:eastAsia="en-US"/>
              </w:rPr>
            </w:pPr>
            <w:r>
              <w:rPr>
                <w:lang w:val="fr-FR" w:eastAsia="en-US"/>
              </w:rPr>
              <w:t>2</w:t>
            </w:r>
          </w:p>
        </w:tc>
        <w:tc>
          <w:tcPr>
            <w:tcW w:w="397" w:type="dxa"/>
            <w:tcBorders/>
          </w:tcPr>
          <w:p>
            <w:pPr>
              <w:pStyle w:val="TAC"/>
              <w:spacing w:before="60" w:after="60"/>
              <w:rPr>
                <w:lang w:val="fr-FR" w:eastAsia="en-US"/>
              </w:rPr>
            </w:pPr>
            <w:r>
              <w:rPr>
                <w:lang w:val="fr-FR" w:eastAsia="en-US"/>
              </w:rPr>
              <w:t>1</w:t>
            </w:r>
          </w:p>
        </w:tc>
        <w:tc>
          <w:tcPr>
            <w:tcW w:w="3119" w:type="dxa"/>
            <w:tcBorders/>
          </w:tcPr>
          <w:p>
            <w:pPr>
              <w:pStyle w:val="TAC"/>
              <w:snapToGrid w:val="false"/>
              <w:spacing w:before="60" w:after="60"/>
              <w:rPr>
                <w:lang w:val="fr-FR" w:eastAsia="en-US"/>
              </w:rPr>
            </w:pPr>
            <w:r>
              <w:rPr>
                <w:lang w:val="fr-FR" w:eastAsia="en-US"/>
              </w:rPr>
            </w:r>
          </w:p>
        </w:tc>
      </w:tr>
      <w:tr>
        <w:trPr/>
        <w:tc>
          <w:tcPr>
            <w:tcW w:w="709" w:type="dxa"/>
            <w:tcBorders/>
          </w:tcPr>
          <w:p>
            <w:pPr>
              <w:pStyle w:val="TAC"/>
              <w:spacing w:before="60" w:after="60"/>
              <w:rPr>
                <w:rFonts w:ascii="Courier New" w:hAnsi="Courier New" w:cs="Courier New"/>
                <w:lang w:val="fr-FR" w:eastAsia="en-US"/>
              </w:rPr>
            </w:pPr>
            <w:r>
              <w:rPr>
                <w:lang w:val="fr-FR" w:eastAsia="en-US"/>
              </w:rPr>
              <w:t xml:space="preserve">0 </w:t>
            </w:r>
          </w:p>
        </w:tc>
        <w:tc>
          <w:tcPr>
            <w:tcW w:w="510" w:type="dxa"/>
            <w:tcBorders>
              <w:top w:val="single" w:sz="6" w:space="0" w:color="000000"/>
              <w:left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SA</w:t>
            </w:r>
          </w:p>
        </w:tc>
        <w:tc>
          <w:tcPr>
            <w:tcW w:w="510" w:type="dxa"/>
            <w:tcBorders>
              <w:top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SB</w:t>
            </w:r>
          </w:p>
        </w:tc>
        <w:tc>
          <w:tcPr>
            <w:tcW w:w="397" w:type="dxa"/>
            <w:tcBorders>
              <w:top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X</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napToGrid w:val="false"/>
              <w:spacing w:before="60" w:after="60"/>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 xml:space="preserve">1 </w:t>
            </w:r>
          </w:p>
        </w:tc>
        <w:tc>
          <w:tcPr>
            <w:tcW w:w="510" w:type="dxa"/>
            <w:tcBorders>
              <w:top w:val="single" w:sz="6" w:space="0" w:color="000000"/>
              <w:left w:val="single" w:sz="6" w:space="0" w:color="000000"/>
            </w:tcBorders>
          </w:tcPr>
          <w:p>
            <w:pPr>
              <w:pStyle w:val="TAC"/>
              <w:spacing w:before="60" w:after="60"/>
              <w:rPr>
                <w:lang w:eastAsia="en-US"/>
              </w:rPr>
            </w:pPr>
            <w:r>
              <w:rPr>
                <w:rFonts w:cs="Courier;Courier New" w:ascii="Courier;Courier New" w:hAnsi="Courier;Courier New"/>
                <w:sz w:val="24"/>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rFonts w:eastAsia="Arial"/>
                <w:lang w:eastAsia="en-US"/>
              </w:rPr>
              <w:t xml:space="preserve"> </w:t>
            </w:r>
            <w:r>
              <w:rPr>
                <w:lang w:eastAsia="en-US"/>
              </w:rPr>
              <w:t>IA5 "M"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2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"A" (odd parity)</w:t>
            </w:r>
          </w:p>
        </w:tc>
      </w:tr>
      <w:tr>
        <w:trPr/>
        <w:tc>
          <w:tcPr>
            <w:tcW w:w="709" w:type="dxa"/>
            <w:tcBorders/>
          </w:tcPr>
          <w:p>
            <w:pPr>
              <w:pStyle w:val="TAC"/>
              <w:spacing w:before="60" w:after="60"/>
              <w:rPr>
                <w:rFonts w:ascii="Courier New" w:hAnsi="Courier New" w:cs="Courier New"/>
                <w:lang w:eastAsia="en-US"/>
              </w:rPr>
            </w:pPr>
            <w:r>
              <w:rPr>
                <w:lang w:eastAsia="en-US"/>
              </w:rPr>
              <w:t xml:space="preserve">3 </w:t>
            </w:r>
          </w:p>
        </w:tc>
        <w:tc>
          <w:tcPr>
            <w:tcW w:w="510" w:type="dxa"/>
            <w:tcBorders>
              <w:top w:val="single" w:sz="6" w:space="0" w:color="000000"/>
              <w:left w:val="single" w:sz="6" w:space="0" w:color="000000"/>
            </w:tcBorders>
          </w:tcPr>
          <w:p>
            <w:pPr>
              <w:pStyle w:val="TAC"/>
              <w:spacing w:before="60" w:after="60"/>
              <w:rPr>
                <w:lang w:eastAsia="en-US"/>
              </w:rPr>
            </w:pPr>
            <w:r>
              <w:rPr>
                <w:lang w:eastAsia="en-US"/>
              </w:rPr>
              <w:t>1</w:t>
            </w:r>
          </w:p>
        </w:tc>
        <w:tc>
          <w:tcPr>
            <w:tcW w:w="510"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0</w:t>
            </w:r>
          </w:p>
        </w:tc>
        <w:tc>
          <w:tcPr>
            <w:tcW w:w="397" w:type="dxa"/>
            <w:tcBorders>
              <w:top w:val="single" w:sz="6" w:space="0" w:color="000000"/>
            </w:tcBorders>
          </w:tcPr>
          <w:p>
            <w:pPr>
              <w:pStyle w:val="TAC"/>
              <w:spacing w:before="60" w:after="60"/>
              <w:rPr>
                <w:lang w:eastAsia="en-US"/>
              </w:rPr>
            </w:pPr>
            <w:r>
              <w:rPr>
                <w:lang w:eastAsia="en-US"/>
              </w:rPr>
              <w:t>1</w:t>
            </w:r>
          </w:p>
        </w:tc>
        <w:tc>
          <w:tcPr>
            <w:tcW w:w="397" w:type="dxa"/>
            <w:tcBorders>
              <w:top w:val="single" w:sz="6" w:space="0" w:color="000000"/>
              <w:right w:val="single" w:sz="6" w:space="0" w:color="000000"/>
            </w:tcBorders>
          </w:tcPr>
          <w:p>
            <w:pPr>
              <w:pStyle w:val="TAC"/>
              <w:spacing w:before="60" w:after="60"/>
              <w:rPr>
                <w:lang w:eastAsia="en-US"/>
              </w:rPr>
            </w:pPr>
            <w:r>
              <w:rPr>
                <w:lang w:eastAsia="en-US"/>
              </w:rPr>
              <w:t>0</w:t>
            </w:r>
          </w:p>
        </w:tc>
        <w:tc>
          <w:tcPr>
            <w:tcW w:w="3119" w:type="dxa"/>
            <w:tcBorders/>
          </w:tcPr>
          <w:p>
            <w:pPr>
              <w:pStyle w:val="TAC"/>
              <w:spacing w:before="60" w:after="60"/>
              <w:rPr/>
            </w:pPr>
            <w:r>
              <w:rPr>
                <w:lang w:eastAsia="en-US"/>
              </w:rPr>
              <w:t>IA5 "R" (odd parity)</w:t>
            </w:r>
          </w:p>
        </w:tc>
      </w:tr>
      <w:tr>
        <w:trPr/>
        <w:tc>
          <w:tcPr>
            <w:tcW w:w="709" w:type="dxa"/>
            <w:tcBorders/>
          </w:tcPr>
          <w:p>
            <w:pPr>
              <w:pStyle w:val="TAC"/>
              <w:spacing w:before="60" w:after="60"/>
              <w:rPr>
                <w:rFonts w:ascii="Courier New" w:hAnsi="Courier New" w:cs="Courier New"/>
                <w:lang w:val="fr-FR" w:eastAsia="en-US"/>
              </w:rPr>
            </w:pPr>
            <w:r>
              <w:rPr>
                <w:lang w:val="fr-FR" w:eastAsia="en-US"/>
              </w:rPr>
              <w:t xml:space="preserve">4 </w:t>
            </w:r>
          </w:p>
        </w:tc>
        <w:tc>
          <w:tcPr>
            <w:tcW w:w="510" w:type="dxa"/>
            <w:tcBorders>
              <w:top w:val="single" w:sz="6" w:space="0" w:color="000000"/>
              <w:left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SA</w:t>
            </w:r>
          </w:p>
        </w:tc>
        <w:tc>
          <w:tcPr>
            <w:tcW w:w="510" w:type="dxa"/>
            <w:tcBorders>
              <w:top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SB</w:t>
            </w:r>
          </w:p>
        </w:tc>
        <w:tc>
          <w:tcPr>
            <w:tcW w:w="397" w:type="dxa"/>
            <w:tcBorders>
              <w:top w:val="single" w:sz="6" w:space="0" w:color="000000"/>
            </w:tcBorders>
          </w:tcPr>
          <w:p>
            <w:pPr>
              <w:pStyle w:val="TAC"/>
              <w:spacing w:before="60" w:after="60"/>
              <w:rPr>
                <w:lang w:val="fr-FR" w:eastAsia="en-US"/>
              </w:rPr>
            </w:pPr>
            <w:r>
              <w:rPr>
                <w:rFonts w:cs="Courier;Courier New" w:ascii="Courier;Courier New" w:hAnsi="Courier;Courier New"/>
                <w:sz w:val="24"/>
                <w:lang w:val="fr-FR" w:eastAsia="en-US"/>
              </w:rPr>
              <w:t>X</w:t>
            </w:r>
          </w:p>
        </w:tc>
        <w:tc>
          <w:tcPr>
            <w:tcW w:w="397" w:type="dxa"/>
            <w:tcBorders>
              <w:top w:val="single" w:sz="6" w:space="0" w:color="000000"/>
            </w:tcBorders>
          </w:tcPr>
          <w:p>
            <w:pPr>
              <w:pStyle w:val="TAC"/>
              <w:spacing w:before="60" w:after="60"/>
              <w:rPr>
                <w:lang w:val="fr-FR" w:eastAsia="en-US"/>
              </w:rPr>
            </w:pPr>
            <w:r>
              <w:rPr>
                <w:lang w:val="fr-FR" w:eastAsia="en-US"/>
              </w:rPr>
              <w:t>1</w:t>
            </w:r>
          </w:p>
        </w:tc>
        <w:tc>
          <w:tcPr>
            <w:tcW w:w="397" w:type="dxa"/>
            <w:tcBorders>
              <w:top w:val="single" w:sz="6" w:space="0" w:color="000000"/>
            </w:tcBorders>
          </w:tcPr>
          <w:p>
            <w:pPr>
              <w:pStyle w:val="TAC"/>
              <w:spacing w:before="60" w:after="60"/>
              <w:rPr>
                <w:lang w:val="fr-FR" w:eastAsia="en-US"/>
              </w:rPr>
            </w:pPr>
            <w:r>
              <w:rPr>
                <w:lang w:val="fr-FR" w:eastAsia="en-US"/>
              </w:rPr>
              <w:t>1</w:t>
            </w:r>
          </w:p>
        </w:tc>
        <w:tc>
          <w:tcPr>
            <w:tcW w:w="397" w:type="dxa"/>
            <w:tcBorders>
              <w:top w:val="single" w:sz="6" w:space="0" w:color="000000"/>
            </w:tcBorders>
          </w:tcPr>
          <w:p>
            <w:pPr>
              <w:pStyle w:val="TAC"/>
              <w:spacing w:before="60" w:after="60"/>
              <w:rPr>
                <w:lang w:val="fr-FR" w:eastAsia="en-US"/>
              </w:rPr>
            </w:pPr>
            <w:r>
              <w:rPr>
                <w:lang w:val="fr-FR" w:eastAsia="en-US"/>
              </w:rPr>
              <w:t>0</w:t>
            </w:r>
          </w:p>
        </w:tc>
        <w:tc>
          <w:tcPr>
            <w:tcW w:w="397" w:type="dxa"/>
            <w:tcBorders>
              <w:top w:val="single" w:sz="6" w:space="0" w:color="000000"/>
            </w:tcBorders>
          </w:tcPr>
          <w:p>
            <w:pPr>
              <w:pStyle w:val="TAC"/>
              <w:spacing w:before="60" w:after="60"/>
              <w:rPr>
                <w:lang w:val="fr-FR" w:eastAsia="en-US"/>
              </w:rPr>
            </w:pPr>
            <w:r>
              <w:rPr>
                <w:lang w:val="fr-FR" w:eastAsia="en-US"/>
              </w:rPr>
              <w:t>1</w:t>
            </w:r>
          </w:p>
        </w:tc>
        <w:tc>
          <w:tcPr>
            <w:tcW w:w="397" w:type="dxa"/>
            <w:tcBorders>
              <w:top w:val="single" w:sz="6" w:space="0" w:color="000000"/>
              <w:right w:val="single" w:sz="6" w:space="0" w:color="000000"/>
            </w:tcBorders>
          </w:tcPr>
          <w:p>
            <w:pPr>
              <w:pStyle w:val="TAC"/>
              <w:spacing w:before="60" w:after="60"/>
              <w:rPr>
                <w:lang w:val="fr-FR" w:eastAsia="en-US"/>
              </w:rPr>
            </w:pPr>
            <w:r>
              <w:rPr>
                <w:lang w:val="fr-FR" w:eastAsia="en-US"/>
              </w:rPr>
              <w:t>1</w:t>
            </w:r>
          </w:p>
        </w:tc>
        <w:tc>
          <w:tcPr>
            <w:tcW w:w="3119" w:type="dxa"/>
            <w:tcBorders/>
          </w:tcPr>
          <w:p>
            <w:pPr>
              <w:pStyle w:val="TAC"/>
              <w:snapToGrid w:val="false"/>
              <w:spacing w:before="60" w:after="60"/>
              <w:rPr>
                <w:lang w:val="fr-FR" w:eastAsia="en-US"/>
              </w:rPr>
            </w:pPr>
            <w:r>
              <w:rPr>
                <w:lang w:val="fr-FR" w:eastAsia="en-US"/>
              </w:rPr>
            </w:r>
          </w:p>
        </w:tc>
      </w:tr>
      <w:tr>
        <w:trPr/>
        <w:tc>
          <w:tcPr>
            <w:tcW w:w="709" w:type="dxa"/>
            <w:tcBorders/>
          </w:tcPr>
          <w:p>
            <w:pPr>
              <w:pStyle w:val="TAC"/>
              <w:spacing w:before="60" w:after="60"/>
              <w:rPr>
                <w:lang w:val="fr-FR" w:eastAsia="en-US"/>
              </w:rPr>
            </w:pPr>
            <w:r>
              <w:rPr>
                <w:lang w:val="fr-FR" w:eastAsia="en-US"/>
              </w:rPr>
              <w:t>5</w:t>
            </w:r>
          </w:p>
        </w:tc>
        <w:tc>
          <w:tcPr>
            <w:tcW w:w="510" w:type="dxa"/>
            <w:tcBorders>
              <w:top w:val="single" w:sz="6" w:space="0" w:color="000000"/>
              <w:left w:val="single" w:sz="6" w:space="0" w:color="000000"/>
            </w:tcBorders>
          </w:tcPr>
          <w:p>
            <w:pPr>
              <w:pStyle w:val="TAC"/>
              <w:spacing w:before="60" w:after="60"/>
              <w:rPr>
                <w:lang w:val="fr-FR" w:eastAsia="en-US"/>
              </w:rPr>
            </w:pPr>
            <w:r>
              <w:rPr>
                <w:lang w:val="fr-FR" w:eastAsia="en-US"/>
              </w:rPr>
              <w:t>R</w:t>
            </w:r>
          </w:p>
        </w:tc>
        <w:tc>
          <w:tcPr>
            <w:tcW w:w="510" w:type="dxa"/>
            <w:tcBorders>
              <w:top w:val="single" w:sz="6" w:space="0" w:color="000000"/>
            </w:tcBorders>
          </w:tcPr>
          <w:p>
            <w:pPr>
              <w:pStyle w:val="TAC"/>
              <w:spacing w:before="60" w:after="60"/>
              <w:rPr>
                <w:lang w:val="fr-FR" w:eastAsia="en-US"/>
              </w:rPr>
            </w:pPr>
            <w:r>
              <w:rPr>
                <w:lang w:val="fr-FR" w:eastAsia="en-US"/>
              </w:rPr>
              <w:t>0</w:t>
            </w:r>
          </w:p>
        </w:tc>
        <w:tc>
          <w:tcPr>
            <w:tcW w:w="397" w:type="dxa"/>
            <w:tcBorders>
              <w:top w:val="single" w:sz="6" w:space="0" w:color="000000"/>
            </w:tcBorders>
          </w:tcPr>
          <w:p>
            <w:pPr>
              <w:pStyle w:val="TAC"/>
              <w:spacing w:before="60" w:after="60"/>
              <w:rPr>
                <w:lang w:val="fr-FR" w:eastAsia="en-US"/>
              </w:rPr>
            </w:pPr>
            <w:r>
              <w:rPr>
                <w:lang w:val="fr-FR" w:eastAsia="en-US"/>
              </w:rPr>
              <w:t>1</w:t>
            </w:r>
          </w:p>
        </w:tc>
        <w:tc>
          <w:tcPr>
            <w:tcW w:w="397" w:type="dxa"/>
            <w:tcBorders>
              <w:top w:val="single" w:sz="6" w:space="0" w:color="000000"/>
            </w:tcBorders>
          </w:tcPr>
          <w:p>
            <w:pPr>
              <w:pStyle w:val="TAC"/>
              <w:spacing w:before="60" w:after="60"/>
              <w:rPr>
                <w:lang w:val="fr-FR" w:eastAsia="en-US"/>
              </w:rPr>
            </w:pPr>
            <w:r>
              <w:rPr>
                <w:lang w:val="fr-FR" w:eastAsia="en-US"/>
              </w:rPr>
              <w:t>0</w:t>
            </w:r>
          </w:p>
        </w:tc>
        <w:tc>
          <w:tcPr>
            <w:tcW w:w="397" w:type="dxa"/>
            <w:tcBorders>
              <w:top w:val="single" w:sz="6" w:space="0" w:color="000000"/>
            </w:tcBorders>
          </w:tcPr>
          <w:p>
            <w:pPr>
              <w:pStyle w:val="TAC"/>
              <w:spacing w:before="60" w:after="60"/>
              <w:rPr>
                <w:lang w:val="fr-FR" w:eastAsia="en-US"/>
              </w:rPr>
            </w:pPr>
            <w:r>
              <w:rPr>
                <w:lang w:val="fr-FR" w:eastAsia="en-US"/>
              </w:rPr>
              <w:t>0</w:t>
            </w:r>
          </w:p>
        </w:tc>
        <w:tc>
          <w:tcPr>
            <w:tcW w:w="397" w:type="dxa"/>
            <w:tcBorders>
              <w:top w:val="single" w:sz="6" w:space="0" w:color="000000"/>
            </w:tcBorders>
          </w:tcPr>
          <w:p>
            <w:pPr>
              <w:pStyle w:val="TAC"/>
              <w:spacing w:before="60" w:after="60"/>
              <w:rPr>
                <w:lang w:val="fr-FR" w:eastAsia="en-US"/>
              </w:rPr>
            </w:pPr>
            <w:r>
              <w:rPr>
                <w:lang w:val="fr-FR" w:eastAsia="en-US"/>
              </w:rPr>
              <w:t>0</w:t>
            </w:r>
          </w:p>
        </w:tc>
        <w:tc>
          <w:tcPr>
            <w:tcW w:w="397" w:type="dxa"/>
            <w:tcBorders>
              <w:top w:val="single" w:sz="6" w:space="0" w:color="000000"/>
            </w:tcBorders>
          </w:tcPr>
          <w:p>
            <w:pPr>
              <w:pStyle w:val="TAC"/>
              <w:spacing w:before="60" w:after="60"/>
              <w:rPr>
                <w:lang w:val="fr-FR" w:eastAsia="en-US"/>
              </w:rPr>
            </w:pPr>
            <w:r>
              <w:rPr>
                <w:lang w:val="fr-FR" w:eastAsia="en-US"/>
              </w:rPr>
              <w:t>1</w:t>
            </w:r>
          </w:p>
        </w:tc>
        <w:tc>
          <w:tcPr>
            <w:tcW w:w="397" w:type="dxa"/>
            <w:tcBorders>
              <w:top w:val="single" w:sz="6" w:space="0" w:color="000000"/>
              <w:right w:val="single" w:sz="6" w:space="0" w:color="000000"/>
            </w:tcBorders>
          </w:tcPr>
          <w:p>
            <w:pPr>
              <w:pStyle w:val="TAC"/>
              <w:spacing w:before="60" w:after="60"/>
              <w:rPr>
                <w:lang w:val="fr-FR" w:eastAsia="en-US"/>
              </w:rPr>
            </w:pPr>
            <w:r>
              <w:rPr>
                <w:lang w:val="fr-FR" w:eastAsia="en-US"/>
              </w:rPr>
              <w:t>1</w:t>
            </w:r>
          </w:p>
        </w:tc>
        <w:tc>
          <w:tcPr>
            <w:tcW w:w="3119" w:type="dxa"/>
            <w:tcBorders/>
          </w:tcPr>
          <w:p>
            <w:pPr>
              <w:pStyle w:val="TAC"/>
              <w:snapToGrid w:val="false"/>
              <w:spacing w:before="60" w:after="60"/>
              <w:rPr>
                <w:lang w:val="fr-FR" w:eastAsia="en-US"/>
              </w:rPr>
            </w:pPr>
            <w:r>
              <w:rPr>
                <w:lang w:val="fr-FR" w:eastAsia="en-US"/>
              </w:rPr>
            </w:r>
          </w:p>
        </w:tc>
      </w:tr>
      <w:tr>
        <w:trPr/>
        <w:tc>
          <w:tcPr>
            <w:tcW w:w="709" w:type="dxa"/>
            <w:tcBorders/>
          </w:tcPr>
          <w:p>
            <w:pPr>
              <w:pStyle w:val="TAC"/>
              <w:snapToGrid w:val="false"/>
              <w:spacing w:before="60" w:after="0"/>
              <w:rPr>
                <w:rFonts w:ascii="Courier New" w:hAnsi="Courier New" w:cs="Courier New"/>
                <w:lang w:val="fr-FR" w:eastAsia="en-US"/>
              </w:rPr>
            </w:pPr>
            <w:r>
              <w:rPr>
                <w:rFonts w:cs="Courier New" w:ascii="Courier New" w:hAnsi="Courier New"/>
                <w:lang w:val="fr-FR" w:eastAsia="en-US"/>
              </w:rPr>
            </w:r>
          </w:p>
        </w:tc>
        <w:tc>
          <w:tcPr>
            <w:tcW w:w="510" w:type="dxa"/>
            <w:tcBorders>
              <w:top w:val="single" w:sz="6" w:space="0" w:color="000000"/>
              <w:left w:val="single" w:sz="6" w:space="0" w:color="000000"/>
            </w:tcBorders>
          </w:tcPr>
          <w:p>
            <w:pPr>
              <w:pStyle w:val="TAC"/>
              <w:snapToGrid w:val="false"/>
              <w:spacing w:before="60" w:after="0"/>
              <w:rPr>
                <w:rFonts w:ascii="Courier New" w:hAnsi="Courier New" w:cs="Courier New"/>
                <w:lang w:val="fr-FR" w:eastAsia="en-US"/>
              </w:rPr>
            </w:pPr>
            <w:r>
              <w:rPr>
                <w:rFonts w:cs="Courier New" w:ascii="Courier New" w:hAnsi="Courier New"/>
                <w:lang w:val="fr-FR" w:eastAsia="en-US"/>
              </w:rPr>
            </w:r>
          </w:p>
        </w:tc>
        <w:tc>
          <w:tcPr>
            <w:tcW w:w="510" w:type="dxa"/>
            <w:tcBorders>
              <w:top w:val="single" w:sz="6" w:space="0" w:color="000000"/>
            </w:tcBorders>
          </w:tcPr>
          <w:p>
            <w:pPr>
              <w:pStyle w:val="TAC"/>
              <w:snapToGrid w:val="false"/>
              <w:spacing w:before="60" w:after="0"/>
              <w:rPr>
                <w:lang w:val="fr-FR" w:eastAsia="en-US"/>
              </w:rPr>
            </w:pPr>
            <w:r>
              <w:rPr>
                <w:lang w:val="fr-FR" w:eastAsia="en-US"/>
              </w:rPr>
            </w:r>
          </w:p>
        </w:tc>
        <w:tc>
          <w:tcPr>
            <w:tcW w:w="397" w:type="dxa"/>
            <w:tcBorders>
              <w:top w:val="single" w:sz="6" w:space="0" w:color="000000"/>
            </w:tcBorders>
          </w:tcPr>
          <w:p>
            <w:pPr>
              <w:pStyle w:val="TAC"/>
              <w:snapToGrid w:val="false"/>
              <w:spacing w:before="60" w:after="0"/>
              <w:rPr>
                <w:lang w:val="fr-FR" w:eastAsia="en-US"/>
              </w:rPr>
            </w:pPr>
            <w:r>
              <w:rPr>
                <w:lang w:val="fr-FR" w:eastAsia="en-US"/>
              </w:rPr>
            </w:r>
          </w:p>
        </w:tc>
        <w:tc>
          <w:tcPr>
            <w:tcW w:w="397" w:type="dxa"/>
            <w:tcBorders>
              <w:top w:val="single" w:sz="6" w:space="0" w:color="000000"/>
            </w:tcBorders>
          </w:tcPr>
          <w:p>
            <w:pPr>
              <w:pStyle w:val="TAC"/>
              <w:spacing w:before="60" w:after="0"/>
              <w:rPr>
                <w:lang w:val="fr-FR" w:eastAsia="en-US"/>
              </w:rPr>
            </w:pPr>
            <w:r>
              <w:rPr>
                <w:lang w:val="fr-FR" w:eastAsia="en-US"/>
              </w:rPr>
              <w:t>.</w:t>
            </w:r>
          </w:p>
        </w:tc>
        <w:tc>
          <w:tcPr>
            <w:tcW w:w="397" w:type="dxa"/>
            <w:tcBorders>
              <w:top w:val="single" w:sz="6" w:space="0" w:color="000000"/>
            </w:tcBorders>
          </w:tcPr>
          <w:p>
            <w:pPr>
              <w:pStyle w:val="TAC"/>
              <w:snapToGrid w:val="false"/>
              <w:spacing w:before="60" w:after="0"/>
              <w:rPr>
                <w:lang w:val="fr-FR" w:eastAsia="en-US"/>
              </w:rPr>
            </w:pPr>
            <w:r>
              <w:rPr>
                <w:lang w:val="fr-FR" w:eastAsia="en-US"/>
              </w:rPr>
            </w:r>
          </w:p>
        </w:tc>
        <w:tc>
          <w:tcPr>
            <w:tcW w:w="397" w:type="dxa"/>
            <w:tcBorders>
              <w:top w:val="single" w:sz="6" w:space="0" w:color="000000"/>
            </w:tcBorders>
          </w:tcPr>
          <w:p>
            <w:pPr>
              <w:pStyle w:val="TAC"/>
              <w:snapToGrid w:val="false"/>
              <w:spacing w:before="60" w:after="0"/>
              <w:rPr>
                <w:lang w:val="fr-FR" w:eastAsia="en-US"/>
              </w:rPr>
            </w:pPr>
            <w:r>
              <w:rPr>
                <w:lang w:val="fr-FR" w:eastAsia="en-US"/>
              </w:rPr>
            </w:r>
          </w:p>
        </w:tc>
        <w:tc>
          <w:tcPr>
            <w:tcW w:w="397" w:type="dxa"/>
            <w:tcBorders>
              <w:top w:val="single" w:sz="6" w:space="0" w:color="000000"/>
            </w:tcBorders>
          </w:tcPr>
          <w:p>
            <w:pPr>
              <w:pStyle w:val="TAC"/>
              <w:snapToGrid w:val="false"/>
              <w:spacing w:before="60" w:after="0"/>
              <w:rPr>
                <w:lang w:val="fr-FR" w:eastAsia="en-US"/>
              </w:rPr>
            </w:pPr>
            <w:r>
              <w:rPr>
                <w:lang w:val="fr-FR" w:eastAsia="en-US"/>
              </w:rPr>
            </w:r>
          </w:p>
        </w:tc>
        <w:tc>
          <w:tcPr>
            <w:tcW w:w="397" w:type="dxa"/>
            <w:tcBorders>
              <w:top w:val="single" w:sz="6" w:space="0" w:color="000000"/>
              <w:right w:val="single" w:sz="6" w:space="0" w:color="000000"/>
            </w:tcBorders>
          </w:tcPr>
          <w:p>
            <w:pPr>
              <w:pStyle w:val="TAC"/>
              <w:snapToGrid w:val="false"/>
              <w:spacing w:before="60" w:after="0"/>
              <w:rPr>
                <w:lang w:val="fr-FR" w:eastAsia="en-US"/>
              </w:rPr>
            </w:pPr>
            <w:r>
              <w:rPr>
                <w:lang w:val="fr-FR" w:eastAsia="en-US"/>
              </w:rPr>
            </w:r>
          </w:p>
        </w:tc>
        <w:tc>
          <w:tcPr>
            <w:tcW w:w="3119" w:type="dxa"/>
            <w:tcBorders/>
          </w:tcPr>
          <w:p>
            <w:pPr>
              <w:pStyle w:val="TAC"/>
              <w:snapToGrid w:val="false"/>
              <w:spacing w:before="60" w:after="0"/>
              <w:rPr>
                <w:lang w:val="fr-FR" w:eastAsia="en-US"/>
              </w:rPr>
            </w:pPr>
            <w:r>
              <w:rPr>
                <w:lang w:val="fr-FR" w:eastAsia="en-US"/>
              </w:rPr>
            </w:r>
          </w:p>
        </w:tc>
      </w:tr>
      <w:tr>
        <w:trPr/>
        <w:tc>
          <w:tcPr>
            <w:tcW w:w="709" w:type="dxa"/>
            <w:tcBorders/>
          </w:tcPr>
          <w:p>
            <w:pPr>
              <w:pStyle w:val="TAC"/>
              <w:spacing w:before="60" w:after="0"/>
              <w:rPr>
                <w:rFonts w:ascii="Courier New" w:hAnsi="Courier New" w:cs="Courier New"/>
                <w:lang w:val="fr-FR" w:eastAsia="en-US"/>
              </w:rPr>
            </w:pPr>
            <w:r>
              <w:rPr>
                <w:lang w:val="fr-FR" w:eastAsia="en-US"/>
              </w:rPr>
              <w:t>.</w:t>
            </w:r>
          </w:p>
        </w:tc>
        <w:tc>
          <w:tcPr>
            <w:tcW w:w="510" w:type="dxa"/>
            <w:tcBorders>
              <w:left w:val="single" w:sz="6" w:space="0" w:color="000000"/>
              <w:bottom w:val="single" w:sz="6" w:space="0" w:color="000000"/>
            </w:tcBorders>
          </w:tcPr>
          <w:p>
            <w:pPr>
              <w:pStyle w:val="TAC"/>
              <w:snapToGrid w:val="false"/>
              <w:spacing w:before="60" w:after="0"/>
              <w:rPr>
                <w:rFonts w:ascii="Courier New" w:hAnsi="Courier New" w:cs="Courier New"/>
                <w:lang w:val="fr-FR" w:eastAsia="en-US"/>
              </w:rPr>
            </w:pPr>
            <w:r>
              <w:rPr>
                <w:rFonts w:cs="Courier New" w:ascii="Courier New" w:hAnsi="Courier New"/>
                <w:lang w:val="fr-FR" w:eastAsia="en-US"/>
              </w:rPr>
            </w:r>
          </w:p>
        </w:tc>
        <w:tc>
          <w:tcPr>
            <w:tcW w:w="510" w:type="dxa"/>
            <w:tcBorders>
              <w:bottom w:val="single" w:sz="6" w:space="0" w:color="000000"/>
            </w:tcBorders>
          </w:tcPr>
          <w:p>
            <w:pPr>
              <w:pStyle w:val="TAC"/>
              <w:snapToGrid w:val="false"/>
              <w:spacing w:before="60" w:after="0"/>
              <w:rPr>
                <w:lang w:val="fr-FR" w:eastAsia="en-US"/>
              </w:rPr>
            </w:pPr>
            <w:r>
              <w:rPr>
                <w:lang w:val="fr-FR" w:eastAsia="en-US"/>
              </w:rPr>
            </w:r>
          </w:p>
        </w:tc>
        <w:tc>
          <w:tcPr>
            <w:tcW w:w="397" w:type="dxa"/>
            <w:tcBorders>
              <w:bottom w:val="single" w:sz="6" w:space="0" w:color="000000"/>
            </w:tcBorders>
          </w:tcPr>
          <w:p>
            <w:pPr>
              <w:pStyle w:val="TAC"/>
              <w:snapToGrid w:val="false"/>
              <w:spacing w:before="60" w:after="0"/>
              <w:rPr>
                <w:lang w:val="fr-FR" w:eastAsia="en-US"/>
              </w:rPr>
            </w:pPr>
            <w:r>
              <w:rPr>
                <w:lang w:val="fr-FR" w:eastAsia="en-US"/>
              </w:rPr>
            </w:r>
          </w:p>
        </w:tc>
        <w:tc>
          <w:tcPr>
            <w:tcW w:w="397" w:type="dxa"/>
            <w:tcBorders>
              <w:bottom w:val="single" w:sz="6" w:space="0" w:color="000000"/>
            </w:tcBorders>
          </w:tcPr>
          <w:p>
            <w:pPr>
              <w:pStyle w:val="TAC"/>
              <w:spacing w:before="60" w:after="0"/>
              <w:rPr>
                <w:lang w:val="fr-FR" w:eastAsia="en-US"/>
              </w:rPr>
            </w:pPr>
            <w:r>
              <w:rPr>
                <w:lang w:val="fr-FR" w:eastAsia="en-US"/>
              </w:rPr>
              <w:t>.</w:t>
            </w:r>
          </w:p>
        </w:tc>
        <w:tc>
          <w:tcPr>
            <w:tcW w:w="397" w:type="dxa"/>
            <w:tcBorders>
              <w:bottom w:val="single" w:sz="6" w:space="0" w:color="000000"/>
            </w:tcBorders>
          </w:tcPr>
          <w:p>
            <w:pPr>
              <w:pStyle w:val="TAC"/>
              <w:snapToGrid w:val="false"/>
              <w:spacing w:before="60" w:after="0"/>
              <w:rPr>
                <w:lang w:val="fr-FR" w:eastAsia="en-US"/>
              </w:rPr>
            </w:pPr>
            <w:r>
              <w:rPr>
                <w:lang w:val="fr-FR" w:eastAsia="en-US"/>
              </w:rPr>
            </w:r>
          </w:p>
        </w:tc>
        <w:tc>
          <w:tcPr>
            <w:tcW w:w="397" w:type="dxa"/>
            <w:tcBorders>
              <w:bottom w:val="single" w:sz="6" w:space="0" w:color="000000"/>
            </w:tcBorders>
          </w:tcPr>
          <w:p>
            <w:pPr>
              <w:pStyle w:val="TAC"/>
              <w:snapToGrid w:val="false"/>
              <w:spacing w:before="60" w:after="0"/>
              <w:rPr>
                <w:lang w:val="fr-FR" w:eastAsia="en-US"/>
              </w:rPr>
            </w:pPr>
            <w:r>
              <w:rPr>
                <w:lang w:val="fr-FR" w:eastAsia="en-US"/>
              </w:rPr>
            </w:r>
          </w:p>
        </w:tc>
        <w:tc>
          <w:tcPr>
            <w:tcW w:w="397" w:type="dxa"/>
            <w:tcBorders>
              <w:bottom w:val="single" w:sz="6" w:space="0" w:color="000000"/>
            </w:tcBorders>
          </w:tcPr>
          <w:p>
            <w:pPr>
              <w:pStyle w:val="TAC"/>
              <w:snapToGrid w:val="false"/>
              <w:spacing w:before="60" w:after="0"/>
              <w:rPr>
                <w:lang w:val="fr-FR" w:eastAsia="en-US"/>
              </w:rPr>
            </w:pPr>
            <w:r>
              <w:rPr>
                <w:lang w:val="fr-FR" w:eastAsia="en-US"/>
              </w:rPr>
            </w:r>
          </w:p>
        </w:tc>
        <w:tc>
          <w:tcPr>
            <w:tcW w:w="397" w:type="dxa"/>
            <w:tcBorders>
              <w:bottom w:val="single" w:sz="6" w:space="0" w:color="000000"/>
              <w:right w:val="single" w:sz="6" w:space="0" w:color="000000"/>
            </w:tcBorders>
          </w:tcPr>
          <w:p>
            <w:pPr>
              <w:pStyle w:val="TAC"/>
              <w:snapToGrid w:val="false"/>
              <w:spacing w:before="60" w:after="0"/>
              <w:rPr>
                <w:lang w:val="fr-FR" w:eastAsia="en-US"/>
              </w:rPr>
            </w:pPr>
            <w:r>
              <w:rPr>
                <w:lang w:val="fr-FR" w:eastAsia="en-US"/>
              </w:rPr>
            </w:r>
          </w:p>
        </w:tc>
        <w:tc>
          <w:tcPr>
            <w:tcW w:w="3119" w:type="dxa"/>
            <w:tcBorders/>
          </w:tcPr>
          <w:p>
            <w:pPr>
              <w:pStyle w:val="TAC"/>
              <w:snapToGrid w:val="false"/>
              <w:spacing w:before="60" w:after="0"/>
              <w:rPr>
                <w:lang w:val="fr-FR" w:eastAsia="en-US"/>
              </w:rPr>
            </w:pPr>
            <w:r>
              <w:rPr>
                <w:lang w:val="fr-FR" w:eastAsia="en-US"/>
              </w:rPr>
            </w:r>
          </w:p>
        </w:tc>
      </w:tr>
      <w:tr>
        <w:trPr/>
        <w:tc>
          <w:tcPr>
            <w:tcW w:w="709" w:type="dxa"/>
            <w:tcBorders/>
          </w:tcPr>
          <w:p>
            <w:pPr>
              <w:pStyle w:val="TAC"/>
              <w:spacing w:before="60" w:after="60"/>
              <w:rPr>
                <w:rFonts w:ascii="Courier New" w:hAnsi="Courier New" w:cs="Courier New"/>
                <w:lang w:val="fr-FR" w:eastAsia="en-US"/>
              </w:rPr>
            </w:pPr>
            <w:r>
              <w:rPr>
                <w:lang w:val="fr-FR" w:eastAsia="en-US"/>
              </w:rPr>
              <w:t>41</w:t>
            </w:r>
          </w:p>
        </w:tc>
        <w:tc>
          <w:tcPr>
            <w:tcW w:w="510" w:type="dxa"/>
            <w:tcBorders>
              <w:left w:val="single" w:sz="6" w:space="0" w:color="000000"/>
              <w:bottom w:val="single" w:sz="6" w:space="0" w:color="000000"/>
            </w:tcBorders>
          </w:tcPr>
          <w:p>
            <w:pPr>
              <w:pStyle w:val="TAC"/>
              <w:spacing w:before="60" w:after="60"/>
              <w:rPr>
                <w:lang w:val="fr-FR" w:eastAsia="en-US"/>
              </w:rPr>
            </w:pPr>
            <w:r>
              <w:rPr>
                <w:lang w:val="fr-FR" w:eastAsia="en-US"/>
              </w:rPr>
              <w:t>SA</w:t>
            </w:r>
          </w:p>
        </w:tc>
        <w:tc>
          <w:tcPr>
            <w:tcW w:w="510" w:type="dxa"/>
            <w:tcBorders>
              <w:bottom w:val="single" w:sz="6" w:space="0" w:color="000000"/>
            </w:tcBorders>
          </w:tcPr>
          <w:p>
            <w:pPr>
              <w:pStyle w:val="TAC"/>
              <w:spacing w:before="60" w:after="60"/>
              <w:rPr>
                <w:lang w:val="fr-FR" w:eastAsia="en-US"/>
              </w:rPr>
            </w:pPr>
            <w:r>
              <w:rPr>
                <w:lang w:val="fr-FR" w:eastAsia="en-US"/>
              </w:rPr>
              <w:t>SB</w:t>
            </w:r>
          </w:p>
        </w:tc>
        <w:tc>
          <w:tcPr>
            <w:tcW w:w="397" w:type="dxa"/>
            <w:tcBorders>
              <w:bottom w:val="single" w:sz="6" w:space="0" w:color="000000"/>
            </w:tcBorders>
          </w:tcPr>
          <w:p>
            <w:pPr>
              <w:pStyle w:val="TAC"/>
              <w:spacing w:before="60" w:after="60"/>
              <w:rPr>
                <w:lang w:eastAsia="en-US"/>
              </w:rPr>
            </w:pPr>
            <w:r>
              <w:rPr>
                <w:lang w:eastAsia="en-US"/>
              </w:rPr>
              <w:t>X</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napToGrid w:val="false"/>
              <w:spacing w:before="60" w:after="60"/>
              <w:rPr>
                <w:lang w:eastAsia="en-US"/>
              </w:rPr>
            </w:pPr>
            <w:r>
              <w:rPr>
                <w:lang w:eastAsia="en-US"/>
              </w:rPr>
            </w:r>
          </w:p>
        </w:tc>
      </w:tr>
      <w:tr>
        <w:trPr/>
        <w:tc>
          <w:tcPr>
            <w:tcW w:w="709" w:type="dxa"/>
            <w:tcBorders/>
          </w:tcPr>
          <w:p>
            <w:pPr>
              <w:pStyle w:val="TAC"/>
              <w:spacing w:before="60" w:after="60"/>
              <w:rPr>
                <w:rFonts w:ascii="Courier New" w:hAnsi="Courier New" w:cs="Courier New"/>
                <w:lang w:eastAsia="en-US"/>
              </w:rPr>
            </w:pPr>
            <w:r>
              <w:rPr>
                <w:lang w:eastAsia="en-US"/>
              </w:rPr>
              <w:t xml:space="preserve">42 </w:t>
            </w:r>
          </w:p>
        </w:tc>
        <w:tc>
          <w:tcPr>
            <w:tcW w:w="510" w:type="dxa"/>
            <w:tcBorders>
              <w:left w:val="single" w:sz="6" w:space="0" w:color="000000"/>
            </w:tcBorders>
          </w:tcPr>
          <w:p>
            <w:pPr>
              <w:pStyle w:val="TAC"/>
              <w:spacing w:before="60" w:after="60"/>
              <w:rPr>
                <w:lang w:eastAsia="en-US"/>
              </w:rPr>
            </w:pPr>
            <w:r>
              <w:rPr>
                <w:lang w:eastAsia="en-US"/>
              </w:rPr>
              <w:t>1</w:t>
            </w:r>
          </w:p>
        </w:tc>
        <w:tc>
          <w:tcPr>
            <w:tcW w:w="510" w:type="dxa"/>
            <w:tcBorders/>
          </w:tcPr>
          <w:p>
            <w:pPr>
              <w:pStyle w:val="TAC"/>
              <w:spacing w:before="60" w:after="60"/>
              <w:rPr>
                <w:lang w:eastAsia="en-US"/>
              </w:rPr>
            </w:pPr>
            <w:r>
              <w:rPr>
                <w:lang w:eastAsia="en-US"/>
              </w:rPr>
              <w:t>1</w:t>
            </w:r>
          </w:p>
        </w:tc>
        <w:tc>
          <w:tcPr>
            <w:tcW w:w="397" w:type="dxa"/>
            <w:tcBorders/>
          </w:tcPr>
          <w:p>
            <w:pPr>
              <w:pStyle w:val="TAC"/>
              <w:spacing w:before="60" w:after="60"/>
              <w:rPr>
                <w:lang w:eastAsia="en-US"/>
              </w:rPr>
            </w:pPr>
            <w:r>
              <w:rPr>
                <w:lang w:eastAsia="en-US"/>
              </w:rPr>
              <w:t>0</w:t>
            </w:r>
          </w:p>
        </w:tc>
        <w:tc>
          <w:tcPr>
            <w:tcW w:w="397" w:type="dxa"/>
            <w:tcBorders/>
          </w:tcPr>
          <w:p>
            <w:pPr>
              <w:pStyle w:val="TAC"/>
              <w:spacing w:before="60" w:after="60"/>
              <w:rPr>
                <w:lang w:eastAsia="en-US"/>
              </w:rPr>
            </w:pPr>
            <w:r>
              <w:rPr>
                <w:lang w:eastAsia="en-US"/>
              </w:rPr>
              <w:t>0</w:t>
            </w:r>
          </w:p>
        </w:tc>
        <w:tc>
          <w:tcPr>
            <w:tcW w:w="397" w:type="dxa"/>
            <w:tcBorders/>
          </w:tcPr>
          <w:p>
            <w:pPr>
              <w:pStyle w:val="TAC"/>
              <w:spacing w:before="60" w:after="60"/>
              <w:rPr>
                <w:lang w:eastAsia="en-US"/>
              </w:rPr>
            </w:pPr>
            <w:r>
              <w:rPr>
                <w:lang w:eastAsia="en-US"/>
              </w:rPr>
              <w:t>1</w:t>
            </w:r>
          </w:p>
        </w:tc>
        <w:tc>
          <w:tcPr>
            <w:tcW w:w="397" w:type="dxa"/>
            <w:tcBorders/>
          </w:tcPr>
          <w:p>
            <w:pPr>
              <w:pStyle w:val="TAC"/>
              <w:spacing w:before="60" w:after="60"/>
              <w:rPr>
                <w:lang w:eastAsia="en-US"/>
              </w:rPr>
            </w:pPr>
            <w:r>
              <w:rPr>
                <w:lang w:eastAsia="en-US"/>
              </w:rPr>
              <w:t>1</w:t>
            </w:r>
          </w:p>
        </w:tc>
        <w:tc>
          <w:tcPr>
            <w:tcW w:w="397" w:type="dxa"/>
            <w:tcBorders/>
          </w:tcPr>
          <w:p>
            <w:pPr>
              <w:pStyle w:val="TAC"/>
              <w:spacing w:before="60" w:after="60"/>
              <w:rPr>
                <w:lang w:eastAsia="en-US"/>
              </w:rPr>
            </w:pPr>
            <w:r>
              <w:rPr>
                <w:lang w:eastAsia="en-US"/>
              </w:rPr>
              <w:t>0</w:t>
            </w:r>
          </w:p>
        </w:tc>
        <w:tc>
          <w:tcPr>
            <w:tcW w:w="397" w:type="dxa"/>
            <w:tcBorders>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"K" (odd parity)</w:t>
            </w:r>
          </w:p>
        </w:tc>
      </w:tr>
      <w:tr>
        <w:trPr/>
        <w:tc>
          <w:tcPr>
            <w:tcW w:w="709" w:type="dxa"/>
            <w:tcBorders/>
          </w:tcPr>
          <w:p>
            <w:pPr>
              <w:pStyle w:val="TAC"/>
              <w:spacing w:before="60" w:after="60"/>
              <w:rPr>
                <w:lang w:val="fr-FR" w:eastAsia="en-US"/>
              </w:rPr>
            </w:pPr>
            <w:r>
              <w:rPr>
                <w:lang w:val="fr-FR" w:eastAsia="en-US"/>
              </w:rPr>
              <w:t>43</w:t>
            </w:r>
          </w:p>
        </w:tc>
        <w:tc>
          <w:tcPr>
            <w:tcW w:w="510" w:type="dxa"/>
            <w:tcBorders>
              <w:top w:val="single" w:sz="6" w:space="0" w:color="000000"/>
              <w:left w:val="single" w:sz="6" w:space="0" w:color="000000"/>
              <w:bottom w:val="single" w:sz="6" w:space="0" w:color="000000"/>
            </w:tcBorders>
          </w:tcPr>
          <w:p>
            <w:pPr>
              <w:pStyle w:val="TAC"/>
              <w:spacing w:before="60" w:after="60"/>
              <w:rPr>
                <w:lang w:val="fr-FR" w:eastAsia="en-US"/>
              </w:rPr>
            </w:pPr>
            <w:r>
              <w:rPr>
                <w:lang w:val="fr-FR" w:eastAsia="en-US"/>
              </w:rPr>
              <w:t>SA</w:t>
            </w:r>
          </w:p>
        </w:tc>
        <w:tc>
          <w:tcPr>
            <w:tcW w:w="510" w:type="dxa"/>
            <w:tcBorders>
              <w:top w:val="single" w:sz="6" w:space="0" w:color="000000"/>
              <w:bottom w:val="single" w:sz="6" w:space="0" w:color="000000"/>
            </w:tcBorders>
          </w:tcPr>
          <w:p>
            <w:pPr>
              <w:pStyle w:val="TAC"/>
              <w:spacing w:before="60" w:after="60"/>
              <w:rPr>
                <w:lang w:val="fr-FR" w:eastAsia="en-US"/>
              </w:rPr>
            </w:pPr>
            <w:r>
              <w:rPr>
                <w:lang w:val="fr-FR" w:eastAsia="en-US"/>
              </w:rPr>
              <w:t>SB</w:t>
            </w:r>
          </w:p>
        </w:tc>
        <w:tc>
          <w:tcPr>
            <w:tcW w:w="397" w:type="dxa"/>
            <w:tcBorders>
              <w:top w:val="single" w:sz="6" w:space="0" w:color="000000"/>
              <w:bottom w:val="single" w:sz="6" w:space="0" w:color="000000"/>
            </w:tcBorders>
          </w:tcPr>
          <w:p>
            <w:pPr>
              <w:pStyle w:val="TAC"/>
              <w:spacing w:before="60" w:after="60"/>
              <w:rPr>
                <w:lang w:val="fr-FR" w:eastAsia="en-US"/>
              </w:rPr>
            </w:pPr>
            <w:r>
              <w:rPr>
                <w:lang w:val="fr-FR" w:eastAsia="en-US"/>
              </w:rPr>
              <w:t>X</w:t>
            </w:r>
          </w:p>
        </w:tc>
        <w:tc>
          <w:tcPr>
            <w:tcW w:w="397" w:type="dxa"/>
            <w:tcBorders>
              <w:top w:val="single" w:sz="6" w:space="0" w:color="000000"/>
              <w:bottom w:val="single" w:sz="6" w:space="0" w:color="000000"/>
            </w:tcBorders>
          </w:tcPr>
          <w:p>
            <w:pPr>
              <w:pStyle w:val="TAC"/>
              <w:spacing w:before="60" w:after="60"/>
              <w:rPr>
                <w:lang w:eastAsia="en-US"/>
              </w:rPr>
            </w:pPr>
            <w:r>
              <w:rPr>
                <w:lang w:eastAsia="en-US"/>
              </w:rPr>
              <w:t>1</w:t>
            </w:r>
          </w:p>
        </w:tc>
        <w:tc>
          <w:tcPr>
            <w:tcW w:w="397" w:type="dxa"/>
            <w:tcBorders>
              <w:top w:val="single" w:sz="6" w:space="0" w:color="000000"/>
              <w:bottom w:val="single" w:sz="6" w:space="0" w:color="000000"/>
            </w:tcBorders>
          </w:tcPr>
          <w:p>
            <w:pPr>
              <w:pStyle w:val="TAC"/>
              <w:spacing w:before="60" w:after="60"/>
              <w:rPr>
                <w:lang w:eastAsia="en-US"/>
              </w:rPr>
            </w:pPr>
            <w:r>
              <w:rPr>
                <w:lang w:eastAsia="en-US"/>
              </w:rPr>
              <w:t>1</w:t>
            </w:r>
          </w:p>
        </w:tc>
        <w:tc>
          <w:tcPr>
            <w:tcW w:w="397" w:type="dxa"/>
            <w:tcBorders>
              <w:top w:val="single" w:sz="6" w:space="0" w:color="000000"/>
              <w:bottom w:val="single" w:sz="6" w:space="0" w:color="000000"/>
            </w:tcBorders>
          </w:tcPr>
          <w:p>
            <w:pPr>
              <w:pStyle w:val="TAC"/>
              <w:spacing w:before="60" w:after="60"/>
              <w:rPr>
                <w:lang w:eastAsia="en-US"/>
              </w:rPr>
            </w:pPr>
            <w:r>
              <w:rPr>
                <w:lang w:eastAsia="en-US"/>
              </w:rPr>
              <w:t>1</w:t>
            </w:r>
          </w:p>
        </w:tc>
        <w:tc>
          <w:tcPr>
            <w:tcW w:w="397" w:type="dxa"/>
            <w:tcBorders>
              <w:top w:val="single" w:sz="6" w:space="0" w:color="000000"/>
              <w:bottom w:val="single" w:sz="6" w:space="0" w:color="000000"/>
            </w:tcBorders>
          </w:tcPr>
          <w:p>
            <w:pPr>
              <w:pStyle w:val="TAC"/>
              <w:spacing w:before="60" w:after="60"/>
              <w:rPr>
                <w:lang w:eastAsia="en-US"/>
              </w:rPr>
            </w:pPr>
            <w:r>
              <w:rPr>
                <w:lang w:eastAsia="en-US"/>
              </w:rPr>
              <w:t>1</w:t>
            </w:r>
          </w:p>
        </w:tc>
        <w:tc>
          <w:tcPr>
            <w:tcW w:w="397" w:type="dxa"/>
            <w:tcBorders>
              <w:top w:val="single" w:sz="6" w:space="0" w:color="000000"/>
              <w:bottom w:val="single" w:sz="6" w:space="0" w:color="000000"/>
              <w:right w:val="single" w:sz="6" w:space="0" w:color="000000"/>
            </w:tcBorders>
          </w:tcPr>
          <w:p>
            <w:pPr>
              <w:pStyle w:val="TAC"/>
              <w:spacing w:before="60" w:after="60"/>
              <w:rPr>
                <w:lang w:eastAsia="en-US"/>
              </w:rPr>
            </w:pPr>
            <w:r>
              <w:rPr>
                <w:lang w:eastAsia="en-US"/>
              </w:rPr>
              <w:t>0</w:t>
            </w:r>
          </w:p>
        </w:tc>
        <w:tc>
          <w:tcPr>
            <w:tcW w:w="3119" w:type="dxa"/>
            <w:tcBorders/>
          </w:tcPr>
          <w:p>
            <w:pPr>
              <w:pStyle w:val="TAC"/>
              <w:snapToGrid w:val="false"/>
              <w:spacing w:before="60" w:after="60"/>
              <w:rPr>
                <w:lang w:eastAsia="en-US"/>
              </w:rPr>
            </w:pPr>
            <w:r>
              <w:rPr>
                <w:lang w:eastAsia="en-US"/>
              </w:rPr>
            </w:r>
          </w:p>
        </w:tc>
      </w:tr>
      <w:tr>
        <w:trPr/>
        <w:tc>
          <w:tcPr>
            <w:tcW w:w="709" w:type="dxa"/>
            <w:tcBorders/>
          </w:tcPr>
          <w:p>
            <w:pPr>
              <w:pStyle w:val="TAC"/>
              <w:spacing w:before="60" w:after="0"/>
              <w:rPr>
                <w:lang w:eastAsia="en-US"/>
              </w:rPr>
            </w:pPr>
            <w:r>
              <w:rPr>
                <w:lang w:eastAsia="en-US"/>
              </w:rPr>
              <w:t>.</w:t>
            </w:r>
          </w:p>
        </w:tc>
        <w:tc>
          <w:tcPr>
            <w:tcW w:w="510" w:type="dxa"/>
            <w:tcBorders>
              <w:left w:val="single" w:sz="6" w:space="0" w:color="000000"/>
            </w:tcBorders>
          </w:tcPr>
          <w:p>
            <w:pPr>
              <w:pStyle w:val="TAC"/>
              <w:snapToGrid w:val="false"/>
              <w:spacing w:before="60" w:after="0"/>
              <w:rPr>
                <w:lang w:eastAsia="en-US"/>
              </w:rPr>
            </w:pPr>
            <w:r>
              <w:rPr>
                <w:lang w:eastAsia="en-US"/>
              </w:rPr>
            </w:r>
          </w:p>
        </w:tc>
        <w:tc>
          <w:tcPr>
            <w:tcW w:w="510"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pacing w:before="60" w:after="0"/>
              <w:rPr>
                <w:lang w:eastAsia="en-US"/>
              </w:rPr>
            </w:pPr>
            <w:r>
              <w:rPr>
                <w:lang w:eastAsia="en-US"/>
              </w:rPr>
              <w:t>.</w:t>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tcPr>
          <w:p>
            <w:pPr>
              <w:pStyle w:val="TAC"/>
              <w:snapToGrid w:val="false"/>
              <w:spacing w:before="60" w:after="0"/>
              <w:rPr>
                <w:lang w:eastAsia="en-US"/>
              </w:rPr>
            </w:pPr>
            <w:r>
              <w:rPr>
                <w:lang w:eastAsia="en-US"/>
              </w:rPr>
            </w:r>
          </w:p>
        </w:tc>
        <w:tc>
          <w:tcPr>
            <w:tcW w:w="397" w:type="dxa"/>
            <w:tcBorders>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0"/>
              <w:rPr>
                <w:lang w:eastAsia="en-US"/>
              </w:rPr>
            </w:pPr>
            <w:r>
              <w:rPr>
                <w:lang w:eastAsia="en-US"/>
              </w:rPr>
              <w:t>.</w:t>
            </w:r>
          </w:p>
        </w:tc>
        <w:tc>
          <w:tcPr>
            <w:tcW w:w="510" w:type="dxa"/>
            <w:tcBorders>
              <w:left w:val="single" w:sz="6" w:space="0" w:color="000000"/>
              <w:bottom w:val="single" w:sz="6" w:space="0" w:color="000000"/>
            </w:tcBorders>
          </w:tcPr>
          <w:p>
            <w:pPr>
              <w:pStyle w:val="TAC"/>
              <w:snapToGrid w:val="false"/>
              <w:spacing w:before="60" w:after="0"/>
              <w:rPr>
                <w:lang w:eastAsia="en-US"/>
              </w:rPr>
            </w:pPr>
            <w:r>
              <w:rPr>
                <w:lang w:eastAsia="en-US"/>
              </w:rPr>
            </w:r>
          </w:p>
        </w:tc>
        <w:tc>
          <w:tcPr>
            <w:tcW w:w="510"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pacing w:before="60" w:after="0"/>
              <w:rPr>
                <w:lang w:eastAsia="en-US"/>
              </w:rPr>
            </w:pPr>
            <w:r>
              <w:rPr>
                <w:lang w:eastAsia="en-US"/>
              </w:rPr>
              <w:t>.</w:t>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tcBorders>
          </w:tcPr>
          <w:p>
            <w:pPr>
              <w:pStyle w:val="TAC"/>
              <w:snapToGrid w:val="false"/>
              <w:spacing w:before="60" w:after="0"/>
              <w:rPr>
                <w:lang w:eastAsia="en-US"/>
              </w:rPr>
            </w:pPr>
            <w:r>
              <w:rPr>
                <w:lang w:eastAsia="en-US"/>
              </w:rPr>
            </w:r>
          </w:p>
        </w:tc>
        <w:tc>
          <w:tcPr>
            <w:tcW w:w="397" w:type="dxa"/>
            <w:tcBorders>
              <w:bottom w:val="single" w:sz="6" w:space="0" w:color="000000"/>
              <w:right w:val="single" w:sz="6" w:space="0" w:color="000000"/>
            </w:tcBorders>
          </w:tcPr>
          <w:p>
            <w:pPr>
              <w:pStyle w:val="TAC"/>
              <w:snapToGrid w:val="false"/>
              <w:spacing w:before="60" w:after="0"/>
              <w:rPr>
                <w:lang w:eastAsia="en-US"/>
              </w:rPr>
            </w:pPr>
            <w:r>
              <w:rPr>
                <w:lang w:eastAsia="en-US"/>
              </w:rPr>
            </w:r>
          </w:p>
        </w:tc>
        <w:tc>
          <w:tcPr>
            <w:tcW w:w="3119" w:type="dxa"/>
            <w:tcBorders/>
          </w:tcPr>
          <w:p>
            <w:pPr>
              <w:pStyle w:val="TAC"/>
              <w:snapToGrid w:val="false"/>
              <w:spacing w:before="60" w:after="0"/>
              <w:rPr>
                <w:lang w:eastAsia="en-US"/>
              </w:rPr>
            </w:pPr>
            <w:r>
              <w:rPr>
                <w:lang w:eastAsia="en-US"/>
              </w:rPr>
            </w:r>
          </w:p>
        </w:tc>
      </w:tr>
      <w:tr>
        <w:trPr/>
        <w:tc>
          <w:tcPr>
            <w:tcW w:w="709" w:type="dxa"/>
            <w:tcBorders/>
          </w:tcPr>
          <w:p>
            <w:pPr>
              <w:pStyle w:val="TAC"/>
              <w:spacing w:before="60" w:after="60"/>
              <w:rPr>
                <w:lang w:eastAsia="en-US"/>
              </w:rPr>
            </w:pPr>
            <w:r>
              <w:rPr>
                <w:lang w:eastAsia="en-US"/>
              </w:rPr>
              <w:t>65</w:t>
            </w:r>
          </w:p>
        </w:tc>
        <w:tc>
          <w:tcPr>
            <w:tcW w:w="510" w:type="dxa"/>
            <w:tcBorders>
              <w:left w:val="single" w:sz="6" w:space="0" w:color="000000"/>
              <w:bottom w:val="single" w:sz="6" w:space="0" w:color="000000"/>
            </w:tcBorders>
          </w:tcPr>
          <w:p>
            <w:pPr>
              <w:pStyle w:val="TAC"/>
              <w:spacing w:before="60" w:after="60"/>
              <w:rPr>
                <w:lang w:eastAsia="en-US"/>
              </w:rPr>
            </w:pPr>
            <w:r>
              <w:rPr>
                <w:lang w:eastAsia="en-US"/>
              </w:rPr>
              <w:t>1</w:t>
            </w:r>
          </w:p>
        </w:tc>
        <w:tc>
          <w:tcPr>
            <w:tcW w:w="510"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0</w:t>
            </w:r>
          </w:p>
        </w:tc>
        <w:tc>
          <w:tcPr>
            <w:tcW w:w="397"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tcBorders>
          </w:tcPr>
          <w:p>
            <w:pPr>
              <w:pStyle w:val="TAC"/>
              <w:spacing w:before="60" w:after="60"/>
              <w:rPr>
                <w:lang w:eastAsia="en-US"/>
              </w:rPr>
            </w:pPr>
            <w:r>
              <w:rPr>
                <w:lang w:eastAsia="en-US"/>
              </w:rPr>
              <w:t>1</w:t>
            </w:r>
          </w:p>
        </w:tc>
        <w:tc>
          <w:tcPr>
            <w:tcW w:w="397" w:type="dxa"/>
            <w:tcBorders>
              <w:bottom w:val="single" w:sz="6" w:space="0" w:color="000000"/>
              <w:right w:val="single" w:sz="6" w:space="0" w:color="000000"/>
            </w:tcBorders>
          </w:tcPr>
          <w:p>
            <w:pPr>
              <w:pStyle w:val="TAC"/>
              <w:spacing w:before="60" w:after="60"/>
              <w:rPr>
                <w:lang w:eastAsia="en-US"/>
              </w:rPr>
            </w:pPr>
            <w:r>
              <w:rPr>
                <w:lang w:eastAsia="en-US"/>
              </w:rPr>
              <w:t>1</w:t>
            </w:r>
          </w:p>
        </w:tc>
        <w:tc>
          <w:tcPr>
            <w:tcW w:w="3119" w:type="dxa"/>
            <w:tcBorders/>
          </w:tcPr>
          <w:p>
            <w:pPr>
              <w:pStyle w:val="TAC"/>
              <w:spacing w:before="60" w:after="60"/>
              <w:rPr>
                <w:lang w:eastAsia="en-US"/>
              </w:rPr>
            </w:pPr>
            <w:r>
              <w:rPr>
                <w:lang w:eastAsia="en-US"/>
              </w:rPr>
              <w:t>IA5 "O" (odd parity)</w:t>
            </w:r>
          </w:p>
        </w:tc>
      </w:tr>
    </w:tbl>
    <w:p>
      <w:pPr>
        <w:pStyle w:val="FP"/>
        <w:keepNext w:val="true"/>
        <w:rPr/>
      </w:pPr>
      <w:r>
        <w:rPr/>
      </w:r>
    </w:p>
    <w:p>
      <w:pPr>
        <w:pStyle w:val="TF"/>
        <w:rPr/>
      </w:pPr>
      <w:r>
        <w:rPr/>
        <w:t>Figure 2c: A 66-octet RLP L2RCOP PDU with status octets separated by more than 23 octets</w:t>
      </w:r>
    </w:p>
    <w:p>
      <w:pPr>
        <w:pStyle w:val="Heading1"/>
        <w:ind w:left="1134" w:hanging="1134"/>
        <w:rPr/>
      </w:pPr>
      <w:bookmarkStart w:id="53" w:name="__RefHeading___Toc217240220"/>
      <w:bookmarkEnd w:id="53"/>
      <w:r>
        <w:rPr/>
        <w:t>A.3</w:t>
        <w:tab/>
        <w:t>Use of the L2RCOP</w:t>
      </w:r>
    </w:p>
    <w:p>
      <w:pPr>
        <w:pStyle w:val="Normal"/>
        <w:rPr/>
      </w:pPr>
      <w:r>
        <w:rPr/>
        <w:t>The CORE relays status changes, break conditions and characters in both directions between the CONTP entity and the L2RCOP entity.</w:t>
      </w:r>
    </w:p>
    <w:p>
      <w:pPr>
        <w:pStyle w:val="Normal"/>
        <w:rPr/>
      </w:pPr>
      <w:r>
        <w:rPr/>
        <w:t>The L2RCOP entity performs the following functions.</w:t>
      </w:r>
    </w:p>
    <w:p>
      <w:pPr>
        <w:pStyle w:val="Heading2H2"/>
        <w:rPr/>
      </w:pPr>
      <w:bookmarkStart w:id="54" w:name="__RefHeading___Toc217240221"/>
      <w:bookmarkEnd w:id="54"/>
      <w:r>
        <w:rPr/>
        <w:t>A.3.1</w:t>
        <w:tab/>
        <w:t>Radio Link Connection Control</w:t>
      </w:r>
    </w:p>
    <w:p>
      <w:pPr>
        <w:pStyle w:val="Normal"/>
        <w:rPr/>
      </w:pPr>
      <w:r>
        <w:rPr/>
        <w:t>Given appropriate indications from the signalling mechanisms the L2RCOP entity uses the services of the radio link to establish and release the connection to its peer L2RCOP entity in the IWF.</w:t>
      </w:r>
    </w:p>
    <w:p>
      <w:pPr>
        <w:pStyle w:val="Heading2H2"/>
        <w:rPr/>
      </w:pPr>
      <w:bookmarkStart w:id="55" w:name="__RefHeading___Toc217240222"/>
      <w:bookmarkEnd w:id="55"/>
      <w:r>
        <w:rPr/>
        <w:t>A.3.2</w:t>
        <w:tab/>
        <w:t>Data Transfer</w:t>
      </w:r>
    </w:p>
    <w:p>
      <w:pPr>
        <w:pStyle w:val="Normal"/>
        <w:rPr/>
      </w:pPr>
      <w:r>
        <w:rPr/>
        <w:t>The L2RCOP entity shall assemble and disassemble L2RCOP</w:t>
        <w:noBreakHyphen/>
        <w:t>PDUs. Data characters are assembled into L2RCOP</w:t>
        <w:noBreakHyphen/>
        <w:t>PDUs until either:</w:t>
      </w:r>
    </w:p>
    <w:p>
      <w:pPr>
        <w:pStyle w:val="B1"/>
        <w:rPr/>
      </w:pPr>
      <w:r>
        <w:rPr/>
        <w:noBreakHyphen/>
      </w:r>
      <w:r>
        <w:rPr/>
        <w:tab/>
        <w:t>the PDU is full;</w:t>
      </w:r>
    </w:p>
    <w:p>
      <w:pPr>
        <w:pStyle w:val="B1"/>
        <w:rPr/>
      </w:pPr>
      <w:r>
        <w:rPr/>
        <w:noBreakHyphen/>
      </w:r>
      <w:r>
        <w:rPr/>
        <w:tab/>
        <w:t>the Radio Link service can accept another Radio Link service Data Unit.</w:t>
      </w:r>
    </w:p>
    <w:p>
      <w:pPr>
        <w:pStyle w:val="Normal"/>
        <w:rPr/>
      </w:pPr>
      <w:r>
        <w:rPr/>
        <w:t>L2RCOP</w:t>
        <w:noBreakHyphen/>
        <w:t>PDUs are transferred to the peer L2RCOP entity using the data transfer services of the radio link.</w:t>
      </w:r>
    </w:p>
    <w:p>
      <w:pPr>
        <w:pStyle w:val="Heading2H2"/>
        <w:rPr/>
      </w:pPr>
      <w:bookmarkStart w:id="56" w:name="__RefHeading___Toc217240223"/>
      <w:bookmarkEnd w:id="56"/>
      <w:r>
        <w:rPr/>
        <w:t>A.3.3</w:t>
        <w:tab/>
        <w:t>Status Transfer</w:t>
      </w:r>
    </w:p>
    <w:p>
      <w:pPr>
        <w:pStyle w:val="Normal"/>
        <w:rPr/>
      </w:pPr>
      <w:r>
        <w:rPr/>
        <w:t>The L2RCOP entity transfers interface status information between L2Rs using bits SA, SB and X in the status octets in L2RCOP</w:t>
        <w:noBreakHyphen/>
        <w:t>PDUs. Status changes are inserted in the L2RCOP</w:t>
        <w:noBreakHyphen/>
        <w:t>PDU in the position corresponding to the position in the character stream that the interface status change occurred. When the RLP is established or reset a L2RCOP</w:t>
        <w:noBreakHyphen/>
        <w:t>PDU with the current status values shall be sent.</w:t>
      </w:r>
    </w:p>
    <w:p>
      <w:pPr>
        <w:pStyle w:val="Normal"/>
        <w:rPr/>
      </w:pPr>
      <w:r>
        <w:rPr/>
        <w:t>The general mapping between ITU-T V.24 [19] interface circuit numbers and status bits is described in annex C. A binary 0 corresponds to the ON condition, a binary 1 to the OFF condition. The specific mapping at the MT for the non</w:t>
        <w:noBreakHyphen/>
        <w:t>transparent bearer service is given in subclause 4.2.1. The mapping schemes used at the IWF are given in 3GPP TS 29.007 [13].</w:t>
      </w:r>
    </w:p>
    <w:p>
      <w:pPr>
        <w:pStyle w:val="Heading2H2"/>
        <w:rPr/>
      </w:pPr>
      <w:bookmarkStart w:id="57" w:name="__RefHeading___Toc217240224"/>
      <w:bookmarkEnd w:id="57"/>
      <w:r>
        <w:rPr/>
        <w:t>A.3.4</w:t>
        <w:tab/>
        <w:t>Flow Control</w:t>
      </w:r>
    </w:p>
    <w:p>
      <w:pPr>
        <w:pStyle w:val="Normal"/>
        <w:rPr/>
      </w:pPr>
      <w:r>
        <w:rPr/>
        <w:t>Flow control information is transferred between L2Rs in 2 ways, these are:</w:t>
      </w:r>
    </w:p>
    <w:p>
      <w:pPr>
        <w:pStyle w:val="B1"/>
        <w:rPr/>
      </w:pPr>
      <w:r>
        <w:rPr/>
        <w:noBreakHyphen/>
      </w:r>
      <w:r>
        <w:rPr/>
        <w:tab/>
        <w:t>back pressure caused by L2R buffer conditions.</w:t>
      </w:r>
    </w:p>
    <w:p>
      <w:pPr>
        <w:pStyle w:val="B1"/>
        <w:rPr/>
      </w:pPr>
      <w:r>
        <w:rPr/>
        <w:noBreakHyphen/>
      </w:r>
      <w:r>
        <w:rPr/>
        <w:tab/>
        <w:t>use of the X</w:t>
        <w:noBreakHyphen/>
        <w:t>bit in status octets:</w:t>
      </w:r>
    </w:p>
    <w:p>
      <w:pPr>
        <w:pStyle w:val="B2"/>
        <w:rPr/>
      </w:pPr>
      <w:r>
        <w:rPr/>
        <w:noBreakHyphen/>
      </w:r>
      <w:r>
        <w:rPr/>
        <w:tab/>
        <w:t>flow control active,   X</w:t>
        <w:noBreakHyphen/>
        <w:t>bit = ONE.</w:t>
      </w:r>
    </w:p>
    <w:p>
      <w:pPr>
        <w:pStyle w:val="B2"/>
        <w:rPr/>
      </w:pPr>
      <w:r>
        <w:rPr/>
        <w:noBreakHyphen/>
      </w:r>
      <w:r>
        <w:rPr/>
        <w:tab/>
        <w:t>flow control inactive, X</w:t>
        <w:noBreakHyphen/>
        <w:t>bit = ZERO.</w:t>
      </w:r>
    </w:p>
    <w:p>
      <w:pPr>
        <w:pStyle w:val="Heading2H2"/>
        <w:rPr/>
      </w:pPr>
      <w:bookmarkStart w:id="58" w:name="__RefHeading___Toc217240225"/>
      <w:bookmarkEnd w:id="58"/>
      <w:r>
        <w:rPr/>
        <w:t>A.3.5</w:t>
        <w:tab/>
        <w:t>Break</w:t>
      </w:r>
    </w:p>
    <w:p>
      <w:pPr>
        <w:pStyle w:val="Normal"/>
        <w:rPr/>
      </w:pPr>
      <w:r>
        <w:rPr/>
        <w:t>The transfer of break conditions between L2Rs is via the status octets with appropriate coding of the address field. Where the "Break Signal" is generated it shall conform to the definition shown in ITU-T  Recommendation X.28 [28].</w:t>
      </w:r>
    </w:p>
    <w:p>
      <w:pPr>
        <w:pStyle w:val="Heading3"/>
        <w:rPr/>
      </w:pPr>
      <w:bookmarkStart w:id="59" w:name="__RefHeading___Toc217240226"/>
      <w:bookmarkEnd w:id="59"/>
      <w:r>
        <w:rPr/>
        <w:t>A.3.5.1</w:t>
        <w:tab/>
        <w:t>Normal Realization</w:t>
      </w:r>
    </w:p>
    <w:p>
      <w:pPr>
        <w:pStyle w:val="Normal"/>
        <w:rPr/>
      </w:pPr>
      <w:r>
        <w:rPr/>
        <w:t>The L2RCOP</w:t>
        <w:noBreakHyphen/>
        <w:t>PDU contains the mandatory status octet coded as the Destructive Break.</w:t>
      </w:r>
    </w:p>
    <w:p>
      <w:pPr>
        <w:pStyle w:val="Normal"/>
        <w:rPr/>
      </w:pPr>
      <w:r>
        <w:rPr/>
        <w:t>Upon the receipt of the "Break Signal", the L2R shall destroy any existing data in front of the Break Signal in the same direction, and all the buffered data in the other direction. The L2R shall then pass the Break Signal immediately on.</w:t>
      </w:r>
    </w:p>
    <w:p>
      <w:pPr>
        <w:pStyle w:val="Normal"/>
        <w:rPr/>
      </w:pPr>
      <w:r>
        <w:rPr/>
        <w:t>The termination of a break condition is indicated by sending an L2RCOP</w:t>
        <w:noBreakHyphen/>
        <w:t>PDU containing characters.</w:t>
      </w:r>
    </w:p>
    <w:p>
      <w:pPr>
        <w:pStyle w:val="Heading3"/>
        <w:rPr/>
      </w:pPr>
      <w:bookmarkStart w:id="60" w:name="__RefHeading___Toc217240227"/>
      <w:bookmarkEnd w:id="60"/>
      <w:r>
        <w:rPr/>
        <w:t>A.3.5.2</w:t>
        <w:tab/>
        <w:t>Realization in case of Data Compression is used</w:t>
      </w:r>
    </w:p>
    <w:p>
      <w:pPr>
        <w:pStyle w:val="Normal"/>
        <w:rPr/>
      </w:pPr>
      <w:r>
        <w:rPr/>
        <w:t>If the data compression function is used L2RCOP has to ensure the synchronization of the encoder and decoder according to ITU</w:t>
        <w:noBreakHyphen/>
        <w:t>T Recommendation V.42bis [26].</w:t>
      </w:r>
    </w:p>
    <w:p>
      <w:pPr>
        <w:pStyle w:val="Normal"/>
        <w:rPr/>
      </w:pPr>
      <w:r>
        <w:rPr/>
        <w:t>Upon receipt of a L2RCOP</w:t>
        <w:noBreakHyphen/>
        <w:t>PDU containing a status octet that signals a Destructive Break L2R destroys all data in the TX and RX buffer and re</w:t>
        <w:noBreakHyphen/>
        <w:t>initializes the compression function. Then L2R shall transmit an L2RCOP</w:t>
        <w:noBreakHyphen/>
        <w:t>PDU that contains the mandatory status octet coded as the Destructive Break Acknowledge. After that L2R shall restart the data transfer.</w:t>
      </w:r>
    </w:p>
    <w:p>
      <w:pPr>
        <w:pStyle w:val="Normal"/>
        <w:rPr/>
      </w:pPr>
      <w:r>
        <w:rPr/>
        <w:t>Upon an receipt of the "Break Signal" by the CONTP, the L2R destroys any existing data in the TX and RX buffer and shall then pass the Break Signal immediately by using L2RCOP</w:t>
        <w:noBreakHyphen/>
        <w:t>PDU containing a status octet coded as the Destructive Break. L2R shall wait for a L2RCOP</w:t>
        <w:noBreakHyphen/>
        <w:t>PDU containing a mandatory status octet coded as Destructive Break Acknowledge. Following data received by the CONTP shall be stored in the TX buffer. Data received in L2RCOP</w:t>
        <w:noBreakHyphen/>
        <w:t>PDUs shall be discarded. After reception of the L2RCOP</w:t>
        <w:noBreakHyphen/>
        <w:t>PDU containing a mandatory status octet coded as Destructive Break Acknowledge L2R shall re</w:t>
        <w:noBreakHyphen/>
        <w:t>initialize the data compression function and restart the data transfer.</w:t>
      </w:r>
      <w:r>
        <w:br w:type="page"/>
      </w:r>
    </w:p>
    <w:p>
      <w:pPr>
        <w:pStyle w:val="Heading8"/>
        <w:ind w:left="0" w:hanging="0"/>
        <w:rPr/>
      </w:pPr>
      <w:bookmarkStart w:id="61" w:name="__RefHeading___Toc217240228"/>
      <w:bookmarkEnd w:id="61"/>
      <w:r>
        <w:rPr/>
        <w:t>Annex B (informative):</w:t>
        <w:br/>
        <w:t>Use of a 9 pin connector as an MT2 type interface</w:t>
      </w:r>
    </w:p>
    <w:p>
      <w:pPr>
        <w:pStyle w:val="Normal"/>
        <w:rPr/>
      </w:pPr>
      <w:r>
        <w:rPr/>
        <w:t>For asynchronous data communications many of the physical pins on a standard 25 pin D</w:t>
        <w:noBreakHyphen/>
        <w:t>type connector (ISO 2110 [31]) are not used. As a result many communication devices have only a 9 pin connector to allow them to be made smaller. This interface is a MT2 type providing the correct ITU-T Recommendation V.24 [19] signals are supported.</w:t>
      </w:r>
    </w:p>
    <w:p>
      <w:pPr>
        <w:pStyle w:val="Normal"/>
        <w:rPr/>
      </w:pPr>
      <w:r>
        <w:rPr/>
        <w:t>Table B1 gives the pin assignments for a 9 pin connector. Two variants are permitted:</w:t>
      </w:r>
    </w:p>
    <w:p>
      <w:pPr>
        <w:pStyle w:val="Normal"/>
        <w:rPr>
          <w:b/>
          <w:b/>
        </w:rPr>
      </w:pPr>
      <w:r>
        <w:rPr>
          <w:b/>
        </w:rPr>
        <w:t>1.</w:t>
        <w:tab/>
        <w:t>Outband flow control</w:t>
      </w:r>
    </w:p>
    <w:p>
      <w:pPr>
        <w:pStyle w:val="Normal"/>
        <w:rPr/>
      </w:pPr>
      <w:r>
        <w:rPr/>
        <w:t>When outband (CT 133) flow control is required, pin number 7 carries CT 133 (Ready for Receiving). In this case CT 105 is not mapped to any physical pin. On the MT2 side of the interface, CT 105 is treated as being always in the ON condition.</w:t>
      </w:r>
    </w:p>
    <w:p>
      <w:pPr>
        <w:pStyle w:val="Normal"/>
        <w:rPr>
          <w:b/>
          <w:b/>
        </w:rPr>
      </w:pPr>
      <w:r>
        <w:rPr>
          <w:b/>
        </w:rPr>
        <w:t>2.</w:t>
        <w:tab/>
        <w:t>No outband flow control</w:t>
      </w:r>
    </w:p>
    <w:p>
      <w:pPr>
        <w:pStyle w:val="Normal"/>
        <w:rPr/>
      </w:pPr>
      <w:r>
        <w:rPr/>
        <w:t>When no outband (CT 133) flow control is required, pin number 7 may carry CT 105 (Request to Send). In this case CT 133 is not mapped to any physical pin. On the MT2 side of the interface, CT 133 is treated as being always in the ON condition.</w:t>
      </w:r>
    </w:p>
    <w:p>
      <w:pPr>
        <w:pStyle w:val="TH"/>
        <w:rPr/>
      </w:pPr>
      <w:r>
        <w:rPr/>
        <w:t>Table B1: Interchange circuit mappings</w:t>
      </w:r>
    </w:p>
    <w:tbl>
      <w:tblPr>
        <w:tblW w:w="7338" w:type="dxa"/>
        <w:jc w:val="center"/>
        <w:tblInd w:w="0" w:type="dxa"/>
        <w:tblLayout w:type="fixed"/>
        <w:tblCellMar>
          <w:top w:w="0" w:type="dxa"/>
          <w:left w:w="28" w:type="dxa"/>
          <w:bottom w:w="0" w:type="dxa"/>
          <w:right w:w="28" w:type="dxa"/>
        </w:tblCellMar>
      </w:tblPr>
      <w:tblGrid>
        <w:gridCol w:w="2518"/>
        <w:gridCol w:w="2693"/>
        <w:gridCol w:w="2127"/>
      </w:tblGrid>
      <w:tr>
        <w:trPr/>
        <w:tc>
          <w:tcPr>
            <w:tcW w:w="2518"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ITU-T V.24 [19] Circuit Number</w:t>
            </w:r>
          </w:p>
        </w:tc>
        <w:tc>
          <w:tcPr>
            <w:tcW w:w="26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Circuit Name</w:t>
            </w:r>
          </w:p>
        </w:tc>
        <w:tc>
          <w:tcPr>
            <w:tcW w:w="21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Pin Number</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102</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Common ground</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103</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TxD</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104</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RxD</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105</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RTS</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(note)</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106</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RFS (CTS)</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107</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DSR</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108/2</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DTR</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109</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DCD</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 125</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CI</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9</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CT 133</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RFR</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(note)</w:t>
            </w:r>
          </w:p>
        </w:tc>
      </w:tr>
      <w:tr>
        <w:trPr>
          <w:cantSplit w:val="true"/>
        </w:trPr>
        <w:tc>
          <w:tcPr>
            <w:tcW w:w="7338"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Only one of these mappings may exist at any one time.</w:t>
            </w:r>
          </w:p>
        </w:tc>
      </w:tr>
    </w:tbl>
    <w:p>
      <w:pPr>
        <w:pStyle w:val="Normal"/>
        <w:rPr/>
      </w:pPr>
      <w:r>
        <w:rPr/>
      </w:r>
      <w:r>
        <w:br w:type="page"/>
      </w:r>
    </w:p>
    <w:p>
      <w:pPr>
        <w:pStyle w:val="Heading8"/>
        <w:ind w:left="0" w:hanging="0"/>
        <w:rPr/>
      </w:pPr>
      <w:bookmarkStart w:id="62" w:name="__RefHeading___Toc217240229"/>
      <w:bookmarkEnd w:id="62"/>
      <w:r>
        <w:rPr/>
        <w:t>Annex C (informative):</w:t>
        <w:br/>
        <w:t>General mapping of ITU-T V.24 [19] circuits to channel status bits</w:t>
      </w:r>
    </w:p>
    <w:p>
      <w:pPr>
        <w:pStyle w:val="Normal"/>
        <w:rPr/>
      </w:pPr>
      <w:r>
        <w:rPr/>
        <w:t>In the data transfer state, status bits SA, SB and X can be used to convey channel control information associated with the data bits. Table C1 shows the general mapping scheme between the ITU-T  V.24 [19] circuit numbers and the status bits. A binary 0 corresponds to the ON condition, a binary 1 to the OFF condition. The specific mappings for the various PLMN bearer types are given elsewhere in the present document.</w:t>
      </w:r>
    </w:p>
    <w:p>
      <w:pPr>
        <w:pStyle w:val="TH"/>
        <w:rPr/>
      </w:pPr>
      <w:r>
        <w:rPr/>
        <w:t>Table C1: General mapping scheme at the MT</w:t>
      </w:r>
    </w:p>
    <w:tbl>
      <w:tblPr>
        <w:tblW w:w="5955" w:type="dxa"/>
        <w:jc w:val="center"/>
        <w:tblInd w:w="0" w:type="dxa"/>
        <w:tblLayout w:type="fixed"/>
        <w:tblCellMar>
          <w:top w:w="0" w:type="dxa"/>
          <w:left w:w="28" w:type="dxa"/>
          <w:bottom w:w="0" w:type="dxa"/>
          <w:right w:w="28" w:type="dxa"/>
        </w:tblCellMar>
      </w:tblPr>
      <w:tblGrid>
        <w:gridCol w:w="1985"/>
        <w:gridCol w:w="1985"/>
        <w:gridCol w:w="1985"/>
      </w:tblGrid>
      <w:tr>
        <w:trPr/>
        <w:tc>
          <w:tcPr>
            <w:tcW w:w="1985"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Signal at TE2/MT interface</w:t>
            </w:r>
          </w:p>
        </w:tc>
        <w:tc>
          <w:tcPr>
            <w:tcW w:w="1985" w:type="dxa"/>
            <w:tcBorders>
              <w:top w:val="single" w:sz="4" w:space="0" w:color="000000"/>
              <w:left w:val="single" w:sz="6" w:space="0" w:color="000000"/>
              <w:bottom w:val="single" w:sz="6" w:space="0" w:color="000000"/>
              <w:right w:val="single" w:sz="6" w:space="0" w:color="000000"/>
            </w:tcBorders>
          </w:tcPr>
          <w:p>
            <w:pPr>
              <w:pStyle w:val="TAH"/>
              <w:rPr/>
            </w:pPr>
            <w:r>
              <w:rPr>
                <w:lang w:eastAsia="en-US"/>
              </w:rPr>
              <w:t>Status bit</w:t>
              <w:br/>
              <w:t>direction: MT to IWF</w:t>
            </w:r>
          </w:p>
        </w:tc>
        <w:tc>
          <w:tcPr>
            <w:tcW w:w="1985" w:type="dxa"/>
            <w:tcBorders>
              <w:top w:val="single" w:sz="4" w:space="0" w:color="000000"/>
              <w:left w:val="single" w:sz="6" w:space="0" w:color="000000"/>
              <w:bottom w:val="single" w:sz="6" w:space="0" w:color="000000"/>
              <w:right w:val="single" w:sz="4" w:space="0" w:color="000000"/>
            </w:tcBorders>
          </w:tcPr>
          <w:p>
            <w:pPr>
              <w:pStyle w:val="TAH"/>
              <w:rPr>
                <w:lang w:eastAsia="en-US"/>
              </w:rPr>
            </w:pPr>
            <w:r>
              <w:rPr>
                <w:lang w:eastAsia="en-US"/>
              </w:rPr>
              <w:t>Status bit</w:t>
              <w:br/>
              <w:t>direction: IWF to MT</w:t>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val="fr-FR" w:eastAsia="en-US"/>
              </w:rPr>
            </w:pPr>
            <w:r>
              <w:rPr>
                <w:lang w:val="fr-FR" w:eastAsia="en-US"/>
              </w:rPr>
              <w:t>CT 105 (note 3)</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SB</w:t>
            </w:r>
          </w:p>
        </w:tc>
        <w:tc>
          <w:tcPr>
            <w:tcW w:w="1985" w:type="dxa"/>
            <w:tcBorders>
              <w:top w:val="single" w:sz="6" w:space="0" w:color="000000"/>
              <w:left w:val="single" w:sz="6" w:space="0" w:color="000000"/>
              <w:bottom w:val="single" w:sz="6" w:space="0" w:color="000000"/>
              <w:right w:val="single" w:sz="4" w:space="0" w:color="000000"/>
            </w:tcBorders>
          </w:tcPr>
          <w:p>
            <w:pPr>
              <w:pStyle w:val="TAL"/>
              <w:snapToGrid w:val="false"/>
              <w:rPr>
                <w:lang w:val="fr-FR" w:eastAsia="en-US"/>
              </w:rPr>
            </w:pPr>
            <w:r>
              <w:rPr>
                <w:lang w:val="fr-FR" w:eastAsia="en-US"/>
              </w:rPr>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val="fr-FR" w:eastAsia="en-US"/>
              </w:rPr>
            </w:pPr>
            <w:r>
              <w:rPr>
                <w:lang w:val="fr-FR" w:eastAsia="en-US"/>
              </w:rPr>
              <w:t>CT 106 (note 1)</w:t>
            </w:r>
          </w:p>
        </w:tc>
        <w:tc>
          <w:tcPr>
            <w:tcW w:w="198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eastAsia="en-US"/>
              </w:rPr>
            </w:pPr>
            <w:r>
              <w:rPr>
                <w:lang w:val="fr-FR" w:eastAsia="en-US"/>
              </w:rPr>
            </w:r>
          </w:p>
        </w:tc>
        <w:tc>
          <w:tcPr>
            <w:tcW w:w="1985" w:type="dxa"/>
            <w:tcBorders>
              <w:top w:val="single" w:sz="6" w:space="0" w:color="000000"/>
              <w:left w:val="single" w:sz="6" w:space="0" w:color="000000"/>
              <w:bottom w:val="single" w:sz="6" w:space="0" w:color="000000"/>
              <w:right w:val="single" w:sz="4" w:space="0" w:color="000000"/>
            </w:tcBorders>
          </w:tcPr>
          <w:p>
            <w:pPr>
              <w:pStyle w:val="TAL"/>
              <w:rPr>
                <w:lang w:val="fr-FR" w:eastAsia="en-US"/>
              </w:rPr>
            </w:pPr>
            <w:r>
              <w:rPr>
                <w:lang w:val="fr-FR" w:eastAsia="en-US"/>
              </w:rPr>
              <w:t>X</w:t>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val="fr-FR" w:eastAsia="en-US"/>
              </w:rPr>
            </w:pPr>
            <w:r>
              <w:rPr>
                <w:lang w:val="fr-FR" w:eastAsia="en-US"/>
              </w:rPr>
              <w:t>CT 107</w:t>
            </w:r>
          </w:p>
        </w:tc>
        <w:tc>
          <w:tcPr>
            <w:tcW w:w="198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eastAsia="en-US"/>
              </w:rPr>
            </w:pPr>
            <w:r>
              <w:rPr>
                <w:lang w:val="fr-FR" w:eastAsia="en-US"/>
              </w:rPr>
            </w:r>
          </w:p>
        </w:tc>
        <w:tc>
          <w:tcPr>
            <w:tcW w:w="1985" w:type="dxa"/>
            <w:tcBorders>
              <w:top w:val="single" w:sz="6" w:space="0" w:color="000000"/>
              <w:left w:val="single" w:sz="6" w:space="0" w:color="000000"/>
              <w:bottom w:val="single" w:sz="6" w:space="0" w:color="000000"/>
              <w:right w:val="single" w:sz="4" w:space="0" w:color="000000"/>
            </w:tcBorders>
          </w:tcPr>
          <w:p>
            <w:pPr>
              <w:pStyle w:val="TAL"/>
              <w:rPr>
                <w:lang w:val="fr-FR" w:eastAsia="en-US"/>
              </w:rPr>
            </w:pPr>
            <w:r>
              <w:rPr>
                <w:lang w:val="fr-FR" w:eastAsia="en-US"/>
              </w:rPr>
              <w:t>SA</w:t>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val="fr-FR" w:eastAsia="en-US"/>
              </w:rPr>
            </w:pPr>
            <w:r>
              <w:rPr>
                <w:lang w:val="fr-FR" w:eastAsia="en-US"/>
              </w:rPr>
              <w:t>CT 108/2</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 xml:space="preserve">SA </w:t>
            </w:r>
          </w:p>
        </w:tc>
        <w:tc>
          <w:tcPr>
            <w:tcW w:w="1985" w:type="dxa"/>
            <w:tcBorders>
              <w:top w:val="single" w:sz="6" w:space="0" w:color="000000"/>
              <w:left w:val="single" w:sz="6" w:space="0" w:color="000000"/>
              <w:bottom w:val="single" w:sz="6" w:space="0" w:color="000000"/>
              <w:right w:val="single" w:sz="4" w:space="0" w:color="000000"/>
            </w:tcBorders>
          </w:tcPr>
          <w:p>
            <w:pPr>
              <w:pStyle w:val="TAL"/>
              <w:snapToGrid w:val="false"/>
              <w:rPr>
                <w:lang w:val="fr-FR" w:eastAsia="en-US"/>
              </w:rPr>
            </w:pPr>
            <w:r>
              <w:rPr>
                <w:lang w:val="fr-FR" w:eastAsia="en-US"/>
              </w:rPr>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val="fr-FR" w:eastAsia="en-US"/>
              </w:rPr>
            </w:pPr>
            <w:r>
              <w:rPr>
                <w:lang w:val="fr-FR" w:eastAsia="en-US"/>
              </w:rPr>
              <w:t>CT 109</w:t>
            </w:r>
          </w:p>
        </w:tc>
        <w:tc>
          <w:tcPr>
            <w:tcW w:w="198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eastAsia="en-US"/>
              </w:rPr>
            </w:pPr>
            <w:r>
              <w:rPr>
                <w:lang w:val="fr-FR" w:eastAsia="en-US"/>
              </w:rPr>
            </w:r>
          </w:p>
        </w:tc>
        <w:tc>
          <w:tcPr>
            <w:tcW w:w="1985"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SB</w:t>
            </w:r>
          </w:p>
        </w:tc>
      </w:tr>
      <w:tr>
        <w:trPr/>
        <w:tc>
          <w:tcPr>
            <w:tcW w:w="1985"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CT 133 (note 3)</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X (note 2)</w:t>
            </w:r>
          </w:p>
        </w:tc>
        <w:tc>
          <w:tcPr>
            <w:tcW w:w="1985"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cantSplit w:val="true"/>
        </w:trPr>
        <w:tc>
          <w:tcPr>
            <w:tcW w:w="5955"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en-US"/>
              </w:rPr>
              <w:t>NOTE 1:</w:t>
              <w:tab/>
              <w:t>The condition of CT 106 may also be affected by the state of any transmit buffer in the MT.</w:t>
            </w:r>
          </w:p>
          <w:p>
            <w:pPr>
              <w:pStyle w:val="TAN"/>
              <w:rPr>
                <w:lang w:eastAsia="en-US"/>
              </w:rPr>
            </w:pPr>
            <w:r>
              <w:rPr>
                <w:lang w:eastAsia="en-US"/>
              </w:rPr>
              <w:t>NOTE 2:</w:t>
              <w:tab/>
              <w:t>The condition of Status bit X towards the IWF may also be affected by the state of any receive buffer in the MT.</w:t>
            </w:r>
          </w:p>
          <w:p>
            <w:pPr>
              <w:pStyle w:val="TAN"/>
              <w:rPr/>
            </w:pPr>
            <w:r>
              <w:rPr>
                <w:lang w:eastAsia="en-US"/>
              </w:rPr>
              <w:t>NOTE 3:</w:t>
              <w:tab/>
              <w:t>CT105 and CT133 are assigned to the same connector pin on both the standard 25 pin connector (ISO 2110) and the commonly used 9 pin connector (annex B). When this pin is used for CT133 then on the MT side of the interface CT 105 is treated as being always in the ON condition. SB towards the IWF shall therefore also always be ON.</w:t>
            </w:r>
          </w:p>
          <w:p>
            <w:pPr>
              <w:pStyle w:val="TAN"/>
              <w:rPr/>
            </w:pPr>
            <w:r>
              <w:rPr>
                <w:lang w:eastAsia="en-US"/>
              </w:rPr>
              <w:tab/>
              <w:t>Similarly, when this pin is being used for CT105 then on the MT side of the interface CT 133 is treated as being always in the ON condition. X towards the IWF shall therefore also always be ON.</w:t>
            </w:r>
          </w:p>
          <w:p>
            <w:pPr>
              <w:pStyle w:val="TAN"/>
              <w:rPr/>
            </w:pPr>
            <w:r>
              <w:rPr>
                <w:lang w:eastAsia="en-US"/>
              </w:rPr>
              <w:tab/>
              <w:t>As circuit 133 is used only in duplex operation and circuit 105 is used only in half duplex operation (which is not supported by GSM or UMTS) there should be no conflict.</w:t>
            </w:r>
          </w:p>
        </w:tc>
      </w:tr>
    </w:tbl>
    <w:p>
      <w:pPr>
        <w:pStyle w:val="Normal"/>
        <w:rPr>
          <w:lang w:eastAsia="ko-KR"/>
        </w:rPr>
      </w:pPr>
      <w:r>
        <w:rPr>
          <w:lang w:eastAsia="ko-KR"/>
        </w:rPr>
      </w:r>
      <w:r>
        <w:br w:type="page"/>
      </w:r>
    </w:p>
    <w:p>
      <w:pPr>
        <w:pStyle w:val="Heading8"/>
        <w:ind w:left="0" w:hanging="0"/>
        <w:rPr/>
      </w:pPr>
      <w:bookmarkStart w:id="63" w:name="__RefHeading___Toc217240230"/>
      <w:bookmarkEnd w:id="63"/>
      <w:r>
        <w:rPr/>
        <w:t>Annex D (informative):</w:t>
        <w:br/>
        <w:t>Change history</w:t>
      </w:r>
    </w:p>
    <w:tbl>
      <w:tblPr>
        <w:tblW w:w="9923" w:type="dxa"/>
        <w:jc w:val="left"/>
        <w:tblInd w:w="-7" w:type="dxa"/>
        <w:tblLayout w:type="fixed"/>
        <w:tblCellMar>
          <w:top w:w="0" w:type="dxa"/>
          <w:left w:w="40" w:type="dxa"/>
          <w:bottom w:w="0" w:type="dxa"/>
          <w:right w:w="40" w:type="dxa"/>
        </w:tblCellMar>
      </w:tblPr>
      <w:tblGrid>
        <w:gridCol w:w="800"/>
        <w:gridCol w:w="800"/>
        <w:gridCol w:w="111"/>
        <w:gridCol w:w="983"/>
        <w:gridCol w:w="108"/>
        <w:gridCol w:w="426"/>
        <w:gridCol w:w="33"/>
        <w:gridCol w:w="395"/>
        <w:gridCol w:w="30"/>
        <w:gridCol w:w="425"/>
        <w:gridCol w:w="4412"/>
        <w:gridCol w:w="266"/>
        <w:gridCol w:w="425"/>
        <w:gridCol w:w="709"/>
      </w:tblGrid>
      <w:tr>
        <w:trPr>
          <w:cantSplit w:val="true"/>
        </w:trPr>
        <w:tc>
          <w:tcPr>
            <w:tcW w:w="9923" w:type="dxa"/>
            <w:gridSpan w:val="14"/>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91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69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lang w:val="en-AU" w:eastAsia="en-US"/>
              </w:rPr>
            </w:pPr>
            <w:r>
              <w:rPr>
                <w:b/>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Apr 1999</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Transferred to 3GPP CN1</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r>
      <w:tr>
        <w:trPr/>
        <w:tc>
          <w:tcPr>
            <w:tcW w:w="800" w:type="dxa"/>
            <w:tcBorders>
              <w:top w:val="single" w:sz="6" w:space="0" w:color="000000"/>
              <w:left w:val="single" w:sz="6" w:space="0" w:color="000000"/>
              <w:right w:val="single" w:sz="6" w:space="0" w:color="000000"/>
            </w:tcBorders>
            <w:shd w:fill="FFFFFF" w:val="clear"/>
          </w:tcPr>
          <w:p>
            <w:pPr>
              <w:pStyle w:val="TAL"/>
              <w:snapToGrid w:val="false"/>
              <w:rPr>
                <w:rFonts w:ascii="Arial" w:hAnsi="Arial" w:cs="Arial"/>
                <w:lang w:val="en-AU" w:eastAsia="en-US"/>
              </w:rPr>
            </w:pPr>
            <w:r>
              <w:rPr>
                <w:rFonts w:cs="Arial"/>
                <w:lang w:val="en-AU" w:eastAsia="en-US"/>
              </w:rPr>
            </w:r>
          </w:p>
        </w:tc>
        <w:tc>
          <w:tcPr>
            <w:tcW w:w="911" w:type="dxa"/>
            <w:gridSpan w:val="2"/>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CN#03</w:t>
            </w:r>
          </w:p>
        </w:tc>
        <w:tc>
          <w:tcPr>
            <w:tcW w:w="1091" w:type="dxa"/>
            <w:gridSpan w:val="2"/>
            <w:tcBorders>
              <w:top w:val="single" w:sz="6" w:space="0" w:color="000000"/>
              <w:left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Approved at CN#03</w:t>
            </w:r>
          </w:p>
        </w:tc>
        <w:tc>
          <w:tcPr>
            <w:tcW w:w="691" w:type="dxa"/>
            <w:gridSpan w:val="2"/>
            <w:tcBorders>
              <w:top w:val="single" w:sz="6" w:space="0" w:color="000000"/>
              <w:left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709" w:type="dxa"/>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sz w:val="16"/>
                <w:lang w:val="en-AU" w:eastAsia="en-US"/>
              </w:rPr>
            </w:pPr>
            <w:r>
              <w:rPr>
                <w:rFonts w:cs="Arial"/>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CN#04</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Introduction of EDGE channel codings into the specifications [E-mail approval]</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lang w:val="en-AU" w:eastAsia="en-US"/>
              </w:rPr>
            </w:pPr>
            <w:r>
              <w:rPr>
                <w:rFonts w:cs="MS Sans Serif;Arial" w:ascii="MS Sans Serif;Arial" w:hAnsi="MS Sans Serif;Arial"/>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CN#06</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Service clean-up for Release 99</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lang w:val="en-AU" w:eastAsia="en-US"/>
              </w:rPr>
            </w:pPr>
            <w:r>
              <w:rPr>
                <w:rFonts w:cs="MS Sans Serif;Arial" w:ascii="MS Sans Serif;Arial" w:hAnsi="MS Sans Serif;Arial"/>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CN#07</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UMTS Clean Up</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lang w:val="en-AU" w:eastAsia="en-US"/>
              </w:rPr>
            </w:pPr>
            <w:r>
              <w:rPr>
                <w:rFonts w:cs="MS Sans Serif;Arial" w:ascii="MS Sans Serif;Arial" w:hAnsi="MS Sans Serif;Arial"/>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CN#08</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Adaptations for UMTS</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lang w:val="en-AU" w:eastAsia="en-US"/>
              </w:rPr>
            </w:pPr>
            <w:r>
              <w:rPr>
                <w:rFonts w:cs="MS Sans Serif;Arial" w:ascii="MS Sans Serif;Arial" w:hAnsi="MS Sans Serif;Arial"/>
                <w:sz w:val="16"/>
                <w:lang w:val="en-AU" w:eastAsia="en-US"/>
              </w:rPr>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CN#09</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Modification from V.25bis to V.250</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12-2001</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CN#14</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NP-010604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Terminology Clarifications requested by TSG GERAN</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12-2004</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CN#26</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v6.0.0</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06-2007</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CT#36</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v7.0.0</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12-2008</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CT#42</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Upgraded to v8.0.0 due to simple upgrade without no technical change</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12-2009</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CT#46</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Automatic upgrade from previous Release</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12-2010</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CT#50</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CP-100779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010</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Correcting non-specific external references</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03-2011</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CT#51</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en-US"/>
              </w:rPr>
              <w:t>Automatic upgrade from previous Release</w:t>
            </w:r>
            <w:r>
              <w:rPr>
                <w:lang w:val="en-AU" w:eastAsia="ko-KR"/>
              </w:rPr>
              <w:t xml:space="preserve"> version 9.1.0</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03-2011</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CT#51</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Correction of heading and numbering made by MCC</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09-2012</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CT#57</w:t>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Automatic upgrade from previous Release version 10.0.1</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10-2014</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Automatic upgrade from previous Release</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12-2015</w:t>
            </w:r>
          </w:p>
        </w:tc>
        <w:tc>
          <w:tcPr>
            <w:tcW w:w="91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10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ko-KR"/>
              </w:rPr>
            </w:pPr>
            <w:r>
              <w:rPr>
                <w:lang w:val="en-AU"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Automatic upgrade from previous Release</w:t>
            </w:r>
          </w:p>
        </w:tc>
        <w:tc>
          <w:tcPr>
            <w:tcW w:w="69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ko-KR"/>
              </w:rPr>
              <w:t>1</w:t>
            </w:r>
            <w:r>
              <w:rPr>
                <w:lang w:val="en-AU" w:eastAsia="ko-KR"/>
              </w:rPr>
              <w:t>2</w:t>
            </w:r>
            <w:r>
              <w:rPr>
                <w:lang w:val="en-AU" w:eastAsia="ko-KR"/>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ko-KR"/>
              </w:rPr>
            </w:pPr>
            <w:r>
              <w:rPr>
                <w:lang w:val="en-AU" w:eastAsia="ko-KR"/>
              </w:rPr>
              <w:t>13.0.0</w:t>
            </w:r>
          </w:p>
        </w:tc>
      </w:tr>
      <w:tr>
        <w:trPr>
          <w:cantSplit w:val="true"/>
        </w:trPr>
        <w:tc>
          <w:tcPr>
            <w:tcW w:w="9923" w:type="dxa"/>
            <w:gridSpan w:val="14"/>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TSG Doc.</w:t>
            </w:r>
          </w:p>
        </w:tc>
        <w:tc>
          <w:tcPr>
            <w:tcW w:w="5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113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CT#75</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567" w:type="dxa"/>
            <w:gridSpan w:val="3"/>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Automatic upgrade from previous Release</w:t>
            </w:r>
          </w:p>
        </w:tc>
        <w:tc>
          <w:tcPr>
            <w:tcW w:w="113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CT#80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567"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Automatic upgrade from previous Release</w:t>
            </w:r>
          </w:p>
        </w:tc>
        <w:tc>
          <w:tcPr>
            <w:tcW w:w="113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sz w:val="18"/>
                <w:lang w:val="en-AU"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567" w:type="dxa"/>
            <w:gridSpan w:val="3"/>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8"/>
                <w:lang w:val="en-AU" w:eastAsia="ko-KR"/>
              </w:rPr>
            </w:pPr>
            <w:r>
              <w:rPr>
                <w:rFonts w:cs="Arial" w:ascii="Arial" w:hAnsi="Arial"/>
                <w:sz w:val="18"/>
                <w:lang w:val="en-AU"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Update to Rel-16 version (MCC)</w:t>
            </w:r>
          </w:p>
        </w:tc>
        <w:tc>
          <w:tcPr>
            <w:tcW w:w="113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lang w:val="en-AU" w:eastAsia="ko-KR"/>
              </w:rPr>
            </w:pPr>
            <w:r>
              <w:rPr>
                <w:rFonts w:cs="Arial" w:ascii="Arial" w:hAnsi="Arial"/>
                <w:sz w:val="18"/>
                <w:lang w:val="en-AU" w:eastAsia="ko-KR"/>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MS LineDraw">
    <w:charset w:val="02"/>
    <w:family w:val="modern"/>
    <w:pitch w:val="default"/>
  </w:font>
  <w:font w:name="Gulim">
    <w:altName w:val="굴림"/>
    <w:charset w:val="81"/>
    <w:family w:val="swiss"/>
    <w:pitch w:val="variable"/>
  </w:font>
  <w:font w:name="Courier">
    <w:altName w:val="Courier New"/>
    <w:charset w:val="00"/>
    <w:family w:val="modern"/>
    <w:pitch w:val="default"/>
  </w:font>
  <w:font w:name="MS Sans Serif">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jc w:val="center"/>
      <w:rPr/>
    </w:pPr>
    <w:r>
      <w:rPr/>
      <w:t xml:space="preserve">CR page </w:t>
    </w: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27.002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27.002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cs="Times New Roman"/>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 w:hAnsi="MS LineDraw" w:eastAsia="Batang;Batang" w:cs="MS LineDra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Batang;Batang" w:cs="Arial"/>
      <w:color w:val="auto"/>
      <w:sz w:val="20"/>
      <w:szCs w:val="20"/>
      <w:lang w:val="en-GB" w:bidi="ar-SA" w:eastAsia="zh-CN"/>
    </w:rPr>
  </w:style>
  <w:style w:type="paragraph" w:styleId="Tdocheader">
    <w:name w:val="tdoc-header"/>
    <w:qFormat/>
    <w:pPr>
      <w:widowControl/>
      <w:bidi w:val="0"/>
    </w:pPr>
    <w:rPr>
      <w:rFonts w:ascii="Arial" w:hAnsi="Arial" w:eastAsia="Batang;Batang" w:cs="Arial"/>
      <w:color w:val="auto"/>
      <w:sz w:val="24"/>
      <w:szCs w:val="20"/>
      <w:lang w:val="en-GB" w:eastAsia="en-US" w:bidi="ar-SA"/>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Heading2H2">
    <w:name w:val="Heading 2.H2"/>
    <w:basedOn w:val="Heading1"/>
    <w:next w:val="Normal"/>
    <w:qFormat/>
    <w:pPr>
      <w:numPr>
        <w:ilvl w:val="0"/>
        <w:numId w:val="0"/>
      </w:numPr>
      <w:pBdr>
        <w:top w:val="nil"/>
      </w:pBdr>
      <w:spacing w:before="180" w:after="180"/>
      <w:ind w:left="1134" w:hanging="1134"/>
      <w:outlineLvl w:val="1"/>
    </w:pPr>
    <w:rPr>
      <w:sz w:val="32"/>
    </w:rPr>
  </w:style>
  <w:style w:type="paragraph" w:styleId="Guidance">
    <w:name w:val="Guidance"/>
    <w:basedOn w:val="Normal"/>
    <w:qFormat/>
    <w:pPr/>
    <w:rPr>
      <w:i/>
      <w:color w:val="0000FF"/>
    </w:rPr>
  </w:style>
  <w:style w:type="paragraph" w:styleId="BalloonText">
    <w:name w:val="Balloon Text"/>
    <w:basedOn w:val="Normal"/>
    <w:qFormat/>
    <w:pPr/>
    <w:rPr>
      <w:rFonts w:ascii="Gulim;굴림" w:hAnsi="Gulim;굴림" w:eastAsia="Gulim;굴림"/>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UTRAN Iu mode LTE A/Gb mode Iu mode GSM terminal adaption</cp:keywords>
  <dc:language>en-US</dc:language>
  <cp:lastModifiedBy>mcc</cp:lastModifiedBy>
  <cp:lastPrinted>2001-11-12T15:55:00Z</cp:lastPrinted>
  <dcterms:modified xsi:type="dcterms:W3CDTF">2020-07-10T13:58:00Z</dcterms:modified>
  <cp:revision>8</cp:revision>
  <dc:subject>Terminal Adaptation Functions (TAF) for services using asynchronous bearer capabilities (Release 16)</dc:subject>
  <dc:title>3GPP TS 27.002</dc:title>
</cp:coreProperties>
</file>