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23" w:type="dxa"/>
        <w:jc w:val="left"/>
        <w:tblInd w:w="-113" w:type="dxa"/>
        <w:tblLayout w:type="fixed"/>
        <w:tblCellMar>
          <w:top w:w="0" w:type="dxa"/>
          <w:left w:w="108" w:type="dxa"/>
          <w:bottom w:w="0" w:type="dxa"/>
          <w:right w:w="108" w:type="dxa"/>
        </w:tblCellMar>
      </w:tblPr>
      <w:tblGrid>
        <w:gridCol w:w="4883"/>
        <w:gridCol w:w="5540"/>
      </w:tblGrid>
      <w:tr>
        <w:trPr/>
        <w:tc>
          <w:tcPr>
            <w:tcW w:w="10423" w:type="dxa"/>
            <w:gridSpan w:val="2"/>
            <w:tcBorders>
              <w:top w:val="dashed" w:sz="4" w:space="0" w:color="000000"/>
              <w:left w:val="dashed" w:sz="4" w:space="0" w:color="000000"/>
              <w:bottom w:val="dashed" w:sz="4" w:space="0" w:color="000000"/>
              <w:right w:val="dashed" w:sz="4" w:space="0" w:color="000000"/>
            </w:tcBorders>
          </w:tcPr>
          <w:p>
            <w:pPr>
              <w:pStyle w:val="ZA"/>
              <w:rPr>
                <w:lang w:val="en-GB" w:eastAsia="en-US"/>
              </w:rPr>
            </w:pPr>
            <w:bookmarkStart w:id="0" w:name="page1"/>
            <w:bookmarkEnd w:id="0"/>
            <w:r>
              <w:rPr>
                <w:sz w:val="64"/>
              </w:rPr>
              <w:t>3GPP TS 28.307</w:t>
            </w:r>
            <w:r>
              <w:rPr>
                <w:sz w:val="64"/>
                <w:lang w:val="en-GB" w:eastAsia="en-US"/>
              </w:rPr>
              <w:t xml:space="preserve"> </w:t>
            </w:r>
            <w:r>
              <w:rPr>
                <w:lang w:val="en-GB" w:eastAsia="en-US"/>
              </w:rPr>
              <w:t xml:space="preserve">V16.0.0 </w:t>
            </w:r>
            <w:r>
              <w:rPr>
                <w:sz w:val="32"/>
                <w:lang w:val="en-GB" w:eastAsia="en-US"/>
              </w:rPr>
              <w:t>(2020-07)</w:t>
            </w:r>
          </w:p>
        </w:tc>
      </w:tr>
      <w:tr>
        <w:trPr>
          <w:trHeight w:val="1134" w:hRule="exact"/>
        </w:trPr>
        <w:tc>
          <w:tcPr>
            <w:tcW w:w="10423" w:type="dxa"/>
            <w:gridSpan w:val="2"/>
            <w:tcBorders>
              <w:top w:val="dashed" w:sz="4" w:space="0" w:color="000000"/>
              <w:left w:val="dashed" w:sz="4" w:space="0" w:color="000000"/>
              <w:bottom w:val="dashed" w:sz="4" w:space="0" w:color="000000"/>
              <w:right w:val="dashed" w:sz="4" w:space="0" w:color="000000"/>
            </w:tcBorders>
          </w:tcPr>
          <w:p>
            <w:pPr>
              <w:pStyle w:val="ZB"/>
              <w:rPr>
                <w:lang w:val="en-GB" w:eastAsia="en-US"/>
              </w:rPr>
            </w:pPr>
            <w:r>
              <w:rPr>
                <w:lang w:val="en-GB" w:eastAsia="en-US"/>
              </w:rPr>
              <w:t xml:space="preserve">Technical </w:t>
            </w:r>
            <w:bookmarkStart w:id="1" w:name="spectype2"/>
            <w:r>
              <w:rPr>
                <w:lang w:val="en-GB" w:eastAsia="en-US"/>
              </w:rPr>
              <w:t>Specification</w:t>
            </w:r>
            <w:bookmarkEnd w:id="1"/>
          </w:p>
          <w:p>
            <w:pPr>
              <w:pStyle w:val="Normal"/>
              <w:spacing w:before="0" w:after="180"/>
              <w:rPr>
                <w:lang w:val="en-GB" w:eastAsia="en-US"/>
              </w:rPr>
            </w:pPr>
            <w:r>
              <w:rPr>
                <w:lang w:val="en-GB" w:eastAsia="en-US"/>
              </w:rPr>
            </w:r>
          </w:p>
        </w:tc>
      </w:tr>
      <w:tr>
        <w:trPr>
          <w:trHeight w:val="3686" w:hRule="exact"/>
        </w:trPr>
        <w:tc>
          <w:tcPr>
            <w:tcW w:w="10423" w:type="dxa"/>
            <w:gridSpan w:val="2"/>
            <w:tcBorders>
              <w:top w:val="dashed" w:sz="4" w:space="0" w:color="000000"/>
              <w:left w:val="dashed" w:sz="4" w:space="0" w:color="000000"/>
              <w:bottom w:val="dashed" w:sz="4" w:space="0" w:color="000000"/>
              <w:right w:val="dashed" w:sz="4" w:space="0" w:color="000000"/>
            </w:tcBorders>
          </w:tcPr>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Quality of Experience (QoE) measurement collection</w:t>
            </w:r>
          </w:p>
          <w:p>
            <w:pPr>
              <w:pStyle w:val="ZT"/>
              <w:rPr/>
            </w:pPr>
            <w:r>
              <w:rPr/>
              <w:t>Integration Reference Point (IRP);</w:t>
            </w:r>
          </w:p>
          <w:p>
            <w:pPr>
              <w:pStyle w:val="ZT"/>
              <w:rPr/>
            </w:pPr>
            <w:r>
              <w:rPr/>
              <w:t>Requirements</w:t>
            </w:r>
          </w:p>
          <w:p>
            <w:pPr>
              <w:pStyle w:val="ZT"/>
              <w:rPr>
                <w:i/>
                <w:i/>
                <w:sz w:val="28"/>
              </w:rPr>
            </w:pPr>
            <w:r>
              <w:rPr/>
              <w:t>(</w:t>
            </w:r>
            <w:r>
              <w:rPr>
                <w:rStyle w:val="ZGSM"/>
              </w:rPr>
              <w:t>Release 16</w:t>
            </w:r>
            <w:r>
              <w:rPr/>
              <w:t>)</w:t>
            </w:r>
          </w:p>
        </w:tc>
      </w:tr>
      <w:tr>
        <w:trPr/>
        <w:tc>
          <w:tcPr>
            <w:tcW w:w="10423" w:type="dxa"/>
            <w:gridSpan w:val="2"/>
            <w:tcBorders>
              <w:top w:val="dashed" w:sz="4" w:space="0" w:color="000000"/>
              <w:left w:val="dashed" w:sz="4" w:space="0" w:color="000000"/>
              <w:bottom w:val="dashed" w:sz="4" w:space="0" w:color="000000"/>
              <w:right w:val="dashed" w:sz="4" w:space="0" w:color="000000"/>
            </w:tcBorders>
          </w:tcPr>
          <w:p>
            <w:pPr>
              <w:pStyle w:val="ZU"/>
              <w:tabs>
                <w:tab w:val="clear" w:pos="284"/>
                <w:tab w:val="right" w:pos="10206" w:leader="none"/>
              </w:tabs>
              <w:jc w:val="left"/>
              <w:rPr>
                <w:color w:val="0000FF"/>
                <w:lang w:val="en-GB" w:eastAsia="en-US"/>
              </w:rPr>
            </w:pPr>
            <w:r>
              <w:rPr>
                <w:color w:val="0000FF"/>
                <w:lang w:val="en-GB" w:eastAsia="en-US"/>
              </w:rPr>
              <w:tab/>
            </w:r>
          </w:p>
        </w:tc>
      </w:tr>
      <w:tr>
        <w:trPr>
          <w:trHeight w:val="1531" w:hRule="exact"/>
        </w:trPr>
        <w:tc>
          <w:tcPr>
            <w:tcW w:w="4883" w:type="dxa"/>
            <w:tcBorders>
              <w:top w:val="dashed" w:sz="4" w:space="0" w:color="000000"/>
              <w:left w:val="dashed" w:sz="4" w:space="0" w:color="000000"/>
              <w:bottom w:val="dashed" w:sz="4" w:space="0" w:color="000000"/>
              <w:right w:val="dashed" w:sz="4" w:space="0" w:color="000000"/>
            </w:tcBorders>
          </w:tcPr>
          <w:p>
            <w:pPr>
              <w:pStyle w:val="Normal"/>
              <w:spacing w:before="0" w:after="180"/>
              <w:rPr>
                <w:i/>
                <w:i/>
              </w:rPr>
            </w:pPr>
            <w:r>
              <w:rPr>
                <w:i/>
              </w:rPr>
              <w:drawing>
                <wp:inline distT="0" distB="0" distL="0" distR="0">
                  <wp:extent cx="1209675" cy="837565"/>
                  <wp:effectExtent l="0" t="0" r="0" b="0"/>
                  <wp:docPr id="1"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G-logo_175px" descr=""/>
                          <pic:cNvPicPr>
                            <a:picLocks noChangeAspect="1" noChangeArrowheads="1"/>
                          </pic:cNvPicPr>
                        </pic:nvPicPr>
                        <pic:blipFill>
                          <a:blip r:embed="rId2"/>
                          <a:srcRect l="-22" t="-31" r="-22" b="-31"/>
                          <a:stretch>
                            <a:fillRect/>
                          </a:stretch>
                        </pic:blipFill>
                        <pic:spPr bwMode="auto">
                          <a:xfrm>
                            <a:off x="0" y="0"/>
                            <a:ext cx="1209675" cy="837565"/>
                          </a:xfrm>
                          <a:prstGeom prst="rect">
                            <a:avLst/>
                          </a:prstGeom>
                        </pic:spPr>
                      </pic:pic>
                    </a:graphicData>
                  </a:graphic>
                </wp:inline>
              </w:drawing>
            </w:r>
          </w:p>
        </w:tc>
        <w:tc>
          <w:tcPr>
            <w:tcW w:w="5540" w:type="dxa"/>
            <w:tcBorders>
              <w:top w:val="dashed" w:sz="4" w:space="0" w:color="000000"/>
              <w:left w:val="dashed" w:sz="4" w:space="0" w:color="000000"/>
              <w:bottom w:val="dashed" w:sz="4" w:space="0" w:color="000000"/>
              <w:right w:val="dashed" w:sz="4" w:space="0" w:color="000000"/>
            </w:tcBorders>
          </w:tcPr>
          <w:p>
            <w:pPr>
              <w:pStyle w:val="Normal"/>
              <w:spacing w:before="0" w:after="180"/>
              <w:jc w:val="right"/>
              <w:rPr/>
            </w:pPr>
            <w:r>
              <w:rPr/>
              <w:drawing>
                <wp:inline distT="0" distB="0" distL="0" distR="0">
                  <wp:extent cx="1619885" cy="94551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rcRect l="-13" t="-23" r="-13" b="-23"/>
                          <a:stretch>
                            <a:fillRect/>
                          </a:stretch>
                        </pic:blipFill>
                        <pic:spPr bwMode="auto">
                          <a:xfrm>
                            <a:off x="0" y="0"/>
                            <a:ext cx="1619885" cy="945515"/>
                          </a:xfrm>
                          <a:prstGeom prst="rect">
                            <a:avLst/>
                          </a:prstGeom>
                        </pic:spPr>
                      </pic:pic>
                    </a:graphicData>
                  </a:graphic>
                </wp:inline>
              </w:drawing>
            </w:r>
          </w:p>
        </w:tc>
      </w:tr>
      <w:tr>
        <w:trPr>
          <w:trHeight w:val="5783" w:hRule="exact"/>
        </w:trPr>
        <w:tc>
          <w:tcPr>
            <w:tcW w:w="10423" w:type="dxa"/>
            <w:gridSpan w:val="2"/>
            <w:tcBorders>
              <w:top w:val="dashed" w:sz="4" w:space="0" w:color="000000"/>
              <w:left w:val="dashed" w:sz="4" w:space="0" w:color="000000"/>
              <w:bottom w:val="dashed" w:sz="4" w:space="0" w:color="000000"/>
              <w:right w:val="dashed" w:sz="4" w:space="0" w:color="000000"/>
            </w:tcBorders>
          </w:tcPr>
          <w:p>
            <w:pPr>
              <w:pStyle w:val="Normal"/>
              <w:snapToGrid w:val="false"/>
              <w:spacing w:before="0" w:after="180"/>
              <w:rPr>
                <w:b/>
                <w:b/>
              </w:rPr>
            </w:pPr>
            <w:r>
              <w:rPr>
                <w:b/>
              </w:rPr>
            </w:r>
          </w:p>
        </w:tc>
      </w:tr>
      <w:tr>
        <w:trPr>
          <w:trHeight w:val="964" w:hRule="exact"/>
          <w:cantSplit w:val="true"/>
        </w:trPr>
        <w:tc>
          <w:tcPr>
            <w:tcW w:w="10423" w:type="dxa"/>
            <w:gridSpan w:val="2"/>
            <w:tcBorders>
              <w:top w:val="dashed" w:sz="4" w:space="0" w:color="000000"/>
              <w:left w:val="dashed" w:sz="4" w:space="0" w:color="000000"/>
              <w:bottom w:val="dashed" w:sz="4" w:space="0" w:color="000000"/>
              <w:right w:val="dashed" w:sz="4" w:space="0" w:color="000000"/>
            </w:tcBorders>
          </w:tcPr>
          <w:p>
            <w:pPr>
              <w:pStyle w:val="Normal"/>
              <w:rPr/>
            </w:pPr>
            <w:bookmarkStart w:id="2"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2"/>
          </w:p>
          <w:p>
            <w:pPr>
              <w:pStyle w:val="ZV"/>
              <w:rPr>
                <w:sz w:val="16"/>
                <w:lang w:val="en-GB" w:eastAsia="en-US"/>
              </w:rPr>
            </w:pPr>
            <w:r>
              <w:rPr>
                <w:sz w:val="16"/>
                <w:lang w:val="en-GB" w:eastAsia="en-US"/>
              </w:rPr>
            </w:r>
          </w:p>
          <w:p>
            <w:pPr>
              <w:pStyle w:val="Normal"/>
              <w:rPr>
                <w:sz w:val="16"/>
                <w:lang w:val="en-GB" w:eastAsia="en-US"/>
              </w:rPr>
            </w:pPr>
            <w:r>
              <w:rPr>
                <w:sz w:val="16"/>
                <w:lang w:val="en-GB" w:eastAsia="en-US"/>
              </w:rPr>
            </w:r>
          </w:p>
          <w:p>
            <w:pPr>
              <w:pStyle w:val="Normal"/>
              <w:tabs>
                <w:tab w:val="clear" w:pos="284"/>
                <w:tab w:val="left" w:pos="7157" w:leader="none"/>
              </w:tabs>
              <w:spacing w:before="0" w:after="180"/>
              <w:rPr>
                <w:sz w:val="16"/>
              </w:rPr>
            </w:pPr>
            <w:r>
              <w:rPr>
                <w:sz w:val="16"/>
              </w:rPr>
              <w:tab/>
            </w:r>
          </w:p>
        </w:tc>
      </w:tr>
    </w:tbl>
    <w:p>
      <w:pPr>
        <w:sectPr>
          <w:headerReference w:type="default" r:id="rId4"/>
          <w:footerReference w:type="default" r:id="rId5"/>
          <w:type w:val="nextPage"/>
          <w:pgSz w:w="11906" w:h="16838"/>
          <w:pgMar w:left="851" w:right="851" w:gutter="0" w:header="0" w:top="1134" w:footer="0" w:bottom="397"/>
          <w:pgNumType w:fmt="decimal"/>
          <w:formProt w:val="false"/>
          <w:textDirection w:val="lrTb"/>
          <w:docGrid w:type="default" w:linePitch="360" w:charSpace="0"/>
        </w:sectPr>
      </w:pPr>
    </w:p>
    <w:tbl>
      <w:tblPr>
        <w:tblW w:w="10423" w:type="dxa"/>
        <w:jc w:val="left"/>
        <w:tblInd w:w="-108" w:type="dxa"/>
        <w:tblLayout w:type="fixed"/>
        <w:tblCellMar>
          <w:top w:w="0" w:type="dxa"/>
          <w:left w:w="108" w:type="dxa"/>
          <w:bottom w:w="0" w:type="dxa"/>
          <w:right w:w="108" w:type="dxa"/>
        </w:tblCellMar>
      </w:tblPr>
      <w:tblGrid>
        <w:gridCol w:w="10423"/>
      </w:tblGrid>
      <w:tr>
        <w:trPr>
          <w:trHeight w:val="5670" w:hRule="exact"/>
        </w:trPr>
        <w:tc>
          <w:tcPr>
            <w:tcW w:w="10423" w:type="dxa"/>
            <w:tcBorders/>
          </w:tcPr>
          <w:p>
            <w:pPr>
              <w:pStyle w:val="Normal"/>
              <w:snapToGrid w:val="false"/>
              <w:spacing w:before="0" w:after="180"/>
              <w:rPr/>
            </w:pPr>
            <w:r>
              <w:rPr/>
            </w:r>
            <w:bookmarkStart w:id="3" w:name="page2"/>
            <w:bookmarkStart w:id="4" w:name="page2"/>
            <w:bookmarkEnd w:id="4"/>
          </w:p>
        </w:tc>
      </w:tr>
      <w:tr>
        <w:trPr>
          <w:trHeight w:val="5387" w:hRule="exact"/>
        </w:trPr>
        <w:tc>
          <w:tcPr>
            <w:tcW w:w="10423" w:type="dxa"/>
            <w:tcBorders/>
          </w:tcPr>
          <w:p>
            <w:pPr>
              <w:pStyle w:val="FP"/>
              <w:spacing w:before="0" w:after="240"/>
              <w:ind w:left="2835" w:right="2835" w:hanging="0"/>
              <w:jc w:val="center"/>
              <w:rPr>
                <w:rFonts w:ascii="Arial" w:hAnsi="Arial" w:cs="Arial"/>
                <w:b/>
                <w:b/>
                <w:i/>
                <w:i/>
              </w:rPr>
            </w:pPr>
            <w:bookmarkStart w:id="5" w:name="coords3gpp"/>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bookmarkStart w:id="6" w:name="coords3gpp"/>
            <w:r>
              <w:rPr>
                <w:rFonts w:cs="Arial" w:ascii="Arial" w:hAnsi="Arial"/>
                <w:sz w:val="18"/>
              </w:rPr>
              <w:t>http://www.3gpp.org</w:t>
            </w:r>
            <w:bookmarkEnd w:id="6"/>
          </w:p>
          <w:p>
            <w:pPr>
              <w:pStyle w:val="Normal"/>
              <w:spacing w:before="0" w:after="180"/>
              <w:rPr>
                <w:rFonts w:ascii="Arial" w:hAnsi="Arial" w:cs="Arial"/>
                <w:sz w:val="18"/>
              </w:rPr>
            </w:pPr>
            <w:r>
              <w:rPr>
                <w:rFonts w:cs="Arial" w:ascii="Arial" w:hAnsi="Arial"/>
                <w:sz w:val="18"/>
              </w:rPr>
            </w:r>
          </w:p>
        </w:tc>
      </w:tr>
      <w:tr>
        <w:trPr/>
        <w:tc>
          <w:tcPr>
            <w:tcW w:w="10423" w:type="dxa"/>
            <w:tcBorders/>
            <w:vAlign w:val="bottom"/>
          </w:tcPr>
          <w:p>
            <w:pPr>
              <w:pStyle w:val="FP"/>
              <w:pBdr>
                <w:bottom w:val="single" w:sz="6" w:space="1" w:color="000000"/>
              </w:pBdr>
              <w:spacing w:before="0" w:after="240"/>
              <w:jc w:val="center"/>
              <w:rPr>
                <w:rFonts w:ascii="Arial" w:hAnsi="Arial" w:cs="Arial"/>
                <w:b/>
                <w:b/>
                <w:i/>
                <w:i/>
              </w:rPr>
            </w:pPr>
            <w:bookmarkStart w:id="7" w:name="copyrightNotification"/>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xml:space="preserve">© </w:t>
            </w:r>
            <w:bookmarkStart w:id="8" w:name="copyrightDate"/>
            <w:r>
              <w:rPr>
                <w:sz w:val="18"/>
              </w:rPr>
              <w:t>2020</w:t>
            </w:r>
            <w:bookmarkEnd w:id="8"/>
            <w:r>
              <w:rPr>
                <w:sz w:val="18"/>
              </w:rPr>
              <w:t>, 3GPP Organizational Partners (ARIB, ATIS, CCSA, ETSI, TSDSI, TTA, TTC).</w:t>
            </w:r>
            <w:bookmarkStart w:id="9" w:name="copyrightaddon"/>
            <w:bookmarkEnd w:id="9"/>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bookmarkStart w:id="10" w:name="copyrightNotification"/>
            <w:r>
              <w:rPr>
                <w:sz w:val="18"/>
              </w:rPr>
              <w:t>GSM® and the GSM logo are registered and owned by the GSM Association</w:t>
            </w:r>
            <w:bookmarkEnd w:id="10"/>
          </w:p>
          <w:p>
            <w:pPr>
              <w:pStyle w:val="Normal"/>
              <w:spacing w:before="0" w:after="180"/>
              <w:rPr>
                <w:sz w:val="18"/>
              </w:rPr>
            </w:pPr>
            <w:r>
              <w:rPr>
                <w:sz w:val="18"/>
              </w:rPr>
            </w:r>
          </w:p>
        </w:tc>
      </w:tr>
    </w:tbl>
    <w:p>
      <w:pPr>
        <w:pStyle w:val="TT"/>
        <w:rPr/>
      </w:pPr>
      <w:r>
        <w:br w:type="page"/>
      </w:r>
      <w:bookmarkStart w:id="11" w:name="tableOfContents"/>
      <w:bookmarkEnd w:id="11"/>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GB" w:eastAsia="en-GB"/>
            </w:rPr>
          </w:pPr>
          <w:r>
            <w:fldChar w:fldCharType="begin"/>
          </w:r>
          <w:r>
            <w:rPr>
              <w:sz w:val="22"/>
              <w:szCs w:val="20"/>
              <w:rFonts w:eastAsia="Times New Roman" w:cs="Times New Roman"/>
              <w:color w:val="auto"/>
              <w:lang w:val="en-GB" w:eastAsia="en-US" w:bidi="ar-SA"/>
            </w:rPr>
            <w:instrText xml:space="preserve"> TOC \o "1-9"</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2088564">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GB" w:eastAsia="en-GB"/>
            </w:rPr>
          </w:pPr>
          <w:r>
            <w:rPr>
              <w:lang w:val="en-GB" w:eastAsia="en-US"/>
            </w:rPr>
            <w:t>Introduction</w:t>
            <w:tab/>
          </w:r>
          <w:hyperlink w:anchor="__RefHeading___Toc42088565">
            <w:r>
              <w:rPr>
                <w:rStyle w:val="IndexLink"/>
                <w:lang w:val="en-GB" w:eastAsia="en-US"/>
              </w:rPr>
              <w:t>5</w:t>
            </w:r>
          </w:hyperlink>
        </w:p>
        <w:p>
          <w:pPr>
            <w:pStyle w:val="Contents1"/>
            <w:rPr>
              <w:rFonts w:ascii="Calibri" w:hAnsi="Calibri" w:cs="Calibri"/>
              <w:szCs w:val="22"/>
              <w:lang w:val="en-GB" w:eastAsia="en-GB"/>
            </w:rPr>
          </w:pPr>
          <w:r>
            <w:rPr>
              <w:lang w:val="en-GB" w:eastAsia="en-US"/>
            </w:rPr>
            <w:t>1</w:t>
          </w:r>
          <w:r>
            <w:rPr>
              <w:rFonts w:cs="Calibri" w:ascii="Calibri" w:hAnsi="Calibri"/>
              <w:szCs w:val="22"/>
              <w:lang w:val="en-GB" w:eastAsia="en-GB"/>
            </w:rPr>
            <w:tab/>
          </w:r>
          <w:r>
            <w:rPr>
              <w:lang w:val="en-GB" w:eastAsia="en-US"/>
            </w:rPr>
            <w:t>Scope</w:t>
            <w:tab/>
          </w:r>
          <w:hyperlink w:anchor="__RefHeading___Toc42088566">
            <w:r>
              <w:rPr>
                <w:rStyle w:val="IndexLink"/>
                <w:lang w:val="en-GB" w:eastAsia="en-US"/>
              </w:rPr>
              <w:t>6</w:t>
            </w:r>
          </w:hyperlink>
        </w:p>
        <w:p>
          <w:pPr>
            <w:pStyle w:val="Contents1"/>
            <w:rPr>
              <w:rFonts w:ascii="Calibri" w:hAnsi="Calibri" w:cs="Calibri"/>
              <w:szCs w:val="22"/>
              <w:lang w:val="en-GB" w:eastAsia="en-GB"/>
            </w:rPr>
          </w:pPr>
          <w:r>
            <w:rPr>
              <w:lang w:val="en-GB" w:eastAsia="en-US"/>
            </w:rPr>
            <w:t>2</w:t>
          </w:r>
          <w:r>
            <w:rPr>
              <w:rFonts w:cs="Calibri" w:ascii="Calibri" w:hAnsi="Calibri"/>
              <w:szCs w:val="22"/>
              <w:lang w:val="en-GB" w:eastAsia="en-GB"/>
            </w:rPr>
            <w:tab/>
          </w:r>
          <w:r>
            <w:rPr>
              <w:lang w:val="en-GB" w:eastAsia="en-US"/>
            </w:rPr>
            <w:t>References</w:t>
            <w:tab/>
          </w:r>
          <w:hyperlink w:anchor="__RefHeading___Toc42088567">
            <w:r>
              <w:rPr>
                <w:rStyle w:val="IndexLink"/>
                <w:lang w:val="en-GB" w:eastAsia="en-US"/>
              </w:rPr>
              <w:t>6</w:t>
            </w:r>
          </w:hyperlink>
        </w:p>
        <w:p>
          <w:pPr>
            <w:pStyle w:val="Contents1"/>
            <w:rPr>
              <w:rFonts w:ascii="Calibri" w:hAnsi="Calibri" w:cs="Calibri"/>
              <w:szCs w:val="22"/>
              <w:lang w:val="en-GB" w:eastAsia="en-GB"/>
            </w:rPr>
          </w:pPr>
          <w:r>
            <w:rPr>
              <w:lang w:val="en-GB" w:eastAsia="en-US"/>
            </w:rPr>
            <w:t>3</w:t>
          </w:r>
          <w:r>
            <w:rPr>
              <w:rFonts w:cs="Calibri" w:ascii="Calibri" w:hAnsi="Calibri"/>
              <w:szCs w:val="22"/>
              <w:lang w:val="en-GB" w:eastAsia="en-GB"/>
            </w:rPr>
            <w:tab/>
          </w:r>
          <w:r>
            <w:rPr>
              <w:lang w:val="en-GB" w:eastAsia="en-US"/>
            </w:rPr>
            <w:t>Definitions of terms, symbols and abbreviations</w:t>
            <w:tab/>
          </w:r>
          <w:hyperlink w:anchor="__RefHeading___Toc42088568">
            <w:r>
              <w:rPr>
                <w:rStyle w:val="IndexLink"/>
                <w:lang w:val="en-GB" w:eastAsia="en-US"/>
              </w:rPr>
              <w:t>6</w:t>
            </w:r>
          </w:hyperlink>
        </w:p>
        <w:p>
          <w:pPr>
            <w:pStyle w:val="Contents2"/>
            <w:rPr>
              <w:rFonts w:ascii="Calibri" w:hAnsi="Calibri" w:cs="Calibri"/>
              <w:sz w:val="22"/>
              <w:szCs w:val="22"/>
              <w:lang w:val="en-GB" w:eastAsia="en-GB"/>
            </w:rPr>
          </w:pPr>
          <w:r>
            <w:rPr>
              <w:lang w:val="en-GB" w:eastAsia="en-US"/>
            </w:rPr>
            <w:t>3.1</w:t>
          </w:r>
          <w:r>
            <w:rPr>
              <w:rFonts w:cs="Calibri" w:ascii="Calibri" w:hAnsi="Calibri"/>
              <w:sz w:val="22"/>
              <w:szCs w:val="22"/>
              <w:lang w:val="en-GB" w:eastAsia="en-GB"/>
            </w:rPr>
            <w:tab/>
          </w:r>
          <w:r>
            <w:rPr>
              <w:lang w:val="en-GB" w:eastAsia="en-US"/>
            </w:rPr>
            <w:t>Terms</w:t>
            <w:tab/>
          </w:r>
          <w:hyperlink w:anchor="__RefHeading___Toc42088569">
            <w:r>
              <w:rPr>
                <w:rStyle w:val="IndexLink"/>
                <w:lang w:val="en-GB" w:eastAsia="en-US"/>
              </w:rPr>
              <w:t>6</w:t>
            </w:r>
          </w:hyperlink>
        </w:p>
        <w:p>
          <w:pPr>
            <w:pStyle w:val="Contents2"/>
            <w:rPr>
              <w:rFonts w:ascii="Calibri" w:hAnsi="Calibri" w:cs="Calibri"/>
              <w:sz w:val="22"/>
              <w:szCs w:val="22"/>
              <w:lang w:val="en-GB" w:eastAsia="en-GB"/>
            </w:rPr>
          </w:pPr>
          <w:r>
            <w:rPr>
              <w:lang w:val="en-GB" w:eastAsia="en-US"/>
            </w:rPr>
            <w:t>3.2</w:t>
          </w:r>
          <w:r>
            <w:rPr>
              <w:rFonts w:cs="Calibri" w:ascii="Calibri" w:hAnsi="Calibri"/>
              <w:sz w:val="22"/>
              <w:szCs w:val="22"/>
              <w:lang w:val="en-GB" w:eastAsia="en-GB"/>
            </w:rPr>
            <w:tab/>
          </w:r>
          <w:r>
            <w:rPr>
              <w:lang w:val="en-GB" w:eastAsia="en-US"/>
            </w:rPr>
            <w:t>Symbols</w:t>
            <w:tab/>
          </w:r>
          <w:hyperlink w:anchor="__RefHeading___Toc42088570">
            <w:r>
              <w:rPr>
                <w:rStyle w:val="IndexLink"/>
                <w:lang w:val="en-GB" w:eastAsia="en-US"/>
              </w:rPr>
              <w:t>6</w:t>
            </w:r>
          </w:hyperlink>
        </w:p>
        <w:p>
          <w:pPr>
            <w:pStyle w:val="Contents2"/>
            <w:rPr>
              <w:rFonts w:ascii="Calibri" w:hAnsi="Calibri" w:cs="Calibri"/>
              <w:sz w:val="22"/>
              <w:szCs w:val="22"/>
              <w:lang w:val="en-GB" w:eastAsia="en-GB"/>
            </w:rPr>
          </w:pPr>
          <w:r>
            <w:rPr>
              <w:lang w:val="en-GB" w:eastAsia="en-US"/>
            </w:rPr>
            <w:t>3.3</w:t>
          </w:r>
          <w:r>
            <w:rPr>
              <w:rFonts w:cs="Calibri" w:ascii="Calibri" w:hAnsi="Calibri"/>
              <w:sz w:val="22"/>
              <w:szCs w:val="22"/>
              <w:lang w:val="en-GB" w:eastAsia="en-GB"/>
            </w:rPr>
            <w:tab/>
          </w:r>
          <w:r>
            <w:rPr>
              <w:lang w:val="en-GB" w:eastAsia="en-US"/>
            </w:rPr>
            <w:t>Abbreviations</w:t>
            <w:tab/>
          </w:r>
          <w:hyperlink w:anchor="__RefHeading___Toc42088571">
            <w:r>
              <w:rPr>
                <w:rStyle w:val="IndexLink"/>
                <w:lang w:val="en-GB" w:eastAsia="en-US"/>
              </w:rPr>
              <w:t>6</w:t>
            </w:r>
          </w:hyperlink>
        </w:p>
        <w:p>
          <w:pPr>
            <w:pStyle w:val="Contents1"/>
            <w:rPr>
              <w:rFonts w:ascii="Calibri" w:hAnsi="Calibri" w:cs="Calibri"/>
              <w:szCs w:val="22"/>
              <w:lang w:val="en-GB" w:eastAsia="en-GB"/>
            </w:rPr>
          </w:pPr>
          <w:r>
            <w:rPr>
              <w:lang w:val="en-GB" w:eastAsia="en-US"/>
            </w:rPr>
            <w:t>4</w:t>
          </w:r>
          <w:r>
            <w:rPr>
              <w:rFonts w:cs="Calibri" w:ascii="Calibri" w:hAnsi="Calibri"/>
              <w:szCs w:val="22"/>
              <w:lang w:val="en-GB" w:eastAsia="en-GB"/>
            </w:rPr>
            <w:tab/>
          </w:r>
          <w:r>
            <w:rPr>
              <w:lang w:val="en-GB" w:eastAsia="en-US"/>
            </w:rPr>
            <w:t>Concepts and background</w:t>
            <w:tab/>
          </w:r>
          <w:hyperlink w:anchor="__RefHeading___Toc42088572">
            <w:r>
              <w:rPr>
                <w:rStyle w:val="IndexLink"/>
                <w:lang w:val="en-GB" w:eastAsia="en-US"/>
              </w:rPr>
              <w:t>7</w:t>
            </w:r>
          </w:hyperlink>
        </w:p>
        <w:p>
          <w:pPr>
            <w:pStyle w:val="Contents1"/>
            <w:rPr>
              <w:rFonts w:ascii="Calibri" w:hAnsi="Calibri" w:cs="Calibri"/>
              <w:szCs w:val="22"/>
              <w:lang w:val="en-GB" w:eastAsia="en-GB"/>
            </w:rPr>
          </w:pPr>
          <w:r>
            <w:rPr>
              <w:lang w:val="en-GB" w:eastAsia="en-US"/>
            </w:rPr>
            <w:t>5</w:t>
          </w:r>
          <w:r>
            <w:rPr>
              <w:rFonts w:cs="Calibri" w:ascii="Calibri" w:hAnsi="Calibri"/>
              <w:szCs w:val="22"/>
              <w:lang w:val="en-GB" w:eastAsia="en-GB"/>
            </w:rPr>
            <w:tab/>
          </w:r>
          <w:r>
            <w:rPr>
              <w:lang w:val="en-GB" w:eastAsia="en-US"/>
            </w:rPr>
            <w:t>Business Level Requirements</w:t>
            <w:tab/>
          </w:r>
          <w:hyperlink w:anchor="__RefHeading___Toc42088573">
            <w:r>
              <w:rPr>
                <w:rStyle w:val="IndexLink"/>
                <w:lang w:val="en-GB" w:eastAsia="en-US"/>
              </w:rPr>
              <w:t>7</w:t>
            </w:r>
          </w:hyperlink>
        </w:p>
        <w:p>
          <w:pPr>
            <w:pStyle w:val="Contents1"/>
            <w:rPr>
              <w:rFonts w:ascii="Calibri" w:hAnsi="Calibri" w:cs="Calibri"/>
              <w:szCs w:val="22"/>
              <w:lang w:val="en-GB" w:eastAsia="en-GB"/>
            </w:rPr>
          </w:pPr>
          <w:r>
            <w:rPr>
              <w:lang w:val="en-GB" w:eastAsia="en-US"/>
            </w:rPr>
            <w:t>6</w:t>
          </w:r>
          <w:r>
            <w:rPr>
              <w:rFonts w:cs="Calibri" w:ascii="Calibri" w:hAnsi="Calibri"/>
              <w:szCs w:val="22"/>
              <w:lang w:val="en-GB" w:eastAsia="en-GB"/>
            </w:rPr>
            <w:tab/>
          </w:r>
          <w:r>
            <w:rPr>
              <w:lang w:val="en-GB" w:eastAsia="en-US"/>
            </w:rPr>
            <w:t>Specification level requirements</w:t>
            <w:tab/>
          </w:r>
          <w:hyperlink w:anchor="__RefHeading___Toc42088574">
            <w:r>
              <w:rPr>
                <w:rStyle w:val="IndexLink"/>
                <w:lang w:val="en-GB" w:eastAsia="en-US"/>
              </w:rPr>
              <w:t>7</w:t>
            </w:r>
          </w:hyperlink>
        </w:p>
        <w:p>
          <w:pPr>
            <w:pStyle w:val="Contents2"/>
            <w:rPr>
              <w:rFonts w:ascii="Calibri" w:hAnsi="Calibri" w:cs="Calibri"/>
              <w:sz w:val="22"/>
              <w:szCs w:val="22"/>
              <w:lang w:val="en-GB" w:eastAsia="en-GB"/>
            </w:rPr>
          </w:pPr>
          <w:r>
            <w:rPr>
              <w:lang w:val="en-GB" w:eastAsia="en-US"/>
            </w:rPr>
            <w:t>6.1</w:t>
          </w:r>
          <w:r>
            <w:rPr>
              <w:rFonts w:cs="Calibri" w:ascii="Calibri" w:hAnsi="Calibri"/>
              <w:sz w:val="22"/>
              <w:szCs w:val="22"/>
              <w:lang w:val="en-GB" w:eastAsia="en-GB"/>
            </w:rPr>
            <w:tab/>
          </w:r>
          <w:r>
            <w:rPr>
              <w:lang w:val="en-GB" w:eastAsia="en-US"/>
            </w:rPr>
            <w:t>Requirements</w:t>
            <w:tab/>
          </w:r>
          <w:hyperlink w:anchor="__RefHeading___Toc42088575">
            <w:r>
              <w:rPr>
                <w:rStyle w:val="IndexLink"/>
                <w:lang w:val="en-GB" w:eastAsia="en-US"/>
              </w:rPr>
              <w:t>7</w:t>
            </w:r>
          </w:hyperlink>
        </w:p>
        <w:p>
          <w:pPr>
            <w:pStyle w:val="Contents2"/>
            <w:rPr>
              <w:rFonts w:ascii="Calibri" w:hAnsi="Calibri" w:cs="Calibri"/>
              <w:sz w:val="22"/>
              <w:szCs w:val="22"/>
              <w:lang w:val="en-GB" w:eastAsia="en-GB"/>
            </w:rPr>
          </w:pPr>
          <w:r>
            <w:rPr>
              <w:lang w:val="en-GB" w:eastAsia="en-US"/>
            </w:rPr>
            <w:t>6.2</w:t>
          </w:r>
          <w:r>
            <w:rPr>
              <w:rFonts w:cs="Calibri" w:ascii="Calibri" w:hAnsi="Calibri"/>
              <w:sz w:val="22"/>
              <w:szCs w:val="22"/>
              <w:lang w:val="en-GB" w:eastAsia="en-GB"/>
            </w:rPr>
            <w:tab/>
          </w:r>
          <w:r>
            <w:rPr>
              <w:lang w:val="en-GB" w:eastAsia="en-US"/>
            </w:rPr>
            <w:t>Actor roles</w:t>
            <w:tab/>
          </w:r>
          <w:hyperlink w:anchor="__RefHeading___Toc42088576">
            <w:r>
              <w:rPr>
                <w:rStyle w:val="IndexLink"/>
                <w:lang w:val="en-GB" w:eastAsia="en-US"/>
              </w:rPr>
              <w:t>7</w:t>
            </w:r>
          </w:hyperlink>
        </w:p>
        <w:p>
          <w:pPr>
            <w:pStyle w:val="Contents2"/>
            <w:rPr>
              <w:rFonts w:ascii="Calibri" w:hAnsi="Calibri" w:cs="Calibri"/>
              <w:sz w:val="22"/>
              <w:szCs w:val="22"/>
              <w:lang w:val="en-GB" w:eastAsia="en-GB"/>
            </w:rPr>
          </w:pPr>
          <w:r>
            <w:rPr>
              <w:lang w:val="en-GB" w:eastAsia="en-US"/>
            </w:rPr>
            <w:t>6.3</w:t>
          </w:r>
          <w:r>
            <w:rPr>
              <w:rFonts w:cs="Calibri" w:ascii="Calibri" w:hAnsi="Calibri"/>
              <w:sz w:val="22"/>
              <w:szCs w:val="22"/>
              <w:lang w:val="en-GB" w:eastAsia="en-GB"/>
            </w:rPr>
            <w:tab/>
          </w:r>
          <w:r>
            <w:rPr>
              <w:lang w:val="en-GB" w:eastAsia="en-US"/>
            </w:rPr>
            <w:t>Telecommunication resources</w:t>
            <w:tab/>
          </w:r>
          <w:hyperlink w:anchor="__RefHeading___Toc42088577">
            <w:r>
              <w:rPr>
                <w:rStyle w:val="IndexLink"/>
                <w:lang w:val="en-GB" w:eastAsia="en-US"/>
              </w:rPr>
              <w:t>7</w:t>
            </w:r>
          </w:hyperlink>
        </w:p>
        <w:p>
          <w:pPr>
            <w:pStyle w:val="Contents2"/>
            <w:rPr>
              <w:rFonts w:ascii="Calibri" w:hAnsi="Calibri" w:cs="Calibri"/>
              <w:sz w:val="22"/>
              <w:szCs w:val="22"/>
              <w:lang w:val="en-GB" w:eastAsia="en-GB"/>
            </w:rPr>
          </w:pPr>
          <w:r>
            <w:rPr>
              <w:lang w:val="en-GB" w:eastAsia="en-US"/>
            </w:rPr>
            <w:t>6.4</w:t>
          </w:r>
          <w:r>
            <w:rPr>
              <w:rFonts w:cs="Calibri" w:ascii="Calibri" w:hAnsi="Calibri"/>
              <w:sz w:val="22"/>
              <w:szCs w:val="22"/>
              <w:lang w:val="en-GB" w:eastAsia="en-GB"/>
            </w:rPr>
            <w:tab/>
          </w:r>
          <w:r>
            <w:rPr>
              <w:lang w:val="en-GB" w:eastAsia="en-US"/>
            </w:rPr>
            <w:t>Use cases</w:t>
            <w:tab/>
          </w:r>
          <w:hyperlink w:anchor="__RefHeading___Toc42088578">
            <w:r>
              <w:rPr>
                <w:rStyle w:val="IndexLink"/>
                <w:lang w:val="en-GB" w:eastAsia="en-US"/>
              </w:rPr>
              <w:t>8</w:t>
            </w:r>
          </w:hyperlink>
        </w:p>
        <w:p>
          <w:pPr>
            <w:pStyle w:val="Contents3"/>
            <w:rPr>
              <w:rFonts w:ascii="Calibri" w:hAnsi="Calibri" w:cs="Calibri"/>
              <w:sz w:val="22"/>
              <w:szCs w:val="22"/>
              <w:lang w:val="en-GB" w:eastAsia="en-GB"/>
            </w:rPr>
          </w:pPr>
          <w:r>
            <w:rPr>
              <w:lang w:val="en-GB" w:eastAsia="en-US"/>
            </w:rPr>
            <w:t>6.4.1</w:t>
          </w:r>
          <w:r>
            <w:rPr>
              <w:rFonts w:cs="Calibri" w:ascii="Calibri" w:hAnsi="Calibri"/>
              <w:sz w:val="22"/>
              <w:szCs w:val="22"/>
              <w:lang w:val="en-GB" w:eastAsia="en-GB"/>
            </w:rPr>
            <w:tab/>
          </w:r>
          <w:r>
            <w:rPr>
              <w:lang w:val="en-GB" w:eastAsia="en-US"/>
            </w:rPr>
            <w:t>Activate collection measurement job for an area in UTRAN</w:t>
            <w:tab/>
          </w:r>
          <w:hyperlink w:anchor="__RefHeading___Toc42088579">
            <w:r>
              <w:rPr>
                <w:rStyle w:val="IndexLink"/>
                <w:lang w:val="en-GB" w:eastAsia="en-US"/>
              </w:rPr>
              <w:t>8</w:t>
            </w:r>
          </w:hyperlink>
        </w:p>
        <w:p>
          <w:pPr>
            <w:pStyle w:val="Contents3"/>
            <w:rPr>
              <w:rFonts w:ascii="Calibri" w:hAnsi="Calibri" w:cs="Calibri"/>
              <w:sz w:val="22"/>
              <w:szCs w:val="22"/>
              <w:lang w:val="en-GB" w:eastAsia="en-GB"/>
            </w:rPr>
          </w:pPr>
          <w:r>
            <w:rPr>
              <w:lang w:val="en-GB" w:eastAsia="en-US"/>
            </w:rPr>
            <w:t>6.4.2</w:t>
          </w:r>
          <w:r>
            <w:rPr>
              <w:rFonts w:cs="Calibri" w:ascii="Calibri" w:hAnsi="Calibri"/>
              <w:sz w:val="22"/>
              <w:szCs w:val="22"/>
              <w:lang w:val="en-GB" w:eastAsia="en-GB"/>
            </w:rPr>
            <w:tab/>
          </w:r>
          <w:r>
            <w:rPr>
              <w:lang w:val="en-GB" w:eastAsia="en-US"/>
            </w:rPr>
            <w:t>De-activate collection measurement job in UTRAN</w:t>
            <w:tab/>
          </w:r>
          <w:hyperlink w:anchor="__RefHeading___Toc42088580">
            <w:r>
              <w:rPr>
                <w:rStyle w:val="IndexLink"/>
                <w:lang w:val="en-GB" w:eastAsia="en-US"/>
              </w:rPr>
              <w:t>8</w:t>
            </w:r>
          </w:hyperlink>
        </w:p>
        <w:p>
          <w:pPr>
            <w:pStyle w:val="Contents8"/>
            <w:rPr>
              <w:rFonts w:ascii="Calibri" w:hAnsi="Calibri" w:cs="Calibri"/>
              <w:szCs w:val="22"/>
              <w:lang w:val="en-GB" w:eastAsia="en-GB"/>
            </w:rPr>
          </w:pPr>
          <w:r>
            <w:rPr>
              <w:b w:val="false"/>
              <w:lang w:val="en-GB" w:eastAsia="en-US"/>
            </w:rPr>
            <w:t>Annex A (informative):</w:t>
            <w:tab/>
            <w:t>Change history</w:t>
            <w:tab/>
          </w:r>
          <w:hyperlink w:anchor="__RefHeading___Toc42088581">
            <w:r>
              <w:rPr>
                <w:rStyle w:val="IndexLink"/>
                <w:b w:val="false"/>
                <w:lang w:val="en-GB" w:eastAsia="en-US"/>
              </w:rPr>
              <w:t>9</w:t>
            </w:r>
          </w:hyperlink>
          <w:r>
            <w:rPr>
              <w:rStyle w:val="IndexLink"/>
              <w:b w:val="false"/>
              <w:lang w:val="en-GB" w:eastAsia="en-US"/>
            </w:rPr>
            <w:fldChar w:fldCharType="end"/>
          </w:r>
        </w:p>
      </w:sdtContent>
    </w:sdt>
    <w:p>
      <w:pPr>
        <w:pStyle w:val="Normal"/>
        <w:rPr>
          <w:rFonts w:ascii="Calibri" w:hAnsi="Calibri" w:cs="Calibri"/>
          <w:b/>
          <w:b/>
          <w:szCs w:val="22"/>
          <w:lang w:val="en-GB" w:eastAsia="en-GB"/>
        </w:rPr>
      </w:pPr>
      <w:r>
        <w:rPr>
          <w:rFonts w:cs="Calibri" w:ascii="Calibri" w:hAnsi="Calibri"/>
          <w:b/>
          <w:szCs w:val="22"/>
          <w:lang w:val="en-GB" w:eastAsia="en-GB"/>
        </w:rPr>
      </w:r>
      <w:r>
        <w:br w:type="page"/>
      </w:r>
    </w:p>
    <w:p>
      <w:pPr>
        <w:pStyle w:val="Heading1"/>
        <w:ind w:left="1134" w:hanging="1134"/>
        <w:rPr/>
      </w:pPr>
      <w:bookmarkStart w:id="12" w:name="__RefHeading___Toc42088564"/>
      <w:bookmarkStart w:id="13" w:name="foreword"/>
      <w:bookmarkEnd w:id="12"/>
      <w:bookmarkEnd w:id="13"/>
      <w:r>
        <w:rPr/>
        <w:t>Foreword</w:t>
      </w:r>
    </w:p>
    <w:p>
      <w:pPr>
        <w:pStyle w:val="Normal"/>
        <w:rPr/>
      </w:pPr>
      <w:r>
        <w:rPr/>
        <w:t xml:space="preserve">This Technical </w:t>
      </w:r>
      <w:bookmarkStart w:id="14" w:name="spectype3"/>
      <w:r>
        <w:rPr/>
        <w:t>Specification|</w:t>
      </w:r>
      <w:bookmarkEnd w:id="14"/>
      <w:r>
        <w:rPr/>
        <w:t xml:space="preserve">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shall</w:t>
      </w:r>
      <w:r>
        <w:rPr/>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indicates a recommendation to do something</w:t>
      </w:r>
    </w:p>
    <w:p>
      <w:pPr>
        <w:pStyle w:val="EX"/>
        <w:rPr/>
      </w:pPr>
      <w:r>
        <w:rPr>
          <w:b/>
        </w:rPr>
        <w:t>should not</w:t>
      </w:r>
      <w:r>
        <w:rPr/>
        <w:tab/>
        <w:t>indicates a recommendation not to do something</w:t>
      </w:r>
    </w:p>
    <w:p>
      <w:pPr>
        <w:pStyle w:val="EX"/>
        <w:rPr/>
      </w:pPr>
      <w:r>
        <w:rPr>
          <w:b/>
        </w:rPr>
        <w:t>may</w:t>
      </w:r>
      <w:r>
        <w:rPr/>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indicates that something is possible</w:t>
      </w:r>
    </w:p>
    <w:p>
      <w:pPr>
        <w:pStyle w:val="EX"/>
        <w:rPr/>
      </w:pPr>
      <w:r>
        <w:rPr>
          <w:b/>
        </w:rPr>
        <w:t>cannot</w:t>
      </w:r>
      <w:r>
        <w:rPr/>
        <w:tab/>
        <w:t>indicates that something is impossible</w:t>
      </w:r>
    </w:p>
    <w:p>
      <w:pPr>
        <w:pStyle w:val="Normal"/>
        <w:rPr/>
      </w:pPr>
      <w:r>
        <w:rPr/>
        <w:t>The constructions "can" and "cannot" are not substitutes for "may" and "need not".</w:t>
      </w:r>
    </w:p>
    <w:p>
      <w:pPr>
        <w:pStyle w:val="EX"/>
        <w:rPr/>
      </w:pPr>
      <w:r>
        <w:rPr>
          <w:b/>
        </w:rPr>
        <w:t>will</w:t>
      </w:r>
      <w:r>
        <w:rPr/>
        <w:tab/>
        <w:t>indicates that something is certain or expected to happen as a result of action taken by an agency the behaviour of which is outside the scope of the present document</w:t>
      </w:r>
    </w:p>
    <w:p>
      <w:pPr>
        <w:pStyle w:val="EX"/>
        <w:rPr/>
      </w:pPr>
      <w:r>
        <w:rPr>
          <w:b/>
        </w:rPr>
        <w:t>will not</w:t>
      </w:r>
      <w:r>
        <w:rPr/>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p>
    <w:p>
      <w:pPr>
        <w:pStyle w:val="Heading1"/>
        <w:ind w:left="1134" w:hanging="1134"/>
        <w:rPr/>
      </w:pPr>
      <w:bookmarkStart w:id="15" w:name="__RefHeading___Toc42088565"/>
      <w:bookmarkStart w:id="16" w:name="introduction"/>
      <w:bookmarkEnd w:id="15"/>
      <w:bookmarkEnd w:id="16"/>
      <w:r>
        <w:rPr/>
        <w:t>Introduction</w:t>
      </w:r>
    </w:p>
    <w:p>
      <w:pPr>
        <w:pStyle w:val="Normal"/>
        <w:rPr/>
      </w:pPr>
      <w:r>
        <w:rPr/>
        <w:t xml:space="preserve">The present document is part of a TS-family covering the 3rd Generation Partnership Project; Technical Specification Group Services and System Aspects; Telecommunication management, as identified below: </w:t>
      </w:r>
    </w:p>
    <w:p>
      <w:pPr>
        <w:pStyle w:val="Normal"/>
        <w:rPr>
          <w:b/>
          <w:b/>
        </w:rPr>
      </w:pPr>
      <w:r>
        <w:rPr>
          <w:b/>
        </w:rPr>
        <w:t>TS 28.307: Management of Quality of Experience (QoE) measurement collection Integration Reference Point (IRP); Requirements</w:t>
      </w:r>
    </w:p>
    <w:p>
      <w:pPr>
        <w:pStyle w:val="Normal"/>
        <w:rPr/>
      </w:pPr>
      <w:r>
        <w:rPr/>
        <w:t>TS 28.308: Management of Quality of Experience (QoE) measurement collection Integration Reference Point (IRP); Information Service (IS)</w:t>
      </w:r>
    </w:p>
    <w:p>
      <w:pPr>
        <w:pStyle w:val="Normal"/>
        <w:rPr/>
      </w:pPr>
      <w:r>
        <w:rPr/>
        <w:t>TS 28.309: Management of Quality of Experience (QoE) measurement collection Integration Reference Point (IRP); Solution Set (SS) definitions</w:t>
      </w:r>
    </w:p>
    <w:p>
      <w:pPr>
        <w:pStyle w:val="Normal"/>
        <w:rPr/>
      </w:pPr>
      <w:r>
        <w:rPr/>
        <w:t xml:space="preserve">One main motivation of mobile network evolution is to improve the user experience why the evaluation at the UE side is vital to network operators, especially when the operators provide some real-time services which require for example high date rate and low latency like streaming services (typically video services). </w:t>
      </w:r>
    </w:p>
    <w:p>
      <w:pPr>
        <w:pStyle w:val="Normal"/>
        <w:rPr/>
      </w:pPr>
      <w:r>
        <w:rPr/>
        <w:t xml:space="preserve">Quality of Experience (QoE) information collection provides detailed information at session level on a number of UEs. </w:t>
      </w:r>
    </w:p>
    <w:p>
      <w:pPr>
        <w:pStyle w:val="Normal"/>
        <w:rPr/>
      </w:pPr>
      <w:r>
        <w:rPr/>
        <w:t>The operator can initiate logging of QoE information of an end user service. The collected information (specified in 3GPP TS 26.247 [2]) cannot be deduced from performance measurements in the mobile network.</w:t>
      </w:r>
    </w:p>
    <w:p>
      <w:pPr>
        <w:pStyle w:val="Normal"/>
        <w:rPr/>
      </w:pPr>
      <w:r>
        <w:rPr/>
        <w:t>The QoE information is information collected by the end user application in the UE.</w:t>
      </w:r>
    </w:p>
    <w:p>
      <w:pPr>
        <w:pStyle w:val="Normal"/>
        <w:rPr/>
      </w:pPr>
      <w:r>
        <w:rPr/>
        <w:t>The QoE information is collected by the management system (e.g. an Operations System (OS) in TMN terminology) for analysis and/or KPI calculations.</w:t>
      </w:r>
      <w:r>
        <w:br w:type="page"/>
      </w:r>
    </w:p>
    <w:p>
      <w:pPr>
        <w:pStyle w:val="Heading1"/>
        <w:ind w:left="1134" w:hanging="1134"/>
        <w:rPr/>
      </w:pPr>
      <w:bookmarkStart w:id="17" w:name="__RefHeading___Toc42088566"/>
      <w:bookmarkStart w:id="18" w:name="scope"/>
      <w:bookmarkEnd w:id="17"/>
      <w:bookmarkEnd w:id="18"/>
      <w:r>
        <w:rPr/>
        <w:t>1</w:t>
        <w:tab/>
        <w:t>Scope</w:t>
      </w:r>
    </w:p>
    <w:p>
      <w:pPr>
        <w:pStyle w:val="Normal"/>
        <w:rPr/>
      </w:pPr>
      <w:bookmarkStart w:id="19" w:name="references"/>
      <w:bookmarkEnd w:id="19"/>
      <w:r>
        <w:rPr/>
        <w:t>The present document addresses Integration Reference Point (IRP) requirements for the function Quality of Experience (QoE) measurement collection in UMTS and LTE. The measurements that are collected are DASH [2] and MTSI [5] measurements.</w:t>
      </w:r>
    </w:p>
    <w:p>
      <w:pPr>
        <w:pStyle w:val="Normal"/>
        <w:rPr/>
      </w:pPr>
      <w:r>
        <w:rPr/>
        <w:t>The function includes collecting QoE information from UEs frequenting a specified area.</w:t>
      </w:r>
    </w:p>
    <w:p>
      <w:pPr>
        <w:pStyle w:val="Heading1"/>
        <w:ind w:left="1134" w:hanging="1134"/>
        <w:rPr/>
      </w:pPr>
      <w:bookmarkStart w:id="20" w:name="__RefHeading___Toc42088567"/>
      <w:bookmarkEnd w:id="2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21" w:name="definitions"/>
      <w:bookmarkEnd w:id="21"/>
      <w:r>
        <w:rPr/>
        <w:t>[1]</w:t>
        <w:tab/>
        <w:t>3GPP TR 21.905: "Vocabulary for 3GPP Specifications".</w:t>
      </w:r>
    </w:p>
    <w:p>
      <w:pPr>
        <w:pStyle w:val="EX"/>
        <w:rPr/>
      </w:pPr>
      <w:r>
        <w:rPr/>
        <w:t>[2]</w:t>
        <w:tab/>
        <w:t>3GPP TS 26.247: "Transparent end-to-end Packet-switched Streaming Service (PSS); Progressive Download and Dynamic Adaptive Streaming over HTTP (3GP-DASH)".</w:t>
      </w:r>
    </w:p>
    <w:p>
      <w:pPr>
        <w:pStyle w:val="EX"/>
        <w:rPr/>
      </w:pPr>
      <w:r>
        <w:rPr/>
        <w:t>[3]</w:t>
        <w:tab/>
        <w:t>3GPP TS 28.404: "Telecommunication management; Quality of Experience (QoE) measurement collection; Concepts, use cases and requirements".</w:t>
      </w:r>
    </w:p>
    <w:p>
      <w:pPr>
        <w:pStyle w:val="EX"/>
        <w:rPr/>
      </w:pPr>
      <w:r>
        <w:rPr/>
        <w:t>[4]</w:t>
        <w:tab/>
        <w:t>3GPP TS 25.331: "Radio Resource Control (RRC); Protocol specification".</w:t>
      </w:r>
    </w:p>
    <w:p>
      <w:pPr>
        <w:pStyle w:val="EX"/>
        <w:rPr/>
      </w:pPr>
      <w:r>
        <w:rPr/>
        <w:t>[5]</w:t>
        <w:tab/>
        <w:t>3GPP TS 26.114: "IP Multimedia Subsystem (IMS); Multimedia Telephony; Media handling and interaction".</w:t>
      </w:r>
    </w:p>
    <w:p>
      <w:pPr>
        <w:pStyle w:val="Heading1"/>
        <w:ind w:left="1134" w:hanging="1134"/>
        <w:rPr/>
      </w:pPr>
      <w:bookmarkStart w:id="22" w:name="__RefHeading___Toc42088568"/>
      <w:bookmarkEnd w:id="22"/>
      <w:r>
        <w:rPr/>
        <w:t>3</w:t>
        <w:tab/>
        <w:t>Definitions of terms, symbols and abbreviations</w:t>
      </w:r>
    </w:p>
    <w:p>
      <w:pPr>
        <w:pStyle w:val="Heading2"/>
        <w:rPr/>
      </w:pPr>
      <w:bookmarkStart w:id="23" w:name="__RefHeading___Toc42088569"/>
      <w:bookmarkEnd w:id="23"/>
      <w:r>
        <w:rPr/>
        <w:t>3.1</w:t>
        <w:tab/>
        <w:t>Terms</w:t>
      </w:r>
    </w:p>
    <w:p>
      <w:pPr>
        <w:pStyle w:val="Normal"/>
        <w:rPr/>
      </w:pPr>
      <w:r>
        <w:rPr/>
        <w:t>For the purposes of the present document, the terms given in TR 21.905 [1] and the following apply. A term defined in the present document takes precedence over the definition of the same term, if any, in TR 21.905 [1].</w:t>
      </w:r>
    </w:p>
    <w:p>
      <w:pPr>
        <w:pStyle w:val="Heading2"/>
        <w:rPr/>
      </w:pPr>
      <w:bookmarkStart w:id="24" w:name="__RefHeading___Toc42088570"/>
      <w:bookmarkEnd w:id="24"/>
      <w:r>
        <w:rPr/>
        <w:t>3.2</w:t>
        <w:tab/>
        <w:t>Symbols</w:t>
      </w:r>
    </w:p>
    <w:p>
      <w:pPr>
        <w:pStyle w:val="Normal"/>
        <w:rPr/>
      </w:pPr>
      <w:r>
        <w:rPr/>
        <w:t>Void.</w:t>
      </w:r>
    </w:p>
    <w:p>
      <w:pPr>
        <w:pStyle w:val="Heading2"/>
        <w:rPr/>
      </w:pPr>
      <w:bookmarkStart w:id="25" w:name="__RefHeading___Toc42088571"/>
      <w:bookmarkEnd w:id="25"/>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NRS</w:t>
        <w:tab/>
        <w:t xml:space="preserve">Network Request Session </w:t>
      </w:r>
    </w:p>
    <w:p>
      <w:pPr>
        <w:pStyle w:val="NO"/>
        <w:rPr/>
      </w:pPr>
      <w:r>
        <w:rPr/>
        <w:t>NOTE:</w:t>
        <w:tab/>
        <w:t>See TS 28.404 [3].</w:t>
      </w:r>
    </w:p>
    <w:p>
      <w:pPr>
        <w:pStyle w:val="EW"/>
        <w:rPr/>
      </w:pPr>
      <w:r>
        <w:rPr/>
        <w:t>RECS</w:t>
        <w:tab/>
        <w:t>RECording Session</w:t>
      </w:r>
    </w:p>
    <w:p>
      <w:pPr>
        <w:pStyle w:val="NO"/>
        <w:rPr/>
      </w:pPr>
      <w:r>
        <w:rPr/>
        <w:t>NOTE:</w:t>
        <w:tab/>
        <w:t>See 3GPP TS 28.404 [3].</w:t>
      </w:r>
    </w:p>
    <w:p>
      <w:pPr>
        <w:pStyle w:val="EX"/>
        <w:rPr/>
      </w:pPr>
      <w:r>
        <w:rPr/>
        <w:t>UERS</w:t>
        <w:tab/>
        <w:t>UE Request Session</w:t>
      </w:r>
    </w:p>
    <w:p>
      <w:pPr>
        <w:pStyle w:val="NO"/>
        <w:rPr/>
      </w:pPr>
      <w:r>
        <w:rPr/>
        <w:t>NOTE:</w:t>
        <w:tab/>
        <w:t>See 3GPP TS 28.404 [3].</w:t>
      </w:r>
    </w:p>
    <w:p>
      <w:pPr>
        <w:pStyle w:val="EW"/>
        <w:rPr/>
      </w:pPr>
      <w:r>
        <w:rPr/>
      </w:r>
    </w:p>
    <w:p>
      <w:pPr>
        <w:pStyle w:val="Heading1"/>
        <w:ind w:left="1134" w:hanging="1134"/>
        <w:rPr/>
      </w:pPr>
      <w:bookmarkStart w:id="26" w:name="__RefHeading___Toc42088572"/>
      <w:bookmarkStart w:id="27" w:name="clause4"/>
      <w:bookmarkEnd w:id="26"/>
      <w:bookmarkEnd w:id="27"/>
      <w:r>
        <w:rPr/>
        <w:t>4</w:t>
        <w:tab/>
        <w:t>Concepts and background</w:t>
      </w:r>
    </w:p>
    <w:p>
      <w:pPr>
        <w:pStyle w:val="Normal"/>
        <w:rPr/>
      </w:pPr>
      <w:r>
        <w:rPr/>
        <w:t xml:space="preserve">The collection of QoE information for a specified end user service/end user service type either from UEs in a specified area. The collected </w:t>
      </w:r>
      <w:r>
        <w:rPr>
          <w:iCs/>
        </w:rPr>
        <w:t>information</w:t>
      </w:r>
      <w:r>
        <w:rPr/>
        <w:t xml:space="preserve"> is transported to a collection centre, where it can be analysed and/or KPIs can be calculated.</w:t>
      </w:r>
    </w:p>
    <w:p>
      <w:pPr>
        <w:pStyle w:val="Normal"/>
        <w:rPr/>
      </w:pPr>
      <w:r>
        <w:rPr>
          <w:iCs/>
        </w:rPr>
        <w:t>A collection can be requested by an operator technician via the management system to the traffic network. As the network do not have any knowledge which UEs have the capability to record the requested data, therefore the UEs will report whether they have this capability or not when a session set up. UEs that has this capability that match the request from the management system will be requested to start recording the requested information when the request constraints are met. The UE will make the recorded data available for management system.</w:t>
      </w:r>
    </w:p>
    <w:p>
      <w:pPr>
        <w:pStyle w:val="Heading1"/>
        <w:ind w:left="1134" w:hanging="1134"/>
        <w:rPr/>
      </w:pPr>
      <w:bookmarkStart w:id="28" w:name="__RefHeading___Toc42088573"/>
      <w:bookmarkEnd w:id="28"/>
      <w:r>
        <w:rPr/>
        <w:t>5</w:t>
        <w:tab/>
        <w:t>Business Level Requirements</w:t>
      </w:r>
    </w:p>
    <w:p>
      <w:pPr>
        <w:pStyle w:val="Normal"/>
        <w:spacing w:before="0" w:after="0"/>
        <w:rPr/>
      </w:pPr>
      <w:r>
        <w:rPr/>
        <w:t>See business level requirements in 3GPP TS 28.404 [3]</w:t>
      </w:r>
      <w:r>
        <w:rPr>
          <w:i/>
        </w:rPr>
        <w:t>.</w:t>
      </w:r>
    </w:p>
    <w:p>
      <w:pPr>
        <w:pStyle w:val="Heading1"/>
        <w:ind w:left="1134" w:hanging="1134"/>
        <w:rPr/>
      </w:pPr>
      <w:bookmarkStart w:id="29" w:name="__RefHeading___Toc42088574"/>
      <w:bookmarkEnd w:id="29"/>
      <w:r>
        <w:rPr/>
        <w:t>6</w:t>
        <w:tab/>
        <w:t>Specification level requirements</w:t>
      </w:r>
    </w:p>
    <w:p>
      <w:pPr>
        <w:pStyle w:val="Heading2"/>
        <w:rPr/>
      </w:pPr>
      <w:bookmarkStart w:id="30" w:name="__RefHeading___Toc42088575"/>
      <w:bookmarkEnd w:id="30"/>
      <w:r>
        <w:rPr/>
        <w:t>6.1</w:t>
        <w:tab/>
        <w:t>Requirements</w:t>
      </w:r>
    </w:p>
    <w:p>
      <w:pPr>
        <w:pStyle w:val="Normal"/>
        <w:rPr/>
      </w:pPr>
      <w:r>
        <w:rPr>
          <w:b/>
        </w:rPr>
        <w:t>REQ-EUSPC-FUN-1</w:t>
      </w:r>
      <w:r>
        <w:rPr/>
        <w:t>: The IRPManager shall have a capability to request collection of QoE information per end user service/end user service type for a specified area.</w:t>
      </w:r>
    </w:p>
    <w:p>
      <w:pPr>
        <w:pStyle w:val="Normal"/>
        <w:rPr/>
      </w:pPr>
      <w:r>
        <w:rPr>
          <w:b/>
        </w:rPr>
        <w:t>REQ-EUSPC-FUN-2</w:t>
      </w:r>
      <w:r>
        <w:rPr/>
        <w:t>: The IRPManager shall have a capability to request the collection of QoE information to be stopped before the time for the NRS has expired.</w:t>
      </w:r>
    </w:p>
    <w:p>
      <w:pPr>
        <w:pStyle w:val="Normal"/>
        <w:rPr/>
      </w:pPr>
      <w:r>
        <w:rPr>
          <w:b/>
        </w:rPr>
        <w:t>REQ-EUSPC-FUN-3</w:t>
      </w:r>
      <w:r>
        <w:rPr/>
        <w:t>: The IRPAgent shall have a capability to notify the IRPManager when a collection of QoE information has been stopped before the time for the NRS has expired.</w:t>
      </w:r>
    </w:p>
    <w:p>
      <w:pPr>
        <w:pStyle w:val="Heading2"/>
        <w:rPr/>
      </w:pPr>
      <w:bookmarkStart w:id="31" w:name="__RefHeading___Toc42088576"/>
      <w:bookmarkEnd w:id="31"/>
      <w:r>
        <w:rPr/>
        <w:t>6.2</w:t>
        <w:tab/>
        <w:t>Actor roles</w:t>
      </w:r>
    </w:p>
    <w:p>
      <w:pPr>
        <w:pStyle w:val="Tabletext"/>
        <w:rPr>
          <w:i/>
          <w:i/>
          <w:iCs/>
          <w:sz w:val="20"/>
        </w:rPr>
      </w:pPr>
      <w:r>
        <w:rPr>
          <w:iCs/>
          <w:sz w:val="20"/>
        </w:rPr>
        <w:t>Please see respective use case.</w:t>
      </w:r>
    </w:p>
    <w:p>
      <w:pPr>
        <w:pStyle w:val="Heading2"/>
        <w:rPr/>
      </w:pPr>
      <w:bookmarkStart w:id="32" w:name="__RefHeading___Toc42088577"/>
      <w:bookmarkEnd w:id="32"/>
      <w:r>
        <w:rPr/>
        <w:t>6.3</w:t>
        <w:tab/>
        <w:t>Telecommunication resources</w:t>
      </w:r>
    </w:p>
    <w:p>
      <w:pPr>
        <w:pStyle w:val="Tabletext"/>
        <w:rPr>
          <w:i/>
          <w:i/>
          <w:iCs/>
          <w:sz w:val="20"/>
        </w:rPr>
      </w:pPr>
      <w:r>
        <w:rPr>
          <w:iCs/>
          <w:sz w:val="20"/>
        </w:rPr>
        <w:t>Please see respective use case.</w:t>
      </w:r>
    </w:p>
    <w:p>
      <w:pPr>
        <w:pStyle w:val="Heading2"/>
        <w:rPr/>
      </w:pPr>
      <w:bookmarkStart w:id="33" w:name="__RefHeading___Toc42088578"/>
      <w:bookmarkEnd w:id="33"/>
      <w:r>
        <w:rPr/>
        <w:t>6.4</w:t>
        <w:tab/>
        <w:t>Use cases</w:t>
      </w:r>
    </w:p>
    <w:p>
      <w:pPr>
        <w:pStyle w:val="Heading3"/>
        <w:rPr/>
      </w:pPr>
      <w:bookmarkStart w:id="34" w:name="__RefHeading___Toc42088579"/>
      <w:bookmarkEnd w:id="34"/>
      <w:r>
        <w:rPr/>
        <w:t>6.4.1</w:t>
        <w:tab/>
        <w:t>Activate collection measurement job for an area in UTRAN</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9639" w:type="dxa"/>
            <w:gridSpan w:val="3"/>
            <w:tcBorders>
              <w:bottom w:val="single" w:sz="4" w:space="0" w:color="000000"/>
            </w:tcBorders>
          </w:tcPr>
          <w:p>
            <w:pPr>
              <w:pStyle w:val="TH"/>
              <w:keepNext w:val="true"/>
              <w:keepLines/>
              <w:spacing w:before="60" w:after="180"/>
              <w:jc w:val="center"/>
              <w:rPr>
                <w:lang w:bidi="ar-KW"/>
              </w:rPr>
            </w:pPr>
            <w:r>
              <w:rPr/>
              <w:t>Table 6.4.1-1: Activate collection measurement job for an area</w:t>
            </w:r>
          </w:p>
        </w:tc>
      </w:tr>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vAlign w:val="center"/>
          </w:tcPr>
          <w:p>
            <w:pPr>
              <w:pStyle w:val="TAH"/>
              <w:rPr>
                <w:lang w:bidi="ar-KW"/>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vAlign w:val="center"/>
          </w:tcPr>
          <w:p>
            <w:pPr>
              <w:pStyle w:val="TAH"/>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Goal</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To start collecting QoE information for an end user service type in a specified area.</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IRPManager: Request the start of collection of QoE information.</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The RNC and the UE</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There are UEs that has the capability to provide the requested information in the specified area.</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The IRPManager requests that a NRS shall be started.</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Step 1(M)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An IRPAgent receives the request and forwards it to the appropriate RNC(s).</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The RNC starts a NRS for the specified area and start checking for UEs that supports QoE information collection.</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For UEs that support QoE information collection, the RNC starts a UERS and forwards the request of collection QoE information to the UE. See ref. 3GPP TS 25.331 [4].</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Step 4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When the requested end user service is started in the UE, it starts a RECS and records the requested information.</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Step 5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The UE reports the recorded information to a collection centre via the RNC as long as the end user service session is active during the time for the NRS.</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Step 6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When the end user service session ends the UE stops the RECS and reports the collected data to a collection centre via the RNC.</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When the time for the NRS elapses or when the IRPManager sends a request for de-activation.</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REQ-EUSPC-FUN-1.</w:t>
            </w:r>
          </w:p>
        </w:tc>
        <w:tc>
          <w:tcPr>
            <w:tcW w:w="1359"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sz w:val="20"/>
              </w:rPr>
            </w:pPr>
            <w:r>
              <w:rPr>
                <w:sz w:val="20"/>
              </w:rPr>
            </w:r>
          </w:p>
        </w:tc>
      </w:tr>
      <w:tr>
        <w:trPr>
          <w:cantSplit w:val="true"/>
        </w:trPr>
        <w:tc>
          <w:tcPr>
            <w:tcW w:w="9639"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Steps 4, 5 and 6 are repeated in a NRS for every time a session that starts the requested end user service in the UE.</w:t>
            </w:r>
          </w:p>
        </w:tc>
      </w:tr>
    </w:tbl>
    <w:p>
      <w:pPr>
        <w:pStyle w:val="Normal"/>
        <w:rPr/>
      </w:pPr>
      <w:r>
        <w:rPr/>
      </w:r>
    </w:p>
    <w:p>
      <w:pPr>
        <w:pStyle w:val="NO"/>
        <w:rPr/>
      </w:pPr>
      <w:r>
        <w:rPr/>
        <w:t>NOTE:</w:t>
        <w:tab/>
        <w:t>A similar use case is valid for LTE.</w:t>
      </w:r>
    </w:p>
    <w:p>
      <w:pPr>
        <w:pStyle w:val="Heading3"/>
        <w:rPr/>
      </w:pPr>
      <w:bookmarkStart w:id="35" w:name="__RefHeading___Toc42088580"/>
      <w:bookmarkEnd w:id="35"/>
      <w:r>
        <w:rPr/>
        <w:t>6.4.2</w:t>
        <w:tab/>
        <w:t>De-activate collection measurement job in UTRAN</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9639" w:type="dxa"/>
            <w:gridSpan w:val="3"/>
            <w:tcBorders>
              <w:bottom w:val="single" w:sz="4" w:space="0" w:color="000000"/>
            </w:tcBorders>
          </w:tcPr>
          <w:p>
            <w:pPr>
              <w:pStyle w:val="TH"/>
              <w:keepNext w:val="true"/>
              <w:keepLines/>
              <w:spacing w:before="60" w:after="180"/>
              <w:jc w:val="center"/>
              <w:rPr>
                <w:lang w:bidi="ar-KW"/>
              </w:rPr>
            </w:pPr>
            <w:r>
              <w:rPr/>
              <w:t>Table 6.4.2-1: De-activate collection measurement job</w:t>
            </w:r>
          </w:p>
        </w:tc>
      </w:tr>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vAlign w:val="center"/>
          </w:tcPr>
          <w:p>
            <w:pPr>
              <w:pStyle w:val="TAH"/>
              <w:rPr>
                <w:lang w:bidi="ar-KW"/>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vAlign w:val="center"/>
          </w:tcPr>
          <w:p>
            <w:pPr>
              <w:pStyle w:val="TAH"/>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Goal</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To stop collecting more QoE information for an NRS before the time for the NRS has expired.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IRPManager: Request to stop the collection of QoE information.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The RAN node, HSS and the UE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A NRS is started.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The IRPManager requests that a NRS shall be stopped.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 xml:space="preserve">An IRPAgent receives the request and forwards it to the RNC or the HSS.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Step 2 (O)</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The HSS transfers the request to the RNC via the SGSN.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The RNC node stops the NRS and informs the UE to not start new RECS.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Step 4 (O)</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The RNC node informs HSS, via SGSN, that the NRS is stopped.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Step 5 (O)</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The HSS stops the NRS.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When the IRP Manager receives the notification that the NRS is stopped.</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None.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t>REQ-EUSPC-FUN-3 and REQ-EUSPC-FUN-4.</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
        <w:rPr/>
      </w:pPr>
      <w:r>
        <w:rPr/>
        <w:t>NOTE:</w:t>
        <w:tab/>
        <w:t>A similar use case is valid for LTE.</w:t>
      </w:r>
      <w:r>
        <w:br w:type="page"/>
      </w:r>
    </w:p>
    <w:p>
      <w:pPr>
        <w:pStyle w:val="Heading8"/>
        <w:ind w:left="0" w:hanging="0"/>
        <w:rPr/>
      </w:pPr>
      <w:bookmarkStart w:id="36" w:name="__RefHeading___Toc42088581"/>
      <w:bookmarkStart w:id="37" w:name="startOfAnnexes"/>
      <w:bookmarkEnd w:id="36"/>
      <w:bookmarkEnd w:id="37"/>
      <w:r>
        <w:rPr/>
        <w:t>Annex A (informative):</w:t>
        <w:br/>
        <w:t>Change history</w:t>
      </w:r>
      <w:bookmarkStart w:id="38" w:name="historyclause"/>
      <w:bookmarkEnd w:id="38"/>
    </w:p>
    <w:tbl>
      <w:tblPr>
        <w:tblW w:w="9639" w:type="dxa"/>
        <w:jc w:val="center"/>
        <w:tblInd w:w="0" w:type="dxa"/>
        <w:tblLayout w:type="fixed"/>
        <w:tblCellMar>
          <w:top w:w="0" w:type="dxa"/>
          <w:left w:w="28" w:type="dxa"/>
          <w:bottom w:w="0" w:type="dxa"/>
          <w:right w:w="108" w:type="dxa"/>
        </w:tblCellMar>
      </w:tblPr>
      <w:tblGrid>
        <w:gridCol w:w="800"/>
        <w:gridCol w:w="901"/>
        <w:gridCol w:w="993"/>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2017-10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SA5#115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S5-175398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R15 pCR 28.307-000 Introduction and Scope for QoE IRP requirements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SA5#115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S5-175399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R15 pCR 28.307-000 Introduction of specification level use cases and requirements for QoE IRP requirements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Sa5#123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S5-191296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Including DASH and MTSI in Scope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Sa5#123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S5-191297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Restrict to UMTS and LTE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SA5#129e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S5-201388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Rapporteur's clean up (using new TS template)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SA5#129e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S5-201394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Remove SBA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2020-03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SA5#129e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EditHelp review</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EditHelp review (editorial changes only)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0.4.1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SP-200474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Presented for information and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rPr/>
      </w:pPr>
      <w:r>
        <w:rPr/>
      </w:r>
    </w:p>
    <w:p>
      <w:pPr>
        <w:pStyle w:val="Normal"/>
        <w:spacing w:before="0" w:after="180"/>
        <w:rPr>
          <w:iCs/>
        </w:rPr>
      </w:pPr>
      <w:r>
        <w:rPr>
          <w:iCs/>
        </w:rPr>
      </w:r>
    </w:p>
    <w:sectPr>
      <w:headerReference w:type="default" r:id="rId6"/>
      <w:footerReference w:type="default" r:id="rId7"/>
      <w:type w:val="nextPage"/>
      <w:pgSz w:w="11906" w:h="16838"/>
      <w:pgMar w:left="1134" w:right="1134" w:gutter="0" w:header="680" w:top="736" w:footer="567" w:bottom="62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lang w:val="en-GB" w:eastAsia="en-US"/>
      </w:rPr>
    </w:r>
    <w:r>
      <w:rPr>
        <w:rFonts w:eastAsia="Arial"/>
      </w:rPr>
      <w:t xml:space="preserve"> </w:t>
    </w:r>
    <w:r>
      <mc:AlternateContent>
        <mc:Choice Requires="wps">
          <w:drawing>
            <wp:anchor behindDoc="0" distT="0" distB="0" distL="0" distR="0" simplePos="0" locked="0" layoutInCell="0" allowOverlap="1" relativeHeight="12">
              <wp:simplePos x="0" y="0"/>
              <wp:positionH relativeFrom="margin">
                <wp:align>left</wp:align>
              </wp:positionH>
              <wp:positionV relativeFrom="paragraph">
                <wp:posOffset>635</wp:posOffset>
              </wp:positionV>
              <wp:extent cx="591820" cy="180340"/>
              <wp:effectExtent l="0" t="0" r="0" b="0"/>
              <wp:wrapSquare wrapText="largest"/>
              <wp:docPr id="3" name="Frame1"/>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
              <wp:simplePos x="0" y="0"/>
              <wp:positionH relativeFrom="margin">
                <wp:align>right</wp:align>
              </wp:positionH>
              <wp:positionV relativeFrom="paragraph">
                <wp:posOffset>635</wp:posOffset>
              </wp:positionV>
              <wp:extent cx="1818640" cy="180340"/>
              <wp:effectExtent l="0" t="0" r="0" b="0"/>
              <wp:wrapSquare wrapText="largest"/>
              <wp:docPr id="4" name="Frame2"/>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28.307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28.307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rFonts w:ascii="Symbol" w:hAnsi="Symbol" w:cs="Symbol"/>
      <w:color w:val="000000"/>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Times New Roman" w:hAnsi="Times New Roman"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EXCar">
    <w:name w:val="EX Car"/>
    <w:qFormat/>
    <w:rPr>
      <w:rFonts w:ascii="Times New Roman" w:hAnsi="Times New Roman" w:eastAsia="Times New Roman" w:cs="Times New Roman"/>
    </w:rPr>
  </w:style>
  <w:style w:type="character" w:styleId="ZGSM">
    <w:name w:val="ZGSM"/>
    <w:qFormat/>
    <w:rPr/>
  </w:style>
  <w:style w:type="character" w:styleId="InternetLink">
    <w:name w:val="Hyperlink"/>
    <w:rPr>
      <w:color w:val="0000FF"/>
      <w:u w:val="single"/>
    </w:rPr>
  </w:style>
  <w:style w:type="character" w:styleId="CommentReference">
    <w:name w:val="Comment Reference"/>
    <w:qFormat/>
    <w:rPr>
      <w:sz w:val="16"/>
    </w:rPr>
  </w:style>
  <w:style w:type="character" w:styleId="CommentTextChar">
    <w:name w:val="Comment Text Char"/>
    <w:qFormat/>
    <w:rPr>
      <w:rFonts w:ascii="Times New Roman" w:hAnsi="Times New Roman" w:eastAsia="Times New Roman" w:cs="Times New Roman"/>
    </w:rPr>
  </w:style>
  <w:style w:type="character" w:styleId="VisitedInternetLink">
    <w:name w:val="FollowedHyperlink"/>
    <w:rPr>
      <w:color w:val="800080"/>
      <w:u w:val="single"/>
    </w:rPr>
  </w:style>
  <w:style w:type="character" w:styleId="Msoins">
    <w:name w:val="msoins"/>
    <w:basedOn w:val="DefaultParagraphFont"/>
    <w:qFormat/>
    <w:rPr/>
  </w:style>
  <w:style w:type="character" w:styleId="CommentSubjectChar">
    <w:name w:val="Comment Subject Char"/>
    <w:qFormat/>
    <w:rPr>
      <w:rFonts w:ascii="Times New Roman" w:hAnsi="Times New Roman" w:eastAsia="Times New Roman" w:cs="Times New Roman"/>
      <w:b/>
      <w:bCs/>
    </w:rPr>
  </w:style>
  <w:style w:type="character" w:styleId="B1Car">
    <w:name w:val="B1+ Car"/>
    <w:qFormat/>
    <w:rPr>
      <w:rFonts w:ascii="Times New Roman" w:hAnsi="Times New Roman" w:eastAsia="Times New Roman" w:cs="Times New Roman"/>
    </w:rPr>
  </w:style>
  <w:style w:type="character" w:styleId="HeaderChar">
    <w:name w:val="Header Char"/>
    <w:qFormat/>
    <w:rPr>
      <w:rFonts w:ascii="Arial" w:hAnsi="Arial" w:eastAsia="Times New Roman" w:cs="Arial"/>
      <w:b/>
      <w:sz w:val="18"/>
      <w:lang w:val="en-US"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note">
    <w:name w:val="Footnote Text"/>
    <w:basedOn w:val="Normal"/>
    <w:pPr>
      <w:keepLines/>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40" w:after="40"/>
      <w:textAlignment w:val="baseline"/>
    </w:pPr>
    <w:rPr>
      <w:sz w:val="22"/>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B11">
    <w:name w:val="B1+"/>
    <w:basedOn w:val="B1"/>
    <w:qFormat/>
    <w:pPr>
      <w:tabs>
        <w:tab w:val="clear" w:pos="284"/>
        <w:tab w:val="left" w:pos="737" w:leader="none"/>
      </w:tabs>
      <w:ind w:left="737" w:hanging="453"/>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2020-07-08T13:26:00Z</dcterms:created>
  <dc:creator>Michael Sanders, John M Meredith</dc:creator>
  <dc:description/>
  <cp:keywords/>
  <dc:language>en-US</dc:language>
  <cp:lastModifiedBy>28307-g00.</cp:lastModifiedBy>
  <dcterms:modified xsi:type="dcterms:W3CDTF">2020-07-08T13:34:00Z</dcterms:modified>
  <cp:revision>4</cp:revision>
  <dc:subject/>
  <dc:title>3GPP Contribution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1243237843</vt:lpwstr>
  </property>
</Properties>
</file>