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13" w:type="dxa"/>
        <w:tblLayout w:type="fixed"/>
        <w:tblCellMar>
          <w:top w:w="0" w:type="dxa"/>
          <w:left w:w="108" w:type="dxa"/>
          <w:bottom w:w="0" w:type="dxa"/>
          <w:right w:w="108" w:type="dxa"/>
        </w:tblCellMar>
      </w:tblPr>
      <w:tblGrid>
        <w:gridCol w:w="4883"/>
        <w:gridCol w:w="5540"/>
      </w:tblGrid>
      <w:tr>
        <w:trPr/>
        <w:tc>
          <w:tcPr>
            <w:tcW w:w="10423" w:type="dxa"/>
            <w:gridSpan w:val="2"/>
            <w:tcBorders>
              <w:top w:val="dashed" w:sz="4" w:space="0" w:color="000000"/>
              <w:left w:val="dashed" w:sz="4" w:space="0" w:color="000000"/>
              <w:bottom w:val="dashed" w:sz="4" w:space="0" w:color="000000"/>
              <w:right w:val="dashed" w:sz="4" w:space="0" w:color="000000"/>
            </w:tcBorders>
          </w:tcPr>
          <w:p>
            <w:pPr>
              <w:pStyle w:val="ZA"/>
              <w:rPr>
                <w:lang w:val="en-GB" w:eastAsia="en-US"/>
              </w:rPr>
            </w:pPr>
            <w:bookmarkStart w:id="0" w:name="page1"/>
            <w:bookmarkEnd w:id="0"/>
            <w:r>
              <w:rPr>
                <w:sz w:val="64"/>
                <w:lang w:val="en-GB" w:eastAsia="en-US"/>
              </w:rPr>
              <w:t xml:space="preserve">3GPP </w:t>
            </w:r>
            <w:bookmarkStart w:id="1" w:name="specType1"/>
            <w:r>
              <w:rPr>
                <w:sz w:val="64"/>
                <w:lang w:val="en-GB" w:eastAsia="en-US"/>
              </w:rPr>
              <w:t>TS</w:t>
            </w:r>
            <w:bookmarkEnd w:id="1"/>
            <w:r>
              <w:rPr>
                <w:sz w:val="64"/>
                <w:lang w:val="en-GB" w:eastAsia="en-US"/>
              </w:rPr>
              <w:t xml:space="preserve"> </w:t>
            </w:r>
            <w:bookmarkStart w:id="2" w:name="specNumber"/>
            <w:r>
              <w:rPr>
                <w:sz w:val="64"/>
                <w:lang w:val="en-GB" w:eastAsia="en-US"/>
              </w:rPr>
              <w:t>28.</w:t>
            </w:r>
            <w:bookmarkEnd w:id="2"/>
            <w:r>
              <w:rPr>
                <w:sz w:val="64"/>
                <w:lang w:val="en-GB" w:eastAsia="en-US"/>
              </w:rPr>
              <w:t xml:space="preserve">405 </w:t>
            </w:r>
            <w:r>
              <w:rPr>
                <w:lang w:val="en-GB" w:eastAsia="en-US"/>
              </w:rPr>
              <w:t>V</w:t>
            </w:r>
            <w:bookmarkStart w:id="3" w:name="specVersion"/>
            <w:r>
              <w:rPr>
                <w:lang w:val="en-GB" w:eastAsia="en-US"/>
              </w:rPr>
              <w:t>16.2.</w:t>
            </w:r>
            <w:bookmarkEnd w:id="3"/>
            <w:r>
              <w:rPr>
                <w:lang w:val="en-GB" w:eastAsia="en-US"/>
              </w:rPr>
              <w:t xml:space="preserve">0 </w:t>
            </w:r>
            <w:r>
              <w:rPr>
                <w:sz w:val="32"/>
                <w:lang w:val="en-GB" w:eastAsia="en-US"/>
              </w:rPr>
              <w:t>(</w:t>
            </w:r>
            <w:bookmarkStart w:id="4" w:name="issueDate"/>
            <w:r>
              <w:rPr>
                <w:sz w:val="32"/>
                <w:lang w:val="en-GB" w:eastAsia="en-US"/>
              </w:rPr>
              <w:t>2021-</w:t>
            </w:r>
            <w:bookmarkEnd w:id="4"/>
            <w:r>
              <w:rPr>
                <w:sz w:val="32"/>
                <w:lang w:val="en-GB" w:eastAsia="en-US"/>
              </w:rPr>
              <w:t>12)</w:t>
            </w:r>
          </w:p>
        </w:tc>
      </w:tr>
      <w:tr>
        <w:trPr>
          <w:trHeight w:val="1134" w:hRule="exact"/>
        </w:trPr>
        <w:tc>
          <w:tcPr>
            <w:tcW w:w="10423" w:type="dxa"/>
            <w:gridSpan w:val="2"/>
            <w:tcBorders>
              <w:top w:val="dashed" w:sz="4" w:space="0" w:color="000000"/>
              <w:left w:val="dashed" w:sz="4" w:space="0" w:color="000000"/>
              <w:bottom w:val="dashed" w:sz="4" w:space="0" w:color="000000"/>
              <w:right w:val="dashed" w:sz="4" w:space="0" w:color="000000"/>
            </w:tcBorders>
          </w:tcPr>
          <w:p>
            <w:pPr>
              <w:pStyle w:val="ZB"/>
              <w:rPr>
                <w:lang w:val="en-GB" w:eastAsia="en-US"/>
              </w:rPr>
            </w:pPr>
            <w:r>
              <w:rPr>
                <w:lang w:val="en-GB" w:eastAsia="en-US"/>
              </w:rPr>
              <w:t xml:space="preserve">Technical </w:t>
            </w:r>
            <w:bookmarkStart w:id="5" w:name="spectype2"/>
            <w:r>
              <w:rPr>
                <w:lang w:val="en-GB" w:eastAsia="en-US"/>
              </w:rPr>
              <w:t>Specification</w:t>
            </w:r>
            <w:bookmarkEnd w:id="5"/>
          </w:p>
          <w:p>
            <w:pPr>
              <w:pStyle w:val="Normal"/>
              <w:spacing w:before="0" w:after="180"/>
              <w:rPr>
                <w:lang w:val="en-GB" w:eastAsia="en-US"/>
              </w:rPr>
            </w:pPr>
            <w:r>
              <w:rPr>
                <w:lang w:val="en-GB" w:eastAsia="en-US"/>
              </w:rPr>
            </w:r>
          </w:p>
        </w:tc>
      </w:tr>
      <w:tr>
        <w:trPr>
          <w:trHeight w:val="3686" w:hRule="exact"/>
        </w:trPr>
        <w:tc>
          <w:tcPr>
            <w:tcW w:w="10423" w:type="dxa"/>
            <w:gridSpan w:val="2"/>
            <w:tcBorders>
              <w:top w:val="dashed" w:sz="4" w:space="0" w:color="000000"/>
              <w:left w:val="dashed" w:sz="4" w:space="0" w:color="000000"/>
              <w:bottom w:val="dashed" w:sz="4" w:space="0" w:color="000000"/>
              <w:right w:val="dashed" w:sz="4" w:space="0" w:color="000000"/>
            </w:tcBorders>
          </w:tcPr>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Quality of Experience (QoE) measurement collection;</w:t>
            </w:r>
          </w:p>
          <w:p>
            <w:pPr>
              <w:pStyle w:val="ZT"/>
              <w:rPr/>
            </w:pPr>
            <w:r>
              <w:rPr/>
              <w:t xml:space="preserve">Control and configuration </w:t>
            </w:r>
          </w:p>
          <w:p>
            <w:pPr>
              <w:pStyle w:val="ZT"/>
              <w:rPr>
                <w:i/>
                <w:i/>
                <w:sz w:val="28"/>
              </w:rPr>
            </w:pPr>
            <w:r>
              <w:rPr/>
              <w:t>(</w:t>
            </w:r>
            <w:r>
              <w:rPr>
                <w:rStyle w:val="ZGSM"/>
              </w:rPr>
              <w:t>Release 1</w:t>
            </w:r>
            <w:bookmarkStart w:id="6" w:name="specRelease"/>
            <w:r>
              <w:rPr>
                <w:rStyle w:val="ZGSM"/>
              </w:rPr>
              <w:t>6</w:t>
            </w:r>
            <w:bookmarkEnd w:id="6"/>
            <w:r>
              <w:rPr/>
              <w:t>)</w:t>
            </w:r>
          </w:p>
        </w:tc>
      </w:tr>
      <w:tr>
        <w:trPr/>
        <w:tc>
          <w:tcPr>
            <w:tcW w:w="10423" w:type="dxa"/>
            <w:gridSpan w:val="2"/>
            <w:tcBorders>
              <w:top w:val="dashed" w:sz="4" w:space="0" w:color="000000"/>
              <w:left w:val="dashed" w:sz="4" w:space="0" w:color="000000"/>
              <w:bottom w:val="dashed" w:sz="4" w:space="0" w:color="000000"/>
              <w:right w:val="dashed" w:sz="4" w:space="0" w:color="000000"/>
            </w:tcBorders>
          </w:tcPr>
          <w:p>
            <w:pPr>
              <w:pStyle w:val="ZU"/>
              <w:tabs>
                <w:tab w:val="clear" w:pos="284"/>
                <w:tab w:val="right" w:pos="10206" w:leader="none"/>
              </w:tabs>
              <w:jc w:val="left"/>
              <w:rPr>
                <w:color w:val="0000FF"/>
                <w:lang w:val="en-GB" w:eastAsia="en-US"/>
              </w:rPr>
            </w:pPr>
            <w:r>
              <w:rPr>
                <w:color w:val="0000FF"/>
                <w:lang w:val="en-GB" w:eastAsia="en-US"/>
              </w:rPr>
              <w:tab/>
            </w:r>
          </w:p>
        </w:tc>
      </w:tr>
      <w:tr>
        <w:trPr>
          <w:trHeight w:val="1531" w:hRule="exact"/>
        </w:trPr>
        <w:tc>
          <w:tcPr>
            <w:tcW w:w="4883" w:type="dxa"/>
            <w:tcBorders>
              <w:top w:val="dashed" w:sz="4" w:space="0" w:color="000000"/>
              <w:left w:val="dashed" w:sz="4" w:space="0" w:color="000000"/>
              <w:bottom w:val="dashed" w:sz="4" w:space="0" w:color="000000"/>
              <w:right w:val="dashed" w:sz="4" w:space="0" w:color="000000"/>
            </w:tcBorders>
          </w:tcPr>
          <w:p>
            <w:pPr>
              <w:pStyle w:val="Normal"/>
              <w:spacing w:before="0" w:after="180"/>
              <w:rPr>
                <w:i/>
                <w:i/>
              </w:rPr>
            </w:pPr>
            <w:r>
              <w:rPr>
                <w:i/>
                <w:lang w:val="en-US" w:eastAsia="en-US"/>
              </w:rPr>
              <w:drawing>
                <wp:inline distT="0" distB="0" distL="0" distR="0">
                  <wp:extent cx="1209675" cy="8375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p>
        </w:tc>
        <w:tc>
          <w:tcPr>
            <w:tcW w:w="5540" w:type="dxa"/>
            <w:tcBorders>
              <w:top w:val="dashed" w:sz="4" w:space="0" w:color="000000"/>
              <w:left w:val="dashed" w:sz="4" w:space="0" w:color="000000"/>
              <w:bottom w:val="dashed" w:sz="4" w:space="0" w:color="000000"/>
              <w:right w:val="dashed" w:sz="4" w:space="0" w:color="000000"/>
            </w:tcBorders>
          </w:tcPr>
          <w:p>
            <w:pPr>
              <w:pStyle w:val="Normal"/>
              <w:spacing w:before="0" w:after="180"/>
              <w:jc w:val="right"/>
              <w:rPr/>
            </w:pPr>
            <w:r>
              <w:rPr/>
              <w:drawing>
                <wp:inline distT="0" distB="0" distL="0" distR="0">
                  <wp:extent cx="1619885" cy="94996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13" t="-23" r="-13" b="-23"/>
                          <a:stretch>
                            <a:fillRect/>
                          </a:stretch>
                        </pic:blipFill>
                        <pic:spPr bwMode="auto">
                          <a:xfrm>
                            <a:off x="0" y="0"/>
                            <a:ext cx="1619885" cy="949960"/>
                          </a:xfrm>
                          <a:prstGeom prst="rect">
                            <a:avLst/>
                          </a:prstGeom>
                        </pic:spPr>
                      </pic:pic>
                    </a:graphicData>
                  </a:graphic>
                </wp:inline>
              </w:drawing>
            </w:r>
          </w:p>
        </w:tc>
      </w:tr>
      <w:tr>
        <w:trPr>
          <w:trHeight w:val="964" w:hRule="exact"/>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Normal"/>
              <w:rPr/>
            </w:pPr>
            <w:bookmarkStart w:id="7"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7"/>
          </w:p>
          <w:p>
            <w:pPr>
              <w:pStyle w:val="ZV"/>
              <w:rPr>
                <w:sz w:val="16"/>
                <w:lang w:val="en-GB" w:eastAsia="en-US"/>
              </w:rPr>
            </w:pPr>
            <w:r>
              <w:rPr>
                <w:sz w:val="16"/>
                <w:lang w:val="en-GB" w:eastAsia="en-US"/>
              </w:rPr>
            </w:r>
          </w:p>
          <w:p>
            <w:pPr>
              <w:pStyle w:val="Normal"/>
              <w:rPr>
                <w:sz w:val="16"/>
                <w:lang w:val="en-GB" w:eastAsia="en-US"/>
              </w:rPr>
            </w:pPr>
            <w:r>
              <w:rPr>
                <w:sz w:val="16"/>
                <w:lang w:val="en-GB" w:eastAsia="en-US"/>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tabs>
                <w:tab w:val="clear" w:pos="284"/>
                <w:tab w:val="left" w:pos="5829" w:leader="none"/>
              </w:tabs>
              <w:spacing w:before="0" w:after="180"/>
              <w:rPr>
                <w:sz w:val="16"/>
              </w:rPr>
            </w:pPr>
            <w:r>
              <w:rPr>
                <w:sz w:val="16"/>
              </w:rPr>
              <w:tab/>
            </w:r>
          </w:p>
        </w:tc>
      </w:tr>
    </w:tbl>
    <w:p>
      <w:pPr>
        <w:sectPr>
          <w:footerReference w:type="default" r:id="rId4"/>
          <w:type w:val="nextPage"/>
          <w:pgSz w:w="11906" w:h="16838"/>
          <w:pgMar w:left="851" w:right="851" w:gutter="0" w:header="0" w:top="1134" w:footer="340" w:bottom="397"/>
          <w:pgNumType w:fmt="decimal"/>
          <w:formProt w:val="false"/>
          <w:textDirection w:val="lrTb"/>
          <w:docGrid w:type="default" w:linePitch="272"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Normal"/>
              <w:snapToGrid w:val="false"/>
              <w:spacing w:before="0" w:after="180"/>
              <w:rPr/>
            </w:pPr>
            <w:r>
              <w:rPr/>
            </w:r>
            <w:bookmarkStart w:id="8" w:name="page2"/>
            <w:bookmarkStart w:id="9" w:name="page2"/>
            <w:bookmarkEnd w:id="9"/>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10"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5">
              <w:bookmarkStart w:id="11" w:name="coords3gpp"/>
              <w:r>
                <w:rPr>
                  <w:rStyle w:val="InternetLink"/>
                  <w:rFonts w:cs="Arial" w:ascii="Arial" w:hAnsi="Arial"/>
                  <w:sz w:val="18"/>
                </w:rPr>
                <w:t>http://www.3gpp.org</w:t>
              </w:r>
            </w:hyperlink>
            <w:bookmarkEnd w:id="11"/>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rPr>
            </w:pPr>
            <w:bookmarkStart w:id="12" w:name="copyrightNotification"/>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xml:space="preserve">© </w:t>
            </w:r>
            <w:bookmarkStart w:id="13" w:name="copyrightDate"/>
            <w:r>
              <w:rPr>
                <w:sz w:val="18"/>
              </w:rPr>
              <w:t>2021</w:t>
            </w:r>
            <w:bookmarkEnd w:id="13"/>
            <w:r>
              <w:rPr>
                <w:sz w:val="18"/>
              </w:rPr>
              <w:t>, 3GPP Organizational Partners (ARIB, ATIS, CCSA, ETSI, TSDSI, TTA, TTC).</w:t>
            </w:r>
            <w:bookmarkStart w:id="14" w:name="copyrightaddon"/>
            <w:bookmarkEnd w:id="1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bookmarkStart w:id="15" w:name="copyrightNotification"/>
            <w:r>
              <w:rPr>
                <w:sz w:val="18"/>
              </w:rPr>
              <w:t>GSM® and the GSM logo are registered and owned by the GSM Association</w:t>
            </w:r>
            <w:bookmarkEnd w:id="15"/>
          </w:p>
          <w:p>
            <w:pPr>
              <w:pStyle w:val="Normal"/>
              <w:spacing w:before="0" w:after="180"/>
              <w:rPr>
                <w:sz w:val="18"/>
              </w:rPr>
            </w:pPr>
            <w:r>
              <w:rPr>
                <w:sz w:val="18"/>
              </w:rPr>
            </w:r>
          </w:p>
        </w:tc>
      </w:tr>
    </w:tbl>
    <w:p>
      <w:pPr>
        <w:pStyle w:val="TT"/>
        <w:rPr/>
      </w:pPr>
      <w:r>
        <w:br w:type="page"/>
      </w:r>
      <w:bookmarkStart w:id="16" w:name="tableOfContents"/>
      <w:bookmarkEnd w:id="1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8217848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82178490">
            <w:r>
              <w:rPr>
                <w:rStyle w:val="IndexLink"/>
              </w:rPr>
              <w:t>5</w:t>
            </w:r>
          </w:hyperlink>
        </w:p>
        <w:p>
          <w:pPr>
            <w:pStyle w:val="Contents1"/>
            <w:rPr>
              <w:rFonts w:ascii="Calibri" w:hAnsi="Calibri" w:cs="Calibri"/>
              <w:szCs w:val="22"/>
              <w:lang w:val="en-US" w:eastAsia="en-US"/>
            </w:rPr>
          </w:pPr>
          <w:r>
            <w:rPr/>
            <w:t>1</w:t>
            <w:tab/>
            <w:t>Scope</w:t>
            <w:tab/>
          </w:r>
          <w:hyperlink w:anchor="__RefHeading___Toc82178491">
            <w:r>
              <w:rPr>
                <w:rStyle w:val="IndexLink"/>
              </w:rPr>
              <w:t>6</w:t>
            </w:r>
          </w:hyperlink>
        </w:p>
        <w:p>
          <w:pPr>
            <w:pStyle w:val="Contents1"/>
            <w:rPr>
              <w:rFonts w:ascii="Calibri" w:hAnsi="Calibri" w:cs="Calibri"/>
              <w:szCs w:val="22"/>
              <w:lang w:val="en-US" w:eastAsia="en-US"/>
            </w:rPr>
          </w:pPr>
          <w:r>
            <w:rPr/>
            <w:t>2</w:t>
            <w:tab/>
            <w:t>References</w:t>
            <w:tab/>
          </w:r>
          <w:hyperlink w:anchor="__RefHeading___Toc82178492">
            <w:r>
              <w:rPr>
                <w:rStyle w:val="IndexLink"/>
              </w:rPr>
              <w:t>6</w:t>
            </w:r>
          </w:hyperlink>
        </w:p>
        <w:p>
          <w:pPr>
            <w:pStyle w:val="Contents1"/>
            <w:rPr>
              <w:rFonts w:ascii="Calibri" w:hAnsi="Calibri" w:cs="Calibri"/>
              <w:szCs w:val="22"/>
              <w:lang w:val="en-US" w:eastAsia="en-US"/>
            </w:rPr>
          </w:pPr>
          <w:r>
            <w:rPr/>
            <w:t>3</w:t>
            <w:tab/>
            <w:t>Definitions of terms, symbols and abbreviations</w:t>
            <w:tab/>
          </w:r>
          <w:hyperlink w:anchor="__RefHeading___Toc82178493">
            <w:r>
              <w:rPr>
                <w:rStyle w:val="IndexLink"/>
              </w:rPr>
              <w:t>6</w:t>
            </w:r>
          </w:hyperlink>
        </w:p>
        <w:p>
          <w:pPr>
            <w:pStyle w:val="Contents2"/>
            <w:rPr>
              <w:rFonts w:ascii="Calibri" w:hAnsi="Calibri" w:cs="Calibri"/>
              <w:sz w:val="22"/>
              <w:szCs w:val="22"/>
              <w:lang w:val="en-US" w:eastAsia="en-US"/>
            </w:rPr>
          </w:pPr>
          <w:r>
            <w:rPr/>
            <w:t>3.1</w:t>
            <w:tab/>
            <w:t>Terms</w:t>
            <w:tab/>
          </w:r>
          <w:hyperlink w:anchor="__RefHeading___Toc82178494">
            <w:r>
              <w:rPr>
                <w:rStyle w:val="IndexLink"/>
              </w:rPr>
              <w:t>6</w:t>
            </w:r>
          </w:hyperlink>
        </w:p>
        <w:p>
          <w:pPr>
            <w:pStyle w:val="Contents2"/>
            <w:rPr>
              <w:rFonts w:ascii="Calibri" w:hAnsi="Calibri" w:cs="Calibri"/>
              <w:sz w:val="22"/>
              <w:szCs w:val="22"/>
              <w:lang w:val="en-US" w:eastAsia="en-US"/>
            </w:rPr>
          </w:pPr>
          <w:r>
            <w:rPr/>
            <w:t>3.2</w:t>
            <w:tab/>
            <w:t>Symbols</w:t>
            <w:tab/>
          </w:r>
          <w:hyperlink w:anchor="__RefHeading___Toc82178495">
            <w:r>
              <w:rPr>
                <w:rStyle w:val="IndexLink"/>
              </w:rPr>
              <w:t>6</w:t>
            </w:r>
          </w:hyperlink>
        </w:p>
        <w:p>
          <w:pPr>
            <w:pStyle w:val="Contents2"/>
            <w:rPr>
              <w:rFonts w:ascii="Calibri" w:hAnsi="Calibri" w:cs="Calibri"/>
              <w:sz w:val="22"/>
              <w:szCs w:val="22"/>
              <w:lang w:val="en-US" w:eastAsia="en-US"/>
            </w:rPr>
          </w:pPr>
          <w:r>
            <w:rPr/>
            <w:t>3.3</w:t>
            <w:tab/>
            <w:t>Abbreviations</w:t>
            <w:tab/>
          </w:r>
          <w:hyperlink w:anchor="__RefHeading___Toc82178496">
            <w:r>
              <w:rPr>
                <w:rStyle w:val="IndexLink"/>
              </w:rPr>
              <w:t>7</w:t>
            </w:r>
          </w:hyperlink>
        </w:p>
        <w:p>
          <w:pPr>
            <w:pStyle w:val="Contents1"/>
            <w:rPr>
              <w:rFonts w:ascii="Calibri" w:hAnsi="Calibri" w:cs="Calibri"/>
              <w:szCs w:val="22"/>
              <w:lang w:val="en-US" w:eastAsia="en-US"/>
            </w:rPr>
          </w:pPr>
          <w:r>
            <w:rPr/>
            <w:t>4</w:t>
            <w:tab/>
            <w:t>Quality of Experience (QoE) measurement collection</w:t>
            <w:tab/>
          </w:r>
          <w:hyperlink w:anchor="__RefHeading___Toc82178497">
            <w:r>
              <w:rPr>
                <w:rStyle w:val="IndexLink"/>
              </w:rPr>
              <w:t>7</w:t>
            </w:r>
          </w:hyperlink>
        </w:p>
        <w:p>
          <w:pPr>
            <w:pStyle w:val="Contents2"/>
            <w:rPr>
              <w:rFonts w:ascii="Calibri" w:hAnsi="Calibri" w:cs="Calibri"/>
              <w:sz w:val="22"/>
              <w:szCs w:val="22"/>
              <w:lang w:val="en-US" w:eastAsia="en-US"/>
            </w:rPr>
          </w:pPr>
          <w:r>
            <w:rPr/>
            <w:t>4.1</w:t>
            <w:tab/>
          </w:r>
          <w:r>
            <w:rPr>
              <w:iCs/>
            </w:rPr>
            <w:t>Management based activation in UTRAN</w:t>
          </w:r>
          <w:r>
            <w:rPr/>
            <w:tab/>
          </w:r>
          <w:hyperlink w:anchor="__RefHeading___Toc82178498">
            <w:r>
              <w:rPr>
                <w:rStyle w:val="IndexLink"/>
              </w:rPr>
              <w:t>7</w:t>
            </w:r>
          </w:hyperlink>
        </w:p>
        <w:p>
          <w:pPr>
            <w:pStyle w:val="Contents3"/>
            <w:rPr>
              <w:rFonts w:ascii="Calibri" w:hAnsi="Calibri" w:cs="Calibri"/>
              <w:sz w:val="22"/>
              <w:szCs w:val="22"/>
              <w:lang w:val="en-US" w:eastAsia="en-US"/>
            </w:rPr>
          </w:pPr>
          <w:r>
            <w:rPr/>
            <w:t>4.1.1</w:t>
            <w:tab/>
            <w:t>Activation of measurement collection job and reporting of collected information in UTRAN</w:t>
            <w:tab/>
          </w:r>
          <w:hyperlink w:anchor="__RefHeading___Toc82178499">
            <w:r>
              <w:rPr>
                <w:rStyle w:val="IndexLink"/>
              </w:rPr>
              <w:t>7</w:t>
            </w:r>
          </w:hyperlink>
        </w:p>
        <w:p>
          <w:pPr>
            <w:pStyle w:val="Contents3"/>
            <w:rPr>
              <w:rFonts w:ascii="Calibri" w:hAnsi="Calibri" w:cs="Calibri"/>
              <w:sz w:val="22"/>
              <w:szCs w:val="22"/>
              <w:lang w:val="en-US" w:eastAsia="en-US"/>
            </w:rPr>
          </w:pPr>
          <w:r>
            <w:rPr/>
            <w:t>4.1.2</w:t>
            <w:tab/>
            <w:t>Handling of measurement collection at handover in UTRAN</w:t>
            <w:tab/>
          </w:r>
          <w:hyperlink w:anchor="__RefHeading___Toc82178500">
            <w:r>
              <w:rPr>
                <w:rStyle w:val="IndexLink"/>
              </w:rPr>
              <w:t>8</w:t>
            </w:r>
          </w:hyperlink>
        </w:p>
        <w:p>
          <w:pPr>
            <w:pStyle w:val="Contents4"/>
            <w:rPr>
              <w:rFonts w:ascii="Calibri" w:hAnsi="Calibri" w:cs="Calibri"/>
              <w:sz w:val="22"/>
              <w:szCs w:val="22"/>
              <w:lang w:val="en-US" w:eastAsia="en-US"/>
            </w:rPr>
          </w:pPr>
          <w:r>
            <w:rPr/>
            <w:t>4.1.2.1</w:t>
            <w:tab/>
            <w:t>Handover between cells within an RNC</w:t>
            <w:tab/>
          </w:r>
          <w:hyperlink w:anchor="__RefHeading___Toc82178501">
            <w:r>
              <w:rPr>
                <w:rStyle w:val="IndexLink"/>
              </w:rPr>
              <w:t>8</w:t>
            </w:r>
          </w:hyperlink>
        </w:p>
        <w:p>
          <w:pPr>
            <w:pStyle w:val="Contents4"/>
            <w:rPr>
              <w:rFonts w:ascii="Calibri" w:hAnsi="Calibri" w:cs="Calibri"/>
              <w:sz w:val="22"/>
              <w:szCs w:val="22"/>
              <w:lang w:val="en-US" w:eastAsia="en-US"/>
            </w:rPr>
          </w:pPr>
          <w:r>
            <w:rPr/>
            <w:t>4.1.2.2</w:t>
            <w:tab/>
            <w:t>Handover between RNCs</w:t>
            <w:tab/>
          </w:r>
          <w:hyperlink w:anchor="__RefHeading___Toc82178502">
            <w:r>
              <w:rPr>
                <w:rStyle w:val="IndexLink"/>
              </w:rPr>
              <w:t>8</w:t>
            </w:r>
          </w:hyperlink>
        </w:p>
        <w:p>
          <w:pPr>
            <w:pStyle w:val="Contents3"/>
            <w:rPr>
              <w:rFonts w:ascii="Calibri" w:hAnsi="Calibri" w:cs="Calibri"/>
              <w:sz w:val="22"/>
              <w:szCs w:val="22"/>
              <w:lang w:val="en-US" w:eastAsia="en-US"/>
            </w:rPr>
          </w:pPr>
          <w:r>
            <w:rPr/>
            <w:t>4.1.3</w:t>
            <w:tab/>
            <w:t>Deactivation of measurement collection job in UTRAN</w:t>
            <w:tab/>
          </w:r>
          <w:hyperlink w:anchor="__RefHeading___Toc82178503">
            <w:r>
              <w:rPr>
                <w:rStyle w:val="IndexLink"/>
              </w:rPr>
              <w:t>10</w:t>
            </w:r>
          </w:hyperlink>
        </w:p>
        <w:p>
          <w:pPr>
            <w:pStyle w:val="Contents4"/>
            <w:rPr>
              <w:rFonts w:ascii="Calibri" w:hAnsi="Calibri" w:cs="Calibri"/>
              <w:sz w:val="22"/>
              <w:szCs w:val="22"/>
              <w:lang w:val="en-US" w:eastAsia="en-US"/>
            </w:rPr>
          </w:pPr>
          <w:r>
            <w:rPr/>
            <w:t>4.1.3.1</w:t>
            <w:tab/>
            <w:t>Forced deactivation in UTRAN</w:t>
            <w:tab/>
          </w:r>
          <w:hyperlink w:anchor="__RefHeading___Toc82178504">
            <w:r>
              <w:rPr>
                <w:rStyle w:val="IndexLink"/>
              </w:rPr>
              <w:t>10</w:t>
            </w:r>
          </w:hyperlink>
        </w:p>
        <w:p>
          <w:pPr>
            <w:pStyle w:val="Contents4"/>
            <w:rPr>
              <w:rFonts w:ascii="Calibri" w:hAnsi="Calibri" w:cs="Calibri"/>
              <w:sz w:val="22"/>
              <w:szCs w:val="22"/>
              <w:lang w:val="en-US" w:eastAsia="en-US"/>
            </w:rPr>
          </w:pPr>
          <w:r>
            <w:rPr/>
            <w:t>4.1.3.2</w:t>
            <w:tab/>
            <w:t>Deactivation of recording session in UTRAN</w:t>
            <w:tab/>
          </w:r>
          <w:hyperlink w:anchor="__RefHeading___Toc82178505">
            <w:r>
              <w:rPr>
                <w:rStyle w:val="IndexLink"/>
              </w:rPr>
              <w:t>10</w:t>
            </w:r>
          </w:hyperlink>
        </w:p>
        <w:p>
          <w:pPr>
            <w:pStyle w:val="Contents2"/>
            <w:rPr>
              <w:rFonts w:ascii="Calibri" w:hAnsi="Calibri" w:cs="Calibri"/>
              <w:sz w:val="22"/>
              <w:szCs w:val="22"/>
              <w:lang w:val="en-US" w:eastAsia="en-US"/>
            </w:rPr>
          </w:pPr>
          <w:r>
            <w:rPr/>
            <w:t>4.2</w:t>
            <w:tab/>
          </w:r>
          <w:r>
            <w:rPr>
              <w:iCs/>
            </w:rPr>
            <w:t>Management based activation in LTE</w:t>
          </w:r>
          <w:r>
            <w:rPr/>
            <w:tab/>
          </w:r>
          <w:hyperlink w:anchor="__RefHeading___Toc82178506">
            <w:r>
              <w:rPr>
                <w:rStyle w:val="IndexLink"/>
              </w:rPr>
              <w:t>10</w:t>
            </w:r>
          </w:hyperlink>
        </w:p>
        <w:p>
          <w:pPr>
            <w:pStyle w:val="Contents3"/>
            <w:rPr>
              <w:rFonts w:ascii="Calibri" w:hAnsi="Calibri" w:cs="Calibri"/>
              <w:sz w:val="22"/>
              <w:szCs w:val="22"/>
              <w:lang w:val="en-US" w:eastAsia="en-US"/>
            </w:rPr>
          </w:pPr>
          <w:r>
            <w:rPr/>
            <w:t>4.2.1</w:t>
            <w:tab/>
            <w:t>Activation of measurement collection job and reporting of collected information in LTE</w:t>
            <w:tab/>
          </w:r>
          <w:hyperlink w:anchor="__RefHeading___Toc82178507">
            <w:r>
              <w:rPr>
                <w:rStyle w:val="IndexLink"/>
              </w:rPr>
              <w:t>10</w:t>
            </w:r>
          </w:hyperlink>
        </w:p>
        <w:p>
          <w:pPr>
            <w:pStyle w:val="Contents3"/>
            <w:rPr>
              <w:rFonts w:ascii="Calibri" w:hAnsi="Calibri" w:cs="Calibri"/>
              <w:sz w:val="22"/>
              <w:szCs w:val="22"/>
              <w:lang w:val="en-US" w:eastAsia="en-US"/>
            </w:rPr>
          </w:pPr>
          <w:r>
            <w:rPr/>
            <w:t>4.2.2</w:t>
            <w:tab/>
            <w:t>Handling of measurement collection at handover in LTE</w:t>
            <w:tab/>
          </w:r>
          <w:hyperlink w:anchor="__RefHeading___Toc82178508">
            <w:r>
              <w:rPr>
                <w:rStyle w:val="IndexLink"/>
              </w:rPr>
              <w:t>11</w:t>
            </w:r>
          </w:hyperlink>
        </w:p>
        <w:p>
          <w:pPr>
            <w:pStyle w:val="Contents4"/>
            <w:rPr>
              <w:rFonts w:ascii="Calibri" w:hAnsi="Calibri" w:cs="Calibri"/>
              <w:sz w:val="22"/>
              <w:szCs w:val="22"/>
              <w:lang w:val="en-US" w:eastAsia="en-US"/>
            </w:rPr>
          </w:pPr>
          <w:r>
            <w:rPr/>
            <w:t>4.2.2.1</w:t>
            <w:tab/>
            <w:t>Handover between cells within an eNB</w:t>
            <w:tab/>
          </w:r>
          <w:hyperlink w:anchor="__RefHeading___Toc82178509">
            <w:r>
              <w:rPr>
                <w:rStyle w:val="IndexLink"/>
              </w:rPr>
              <w:t>11</w:t>
            </w:r>
          </w:hyperlink>
        </w:p>
        <w:p>
          <w:pPr>
            <w:pStyle w:val="Contents4"/>
            <w:rPr>
              <w:rFonts w:ascii="Calibri" w:hAnsi="Calibri" w:cs="Calibri"/>
              <w:sz w:val="22"/>
              <w:szCs w:val="22"/>
              <w:lang w:val="en-US" w:eastAsia="en-US"/>
            </w:rPr>
          </w:pPr>
          <w:r>
            <w:rPr/>
            <w:t>4.2.2.2</w:t>
            <w:tab/>
            <w:t>Handover between eNBs</w:t>
            <w:tab/>
          </w:r>
          <w:hyperlink w:anchor="__RefHeading___Toc82178510">
            <w:r>
              <w:rPr>
                <w:rStyle w:val="IndexLink"/>
              </w:rPr>
              <w:t>11</w:t>
            </w:r>
          </w:hyperlink>
        </w:p>
        <w:p>
          <w:pPr>
            <w:pStyle w:val="Contents3"/>
            <w:rPr>
              <w:rFonts w:ascii="Calibri" w:hAnsi="Calibri" w:cs="Calibri"/>
              <w:sz w:val="22"/>
              <w:szCs w:val="22"/>
              <w:lang w:val="en-US" w:eastAsia="en-US"/>
            </w:rPr>
          </w:pPr>
          <w:r>
            <w:rPr/>
            <w:t>4.2.3</w:t>
            <w:tab/>
            <w:t>Deactivation of measurement collection job in LTE</w:t>
            <w:tab/>
          </w:r>
          <w:hyperlink w:anchor="__RefHeading___Toc82178511">
            <w:r>
              <w:rPr>
                <w:rStyle w:val="IndexLink"/>
              </w:rPr>
              <w:t>13</w:t>
            </w:r>
          </w:hyperlink>
        </w:p>
        <w:p>
          <w:pPr>
            <w:pStyle w:val="Contents4"/>
            <w:rPr>
              <w:rFonts w:ascii="Calibri" w:hAnsi="Calibri" w:cs="Calibri"/>
              <w:sz w:val="22"/>
              <w:szCs w:val="22"/>
              <w:lang w:val="en-US" w:eastAsia="en-US"/>
            </w:rPr>
          </w:pPr>
          <w:r>
            <w:rPr/>
            <w:t>4.2.3.1</w:t>
            <w:tab/>
            <w:t>Forced deactivation</w:t>
            <w:tab/>
          </w:r>
          <w:hyperlink w:anchor="__RefHeading___Toc82178512">
            <w:r>
              <w:rPr>
                <w:rStyle w:val="IndexLink"/>
              </w:rPr>
              <w:t>13</w:t>
            </w:r>
          </w:hyperlink>
        </w:p>
        <w:p>
          <w:pPr>
            <w:pStyle w:val="Contents4"/>
            <w:rPr>
              <w:rFonts w:ascii="Calibri" w:hAnsi="Calibri" w:cs="Calibri"/>
              <w:sz w:val="22"/>
              <w:szCs w:val="22"/>
              <w:lang w:val="en-US" w:eastAsia="en-US"/>
            </w:rPr>
          </w:pPr>
          <w:r>
            <w:rPr/>
            <w:t>4.2.3.2</w:t>
            <w:tab/>
            <w:t>Deactivation of recording session</w:t>
            <w:tab/>
          </w:r>
          <w:hyperlink w:anchor="__RefHeading___Toc82178513">
            <w:r>
              <w:rPr>
                <w:rStyle w:val="IndexLink"/>
              </w:rPr>
              <w:t>13</w:t>
            </w:r>
          </w:hyperlink>
        </w:p>
        <w:p>
          <w:pPr>
            <w:pStyle w:val="Contents3"/>
            <w:rPr>
              <w:rFonts w:ascii="Calibri" w:hAnsi="Calibri" w:cs="Calibri"/>
              <w:sz w:val="22"/>
              <w:szCs w:val="22"/>
              <w:lang w:val="en-US" w:eastAsia="en-US"/>
            </w:rPr>
          </w:pPr>
          <w:r>
            <w:rPr/>
            <w:t>4.2.4</w:t>
            <w:tab/>
            <w:t>Void</w:t>
            <w:tab/>
          </w:r>
          <w:hyperlink w:anchor="__RefHeading___Toc82178514">
            <w:r>
              <w:rPr>
                <w:rStyle w:val="IndexLink"/>
              </w:rPr>
              <w:t>13</w:t>
            </w:r>
          </w:hyperlink>
        </w:p>
        <w:p>
          <w:pPr>
            <w:pStyle w:val="Contents1"/>
            <w:rPr>
              <w:rFonts w:ascii="Calibri" w:hAnsi="Calibri" w:cs="Calibri"/>
              <w:szCs w:val="22"/>
              <w:lang w:val="en-US" w:eastAsia="en-US"/>
            </w:rPr>
          </w:pPr>
          <w:r>
            <w:rPr/>
            <w:t>5</w:t>
            <w:tab/>
            <w:t>Quality of Experience (QoE) measurement management parameters</w:t>
            <w:tab/>
          </w:r>
          <w:hyperlink w:anchor="__RefHeading___Toc82178515">
            <w:r>
              <w:rPr>
                <w:rStyle w:val="IndexLink"/>
              </w:rPr>
              <w:t>13</w:t>
            </w:r>
          </w:hyperlink>
        </w:p>
        <w:p>
          <w:pPr>
            <w:pStyle w:val="Contents2"/>
            <w:rPr>
              <w:rFonts w:ascii="Calibri" w:hAnsi="Calibri" w:cs="Calibri"/>
              <w:sz w:val="22"/>
              <w:szCs w:val="22"/>
              <w:lang w:val="en-US" w:eastAsia="en-US"/>
            </w:rPr>
          </w:pPr>
          <w:r>
            <w:rPr/>
            <w:t>5.1</w:t>
            <w:tab/>
            <w:t>QoE collection entity address (M)</w:t>
            <w:tab/>
          </w:r>
          <w:hyperlink w:anchor="__RefHeading___Toc82178516">
            <w:r>
              <w:rPr>
                <w:rStyle w:val="IndexLink"/>
              </w:rPr>
              <w:t>13</w:t>
            </w:r>
          </w:hyperlink>
        </w:p>
        <w:p>
          <w:pPr>
            <w:pStyle w:val="Contents2"/>
            <w:rPr>
              <w:rFonts w:ascii="Calibri" w:hAnsi="Calibri" w:cs="Calibri"/>
              <w:sz w:val="22"/>
              <w:szCs w:val="22"/>
              <w:lang w:val="en-US" w:eastAsia="en-US"/>
            </w:rPr>
          </w:pPr>
          <w:r>
            <w:rPr/>
            <w:t>5.2</w:t>
            <w:tab/>
            <w:t>QoE reference (M)</w:t>
            <w:tab/>
          </w:r>
          <w:hyperlink w:anchor="__RefHeading___Toc82178517">
            <w:r>
              <w:rPr>
                <w:rStyle w:val="IndexLink"/>
              </w:rPr>
              <w:t>13</w:t>
            </w:r>
          </w:hyperlink>
        </w:p>
        <w:p>
          <w:pPr>
            <w:pStyle w:val="Contents2"/>
            <w:rPr>
              <w:rFonts w:ascii="Calibri" w:hAnsi="Calibri" w:cs="Calibri"/>
              <w:sz w:val="22"/>
              <w:szCs w:val="22"/>
              <w:lang w:val="en-US" w:eastAsia="en-US"/>
            </w:rPr>
          </w:pPr>
          <w:r>
            <w:rPr/>
            <w:t>5.3</w:t>
            <w:tab/>
            <w:t>PLMN target (CM)</w:t>
            <w:tab/>
          </w:r>
          <w:hyperlink w:anchor="__RefHeading___Toc82178518">
            <w:r>
              <w:rPr>
                <w:rStyle w:val="IndexLink"/>
              </w:rPr>
              <w:t>13</w:t>
            </w:r>
          </w:hyperlink>
        </w:p>
        <w:p>
          <w:pPr>
            <w:pStyle w:val="Contents2"/>
            <w:rPr>
              <w:rFonts w:ascii="Calibri" w:hAnsi="Calibri" w:cs="Calibri"/>
              <w:sz w:val="22"/>
              <w:szCs w:val="22"/>
              <w:lang w:val="en-US" w:eastAsia="en-US"/>
            </w:rPr>
          </w:pPr>
          <w:r>
            <w:rPr/>
            <w:t>5.4</w:t>
            <w:tab/>
            <w:t>Area scope (CM)</w:t>
            <w:tab/>
          </w:r>
          <w:hyperlink w:anchor="__RefHeading___Toc82178519">
            <w:r>
              <w:rPr>
                <w:rStyle w:val="IndexLink"/>
              </w:rPr>
              <w:t>14</w:t>
            </w:r>
          </w:hyperlink>
        </w:p>
        <w:p>
          <w:pPr>
            <w:pStyle w:val="Contents2"/>
            <w:rPr>
              <w:rFonts w:ascii="Calibri" w:hAnsi="Calibri" w:cs="Calibri"/>
              <w:sz w:val="22"/>
              <w:szCs w:val="22"/>
              <w:lang w:val="en-US" w:eastAsia="en-US"/>
            </w:rPr>
          </w:pPr>
          <w:r>
            <w:rPr/>
            <w:t>5.5</w:t>
            <w:tab/>
            <w:t>QMC configuration file (container) (M)</w:t>
            <w:tab/>
          </w:r>
          <w:hyperlink w:anchor="__RefHeading___Toc82178520">
            <w:r>
              <w:rPr>
                <w:rStyle w:val="IndexLink"/>
              </w:rPr>
              <w:t>14</w:t>
            </w:r>
          </w:hyperlink>
        </w:p>
        <w:p>
          <w:pPr>
            <w:pStyle w:val="Contents2"/>
            <w:rPr>
              <w:rFonts w:ascii="Calibri" w:hAnsi="Calibri" w:cs="Calibri"/>
              <w:sz w:val="22"/>
              <w:szCs w:val="22"/>
              <w:lang w:val="en-US" w:eastAsia="en-US"/>
            </w:rPr>
          </w:pPr>
          <w:r>
            <w:rPr/>
            <w:t>5.6</w:t>
            <w:tab/>
            <w:t>QMC target (M)</w:t>
            <w:tab/>
          </w:r>
          <w:hyperlink w:anchor="__RefHeading___Toc82178521">
            <w:r>
              <w:rPr>
                <w:rStyle w:val="IndexLink"/>
              </w:rPr>
              <w:t>14</w:t>
            </w:r>
          </w:hyperlink>
        </w:p>
        <w:p>
          <w:pPr>
            <w:pStyle w:val="Contents2"/>
            <w:rPr>
              <w:rFonts w:ascii="Calibri" w:hAnsi="Calibri" w:cs="Calibri"/>
              <w:sz w:val="22"/>
              <w:szCs w:val="22"/>
              <w:lang w:val="en-US" w:eastAsia="en-US"/>
            </w:rPr>
          </w:pPr>
          <w:r>
            <w:rPr/>
            <w:t>5.7</w:t>
            <w:tab/>
            <w:t>Recording session id (M)</w:t>
            <w:tab/>
          </w:r>
          <w:hyperlink w:anchor="__RefHeading___Toc82178522">
            <w:r>
              <w:rPr>
                <w:rStyle w:val="IndexLink"/>
              </w:rPr>
              <w:t>14</w:t>
            </w:r>
          </w:hyperlink>
        </w:p>
        <w:p>
          <w:pPr>
            <w:pStyle w:val="Contents2"/>
            <w:rPr>
              <w:rFonts w:ascii="Calibri" w:hAnsi="Calibri" w:cs="Calibri"/>
              <w:sz w:val="22"/>
              <w:szCs w:val="22"/>
              <w:lang w:val="en-US" w:eastAsia="en-US"/>
            </w:rPr>
          </w:pPr>
          <w:r>
            <w:rPr/>
            <w:t>5.8</w:t>
            <w:tab/>
            <w:t>Service type (M)</w:t>
            <w:tab/>
          </w:r>
          <w:hyperlink w:anchor="__RefHeading___Toc82178523">
            <w:r>
              <w:rPr>
                <w:rStyle w:val="IndexLink"/>
              </w:rPr>
              <w:t>14</w:t>
            </w:r>
          </w:hyperlink>
        </w:p>
        <w:p>
          <w:pPr>
            <w:pStyle w:val="Contents8"/>
            <w:rPr>
              <w:rFonts w:ascii="Calibri" w:hAnsi="Calibri" w:cs="Calibri"/>
              <w:szCs w:val="22"/>
              <w:lang w:val="en-US" w:eastAsia="en-US"/>
            </w:rPr>
          </w:pPr>
          <w:r>
            <w:rPr>
              <w:b w:val="false"/>
            </w:rPr>
            <w:t>Annex A (informative): Change history</w:t>
            <w:tab/>
          </w:r>
          <w:hyperlink w:anchor="__RefHeading___Toc82178524">
            <w:r>
              <w:rPr>
                <w:rStyle w:val="IndexLink"/>
                <w:b w:val="false"/>
              </w:rPr>
              <w:t>15</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17" w:name="__RefHeading___Toc82178489"/>
      <w:bookmarkStart w:id="18" w:name="foreword"/>
      <w:bookmarkEnd w:id="17"/>
      <w:bookmarkEnd w:id="18"/>
      <w:r>
        <w:rPr/>
        <w:t>Foreword</w:t>
      </w:r>
    </w:p>
    <w:p>
      <w:pPr>
        <w:pStyle w:val="Normal"/>
        <w:rPr/>
      </w:pPr>
      <w:r>
        <w:rPr/>
        <w:t xml:space="preserve">This Technical </w:t>
      </w:r>
      <w:bookmarkStart w:id="19" w:name="spectype3"/>
      <w:r>
        <w:rPr/>
        <w:t>Specification</w:t>
      </w:r>
      <w:bookmarkEnd w:id="19"/>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20" w:name="__RefHeading___Toc82178490"/>
      <w:bookmarkStart w:id="21" w:name="introduction"/>
      <w:bookmarkEnd w:id="20"/>
      <w:bookmarkEnd w:id="21"/>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 </w:t>
      </w:r>
    </w:p>
    <w:p>
      <w:pPr>
        <w:pStyle w:val="Normal"/>
        <w:rPr/>
      </w:pPr>
      <w:r>
        <w:rPr/>
        <w:t>TS 28.404:</w:t>
        <w:tab/>
        <w:t>"Quality of Experience (QoE) measurement collection; Concepts, use cases and requirements";</w:t>
      </w:r>
    </w:p>
    <w:p>
      <w:pPr>
        <w:pStyle w:val="Normal"/>
        <w:rPr/>
      </w:pPr>
      <w:r>
        <w:rPr>
          <w:b/>
        </w:rPr>
        <w:t>TS 28.405:</w:t>
        <w:tab/>
        <w:t>"Quality of Experience (QoE) measurement collection; Control and configuration";</w:t>
      </w:r>
    </w:p>
    <w:p>
      <w:pPr>
        <w:pStyle w:val="Normal"/>
        <w:rPr/>
      </w:pPr>
      <w:r>
        <w:rPr/>
        <w:t>TS 28.406:</w:t>
        <w:tab/>
        <w:t>"Quality of Experience (QoE) measurement collection; Information definition and transport".</w:t>
      </w:r>
    </w:p>
    <w:p>
      <w:pPr>
        <w:pStyle w:val="Normal"/>
        <w:keepNext w:val="true"/>
        <w:keepLines/>
        <w:rPr/>
      </w:pPr>
      <w:r>
        <w:rPr/>
        <w:t>One main motivation of mobile network evolution is to improve the user experience, which is why the evaluation of the user experience at the UE side is vital to network operators. This is especially true when the operators provide high bit rate real-time services like streaming services (typically video services), where even intermittent quality degradation is very annoying. Many of these streaming services are a significant part of the commercial traffic growth rate, therefore the focus is on the end users' experience.</w:t>
      </w:r>
    </w:p>
    <w:p>
      <w:pPr>
        <w:pStyle w:val="Normal"/>
        <w:rPr/>
      </w:pPr>
      <w:r>
        <w:rPr/>
        <w:t xml:space="preserve">Quality of Experience (QoE) information collection provides detailed information at session level on a number of UEs. </w:t>
      </w:r>
    </w:p>
    <w:p>
      <w:pPr>
        <w:pStyle w:val="Normal"/>
        <w:rPr/>
      </w:pPr>
      <w:r>
        <w:rPr/>
        <w:t>The capability to log information within a UE, and in particular the QoE of an end user service, initiated by an operator, provides the operator with QoE information. The collected information (specified in 3GPP TS 26.247 [6]) cannot be deduced from performance measurements in the mobile network.</w:t>
      </w:r>
    </w:p>
    <w:p>
      <w:pPr>
        <w:pStyle w:val="Normal"/>
        <w:rPr/>
      </w:pPr>
      <w:r>
        <w:rPr/>
        <w:t>The QoE information is information collected by the end user application in the UE.</w:t>
      </w:r>
    </w:p>
    <w:p>
      <w:pPr>
        <w:pStyle w:val="Normal"/>
        <w:rPr/>
      </w:pPr>
      <w:r>
        <w:rPr/>
        <w:t>The QoE information is collected by the management system for analysis and/or KPI calculations.</w:t>
      </w:r>
      <w:r>
        <w:br w:type="page"/>
      </w:r>
    </w:p>
    <w:p>
      <w:pPr>
        <w:pStyle w:val="Heading1"/>
        <w:ind w:left="1134" w:hanging="1134"/>
        <w:rPr/>
      </w:pPr>
      <w:bookmarkStart w:id="22" w:name="__RefHeading___Toc82178491"/>
      <w:bookmarkEnd w:id="22"/>
      <w:r>
        <w:rPr/>
        <w:t>1</w:t>
        <w:tab/>
        <w:t>Scope</w:t>
      </w:r>
    </w:p>
    <w:p>
      <w:pPr>
        <w:pStyle w:val="Normal"/>
        <w:rPr/>
      </w:pPr>
      <w:r>
        <w:rPr/>
        <w:t>The present document addresses the mechanisms used for the function Quality of Experience (QoE) measurement collection in UMTS and LTE. The measurements that are collected are DASH [6] and MTSI [7] measurements.</w:t>
      </w:r>
    </w:p>
    <w:p>
      <w:pPr>
        <w:pStyle w:val="Normal"/>
        <w:rPr/>
      </w:pPr>
      <w:r>
        <w:rPr/>
        <w:t>The function includes collecting QoE information from UEs frequenting a specified area or an individual UE for a specified end user service/end user service type. The document describes the activation and deactivation of a network request session, UE request session and recording session and also the reporting of recorded information [2].</w:t>
      </w:r>
    </w:p>
    <w:p>
      <w:pPr>
        <w:pStyle w:val="Heading1"/>
        <w:ind w:left="1134" w:hanging="1134"/>
        <w:rPr/>
      </w:pPr>
      <w:bookmarkStart w:id="23" w:name="__RefHeading___Toc82178492"/>
      <w:bookmarkStart w:id="24" w:name="references"/>
      <w:bookmarkEnd w:id="23"/>
      <w:bookmarkEnd w:id="24"/>
      <w:r>
        <w:rPr/>
        <w:t>2</w:t>
        <w:tab/>
        <w:t>References</w:t>
      </w:r>
    </w:p>
    <w:p>
      <w:pPr>
        <w:pStyle w:val="Normal"/>
        <w:keepNext w:val="true"/>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25" w:name="definitions"/>
      <w:bookmarkEnd w:id="25"/>
      <w:r>
        <w:rPr/>
        <w:t>[1]</w:t>
        <w:tab/>
        <w:t>3GPP TR 21.905: "Vocabulary for 3GPP Specifications".</w:t>
      </w:r>
    </w:p>
    <w:p>
      <w:pPr>
        <w:pStyle w:val="EX"/>
        <w:rPr/>
      </w:pPr>
      <w:r>
        <w:rPr/>
        <w:t>[2]</w:t>
        <w:tab/>
        <w:t xml:space="preserve">3GPP TS 28.404: "Telecommunication management;Quality of Experience (QoE) measurement collection; Concepts, use cases and requirements". </w:t>
      </w:r>
    </w:p>
    <w:p>
      <w:pPr>
        <w:pStyle w:val="EX"/>
        <w:rPr/>
      </w:pPr>
      <w:r>
        <w:rPr/>
        <w:t>[3]</w:t>
        <w:tab/>
        <w:t>3GPP TS 28.308: "Management of Quality of Experience (QoE) measurement collection Integration Reference Point (IRP); Information Service (IS)".</w:t>
      </w:r>
    </w:p>
    <w:p>
      <w:pPr>
        <w:pStyle w:val="EX"/>
        <w:rPr/>
      </w:pPr>
      <w:r>
        <w:rPr/>
        <w:t>[4]</w:t>
        <w:tab/>
        <w:t>3GPP TS 25.331: "Radio Resource Control (RRC) protocol specification".</w:t>
      </w:r>
    </w:p>
    <w:p>
      <w:pPr>
        <w:pStyle w:val="EX"/>
        <w:rPr/>
      </w:pPr>
      <w:r>
        <w:rPr/>
        <w:t>[5]</w:t>
        <w:tab/>
        <w:t>3GPP TS 27.007: "AT command set for User Equipment (UE)".</w:t>
      </w:r>
    </w:p>
    <w:p>
      <w:pPr>
        <w:pStyle w:val="EX"/>
        <w:rPr/>
      </w:pPr>
      <w:r>
        <w:rPr/>
        <w:t>[6]</w:t>
        <w:tab/>
        <w:t xml:space="preserve">3GPP TS 26.247: "Transparent end-to-end Packet-switched Streaming Service (PSS); Progressive Download and Dynamic Adaptive Streaming over HTTP (3GP-DASH)". </w:t>
      </w:r>
    </w:p>
    <w:p>
      <w:pPr>
        <w:pStyle w:val="EX"/>
        <w:rPr/>
      </w:pPr>
      <w:r>
        <w:rPr/>
        <w:t>[7]</w:t>
        <w:tab/>
        <w:t xml:space="preserve">3GPP TS 26.114: "IP Multimedia Subsystem (IMS); Multimedia Telephony; Media handling and interaction". </w:t>
      </w:r>
    </w:p>
    <w:p>
      <w:pPr>
        <w:pStyle w:val="EX"/>
        <w:keepLines w:val="false"/>
        <w:rPr/>
      </w:pPr>
      <w:r>
        <w:rPr/>
        <w:t>[8]</w:t>
        <w:tab/>
        <w:t>3GPP TS 36.331: "Evolved Universal Terrestrial Radio Access (E-UTRA); Radio Resource Control (RRC) protocol specification".</w:t>
      </w:r>
    </w:p>
    <w:p>
      <w:pPr>
        <w:pStyle w:val="EX"/>
        <w:keepLines w:val="false"/>
        <w:rPr/>
      </w:pPr>
      <w:r>
        <w:rPr/>
        <w:t>[9]</w:t>
        <w:tab/>
        <w:t>3GPP TS 36.413: "Evolved Universal Terrestrial Radio Access Network (E-UTRAN); S1 Application Protocol (S1AP)".</w:t>
      </w:r>
    </w:p>
    <w:p>
      <w:pPr>
        <w:pStyle w:val="EX"/>
        <w:keepLines w:val="false"/>
        <w:rPr/>
      </w:pPr>
      <w:r>
        <w:rPr/>
        <w:t>[10]</w:t>
        <w:tab/>
        <w:t>3GPP TS 25.413: "UTRAN Iu interface Radio Access Network Application Part (RANAP) signalling".</w:t>
      </w:r>
    </w:p>
    <w:p>
      <w:pPr>
        <w:pStyle w:val="Heading1"/>
        <w:keepNext w:val="false"/>
        <w:keepLines w:val="false"/>
        <w:ind w:left="1134" w:hanging="1134"/>
        <w:rPr/>
      </w:pPr>
      <w:bookmarkStart w:id="26" w:name="__RefHeading___Toc82178493"/>
      <w:bookmarkEnd w:id="26"/>
      <w:r>
        <w:rPr/>
        <w:t>3</w:t>
        <w:tab/>
        <w:t>Definitions of terms, symbols and abbreviations</w:t>
      </w:r>
    </w:p>
    <w:p>
      <w:pPr>
        <w:pStyle w:val="Heading2"/>
        <w:keepNext w:val="false"/>
        <w:keepLines w:val="false"/>
        <w:rPr/>
      </w:pPr>
      <w:bookmarkStart w:id="27" w:name="__RefHeading___Toc82178494"/>
      <w:bookmarkEnd w:id="27"/>
      <w:r>
        <w:rPr/>
        <w:t>3.1</w:t>
        <w:tab/>
        <w:t>Terms</w:t>
      </w:r>
    </w:p>
    <w:p>
      <w:pPr>
        <w:pStyle w:val="Normal"/>
        <w:rPr/>
      </w:pPr>
      <w:r>
        <w:rPr/>
        <w:t>For the purposes of the present document, the terms given in TR 21.905 [1] and the following apply. A term defined in the present document takes precedence over the definition of the same term, if any, in TR 21.905 [1].</w:t>
      </w:r>
    </w:p>
    <w:p>
      <w:pPr>
        <w:pStyle w:val="Heading2"/>
        <w:keepNext w:val="false"/>
        <w:rPr/>
      </w:pPr>
      <w:bookmarkStart w:id="28" w:name="__RefHeading___Toc82178495"/>
      <w:bookmarkEnd w:id="28"/>
      <w:r>
        <w:rPr/>
        <w:t>3.2</w:t>
        <w:tab/>
        <w:t>Symbols</w:t>
      </w:r>
    </w:p>
    <w:p>
      <w:pPr>
        <w:pStyle w:val="EX"/>
        <w:rPr/>
      </w:pPr>
      <w:r>
        <w:rPr/>
        <w:t>Void.</w:t>
      </w:r>
    </w:p>
    <w:p>
      <w:pPr>
        <w:pStyle w:val="Heading2"/>
        <w:keepNext w:val="false"/>
        <w:rPr/>
      </w:pPr>
      <w:bookmarkStart w:id="29" w:name="__RefHeading___Toc82178496"/>
      <w:bookmarkEnd w:id="29"/>
      <w:r>
        <w:rPr/>
        <w:t>3.3</w:t>
        <w:tab/>
        <w:t>Abbreviations</w:t>
      </w:r>
    </w:p>
    <w:p>
      <w:pPr>
        <w:pStyle w:val="Normal"/>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eastAsia="zh-CN"/>
        </w:rPr>
      </w:pPr>
      <w:r>
        <w:rPr>
          <w:lang w:eastAsia="zh-CN"/>
        </w:rPr>
        <w:t>DM</w:t>
        <w:tab/>
        <w:t>Domain Manager</w:t>
      </w:r>
    </w:p>
    <w:p>
      <w:pPr>
        <w:pStyle w:val="EW"/>
        <w:rPr/>
      </w:pPr>
      <w:r>
        <w:rPr>
          <w:lang w:eastAsia="zh-CN"/>
        </w:rPr>
        <w:t>MCE</w:t>
        <w:tab/>
        <w:t>Measurement Collector Entity</w:t>
      </w:r>
    </w:p>
    <w:p>
      <w:pPr>
        <w:pStyle w:val="EW"/>
        <w:rPr>
          <w:lang w:eastAsia="zh-CN"/>
        </w:rPr>
      </w:pPr>
      <w:r>
        <w:rPr>
          <w:lang w:eastAsia="zh-CN"/>
        </w:rPr>
        <w:t>NB</w:t>
        <w:tab/>
        <w:t>Node B</w:t>
      </w:r>
    </w:p>
    <w:p>
      <w:pPr>
        <w:pStyle w:val="EW"/>
        <w:rPr>
          <w:lang w:eastAsia="zh-CN"/>
        </w:rPr>
      </w:pPr>
      <w:r>
        <w:rPr>
          <w:lang w:eastAsia="zh-CN"/>
        </w:rPr>
        <w:t>QMC</w:t>
        <w:tab/>
        <w:t>QoE Measurement Collection</w:t>
      </w:r>
    </w:p>
    <w:p>
      <w:pPr>
        <w:pStyle w:val="EW"/>
        <w:rPr/>
      </w:pPr>
      <w:r>
        <w:rPr/>
        <w:t>QoE</w:t>
        <w:tab/>
        <w:t>Quality of Experience</w:t>
      </w:r>
    </w:p>
    <w:p>
      <w:pPr>
        <w:pStyle w:val="EW"/>
        <w:rPr/>
      </w:pPr>
      <w:r>
        <w:rPr/>
      </w:r>
    </w:p>
    <w:p>
      <w:pPr>
        <w:pStyle w:val="Heading1"/>
        <w:keepNext w:val="false"/>
        <w:ind w:left="1134" w:hanging="1134"/>
        <w:rPr/>
      </w:pPr>
      <w:bookmarkStart w:id="30" w:name="__RefHeading___Toc82178497"/>
      <w:bookmarkStart w:id="31" w:name="clause4"/>
      <w:bookmarkEnd w:id="30"/>
      <w:bookmarkEnd w:id="31"/>
      <w:r>
        <w:rPr/>
        <w:t>4</w:t>
        <w:tab/>
        <w:t>Quality of Experience (QoE) measurement collection</w:t>
      </w:r>
    </w:p>
    <w:p>
      <w:pPr>
        <w:pStyle w:val="Heading2"/>
        <w:keepNext w:val="false"/>
        <w:rPr/>
      </w:pPr>
      <w:bookmarkStart w:id="32" w:name="__RefHeading___Toc82178498"/>
      <w:bookmarkStart w:id="33" w:name="startOfAnnexes"/>
      <w:bookmarkEnd w:id="32"/>
      <w:bookmarkEnd w:id="33"/>
      <w:r>
        <w:rPr/>
        <w:t>4.1</w:t>
        <w:tab/>
      </w:r>
      <w:r>
        <w:rPr>
          <w:iCs/>
        </w:rPr>
        <w:t>Management based activation in UTRAN</w:t>
      </w:r>
    </w:p>
    <w:p>
      <w:pPr>
        <w:pStyle w:val="Heading3"/>
        <w:keepNext w:val="false"/>
        <w:rPr/>
      </w:pPr>
      <w:bookmarkStart w:id="34" w:name="__RefHeading___Toc82178499"/>
      <w:bookmarkEnd w:id="34"/>
      <w:r>
        <w:rPr/>
        <w:t>4.1.1</w:t>
        <w:tab/>
        <w:t>Activation of measurement collection job and reporting of collected information in UTRAN</w:t>
      </w:r>
    </w:p>
    <w:p>
      <w:pPr>
        <w:pStyle w:val="Normal"/>
        <w:keepLines/>
        <w:rPr/>
      </w:pPr>
      <w:r>
        <w:rPr/>
        <w:t xml:space="preserve">The parameters for the network request session are sent from the management system to the RNCs that host the cells that are included in the collection job request in the </w:t>
      </w:r>
      <w:r>
        <w:rPr>
          <w:rFonts w:cs="Courier New" w:ascii="Courier New" w:hAnsi="Courier New"/>
        </w:rPr>
        <w:t xml:space="preserve">activateAreaQMCJob </w:t>
      </w:r>
      <w:r>
        <w:rPr/>
        <w:t xml:space="preserve">operation [3]. The RNC starts a network request session, with the </w:t>
      </w:r>
      <w:r>
        <w:rPr>
          <w:rFonts w:cs="Courier New" w:ascii="Courier New" w:hAnsi="Courier New"/>
        </w:rPr>
        <w:t>Network request session id</w:t>
      </w:r>
      <w:r>
        <w:rPr/>
        <w:t xml:space="preserve"> [3] given in </w:t>
      </w:r>
      <w:r>
        <w:rPr>
          <w:rFonts w:cs="Courier New" w:ascii="Courier New" w:hAnsi="Courier New"/>
        </w:rPr>
        <w:t xml:space="preserve">activateAreaQMCJob </w:t>
      </w:r>
      <w:r>
        <w:rPr/>
        <w:t xml:space="preserve">operation [3]. For the duration of the network request session, the RNC(s) checks for connections where the UE has the </w:t>
      </w:r>
      <w:r>
        <w:rPr>
          <w:rFonts w:cs="Courier New" w:ascii="Courier New" w:hAnsi="Courier New"/>
        </w:rPr>
        <w:t>UE Application Layer Measurement Capability</w:t>
      </w:r>
      <w:r>
        <w:rPr/>
        <w:t xml:space="preserve"> [10]. The </w:t>
      </w:r>
      <w:r>
        <w:rPr>
          <w:rFonts w:cs="Courier New" w:ascii="Courier New" w:hAnsi="Courier New"/>
        </w:rPr>
        <w:t>UE Application Layer Measurement Capability</w:t>
      </w:r>
      <w:r>
        <w:rPr/>
        <w:t xml:space="preserve"> is sent from the UE to RNC (via the core network) in message </w:t>
      </w:r>
      <w:r>
        <w:rPr>
          <w:rFonts w:cs="Courier New" w:ascii="Courier New" w:hAnsi="Courier New"/>
          <w:lang w:eastAsia="zh-CN"/>
        </w:rPr>
        <w:t>INITIAL UE MESSAGE</w:t>
      </w:r>
      <w:r>
        <w:rPr>
          <w:rFonts w:cs="Courier New" w:ascii="Courier New" w:hAnsi="Courier New"/>
        </w:rPr>
        <w:t xml:space="preserve"> </w:t>
      </w:r>
      <w:r>
        <w:rPr/>
        <w:t xml:space="preserve">[10]. </w:t>
      </w:r>
    </w:p>
    <w:p>
      <w:pPr>
        <w:pStyle w:val="Normal"/>
        <w:rPr/>
      </w:pPr>
      <w:r>
        <w:rPr/>
        <w:t xml:space="preserve">When a session is found that has a UE with the </w:t>
      </w:r>
      <w:r>
        <w:rPr>
          <w:rFonts w:cs="Courier New" w:ascii="Courier New" w:hAnsi="Courier New"/>
        </w:rPr>
        <w:t>UE Application Layer Measurement Capability</w:t>
      </w:r>
      <w:r>
        <w:rPr/>
        <w:t xml:space="preserve">, the RNC starts a UE request session by sending a </w:t>
      </w:r>
      <w:r>
        <w:rPr>
          <w:rFonts w:cs="Courier New" w:ascii="Courier New" w:hAnsi="Courier New"/>
        </w:rPr>
        <w:t>MEASUREMENT CONTROL</w:t>
      </w:r>
      <w:r>
        <w:rPr>
          <w:lang w:eastAsia="zh-CN"/>
        </w:rPr>
        <w:t xml:space="preserve"> </w:t>
      </w:r>
      <w:r>
        <w:rPr/>
        <w:t>message [4] to the UE via the NB.</w:t>
      </w:r>
    </w:p>
    <w:p>
      <w:pPr>
        <w:pStyle w:val="Normal"/>
        <w:rPr/>
      </w:pPr>
      <w:r>
        <w:rPr/>
        <w:t>The AT command +CAPPLEVMC [5] activates provisioning of measurement reporting from the lower layers to the application within the UE by an unsolicited result code +CAPPLEVMC. When information about a measurement report is received in the UE from the network, the unsolicited result code +CAPPLEVMC contains the relevant parameters (service_type, start_stop-indication and config-file &amp; config-file length if applicable) that are provided from the lower layers in the UE to the application.</w:t>
      </w:r>
    </w:p>
    <w:p>
      <w:pPr>
        <w:pStyle w:val="TH"/>
        <w:rPr/>
      </w:pPr>
      <w:r>
        <w:rPr/>
        <w:drawing>
          <wp:inline distT="0" distB="0" distL="0" distR="0">
            <wp:extent cx="5364480" cy="24174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rcRect l="-6" t="-10" r="-6" b="-10"/>
                    <a:stretch>
                      <a:fillRect/>
                    </a:stretch>
                  </pic:blipFill>
                  <pic:spPr bwMode="auto">
                    <a:xfrm>
                      <a:off x="0" y="0"/>
                      <a:ext cx="5364480" cy="2417445"/>
                    </a:xfrm>
                    <a:prstGeom prst="rect">
                      <a:avLst/>
                    </a:prstGeom>
                  </pic:spPr>
                </pic:pic>
              </a:graphicData>
            </a:graphic>
          </wp:inline>
        </w:drawing>
      </w:r>
    </w:p>
    <w:p>
      <w:pPr>
        <w:pStyle w:val="TF"/>
        <w:rPr/>
      </w:pPr>
      <w:r>
        <w:rPr/>
        <w:t>Figure 4.1.1-1: QMC activation and reporting in UTRAN</w:t>
      </w:r>
    </w:p>
    <w:p>
      <w:pPr>
        <w:pStyle w:val="B1"/>
        <w:rPr/>
      </w:pPr>
      <w:r>
        <w:rPr/>
        <w:t>1.</w:t>
        <w:tab/>
        <w:t xml:space="preserve">The NM sends </w:t>
      </w:r>
      <w:r>
        <w:rPr>
          <w:rFonts w:cs="Courier New" w:ascii="Courier New" w:hAnsi="Courier New"/>
        </w:rPr>
        <w:t>activateAreaQMCJob</w:t>
      </w:r>
      <w:r>
        <w:rPr/>
        <w:t xml:space="preserve"> to DM/EM that controls the impacted RNC(s), and includes the parameters: </w:t>
      </w:r>
      <w:r>
        <w:rPr>
          <w:rFonts w:cs="Courier New" w:ascii="Courier New" w:hAnsi="Courier New"/>
        </w:rPr>
        <w:t>serviceType</w:t>
      </w:r>
      <w:r>
        <w:rPr/>
        <w:t xml:space="preserve">, </w:t>
      </w:r>
      <w:r>
        <w:rPr>
          <w:rFonts w:cs="Courier New" w:ascii="Courier New" w:hAnsi="Courier New"/>
        </w:rPr>
        <w:t>areaScope</w:t>
      </w:r>
      <w:r>
        <w:rPr/>
        <w:t xml:space="preserve">, </w:t>
      </w:r>
      <w:r>
        <w:rPr>
          <w:rFonts w:cs="Courier New" w:ascii="Courier New" w:hAnsi="Courier New"/>
        </w:rPr>
        <w:t>qoECollectionEntityAddress</w:t>
      </w:r>
      <w:r>
        <w:rPr/>
        <w:t xml:space="preserve">, </w:t>
      </w:r>
      <w:r>
        <w:rPr>
          <w:rFonts w:cs="Courier New" w:ascii="Courier New" w:hAnsi="Courier New"/>
        </w:rPr>
        <w:t>pLMNTarget</w:t>
      </w:r>
      <w:r>
        <w:rPr/>
        <w:t xml:space="preserve">, </w:t>
      </w:r>
      <w:r>
        <w:rPr>
          <w:rFonts w:cs="Courier New" w:ascii="Courier New" w:hAnsi="Courier New"/>
        </w:rPr>
        <w:t>qMCTarget</w:t>
      </w:r>
      <w:r>
        <w:rPr/>
        <w:t xml:space="preserve">, </w:t>
      </w:r>
      <w:r>
        <w:rPr>
          <w:rFonts w:cs="Courier New" w:ascii="Courier New" w:hAnsi="Courier New"/>
        </w:rPr>
        <w:t>qoEReference</w:t>
      </w:r>
      <w:r>
        <w:rPr/>
        <w:t xml:space="preserve"> and QMC configuration file.</w:t>
      </w:r>
    </w:p>
    <w:p>
      <w:pPr>
        <w:pStyle w:val="B1"/>
        <w:rPr/>
      </w:pPr>
      <w:r>
        <w:rPr/>
        <w:t>2.</w:t>
        <w:tab/>
        <w:t xml:space="preserve">The DM/EM forwards </w:t>
      </w:r>
      <w:r>
        <w:rPr>
          <w:rFonts w:cs="Courier New" w:ascii="Courier New" w:hAnsi="Courier New"/>
        </w:rPr>
        <w:t>activateAreaQMCJob</w:t>
      </w:r>
      <w:r>
        <w:rPr/>
        <w:t xml:space="preserve"> to impacted RNC(s), and includes the parameters: </w:t>
      </w:r>
      <w:r>
        <w:rPr>
          <w:rFonts w:cs="Courier New" w:ascii="Courier New" w:hAnsi="Courier New"/>
        </w:rPr>
        <w:t>serviceType</w:t>
      </w:r>
      <w:r>
        <w:rPr/>
        <w:t xml:space="preserve">, </w:t>
      </w:r>
      <w:r>
        <w:rPr>
          <w:rFonts w:cs="Courier New" w:ascii="Courier New" w:hAnsi="Courier New"/>
        </w:rPr>
        <w:t>areaScope</w:t>
      </w:r>
      <w:r>
        <w:rPr/>
        <w:t xml:space="preserve">, </w:t>
      </w:r>
      <w:r>
        <w:rPr>
          <w:rFonts w:cs="Courier New" w:ascii="Courier New" w:hAnsi="Courier New"/>
        </w:rPr>
        <w:t>qoECollectionEntityAddress</w:t>
      </w:r>
      <w:r>
        <w:rPr/>
        <w:t xml:space="preserve">, </w:t>
      </w:r>
      <w:r>
        <w:rPr>
          <w:rFonts w:cs="Courier New" w:ascii="Courier New" w:hAnsi="Courier New"/>
        </w:rPr>
        <w:t>pLMNTarget</w:t>
      </w:r>
      <w:r>
        <w:rPr/>
        <w:t xml:space="preserve">, </w:t>
      </w:r>
      <w:r>
        <w:rPr>
          <w:rFonts w:cs="Courier New" w:ascii="Courier New" w:hAnsi="Courier New"/>
        </w:rPr>
        <w:t>qMCTarget</w:t>
      </w:r>
      <w:r>
        <w:rPr/>
        <w:t xml:space="preserve">, </w:t>
      </w:r>
      <w:r>
        <w:rPr>
          <w:rFonts w:cs="Courier New" w:ascii="Courier New" w:hAnsi="Courier New"/>
        </w:rPr>
        <w:t>qoEReference</w:t>
      </w:r>
      <w:r>
        <w:rPr/>
        <w:t xml:space="preserve"> and QMC configuration file.</w:t>
      </w:r>
    </w:p>
    <w:p>
      <w:pPr>
        <w:pStyle w:val="B1"/>
        <w:rPr/>
      </w:pPr>
      <w:r>
        <w:rPr/>
        <w:t>3.</w:t>
        <w:tab/>
        <w:t xml:space="preserve">The RNC checks for connections where the UE has the </w:t>
      </w:r>
      <w:r>
        <w:rPr>
          <w:rFonts w:cs="Courier New" w:ascii="Courier New" w:hAnsi="Courier New"/>
        </w:rPr>
        <w:t>UE Application Layer Measurement Capability</w:t>
      </w:r>
      <w:r>
        <w:rPr/>
        <w:t xml:space="preserve"> [10] that match the criteria for </w:t>
      </w:r>
      <w:r>
        <w:rPr>
          <w:rFonts w:cs="Courier New" w:ascii="Courier New" w:hAnsi="Courier New"/>
        </w:rPr>
        <w:t>serviceType</w:t>
      </w:r>
      <w:r>
        <w:rPr/>
        <w:t xml:space="preserve"> in the </w:t>
      </w:r>
      <w:r>
        <w:rPr>
          <w:rFonts w:cs="Courier New" w:ascii="Courier New" w:hAnsi="Courier New"/>
        </w:rPr>
        <w:t>activateAreaQMCJob</w:t>
      </w:r>
      <w:r>
        <w:rPr/>
        <w:t xml:space="preserve">. </w:t>
      </w:r>
    </w:p>
    <w:p>
      <w:pPr>
        <w:pStyle w:val="B1"/>
        <w:rPr/>
      </w:pPr>
      <w:r>
        <w:rPr/>
        <w:t>4.</w:t>
        <w:tab/>
        <w:t xml:space="preserve">When a connection is found that has the </w:t>
      </w:r>
      <w:r>
        <w:rPr>
          <w:rFonts w:cs="Courier New" w:ascii="Courier New" w:hAnsi="Courier New"/>
        </w:rPr>
        <w:t>UE Application Layer Measurement Capability</w:t>
      </w:r>
      <w:r>
        <w:rPr/>
        <w:t xml:space="preserve"> [10], the RNC start a UE request session and stores the associated </w:t>
      </w:r>
      <w:r>
        <w:rPr>
          <w:rFonts w:cs="Courier New" w:ascii="Courier New" w:hAnsi="Courier New"/>
        </w:rPr>
        <w:t>QoECollectionEntityAddress</w:t>
      </w:r>
      <w:r>
        <w:rPr/>
        <w:t xml:space="preserve">, sends the message </w:t>
      </w:r>
      <w:r>
        <w:rPr>
          <w:rFonts w:cs="Courier New" w:ascii="Courier New" w:hAnsi="Courier New"/>
        </w:rPr>
        <w:t>RRCConnectionReconfiguration</w:t>
      </w:r>
      <w:r>
        <w:rPr/>
        <w:t xml:space="preserve"> to the UE, and includes the following: </w:t>
      </w:r>
      <w:r>
        <w:rPr>
          <w:rFonts w:cs="Courier New" w:ascii="Courier New" w:hAnsi="Courier New"/>
        </w:rPr>
        <w:t>serviceType</w:t>
      </w:r>
      <w:r>
        <w:rPr/>
        <w:t xml:space="preserve">, </w:t>
      </w:r>
      <w:r>
        <w:rPr>
          <w:rFonts w:cs="Courier New" w:ascii="Courier New" w:hAnsi="Courier New"/>
        </w:rPr>
        <w:t>qoEReference</w:t>
      </w:r>
      <w:r>
        <w:rPr/>
        <w:t xml:space="preserve"> and QMC configuration file.</w:t>
      </w:r>
    </w:p>
    <w:p>
      <w:pPr>
        <w:pStyle w:val="B1"/>
        <w:rPr/>
      </w:pPr>
      <w:r>
        <w:rPr/>
        <w:t>5.</w:t>
        <w:tab/>
        <w:t xml:space="preserve">The access stratum in the UE sends the AT command +CAPPLEVMC to application level and includes the following: </w:t>
      </w:r>
      <w:r>
        <w:rPr>
          <w:rFonts w:cs="Courier New" w:ascii="Courier New" w:hAnsi="Courier New"/>
        </w:rPr>
        <w:t>serviceType</w:t>
      </w:r>
      <w:r>
        <w:rPr/>
        <w:t xml:space="preserve">, </w:t>
      </w:r>
      <w:r>
        <w:rPr>
          <w:rFonts w:cs="Courier New" w:ascii="Courier New" w:hAnsi="Courier New"/>
        </w:rPr>
        <w:t>qoEReference</w:t>
      </w:r>
      <w:r>
        <w:rPr/>
        <w:t xml:space="preserve"> and QMC configuration file.</w:t>
      </w:r>
    </w:p>
    <w:p>
      <w:pPr>
        <w:pStyle w:val="B1"/>
        <w:rPr/>
      </w:pPr>
      <w:r>
        <w:rPr/>
        <w:t>6.</w:t>
        <w:tab/>
        <w:t xml:space="preserve">When the application in the </w:t>
      </w:r>
      <w:r>
        <w:rPr>
          <w:rFonts w:cs="Courier New" w:ascii="Courier New" w:hAnsi="Courier New"/>
        </w:rPr>
        <w:t>serviceType</w:t>
      </w:r>
      <w:r>
        <w:rPr/>
        <w:t xml:space="preserve"> starts, the QMC is initiated.</w:t>
      </w:r>
    </w:p>
    <w:p>
      <w:pPr>
        <w:pStyle w:val="B1"/>
        <w:rPr/>
      </w:pPr>
      <w:r>
        <w:rPr/>
        <w:t>7.</w:t>
        <w:tab/>
        <w:t>The application layer sends the AT command +CAPPLEVMR including a recording session indication that a session has started to the access stratum.</w:t>
      </w:r>
    </w:p>
    <w:p>
      <w:pPr>
        <w:pStyle w:val="B1"/>
        <w:rPr/>
      </w:pPr>
      <w:r>
        <w:rPr/>
        <w:t>8.</w:t>
        <w:tab/>
        <w:t xml:space="preserve">The UE sends the message </w:t>
      </w:r>
      <w:r>
        <w:rPr>
          <w:rFonts w:cs="Courier New" w:ascii="Courier New" w:hAnsi="Courier New"/>
        </w:rPr>
        <w:t>MeasurementReport</w:t>
      </w:r>
      <w:r>
        <w:rPr/>
        <w:t xml:space="preserve"> including the recording session indication to the RNC.</w:t>
      </w:r>
    </w:p>
    <w:p>
      <w:pPr>
        <w:pStyle w:val="B1"/>
        <w:rPr/>
      </w:pPr>
      <w:r>
        <w:rPr/>
        <w:t>9.</w:t>
        <w:tab/>
        <w:t>The RNC sends a notification including the recording session indication to the NM.</w:t>
      </w:r>
    </w:p>
    <w:p>
      <w:pPr>
        <w:pStyle w:val="B1"/>
        <w:rPr/>
      </w:pPr>
      <w:r>
        <w:rPr/>
        <w:t>10.</w:t>
        <w:tab/>
        <w:t xml:space="preserve">When the QMC is completed, the recorded information is collected in a QMC report [6], [7], including </w:t>
      </w:r>
      <w:r>
        <w:rPr>
          <w:rFonts w:cs="Courier New" w:ascii="Courier New" w:hAnsi="Courier New"/>
        </w:rPr>
        <w:t>qoEReference</w:t>
      </w:r>
      <w:r>
        <w:rPr/>
        <w:t xml:space="preserve"> and </w:t>
      </w:r>
      <w:r>
        <w:rPr>
          <w:rFonts w:cs="Courier New" w:ascii="Courier New" w:hAnsi="Courier New"/>
        </w:rPr>
        <w:t>recordingSessionId</w:t>
      </w:r>
      <w:r>
        <w:rPr/>
        <w:t xml:space="preserve">. The </w:t>
      </w:r>
      <w:r>
        <w:rPr>
          <w:rFonts w:cs="Courier New" w:ascii="Courier New" w:hAnsi="Courier New"/>
        </w:rPr>
        <w:t>qoEReference</w:t>
      </w:r>
      <w:r>
        <w:rPr/>
        <w:t xml:space="preserve">, Client Id [6], [7] in the reporting container (that represent the UE request session), and </w:t>
      </w:r>
      <w:r>
        <w:rPr>
          <w:rFonts w:cs="Courier New" w:ascii="Courier New" w:hAnsi="Courier New"/>
        </w:rPr>
        <w:t>recordingSessionId</w:t>
      </w:r>
      <w:r>
        <w:rPr/>
        <w:t xml:space="preserve"> are needed in the QMC collection entity for post processing purposes.</w:t>
      </w:r>
    </w:p>
    <w:p>
      <w:pPr>
        <w:pStyle w:val="B1"/>
        <w:rPr/>
      </w:pPr>
      <w:r>
        <w:rPr/>
        <w:t>11.</w:t>
        <w:tab/>
        <w:t xml:space="preserve">The application layer sends the AT command +CAPPLEVMR including </w:t>
      </w:r>
      <w:r>
        <w:rPr>
          <w:rFonts w:cs="Courier New" w:ascii="Courier New" w:hAnsi="Courier New"/>
        </w:rPr>
        <w:t>qoEReference</w:t>
      </w:r>
      <w:r>
        <w:rPr/>
        <w:t xml:space="preserve"> and the QMC report to the access stratum.</w:t>
      </w:r>
    </w:p>
    <w:p>
      <w:pPr>
        <w:pStyle w:val="B1"/>
        <w:rPr/>
      </w:pPr>
      <w:r>
        <w:rPr/>
        <w:t>12.</w:t>
        <w:tab/>
        <w:t xml:space="preserve">The UE sends the message </w:t>
      </w:r>
      <w:r>
        <w:rPr>
          <w:rFonts w:cs="Courier New" w:ascii="Courier New" w:hAnsi="Courier New"/>
        </w:rPr>
        <w:t>MeasurementReport</w:t>
      </w:r>
      <w:r>
        <w:rPr/>
        <w:t xml:space="preserve"> including </w:t>
      </w:r>
      <w:r>
        <w:rPr>
          <w:rFonts w:cs="Courier New" w:ascii="Courier New" w:hAnsi="Courier New"/>
        </w:rPr>
        <w:t>qoEReference</w:t>
      </w:r>
      <w:r>
        <w:rPr/>
        <w:t xml:space="preserve"> and the QMC report to the RNC.</w:t>
      </w:r>
    </w:p>
    <w:p>
      <w:pPr>
        <w:pStyle w:val="B1"/>
        <w:rPr/>
      </w:pPr>
      <w:r>
        <w:rPr/>
        <w:t>13.</w:t>
        <w:tab/>
        <w:t xml:space="preserve">The RNC sends the QMC report to the MCE associated to the </w:t>
      </w:r>
      <w:r>
        <w:rPr>
          <w:rFonts w:cs="Courier New" w:ascii="Courier New" w:hAnsi="Courier New"/>
        </w:rPr>
        <w:t>qoEReference</w:t>
      </w:r>
      <w:r>
        <w:rPr/>
        <w:t>.</w:t>
      </w:r>
    </w:p>
    <w:p>
      <w:pPr>
        <w:pStyle w:val="Heading3"/>
        <w:rPr/>
      </w:pPr>
      <w:bookmarkStart w:id="35" w:name="__RefHeading___Toc82178500"/>
      <w:bookmarkEnd w:id="35"/>
      <w:r>
        <w:rPr/>
        <w:t>4.1.2</w:t>
        <w:tab/>
        <w:t>Handling of measurement collection at handover in UTRAN</w:t>
      </w:r>
    </w:p>
    <w:p>
      <w:pPr>
        <w:pStyle w:val="Heading4"/>
        <w:ind w:left="1418" w:hanging="1418"/>
        <w:rPr/>
      </w:pPr>
      <w:bookmarkStart w:id="36" w:name="__RefHeading___Toc82178501"/>
      <w:bookmarkEnd w:id="36"/>
      <w:r>
        <w:rPr/>
        <w:t>4.1.2.1</w:t>
        <w:tab/>
        <w:t>Handover between cells within an RNC</w:t>
      </w:r>
    </w:p>
    <w:p>
      <w:pPr>
        <w:pStyle w:val="Normal"/>
        <w:rPr/>
      </w:pPr>
      <w:r>
        <w:rPr/>
        <w:t xml:space="preserve">When handover is made, the measurement area is checked. </w:t>
      </w:r>
    </w:p>
    <w:p>
      <w:pPr>
        <w:pStyle w:val="B1"/>
        <w:rPr/>
      </w:pPr>
      <w:r>
        <w:rPr/>
        <w:t>-</w:t>
        <w:tab/>
        <w:t xml:space="preserve">If the mobile is inside the measurement area after the handover, the RNC sends in an indication that the UE is inside the measurement area in the </w:t>
      </w:r>
      <w:r>
        <w:rPr>
          <w:rFonts w:cs="Courier New" w:ascii="Courier New" w:hAnsi="Courier New"/>
        </w:rPr>
        <w:t>RRCConnectionReconfiguration</w:t>
      </w:r>
      <w:r>
        <w:rPr/>
        <w:t xml:space="preserve"> message [4] to the UE. The UE send the +CAPPLEVMC AT command [5] to the application to inform that recording shall start if the application becomes active (when the UE moves into the measurement area). </w:t>
      </w:r>
    </w:p>
    <w:p>
      <w:pPr>
        <w:pStyle w:val="B1"/>
        <w:rPr/>
      </w:pPr>
      <w:r>
        <w:rPr/>
        <w:t>-</w:t>
        <w:tab/>
        <w:t xml:space="preserve">If the mobile has moved outside the measurement area, there is no indication that the UE is inside the measurement area in the </w:t>
      </w:r>
      <w:r>
        <w:rPr>
          <w:rFonts w:cs="Courier New" w:ascii="Courier New" w:hAnsi="Courier New"/>
        </w:rPr>
        <w:t>RRCConnectionReconfiguration</w:t>
      </w:r>
      <w:r>
        <w:rPr/>
        <w:t xml:space="preserve"> message [4] from the RNC to the UE. The UE sends the +CAPPLEVMC AT command [5] to the application to inform that recording shall not be started even if the application becomes active. </w:t>
      </w:r>
    </w:p>
    <w:p>
      <w:pPr>
        <w:pStyle w:val="Heading4"/>
        <w:ind w:left="1418" w:hanging="1418"/>
        <w:rPr/>
      </w:pPr>
      <w:bookmarkStart w:id="37" w:name="__RefHeading___Toc82178502"/>
      <w:bookmarkEnd w:id="37"/>
      <w:r>
        <w:rPr/>
        <w:t>4.1.2.2</w:t>
        <w:tab/>
        <w:t>Handover between RNCs</w:t>
      </w:r>
    </w:p>
    <w:p>
      <w:pPr>
        <w:pStyle w:val="Normal"/>
        <w:rPr/>
      </w:pPr>
      <w:r>
        <w:rPr/>
        <w:t>The figure 4.1.2.2-1 and the text below describes the handling at handover between RNCs.</w:t>
      </w:r>
    </w:p>
    <w:p>
      <w:pPr>
        <w:pStyle w:val="TH"/>
        <w:rPr/>
      </w:pPr>
      <w:r>
        <w:rPr/>
        <w:drawing>
          <wp:inline distT="0" distB="0" distL="0" distR="0">
            <wp:extent cx="5715000" cy="3286125"/>
            <wp:effectExtent l="0" t="0" r="0" b="0"/>
            <wp:docPr id="4" name="UTRAN H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RAN HO" descr=""/>
                    <pic:cNvPicPr>
                      <a:picLocks noChangeAspect="1" noChangeArrowheads="1"/>
                    </pic:cNvPicPr>
                  </pic:nvPicPr>
                  <pic:blipFill>
                    <a:blip r:embed="rId7"/>
                    <a:srcRect l="-3" t="-5" r="-3" b="-5"/>
                    <a:stretch>
                      <a:fillRect/>
                    </a:stretch>
                  </pic:blipFill>
                  <pic:spPr bwMode="auto">
                    <a:xfrm>
                      <a:off x="0" y="0"/>
                      <a:ext cx="5715000" cy="3286125"/>
                    </a:xfrm>
                    <a:prstGeom prst="rect">
                      <a:avLst/>
                    </a:prstGeom>
                  </pic:spPr>
                </pic:pic>
              </a:graphicData>
            </a:graphic>
          </wp:inline>
        </w:drawing>
      </w:r>
    </w:p>
    <w:p>
      <w:pPr>
        <w:pStyle w:val="TF"/>
        <w:rPr/>
      </w:pPr>
      <w:r>
        <w:rPr/>
        <w:t>Figure 4.1.2.2-1: Handling of QMC activation in case of handover in UTRAN</w:t>
      </w:r>
    </w:p>
    <w:p>
      <w:pPr>
        <w:pStyle w:val="B1"/>
        <w:rPr/>
      </w:pPr>
      <w:r>
        <w:rPr/>
        <w:t>1.</w:t>
        <w:tab/>
        <w:t xml:space="preserve">Source RNC sends the message </w:t>
      </w:r>
      <w:r>
        <w:rPr>
          <w:rFonts w:cs="Courier New" w:ascii="Courier New" w:hAnsi="Courier New"/>
        </w:rPr>
        <w:t>HandoverRequest</w:t>
      </w:r>
      <w:r>
        <w:rPr/>
        <w:t xml:space="preserve"> to Target RNC and includes </w:t>
      </w:r>
      <w:r>
        <w:rPr>
          <w:rFonts w:cs="Courier New" w:ascii="Courier New" w:hAnsi="Courier New"/>
        </w:rPr>
        <w:t>areaScope</w:t>
      </w:r>
      <w:r>
        <w:rPr/>
        <w:t xml:space="preserve">, </w:t>
      </w:r>
      <w:r>
        <w:rPr>
          <w:rFonts w:cs="Courier New" w:ascii="Courier New" w:hAnsi="Courier New"/>
        </w:rPr>
        <w:t>qoECollectionEntityAddress</w:t>
      </w:r>
      <w:r>
        <w:rPr/>
        <w:t xml:space="preserve"> and a recording session indication indicating whether a recording session has started.</w:t>
      </w:r>
    </w:p>
    <w:p>
      <w:pPr>
        <w:pStyle w:val="B1"/>
        <w:rPr/>
      </w:pPr>
      <w:r>
        <w:rPr/>
        <w:t>2.</w:t>
        <w:tab/>
        <w:t xml:space="preserve">If a recording session has not started, the target RNC checks if the target cell is inside the </w:t>
      </w:r>
      <w:r>
        <w:rPr>
          <w:rFonts w:cs="Courier New" w:ascii="Courier New" w:hAnsi="Courier New"/>
        </w:rPr>
        <w:t>areaScope</w:t>
      </w:r>
      <w:r>
        <w:rPr/>
        <w:t xml:space="preserve"> or not.</w:t>
      </w:r>
    </w:p>
    <w:p>
      <w:pPr>
        <w:pStyle w:val="B1"/>
        <w:rPr/>
      </w:pPr>
      <w:r>
        <w:rPr/>
        <w:t>3.</w:t>
        <w:tab/>
        <w:t>The target RNC sends the message Handover Request Ack to the source RNC.</w:t>
      </w:r>
    </w:p>
    <w:p>
      <w:pPr>
        <w:pStyle w:val="B1"/>
        <w:rPr/>
      </w:pPr>
      <w:r>
        <w:rPr/>
        <w:t>4.</w:t>
        <w:tab/>
        <w:t xml:space="preserve">The source RNC sends the message </w:t>
      </w:r>
      <w:r>
        <w:rPr>
          <w:rFonts w:cs="Courier New" w:ascii="Courier New" w:hAnsi="Courier New"/>
        </w:rPr>
        <w:t>RRCReconfiguration</w:t>
      </w:r>
      <w:r>
        <w:rPr/>
        <w:t xml:space="preserve"> to the UE.</w:t>
      </w:r>
    </w:p>
    <w:p>
      <w:pPr>
        <w:pStyle w:val="B1"/>
        <w:rPr/>
      </w:pPr>
      <w:r>
        <w:rPr/>
        <w:t>5.</w:t>
        <w:tab/>
        <w:t>The access stratum in the UE sends the AT command +CAPPLEVMC to application level.</w:t>
      </w:r>
    </w:p>
    <w:p>
      <w:pPr>
        <w:pStyle w:val="B1"/>
        <w:rPr/>
      </w:pPr>
      <w:r>
        <w:rPr/>
        <w:t>6.</w:t>
        <w:tab/>
        <w:t xml:space="preserve">The UE sends the message </w:t>
      </w:r>
      <w:r>
        <w:rPr>
          <w:rFonts w:cs="Courier New" w:ascii="Courier New" w:hAnsi="Courier New"/>
        </w:rPr>
        <w:t>RRCReconfigurationComplete</w:t>
      </w:r>
      <w:r>
        <w:rPr/>
        <w:t xml:space="preserve"> to the RNC.</w:t>
      </w:r>
    </w:p>
    <w:p>
      <w:pPr>
        <w:pStyle w:val="B1"/>
        <w:rPr/>
      </w:pPr>
      <w:r>
        <w:rPr/>
        <w:t>7.</w:t>
        <w:tab/>
        <w:t xml:space="preserve">When the application becomes active, QMC is initiated if the UE is inside the </w:t>
      </w:r>
      <w:r>
        <w:rPr>
          <w:rFonts w:cs="Courier New" w:ascii="Courier New" w:hAnsi="Courier New"/>
        </w:rPr>
        <w:t>areaScope</w:t>
      </w:r>
      <w:r>
        <w:rPr/>
        <w:t xml:space="preserve">. </w:t>
      </w:r>
    </w:p>
    <w:p>
      <w:pPr>
        <w:pStyle w:val="B1"/>
        <w:rPr/>
      </w:pPr>
      <w:r>
        <w:rPr/>
        <w:t>8.</w:t>
        <w:tab/>
        <w:t>The application layer sends the AT command +CAPPLEVMR including a recording session indication to the access stratum.</w:t>
      </w:r>
    </w:p>
    <w:p>
      <w:pPr>
        <w:pStyle w:val="B1"/>
        <w:rPr/>
      </w:pPr>
      <w:r>
        <w:rPr/>
        <w:t>9.</w:t>
        <w:tab/>
        <w:t>The UE sends the message MeasurementReport including the recording session indication to the RNC.</w:t>
      </w:r>
    </w:p>
    <w:p>
      <w:pPr>
        <w:pStyle w:val="B1"/>
        <w:rPr/>
      </w:pPr>
      <w:r>
        <w:rPr/>
        <w:t>10.</w:t>
        <w:tab/>
        <w:t>The RNC sends a notification including the recording session indication to the NM.</w:t>
      </w:r>
    </w:p>
    <w:p>
      <w:pPr>
        <w:pStyle w:val="B1"/>
        <w:rPr/>
      </w:pPr>
      <w:r>
        <w:rPr/>
        <w:t>11.</w:t>
        <w:tab/>
        <w:t xml:space="preserve">When the QMC is completed, the recorded information is collected in a QMC report [6] and [7]. including </w:t>
      </w:r>
      <w:r>
        <w:rPr>
          <w:rFonts w:cs="Courier New" w:ascii="Courier New" w:hAnsi="Courier New"/>
        </w:rPr>
        <w:t>qoEReference</w:t>
      </w:r>
      <w:r>
        <w:rPr/>
        <w:t xml:space="preserve"> and </w:t>
      </w:r>
      <w:r>
        <w:rPr>
          <w:rFonts w:cs="Courier New" w:ascii="Courier New" w:hAnsi="Courier New"/>
        </w:rPr>
        <w:t>recordingSessionId</w:t>
      </w:r>
      <w:r>
        <w:rPr/>
        <w:t xml:space="preserve">. The </w:t>
      </w:r>
      <w:r>
        <w:rPr>
          <w:rFonts w:cs="Courier New" w:ascii="Courier New" w:hAnsi="Courier New"/>
        </w:rPr>
        <w:t>qoEReference</w:t>
      </w:r>
      <w:r>
        <w:rPr/>
        <w:t xml:space="preserve">, Client Id [6] and [7] in the reporting container (that represent the UE request session) and </w:t>
      </w:r>
      <w:r>
        <w:rPr>
          <w:rFonts w:cs="Courier New" w:ascii="Courier New" w:hAnsi="Courier New"/>
        </w:rPr>
        <w:t>recordingSessionId</w:t>
      </w:r>
      <w:r>
        <w:rPr/>
        <w:t xml:space="preserve"> are needed in the QoE collection entity for post processing purposes.</w:t>
      </w:r>
    </w:p>
    <w:p>
      <w:pPr>
        <w:pStyle w:val="B1"/>
        <w:rPr/>
      </w:pPr>
      <w:r>
        <w:rPr/>
        <w:t>12.</w:t>
        <w:tab/>
        <w:t xml:space="preserve">The application layer sends the AT command +CAPPLEVMR including </w:t>
      </w:r>
      <w:r>
        <w:rPr>
          <w:rFonts w:cs="Courier New" w:ascii="Courier New" w:hAnsi="Courier New"/>
        </w:rPr>
        <w:t>qoEReference</w:t>
      </w:r>
      <w:r>
        <w:rPr/>
        <w:t xml:space="preserve"> and the QMC report to the access stratum.</w:t>
      </w:r>
    </w:p>
    <w:p>
      <w:pPr>
        <w:pStyle w:val="B1"/>
        <w:rPr/>
      </w:pPr>
      <w:r>
        <w:rPr/>
        <w:t>13.</w:t>
        <w:tab/>
        <w:t xml:space="preserve">The UE sends the message </w:t>
      </w:r>
      <w:r>
        <w:rPr>
          <w:rFonts w:cs="Courier New" w:ascii="Courier New" w:hAnsi="Courier New"/>
        </w:rPr>
        <w:t>MeasurementReport</w:t>
      </w:r>
      <w:r>
        <w:rPr/>
        <w:t xml:space="preserve"> including </w:t>
      </w:r>
      <w:r>
        <w:rPr>
          <w:rFonts w:cs="Courier New" w:ascii="Courier New" w:hAnsi="Courier New"/>
        </w:rPr>
        <w:t>qoEReference</w:t>
      </w:r>
      <w:r>
        <w:rPr/>
        <w:t xml:space="preserve"> and the QMC report to the RNC.</w:t>
      </w:r>
    </w:p>
    <w:p>
      <w:pPr>
        <w:pStyle w:val="B1"/>
        <w:rPr/>
      </w:pPr>
      <w:r>
        <w:rPr/>
        <w:t>14.</w:t>
        <w:tab/>
        <w:t xml:space="preserve">The RNC sends the QMC report to the MCE associated to the </w:t>
      </w:r>
      <w:r>
        <w:rPr>
          <w:rFonts w:cs="Courier New" w:ascii="Courier New" w:hAnsi="Courier New"/>
        </w:rPr>
        <w:t>qoEReference</w:t>
      </w:r>
      <w:r>
        <w:rPr/>
        <w:t>.</w:t>
      </w:r>
    </w:p>
    <w:p>
      <w:pPr>
        <w:pStyle w:val="Heading3"/>
        <w:rPr/>
      </w:pPr>
      <w:bookmarkStart w:id="38" w:name="__RefHeading___Toc82178503"/>
      <w:bookmarkEnd w:id="38"/>
      <w:r>
        <w:rPr/>
        <w:t>4.1.3</w:t>
        <w:tab/>
        <w:t>Deactivation of measurement collection job in UTRAN</w:t>
      </w:r>
    </w:p>
    <w:p>
      <w:pPr>
        <w:pStyle w:val="Heading4"/>
        <w:ind w:left="1418" w:hanging="1418"/>
        <w:rPr/>
      </w:pPr>
      <w:bookmarkStart w:id="39" w:name="__RefHeading___Toc82178504"/>
      <w:bookmarkEnd w:id="39"/>
      <w:r>
        <w:rPr/>
        <w:t>4.1.3.1</w:t>
        <w:tab/>
        <w:t>Forced deactivation in UTRAN</w:t>
      </w:r>
    </w:p>
    <w:p>
      <w:pPr>
        <w:pStyle w:val="Normal"/>
        <w:rPr/>
      </w:pPr>
      <w:r>
        <w:rPr/>
        <w:t xml:space="preserve">If the operator technician or the management application wants to deactivate a measurement collection job before the pre-set time has expired, the management system sends the </w:t>
      </w:r>
      <w:r>
        <w:rPr>
          <w:rFonts w:cs="Courier New" w:ascii="Courier New" w:hAnsi="Courier New"/>
        </w:rPr>
        <w:t>deactivateQMCJob</w:t>
      </w:r>
      <w:r>
        <w:rPr/>
        <w:t xml:space="preserve"> operation [3] to the RNC. The RNC sets the network request session to ended, but does not delete the </w:t>
      </w:r>
      <w:r>
        <w:rPr>
          <w:rFonts w:cs="Courier New" w:ascii="Courier New" w:hAnsi="Courier New"/>
        </w:rPr>
        <w:t>UE request session id</w:t>
      </w:r>
      <w:r>
        <w:rPr/>
        <w:t xml:space="preserve"> and the </w:t>
      </w:r>
      <w:r>
        <w:rPr>
          <w:rFonts w:cs="Courier New" w:ascii="Courier New" w:hAnsi="Courier New"/>
        </w:rPr>
        <w:t>Collection Entity Address</w:t>
      </w:r>
      <w:r>
        <w:rPr/>
        <w:t xml:space="preserve"> parameters [3], as the UE still may send reports which shall be send to the collection centre. For UE request sessions which have reported that a recording session is started, the RNC sends the </w:t>
      </w:r>
      <w:r>
        <w:rPr>
          <w:rFonts w:cs="Courier New" w:ascii="Courier New" w:hAnsi="Courier New"/>
        </w:rPr>
        <w:t>MeasurementControl</w:t>
      </w:r>
      <w:r>
        <w:rPr/>
        <w:t xml:space="preserve"> message [4] with the </w:t>
      </w:r>
      <w:r>
        <w:rPr>
          <w:rFonts w:cs="Courier New" w:ascii="Courier New" w:hAnsi="Courier New"/>
        </w:rPr>
        <w:t>DeactivateJob</w:t>
      </w:r>
      <w:r>
        <w:rPr/>
        <w:t xml:space="preserve"> request to relevant UEs. The Access stratum sends +CAPPLEVMC AT command [5] to the application with the </w:t>
      </w:r>
      <w:r>
        <w:rPr>
          <w:rFonts w:cs="Courier New" w:ascii="Courier New" w:hAnsi="Courier New"/>
        </w:rPr>
        <w:t>DeactivateJob</w:t>
      </w:r>
      <w:r>
        <w:rPr/>
        <w:t xml:space="preserve"> request. The application stops the recording session and stops recording of the requested information. The </w:t>
      </w:r>
      <w:r>
        <w:rPr>
          <w:rFonts w:cs="Courier New" w:ascii="Courier New" w:hAnsi="Courier New"/>
        </w:rPr>
        <w:t>UE request session id</w:t>
      </w:r>
      <w:r>
        <w:rPr/>
        <w:t xml:space="preserve"> and the </w:t>
      </w:r>
      <w:r>
        <w:rPr>
          <w:rFonts w:cs="Courier New" w:ascii="Courier New" w:hAnsi="Courier New"/>
        </w:rPr>
        <w:t>Collection Entity Address</w:t>
      </w:r>
      <w:r>
        <w:rPr/>
        <w:t xml:space="preserve"> parameters [3] in the RNC are deleted when the UE request session is ended.</w:t>
      </w:r>
    </w:p>
    <w:p>
      <w:pPr>
        <w:pStyle w:val="Heading4"/>
        <w:ind w:left="1418" w:hanging="1418"/>
        <w:rPr/>
      </w:pPr>
      <w:bookmarkStart w:id="40" w:name="__RefHeading___Toc82178505"/>
      <w:bookmarkEnd w:id="40"/>
      <w:r>
        <w:rPr/>
        <w:t>4.1.3.2</w:t>
        <w:tab/>
        <w:t>Deactivation of recording session in UTRAN</w:t>
      </w:r>
    </w:p>
    <w:p>
      <w:pPr>
        <w:pStyle w:val="Normal"/>
        <w:rPr/>
      </w:pPr>
      <w:r>
        <w:rPr/>
        <w:t xml:space="preserve">Regardless of whether the pre-set time has elapsed or not, the recording session continues to be active until the session for the application is ended. </w:t>
      </w:r>
    </w:p>
    <w:p>
      <w:pPr>
        <w:pStyle w:val="Heading2"/>
        <w:rPr/>
      </w:pPr>
      <w:bookmarkStart w:id="41" w:name="__RefHeading___Toc82178506"/>
      <w:bookmarkEnd w:id="41"/>
      <w:r>
        <w:rPr/>
        <w:t>4.2</w:t>
        <w:tab/>
      </w:r>
      <w:r>
        <w:rPr>
          <w:iCs/>
        </w:rPr>
        <w:t>Management based activation in LTE</w:t>
      </w:r>
    </w:p>
    <w:p>
      <w:pPr>
        <w:pStyle w:val="Heading3"/>
        <w:rPr/>
      </w:pPr>
      <w:bookmarkStart w:id="42" w:name="__RefHeading___Toc82178507"/>
      <w:bookmarkEnd w:id="42"/>
      <w:r>
        <w:rPr/>
        <w:t>4.2.1</w:t>
        <w:tab/>
        <w:t>Activation of measurement collection job and reporting of collected information in LTE</w:t>
      </w:r>
    </w:p>
    <w:p>
      <w:pPr>
        <w:pStyle w:val="Normal"/>
        <w:rPr/>
      </w:pPr>
      <w:r>
        <w:rPr/>
        <w:t xml:space="preserve">The parameters for the network request session are sent from the management system to the eNBs that host the cells that are included in the collection job request in the </w:t>
      </w:r>
      <w:r>
        <w:rPr>
          <w:rFonts w:cs="Courier New" w:ascii="Courier New" w:hAnsi="Courier New"/>
        </w:rPr>
        <w:t xml:space="preserve">activateAreaQMCJob </w:t>
      </w:r>
      <w:r>
        <w:rPr/>
        <w:t xml:space="preserve">operation [3]. The eNB starts a network request session, with the </w:t>
      </w:r>
      <w:r>
        <w:rPr>
          <w:rFonts w:cs="Courier New" w:ascii="Courier New" w:hAnsi="Courier New"/>
        </w:rPr>
        <w:t>Network request session id</w:t>
      </w:r>
      <w:r>
        <w:rPr/>
        <w:t xml:space="preserve"> [3] given in </w:t>
      </w:r>
      <w:r>
        <w:rPr>
          <w:rFonts w:cs="Courier New" w:ascii="Courier New" w:hAnsi="Courier New"/>
        </w:rPr>
        <w:t xml:space="preserve">activateAreaQMCJob </w:t>
      </w:r>
      <w:r>
        <w:rPr/>
        <w:t xml:space="preserve">operation [3]. For the duration of the network request session, the eNB(s) checks for connections where the UE has the </w:t>
      </w:r>
      <w:r>
        <w:rPr>
          <w:rFonts w:cs="Courier New" w:ascii="Courier New" w:hAnsi="Courier New"/>
        </w:rPr>
        <w:t>QoE</w:t>
      </w:r>
      <w:r>
        <w:rPr>
          <w:rFonts w:cs="Courier New" w:ascii="Courier New" w:hAnsi="Courier New"/>
        </w:rPr>
        <w:t>-</w:t>
      </w:r>
      <w:r>
        <w:rPr>
          <w:rFonts w:cs="Courier New" w:ascii="Courier New" w:hAnsi="Courier New"/>
        </w:rPr>
        <w:t>Meas</w:t>
      </w:r>
      <w:r>
        <w:rPr>
          <w:rFonts w:cs="Courier New" w:ascii="Courier New" w:hAnsi="Courier New"/>
        </w:rPr>
        <w:t>Report</w:t>
      </w:r>
      <w:r>
        <w:rPr/>
        <w:t xml:space="preserve"> capability [8] for collection of streaming services or the </w:t>
      </w:r>
      <w:r>
        <w:rPr>
          <w:rFonts w:cs="Courier New" w:ascii="Courier New" w:hAnsi="Courier New"/>
        </w:rPr>
        <w:t>QoE</w:t>
      </w:r>
      <w:r>
        <w:rPr>
          <w:rFonts w:cs="Courier New" w:ascii="Courier New" w:hAnsi="Courier New"/>
        </w:rPr>
        <w:t>-MTSI-</w:t>
      </w:r>
      <w:r>
        <w:rPr>
          <w:rFonts w:cs="Courier New" w:ascii="Courier New" w:hAnsi="Courier New"/>
        </w:rPr>
        <w:t>Meas</w:t>
      </w:r>
      <w:r>
        <w:rPr>
          <w:rFonts w:cs="Courier New" w:ascii="Courier New" w:hAnsi="Courier New"/>
        </w:rPr>
        <w:t>Report</w:t>
      </w:r>
      <w:r>
        <w:rPr/>
        <w:t xml:space="preserve"> capability [8] for collection of MTSI services. The UE capability is sent from the UE to eNB via the core network in message </w:t>
      </w:r>
      <w:r>
        <w:rPr>
          <w:rFonts w:cs="Courier New" w:ascii="Courier New" w:hAnsi="Courier New"/>
        </w:rPr>
        <w:t xml:space="preserve">UE CAPABILITY INFO INDICATION </w:t>
      </w:r>
      <w:r>
        <w:rPr/>
        <w:t xml:space="preserve">[9]. </w:t>
      </w:r>
    </w:p>
    <w:p>
      <w:pPr>
        <w:pStyle w:val="Normal"/>
        <w:rPr/>
      </w:pPr>
      <w:r>
        <w:rPr/>
        <w:t xml:space="preserve">When a session is found that has a UE with the wanted UE capability, the eNB starts a UE request session and sends a </w:t>
      </w:r>
      <w:r>
        <w:rPr>
          <w:rFonts w:cs="Courier New" w:ascii="Courier New" w:hAnsi="Courier New"/>
        </w:rPr>
        <w:t>RRCConnectionReconfiguration</w:t>
      </w:r>
      <w:r>
        <w:rPr/>
        <w:t xml:space="preserve"> [8] to the UE.</w:t>
      </w:r>
    </w:p>
    <w:p>
      <w:pPr>
        <w:pStyle w:val="Normal"/>
        <w:rPr/>
      </w:pPr>
      <w:r>
        <w:rPr/>
        <w:t>The AT command +CAPPLEVMC [5] activates provisioning of measurement reporting from the lower layers to the application within the UE by an unsolicited result code +CAPPLEVMC. When information about a measurement report is received in the UE from the network, the unsolicited result code +CAPPLEVMC contains the relevant parameters (service_type, start_stop-indication and config-file &amp; config-file length if applicable) that are provided from the lower layers in the UE to the application.</w:t>
      </w:r>
    </w:p>
    <w:p>
      <w:pPr>
        <w:pStyle w:val="TH"/>
        <w:rPr/>
      </w:pPr>
      <w:r>
        <w:rPr/>
        <w:drawing>
          <wp:inline distT="0" distB="0" distL="0" distR="0">
            <wp:extent cx="5931535" cy="24136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rcRect l="-6" t="-10" r="-6" b="-10"/>
                    <a:stretch>
                      <a:fillRect/>
                    </a:stretch>
                  </pic:blipFill>
                  <pic:spPr bwMode="auto">
                    <a:xfrm>
                      <a:off x="0" y="0"/>
                      <a:ext cx="5931535" cy="2413635"/>
                    </a:xfrm>
                    <a:prstGeom prst="rect">
                      <a:avLst/>
                    </a:prstGeom>
                  </pic:spPr>
                </pic:pic>
              </a:graphicData>
            </a:graphic>
          </wp:inline>
        </w:drawing>
      </w:r>
    </w:p>
    <w:p>
      <w:pPr>
        <w:pStyle w:val="TF"/>
        <w:rPr/>
      </w:pPr>
      <w:r>
        <w:rPr/>
        <w:t>Figure 4.2.1-1: QMC activation and reporting in LTE</w:t>
      </w:r>
    </w:p>
    <w:p>
      <w:pPr>
        <w:pStyle w:val="B1"/>
        <w:rPr/>
      </w:pPr>
      <w:r>
        <w:rPr/>
        <w:t>1.</w:t>
        <w:tab/>
        <w:t xml:space="preserve">The NM sends </w:t>
      </w:r>
      <w:r>
        <w:rPr>
          <w:rFonts w:cs="Courier New" w:ascii="Courier New" w:hAnsi="Courier New"/>
        </w:rPr>
        <w:t>activateAreaQMCJob</w:t>
      </w:r>
      <w:r>
        <w:rPr/>
        <w:t xml:space="preserve"> to DM/EM that controls the impacted eNB(s), and includes the parameters: </w:t>
      </w:r>
      <w:r>
        <w:rPr>
          <w:rFonts w:cs="Courier New" w:ascii="Courier New" w:hAnsi="Courier New"/>
        </w:rPr>
        <w:t>serviceType</w:t>
      </w:r>
      <w:r>
        <w:rPr/>
        <w:t xml:space="preserve">, </w:t>
      </w:r>
      <w:r>
        <w:rPr>
          <w:rFonts w:cs="Courier New" w:ascii="Courier New" w:hAnsi="Courier New"/>
        </w:rPr>
        <w:t>areaScope</w:t>
      </w:r>
      <w:r>
        <w:rPr/>
        <w:t xml:space="preserve">, </w:t>
      </w:r>
      <w:r>
        <w:rPr>
          <w:rFonts w:cs="Courier New" w:ascii="Courier New" w:hAnsi="Courier New"/>
        </w:rPr>
        <w:t>qoECollectionEntityAddress</w:t>
      </w:r>
      <w:r>
        <w:rPr/>
        <w:t xml:space="preserve">, </w:t>
      </w:r>
      <w:r>
        <w:rPr>
          <w:rFonts w:cs="Courier New" w:ascii="Courier New" w:hAnsi="Courier New"/>
        </w:rPr>
        <w:t>pLMNTarget</w:t>
      </w:r>
      <w:r>
        <w:rPr/>
        <w:t xml:space="preserve">, </w:t>
      </w:r>
      <w:r>
        <w:rPr>
          <w:rFonts w:cs="Courier New" w:ascii="Courier New" w:hAnsi="Courier New"/>
        </w:rPr>
        <w:t>qoETarget</w:t>
      </w:r>
      <w:r>
        <w:rPr/>
        <w:t xml:space="preserve">, </w:t>
      </w:r>
      <w:r>
        <w:rPr>
          <w:rFonts w:cs="Courier New" w:ascii="Courier New" w:hAnsi="Courier New"/>
        </w:rPr>
        <w:t>qoEReference</w:t>
      </w:r>
      <w:r>
        <w:rPr/>
        <w:t xml:space="preserve"> and QMC configuration file.</w:t>
      </w:r>
    </w:p>
    <w:p>
      <w:pPr>
        <w:pStyle w:val="B1"/>
        <w:rPr/>
      </w:pPr>
      <w:r>
        <w:rPr/>
        <w:t>2.</w:t>
        <w:tab/>
        <w:t xml:space="preserve">The DM/EM forwards </w:t>
      </w:r>
      <w:r>
        <w:rPr>
          <w:rFonts w:cs="Courier New" w:ascii="Courier New" w:hAnsi="Courier New"/>
        </w:rPr>
        <w:t>activateAreaQMCJob</w:t>
      </w:r>
      <w:r>
        <w:rPr/>
        <w:t xml:space="preserve"> to impacted eNB(s), and includes the parameters: </w:t>
      </w:r>
      <w:r>
        <w:rPr>
          <w:rFonts w:cs="Courier New" w:ascii="Courier New" w:hAnsi="Courier New"/>
        </w:rPr>
        <w:t>serviceType</w:t>
      </w:r>
      <w:r>
        <w:rPr/>
        <w:t xml:space="preserve">, </w:t>
      </w:r>
      <w:r>
        <w:rPr>
          <w:rFonts w:cs="Courier New" w:ascii="Courier New" w:hAnsi="Courier New"/>
        </w:rPr>
        <w:t>areaScope</w:t>
      </w:r>
      <w:r>
        <w:rPr/>
        <w:t xml:space="preserve">, </w:t>
      </w:r>
      <w:r>
        <w:rPr>
          <w:rFonts w:cs="Courier New" w:ascii="Courier New" w:hAnsi="Courier New"/>
        </w:rPr>
        <w:t>qoECollectionEntityAddress</w:t>
      </w:r>
      <w:r>
        <w:rPr/>
        <w:t xml:space="preserve">, </w:t>
      </w:r>
      <w:r>
        <w:rPr>
          <w:rFonts w:cs="Courier New" w:ascii="Courier New" w:hAnsi="Courier New"/>
        </w:rPr>
        <w:t>pLMNTarget</w:t>
      </w:r>
      <w:r>
        <w:rPr/>
        <w:t xml:space="preserve">, </w:t>
      </w:r>
      <w:r>
        <w:rPr>
          <w:rFonts w:cs="Courier New" w:ascii="Courier New" w:hAnsi="Courier New"/>
        </w:rPr>
        <w:t>qoETarget</w:t>
      </w:r>
      <w:r>
        <w:rPr/>
        <w:t xml:space="preserve">, </w:t>
      </w:r>
      <w:r>
        <w:rPr>
          <w:rFonts w:cs="Courier New" w:ascii="Courier New" w:hAnsi="Courier New"/>
        </w:rPr>
        <w:t>qoEReference</w:t>
      </w:r>
      <w:r>
        <w:rPr/>
        <w:t xml:space="preserve"> and QMC configuration file.</w:t>
      </w:r>
    </w:p>
    <w:p>
      <w:pPr>
        <w:pStyle w:val="B1"/>
        <w:rPr/>
      </w:pPr>
      <w:r>
        <w:rPr/>
        <w:t>3.</w:t>
        <w:tab/>
        <w:t xml:space="preserve">The eNB checks for connections where the UE has the UE capability [9] that match the criteria for </w:t>
      </w:r>
      <w:r>
        <w:rPr>
          <w:rFonts w:cs="Courier New" w:ascii="Courier New" w:hAnsi="Courier New"/>
        </w:rPr>
        <w:t>serviceType</w:t>
      </w:r>
      <w:r>
        <w:rPr/>
        <w:t xml:space="preserve"> in the </w:t>
      </w:r>
      <w:r>
        <w:rPr>
          <w:rFonts w:cs="Courier New" w:ascii="Courier New" w:hAnsi="Courier New"/>
        </w:rPr>
        <w:t>activateAreaQMCJob</w:t>
      </w:r>
      <w:r>
        <w:rPr/>
        <w:t xml:space="preserve">. </w:t>
      </w:r>
    </w:p>
    <w:p>
      <w:pPr>
        <w:pStyle w:val="B1"/>
        <w:rPr/>
      </w:pPr>
      <w:r>
        <w:rPr/>
        <w:t>4.</w:t>
        <w:tab/>
        <w:t xml:space="preserve">When a connection is found that has the wanted UE capability [9], the eNB starts a UE request session and stores the associated </w:t>
      </w:r>
      <w:r>
        <w:rPr>
          <w:rFonts w:cs="Courier New" w:ascii="Courier New" w:hAnsi="Courier New"/>
        </w:rPr>
        <w:t>QoECollectionEntityAddress</w:t>
      </w:r>
      <w:r>
        <w:rPr/>
        <w:t xml:space="preserve">, sends the message RRCConnectionReconfiguration to the UE, and includes the following: </w:t>
      </w:r>
      <w:r>
        <w:rPr>
          <w:rFonts w:cs="Courier New" w:ascii="Courier New" w:hAnsi="Courier New"/>
        </w:rPr>
        <w:t>serviceType</w:t>
      </w:r>
      <w:r>
        <w:rPr/>
        <w:t xml:space="preserve">, </w:t>
      </w:r>
      <w:r>
        <w:rPr>
          <w:rFonts w:cs="Courier New" w:ascii="Courier New" w:hAnsi="Courier New"/>
        </w:rPr>
        <w:t>qoEReference</w:t>
      </w:r>
      <w:r>
        <w:rPr/>
        <w:t xml:space="preserve"> and QMC configuration file.</w:t>
      </w:r>
    </w:p>
    <w:p>
      <w:pPr>
        <w:pStyle w:val="B1"/>
        <w:rPr/>
      </w:pPr>
      <w:r>
        <w:rPr/>
        <w:t>5.</w:t>
        <w:tab/>
        <w:t xml:space="preserve">The access stratum in the UE sends the AT command +CAPPLEVMC to application level and includes the following: </w:t>
      </w:r>
      <w:r>
        <w:rPr>
          <w:rFonts w:cs="Courier New" w:ascii="Courier New" w:hAnsi="Courier New"/>
        </w:rPr>
        <w:t>serviceType</w:t>
      </w:r>
      <w:r>
        <w:rPr/>
        <w:t xml:space="preserve">, </w:t>
      </w:r>
      <w:r>
        <w:rPr>
          <w:rFonts w:cs="Courier New" w:ascii="Courier New" w:hAnsi="Courier New"/>
        </w:rPr>
        <w:t>qoEReference</w:t>
      </w:r>
      <w:r>
        <w:rPr/>
        <w:t xml:space="preserve"> and QMC configuration file.</w:t>
      </w:r>
    </w:p>
    <w:p>
      <w:pPr>
        <w:pStyle w:val="B1"/>
        <w:rPr/>
      </w:pPr>
      <w:r>
        <w:rPr/>
        <w:t>6.</w:t>
        <w:tab/>
        <w:t>When the application in the serviceType starts, the QMC is initiated.</w:t>
      </w:r>
    </w:p>
    <w:p>
      <w:pPr>
        <w:pStyle w:val="B1"/>
        <w:rPr/>
      </w:pPr>
      <w:r>
        <w:rPr/>
        <w:t>7.</w:t>
        <w:tab/>
        <w:t>The application layer sends the AT command +CAPPLEVMR including a recording session indication that indicates that a session is started to the access stratum.</w:t>
      </w:r>
    </w:p>
    <w:p>
      <w:pPr>
        <w:pStyle w:val="B1"/>
        <w:rPr/>
      </w:pPr>
      <w:r>
        <w:rPr/>
        <w:t>8.</w:t>
        <w:tab/>
        <w:t xml:space="preserve">The UE sends the message </w:t>
      </w:r>
      <w:r>
        <w:rPr>
          <w:rFonts w:cs="Courier New" w:ascii="Courier New" w:hAnsi="Courier New"/>
        </w:rPr>
        <w:t>MeasReportAppLayer</w:t>
      </w:r>
      <w:r>
        <w:rPr/>
        <w:t xml:space="preserve"> including the recording session indication to the eNB.</w:t>
      </w:r>
    </w:p>
    <w:p>
      <w:pPr>
        <w:pStyle w:val="B1"/>
        <w:rPr/>
      </w:pPr>
      <w:r>
        <w:rPr/>
        <w:t>9.</w:t>
        <w:tab/>
        <w:t>The eNB sends a notification including the recording session indication to the NM.</w:t>
      </w:r>
    </w:p>
    <w:p>
      <w:pPr>
        <w:pStyle w:val="B1"/>
        <w:rPr/>
      </w:pPr>
      <w:r>
        <w:rPr/>
        <w:t>10.</w:t>
        <w:tab/>
        <w:t xml:space="preserve">When the QMC is completed, the recorded information is collected in a QMC report [6], [7], including </w:t>
      </w:r>
      <w:r>
        <w:rPr>
          <w:rFonts w:cs="Courier New" w:ascii="Courier New" w:hAnsi="Courier New"/>
        </w:rPr>
        <w:t>qoEReference</w:t>
      </w:r>
      <w:r>
        <w:rPr/>
        <w:t xml:space="preserve"> and </w:t>
      </w:r>
      <w:r>
        <w:rPr>
          <w:rFonts w:cs="Courier New" w:ascii="Courier New" w:hAnsi="Courier New"/>
        </w:rPr>
        <w:t>recordingSessionId</w:t>
      </w:r>
      <w:r>
        <w:rPr/>
        <w:t xml:space="preserve">. The </w:t>
      </w:r>
      <w:r>
        <w:rPr>
          <w:rFonts w:cs="Courier New" w:ascii="Courier New" w:hAnsi="Courier New"/>
        </w:rPr>
        <w:t>qoEReference</w:t>
      </w:r>
      <w:r>
        <w:rPr/>
        <w:t xml:space="preserve">, Client Id [6] and [7] in the reporting container (that represent the UE request session), and </w:t>
      </w:r>
      <w:r>
        <w:rPr>
          <w:rFonts w:cs="Courier New" w:ascii="Courier New" w:hAnsi="Courier New"/>
        </w:rPr>
        <w:t>recordingSessionId</w:t>
      </w:r>
      <w:r>
        <w:rPr/>
        <w:t xml:space="preserve"> are needed in the QMC collection entity for post processing purposes.</w:t>
      </w:r>
    </w:p>
    <w:p>
      <w:pPr>
        <w:pStyle w:val="B1"/>
        <w:rPr/>
      </w:pPr>
      <w:r>
        <w:rPr/>
        <w:t>11.</w:t>
        <w:tab/>
        <w:t xml:space="preserve">The application layer sends the AT command +CAPPLEVMR including </w:t>
      </w:r>
      <w:r>
        <w:rPr>
          <w:rFonts w:cs="Courier New" w:ascii="Courier New" w:hAnsi="Courier New"/>
        </w:rPr>
        <w:t>qoEReference</w:t>
      </w:r>
      <w:r>
        <w:rPr/>
        <w:t xml:space="preserve"> and the QMC report to the access stratum.</w:t>
      </w:r>
    </w:p>
    <w:p>
      <w:pPr>
        <w:pStyle w:val="B1"/>
        <w:rPr/>
      </w:pPr>
      <w:r>
        <w:rPr/>
        <w:t>12.</w:t>
        <w:tab/>
        <w:t xml:space="preserve">The UE sends the message </w:t>
      </w:r>
      <w:r>
        <w:rPr>
          <w:rFonts w:cs="Courier New" w:ascii="Courier New" w:hAnsi="Courier New"/>
        </w:rPr>
        <w:t>MeasReportAppLayer</w:t>
      </w:r>
      <w:r>
        <w:rPr/>
        <w:t xml:space="preserve"> including </w:t>
      </w:r>
      <w:r>
        <w:rPr>
          <w:rFonts w:cs="Courier New" w:ascii="Courier New" w:hAnsi="Courier New"/>
        </w:rPr>
        <w:t>qoEReference</w:t>
      </w:r>
      <w:r>
        <w:rPr/>
        <w:t xml:space="preserve"> and the QMC report to the eNB.</w:t>
      </w:r>
    </w:p>
    <w:p>
      <w:pPr>
        <w:pStyle w:val="B1"/>
        <w:rPr/>
      </w:pPr>
      <w:r>
        <w:rPr/>
        <w:t>13.</w:t>
        <w:tab/>
        <w:t xml:space="preserve">The eNB sends the QMC report to the MCE associated to the </w:t>
      </w:r>
      <w:r>
        <w:rPr>
          <w:rFonts w:cs="Courier New" w:ascii="Courier New" w:hAnsi="Courier New"/>
        </w:rPr>
        <w:t>qoEReference</w:t>
      </w:r>
      <w:r>
        <w:rPr/>
        <w:t>.</w:t>
      </w:r>
    </w:p>
    <w:p>
      <w:pPr>
        <w:pStyle w:val="Heading3"/>
        <w:rPr/>
      </w:pPr>
      <w:bookmarkStart w:id="43" w:name="__RefHeading___Toc82178508"/>
      <w:bookmarkEnd w:id="43"/>
      <w:r>
        <w:rPr/>
        <w:t>4.2.2</w:t>
        <w:tab/>
        <w:t>Handling of measurement collection at handover in LTE</w:t>
      </w:r>
    </w:p>
    <w:p>
      <w:pPr>
        <w:pStyle w:val="Heading4"/>
        <w:ind w:left="1418" w:hanging="1418"/>
        <w:rPr/>
      </w:pPr>
      <w:bookmarkStart w:id="44" w:name="__RefHeading___Toc82178509"/>
      <w:bookmarkEnd w:id="44"/>
      <w:r>
        <w:rPr/>
        <w:t>4.2.2.1</w:t>
        <w:tab/>
        <w:t>Handover between cells within an eNB</w:t>
      </w:r>
    </w:p>
    <w:p>
      <w:pPr>
        <w:pStyle w:val="Normal"/>
        <w:rPr/>
      </w:pPr>
      <w:r>
        <w:rPr/>
        <w:t xml:space="preserve">When handover is made and no </w:t>
      </w:r>
      <w:r>
        <w:rPr>
          <w:rFonts w:cs="Courier New" w:ascii="Courier New" w:hAnsi="Courier New"/>
        </w:rPr>
        <w:t>Recording session id</w:t>
      </w:r>
      <w:r>
        <w:rPr/>
        <w:t xml:space="preserve"> is provided, the measurement area is checked. </w:t>
      </w:r>
    </w:p>
    <w:p>
      <w:pPr>
        <w:pStyle w:val="B1"/>
        <w:rPr/>
      </w:pPr>
      <w:r>
        <w:rPr/>
        <w:t>-</w:t>
        <w:tab/>
        <w:t xml:space="preserve">If the mobile is inside the measurement area after the handover, the eNB sends in an indication that the UE is inside the measurement area in the </w:t>
      </w:r>
      <w:r>
        <w:rPr>
          <w:rFonts w:cs="Courier New" w:ascii="Courier New" w:hAnsi="Courier New"/>
        </w:rPr>
        <w:t>RRCConnectionReconfiguration</w:t>
      </w:r>
      <w:r>
        <w:rPr/>
        <w:t xml:space="preserve"> message [8] to the UE. The UE send the +CAPPLEVMC AT command [5] to the application to inform that recording shall start if the application becomes active (when the UE moves into the measurement area). </w:t>
      </w:r>
    </w:p>
    <w:p>
      <w:pPr>
        <w:pStyle w:val="B1"/>
        <w:rPr/>
      </w:pPr>
      <w:r>
        <w:rPr/>
        <w:t>-</w:t>
        <w:tab/>
        <w:t xml:space="preserve">If the mobile has moved outside the measurement area, there is no indication that the UE is inside the measurement area in the </w:t>
      </w:r>
      <w:r>
        <w:rPr>
          <w:rFonts w:cs="Courier New" w:ascii="Courier New" w:hAnsi="Courier New"/>
        </w:rPr>
        <w:t>RRCConnectionReconfiguration</w:t>
      </w:r>
      <w:r>
        <w:rPr/>
        <w:t xml:space="preserve"> message [8] from the eNB to the UE. The UE sends the +CAPPLEVMC AT command [5] to the application to inform that recording shall not be started even if the application becomes active.</w:t>
      </w:r>
    </w:p>
    <w:p>
      <w:pPr>
        <w:pStyle w:val="Heading4"/>
        <w:ind w:left="1418" w:hanging="1418"/>
        <w:rPr/>
      </w:pPr>
      <w:bookmarkStart w:id="45" w:name="__RefHeading___Toc82178510"/>
      <w:bookmarkEnd w:id="45"/>
      <w:r>
        <w:rPr/>
        <w:t>4.2.2.2</w:t>
        <w:tab/>
        <w:t>Handover between eNBs</w:t>
      </w:r>
    </w:p>
    <w:p>
      <w:pPr>
        <w:pStyle w:val="Normal"/>
        <w:rPr/>
      </w:pPr>
      <w:r>
        <w:rPr/>
        <w:t>The figure 4.2.2.2-1 and the text below describes the handling at handover between eNBs.</w:t>
      </w:r>
    </w:p>
    <w:p>
      <w:pPr>
        <w:pStyle w:val="TH"/>
        <w:rPr/>
      </w:pPr>
      <w:r>
        <w:rPr/>
        <w:drawing>
          <wp:inline distT="0" distB="0" distL="0" distR="0">
            <wp:extent cx="5686425" cy="3371850"/>
            <wp:effectExtent l="0" t="0" r="0" b="0"/>
            <wp:docPr id="6" name="LTE H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TE HO" descr=""/>
                    <pic:cNvPicPr>
                      <a:picLocks noChangeAspect="1" noChangeArrowheads="1"/>
                    </pic:cNvPicPr>
                  </pic:nvPicPr>
                  <pic:blipFill>
                    <a:blip r:embed="rId9"/>
                    <a:srcRect l="-3" t="-5" r="-3" b="-5"/>
                    <a:stretch>
                      <a:fillRect/>
                    </a:stretch>
                  </pic:blipFill>
                  <pic:spPr bwMode="auto">
                    <a:xfrm>
                      <a:off x="0" y="0"/>
                      <a:ext cx="5686425" cy="3371850"/>
                    </a:xfrm>
                    <a:prstGeom prst="rect">
                      <a:avLst/>
                    </a:prstGeom>
                  </pic:spPr>
                </pic:pic>
              </a:graphicData>
            </a:graphic>
          </wp:inline>
        </w:drawing>
      </w:r>
    </w:p>
    <w:p>
      <w:pPr>
        <w:pStyle w:val="TF"/>
        <w:rPr/>
      </w:pPr>
      <w:r>
        <w:rPr/>
        <w:t>Figure 4.2.2.2-1: Handling of QMC activation in case of handover in LTE</w:t>
      </w:r>
    </w:p>
    <w:p>
      <w:pPr>
        <w:pStyle w:val="B1"/>
        <w:rPr/>
      </w:pPr>
      <w:r>
        <w:rPr/>
        <w:t>1.</w:t>
        <w:tab/>
        <w:t xml:space="preserve">Source eNB sends the message </w:t>
      </w:r>
      <w:r>
        <w:rPr>
          <w:rFonts w:cs="Courier New" w:ascii="Courier New" w:hAnsi="Courier New"/>
        </w:rPr>
        <w:t>HandoverRequest</w:t>
      </w:r>
      <w:r>
        <w:rPr/>
        <w:t xml:space="preserve"> to Target eNB and includes </w:t>
      </w:r>
      <w:r>
        <w:rPr>
          <w:rFonts w:cs="Courier New" w:ascii="Courier New" w:hAnsi="Courier New"/>
        </w:rPr>
        <w:t xml:space="preserve">areaScope </w:t>
      </w:r>
      <w:r>
        <w:rPr/>
        <w:t xml:space="preserve">and </w:t>
      </w:r>
      <w:r>
        <w:rPr>
          <w:rFonts w:cs="Courier New" w:ascii="Courier New" w:hAnsi="Courier New"/>
        </w:rPr>
        <w:t>qoECollectionEntityAddress</w:t>
      </w:r>
      <w:r>
        <w:rPr/>
        <w:t>.</w:t>
      </w:r>
    </w:p>
    <w:p>
      <w:pPr>
        <w:pStyle w:val="B1"/>
        <w:rPr/>
      </w:pPr>
      <w:r>
        <w:rPr/>
        <w:t>2.</w:t>
        <w:tab/>
        <w:t xml:space="preserve">The target eNB checks if the target cell is inside the </w:t>
      </w:r>
      <w:r>
        <w:rPr>
          <w:rFonts w:cs="Courier New" w:ascii="Courier New" w:hAnsi="Courier New"/>
        </w:rPr>
        <w:t>areaScope</w:t>
      </w:r>
      <w:r>
        <w:rPr/>
        <w:t xml:space="preserve"> or not.</w:t>
      </w:r>
    </w:p>
    <w:p>
      <w:pPr>
        <w:pStyle w:val="B1"/>
        <w:rPr/>
      </w:pPr>
      <w:r>
        <w:rPr/>
        <w:t>3.</w:t>
        <w:tab/>
        <w:t xml:space="preserve">The target eNB sends the message </w:t>
      </w:r>
      <w:r>
        <w:rPr>
          <w:rFonts w:cs="Courier New" w:ascii="Courier New" w:hAnsi="Courier New"/>
        </w:rPr>
        <w:t>HandoverRequestAcknowledge</w:t>
      </w:r>
      <w:r>
        <w:rPr/>
        <w:t xml:space="preserve"> to the source eNB.</w:t>
      </w:r>
    </w:p>
    <w:p>
      <w:pPr>
        <w:pStyle w:val="B1"/>
        <w:rPr/>
      </w:pPr>
      <w:r>
        <w:rPr/>
        <w:t>4.</w:t>
        <w:tab/>
        <w:t xml:space="preserve">The source eNB sends the message </w:t>
      </w:r>
      <w:r>
        <w:rPr>
          <w:rFonts w:cs="Courier New" w:ascii="Courier New" w:hAnsi="Courier New"/>
        </w:rPr>
        <w:t>RRCConnectionReconfiguration</w:t>
      </w:r>
      <w:r>
        <w:rPr/>
        <w:t xml:space="preserve"> to the UE.</w:t>
      </w:r>
    </w:p>
    <w:p>
      <w:pPr>
        <w:pStyle w:val="B1"/>
        <w:rPr/>
      </w:pPr>
      <w:r>
        <w:rPr/>
        <w:t>5.</w:t>
        <w:tab/>
        <w:t>The access stratum in the UE sends the AT command +CAPPLEVMC to application level.</w:t>
      </w:r>
    </w:p>
    <w:p>
      <w:pPr>
        <w:pStyle w:val="B1"/>
        <w:rPr/>
      </w:pPr>
      <w:r>
        <w:rPr/>
        <w:t>6.</w:t>
        <w:tab/>
        <w:t xml:space="preserve">The UE sends the message </w:t>
      </w:r>
      <w:r>
        <w:rPr>
          <w:rFonts w:cs="Courier New" w:ascii="Courier New" w:hAnsi="Courier New"/>
        </w:rPr>
        <w:t>RRCConnectionReconfigurationComplete</w:t>
      </w:r>
      <w:r>
        <w:rPr/>
        <w:t xml:space="preserve"> to the eNB.</w:t>
      </w:r>
    </w:p>
    <w:p>
      <w:pPr>
        <w:pStyle w:val="B1"/>
        <w:rPr/>
      </w:pPr>
      <w:r>
        <w:rPr/>
        <w:t>7.</w:t>
        <w:tab/>
        <w:t xml:space="preserve">When the application becomes active, QMC is initiated if the UE is inside the </w:t>
      </w:r>
      <w:r>
        <w:rPr>
          <w:rFonts w:cs="Courier New" w:ascii="Courier New" w:hAnsi="Courier New"/>
        </w:rPr>
        <w:t>areaScope</w:t>
      </w:r>
      <w:r>
        <w:rPr/>
        <w:t xml:space="preserve">. </w:t>
      </w:r>
    </w:p>
    <w:p>
      <w:pPr>
        <w:pStyle w:val="B1"/>
        <w:rPr/>
      </w:pPr>
      <w:r>
        <w:rPr/>
        <w:t>8.</w:t>
        <w:tab/>
        <w:t>The application layer sends the AT command +CAPPLEVMR including a recording session indication indicating that a session has started to the access stratum.</w:t>
      </w:r>
    </w:p>
    <w:p>
      <w:pPr>
        <w:pStyle w:val="B1"/>
        <w:rPr/>
      </w:pPr>
      <w:r>
        <w:rPr/>
        <w:t>9.</w:t>
        <w:tab/>
        <w:t xml:space="preserve">The UE sends the message </w:t>
      </w:r>
      <w:r>
        <w:rPr>
          <w:rFonts w:cs="Courier New" w:ascii="Courier New" w:hAnsi="Courier New"/>
        </w:rPr>
        <w:t>MeasReportAppLayer</w:t>
      </w:r>
      <w:r>
        <w:rPr/>
        <w:t xml:space="preserve"> including the recording session indication to the eNB.</w:t>
      </w:r>
    </w:p>
    <w:p>
      <w:pPr>
        <w:pStyle w:val="B1"/>
        <w:rPr/>
      </w:pPr>
      <w:r>
        <w:rPr/>
        <w:t>10.</w:t>
        <w:tab/>
        <w:t>The eNB sends a notification including the recording session indication to the NM.</w:t>
      </w:r>
    </w:p>
    <w:p>
      <w:pPr>
        <w:pStyle w:val="B1"/>
        <w:rPr/>
      </w:pPr>
      <w:r>
        <w:rPr/>
        <w:t>11.</w:t>
        <w:tab/>
        <w:t xml:space="preserve">When the QMC is completed, the recorded information is collected in a QMC report [6], [7]. including </w:t>
      </w:r>
      <w:r>
        <w:rPr>
          <w:rFonts w:cs="Courier New" w:ascii="Courier New" w:hAnsi="Courier New"/>
        </w:rPr>
        <w:t>qoEReference</w:t>
      </w:r>
      <w:r>
        <w:rPr/>
        <w:t xml:space="preserve"> and </w:t>
      </w:r>
      <w:r>
        <w:rPr>
          <w:rFonts w:cs="Courier New" w:ascii="Courier New" w:hAnsi="Courier New"/>
        </w:rPr>
        <w:t>recordingSessionId</w:t>
      </w:r>
      <w:r>
        <w:rPr/>
        <w:t xml:space="preserve">. The </w:t>
      </w:r>
      <w:r>
        <w:rPr>
          <w:rFonts w:cs="Courier New" w:ascii="Courier New" w:hAnsi="Courier New"/>
        </w:rPr>
        <w:t>qoEReference</w:t>
      </w:r>
      <w:r>
        <w:rPr/>
        <w:t xml:space="preserve">, Client Id [6] and [7] in the reporting container (that represent the UE request session) and </w:t>
      </w:r>
      <w:r>
        <w:rPr>
          <w:rFonts w:cs="Courier New" w:ascii="Courier New" w:hAnsi="Courier New"/>
        </w:rPr>
        <w:t>recordingSessionId</w:t>
      </w:r>
      <w:r>
        <w:rPr/>
        <w:t xml:space="preserve"> are needed in the QoE collection entity for post processing purposes.</w:t>
      </w:r>
    </w:p>
    <w:p>
      <w:pPr>
        <w:pStyle w:val="B1"/>
        <w:rPr/>
      </w:pPr>
      <w:r>
        <w:rPr/>
        <w:t>12.</w:t>
        <w:tab/>
        <w:t xml:space="preserve">The application layer sends the AT command +CAPPLEVMR including </w:t>
      </w:r>
      <w:r>
        <w:rPr>
          <w:rFonts w:cs="Courier New" w:ascii="Courier New" w:hAnsi="Courier New"/>
        </w:rPr>
        <w:t>qoEReference</w:t>
      </w:r>
      <w:r>
        <w:rPr/>
        <w:t xml:space="preserve"> and the QMC report to the access stratum.</w:t>
      </w:r>
    </w:p>
    <w:p>
      <w:pPr>
        <w:pStyle w:val="B1"/>
        <w:rPr/>
      </w:pPr>
      <w:r>
        <w:rPr/>
        <w:t>13.</w:t>
        <w:tab/>
        <w:t xml:space="preserve">The UE sends the message </w:t>
      </w:r>
      <w:r>
        <w:rPr>
          <w:rFonts w:cs="Courier New" w:ascii="Courier New" w:hAnsi="Courier New"/>
        </w:rPr>
        <w:t>MeasReportAppLayer</w:t>
      </w:r>
      <w:r>
        <w:rPr/>
        <w:t xml:space="preserve"> including </w:t>
      </w:r>
      <w:r>
        <w:rPr>
          <w:rFonts w:cs="Courier New" w:ascii="Courier New" w:hAnsi="Courier New"/>
        </w:rPr>
        <w:t>qoEReference</w:t>
      </w:r>
      <w:r>
        <w:rPr/>
        <w:t xml:space="preserve"> and the QMC report to the eNB.</w:t>
      </w:r>
    </w:p>
    <w:p>
      <w:pPr>
        <w:pStyle w:val="B1"/>
        <w:rPr/>
      </w:pPr>
      <w:r>
        <w:rPr/>
        <w:t>14.</w:t>
        <w:tab/>
        <w:t xml:space="preserve">The eNB sends the QMC report to the MCE associated to the </w:t>
      </w:r>
      <w:r>
        <w:rPr>
          <w:rFonts w:cs="Courier New" w:ascii="Courier New" w:hAnsi="Courier New"/>
        </w:rPr>
        <w:t>qoEReference</w:t>
      </w:r>
      <w:r>
        <w:rPr/>
        <w:t>.</w:t>
      </w:r>
    </w:p>
    <w:p>
      <w:pPr>
        <w:pStyle w:val="Heading3"/>
        <w:rPr/>
      </w:pPr>
      <w:bookmarkStart w:id="46" w:name="__RefHeading___Toc82178511"/>
      <w:bookmarkEnd w:id="46"/>
      <w:r>
        <w:rPr/>
        <w:t>4.2.3</w:t>
        <w:tab/>
        <w:t>Deactivation of measurement collection job in LTE</w:t>
      </w:r>
    </w:p>
    <w:p>
      <w:pPr>
        <w:pStyle w:val="Heading4"/>
        <w:ind w:left="1418" w:hanging="1418"/>
        <w:rPr/>
      </w:pPr>
      <w:bookmarkStart w:id="47" w:name="__RefHeading___Toc82178512"/>
      <w:bookmarkEnd w:id="47"/>
      <w:r>
        <w:rPr/>
        <w:t>4.2.3.1</w:t>
        <w:tab/>
        <w:t>Forced deactivation</w:t>
      </w:r>
    </w:p>
    <w:p>
      <w:pPr>
        <w:pStyle w:val="Normal"/>
        <w:keepNext w:val="true"/>
        <w:keepLines/>
        <w:rPr/>
      </w:pPr>
      <w:r>
        <w:rPr/>
        <w:t xml:space="preserve">When the operator technician or the management application wants to deactivate a measurement collection job, the management system sends the </w:t>
      </w:r>
      <w:r>
        <w:rPr>
          <w:rFonts w:cs="Courier New" w:ascii="Courier New" w:hAnsi="Courier New"/>
        </w:rPr>
        <w:t>deactivateQMCJob</w:t>
      </w:r>
      <w:r>
        <w:rPr/>
        <w:t xml:space="preserve"> operation [3] to the eNB. The eNB sets the network request session to ended, but does not delete the </w:t>
      </w:r>
      <w:r>
        <w:rPr>
          <w:rFonts w:cs="Courier New" w:ascii="Courier New" w:hAnsi="Courier New"/>
        </w:rPr>
        <w:t>UE request session id</w:t>
      </w:r>
      <w:r>
        <w:rPr/>
        <w:t xml:space="preserve"> and the </w:t>
      </w:r>
      <w:r>
        <w:rPr>
          <w:rFonts w:cs="Courier New" w:ascii="Courier New" w:hAnsi="Courier New"/>
        </w:rPr>
        <w:t>Collection Entity Address</w:t>
      </w:r>
      <w:r>
        <w:rPr/>
        <w:t xml:space="preserve"> parameters [3], as the UE still may send reports which shall be send to the collection centre. For UE request sessions which have reported that a recording session is started, the eNB sends the </w:t>
      </w:r>
      <w:r>
        <w:rPr>
          <w:rFonts w:cs="Courier New" w:ascii="Courier New" w:hAnsi="Courier New"/>
        </w:rPr>
        <w:t>RRCConnectionReconfiguration</w:t>
      </w:r>
      <w:r>
        <w:rPr/>
        <w:t xml:space="preserve"> message [8] to relevant UEs. The </w:t>
      </w:r>
      <w:r>
        <w:rPr>
          <w:rFonts w:cs="Courier New" w:ascii="Courier New" w:hAnsi="Courier New"/>
        </w:rPr>
        <w:t>RRCConnectionReconfiguration</w:t>
      </w:r>
      <w:r>
        <w:rPr/>
        <w:t xml:space="preserve"> message is including </w:t>
      </w:r>
      <w:r>
        <w:rPr>
          <w:i/>
          <w:iCs/>
        </w:rPr>
        <w:t xml:space="preserve">measConfigAppLayer </w:t>
      </w:r>
      <w:r>
        <w:rPr/>
        <w:t>set to discard</w:t>
      </w:r>
      <w:r>
        <w:rPr>
          <w:i/>
          <w:iCs/>
        </w:rPr>
        <w:t xml:space="preserve"> </w:t>
      </w:r>
      <w:r>
        <w:rPr/>
        <w:t xml:space="preserve">application layer measurement report information in </w:t>
      </w:r>
      <w:r>
        <w:rPr>
          <w:i/>
          <w:iCs/>
        </w:rPr>
        <w:t>otherConfig</w:t>
      </w:r>
      <w:r>
        <w:rPr>
          <w:iCs/>
        </w:rPr>
        <w:t xml:space="preserve"> [8]</w:t>
      </w:r>
      <w:r>
        <w:rPr/>
        <w:t xml:space="preserve">. The Access stratum sends +CAPPLEVMC AT command [5] to the application with the discard request. The application stops the recording session and stops recording of the requested information. The </w:t>
      </w:r>
      <w:r>
        <w:rPr>
          <w:rFonts w:cs="Courier New" w:ascii="Courier New" w:hAnsi="Courier New"/>
        </w:rPr>
        <w:t>UE request session id</w:t>
      </w:r>
      <w:r>
        <w:rPr/>
        <w:t xml:space="preserve"> and the </w:t>
      </w:r>
      <w:r>
        <w:rPr>
          <w:rFonts w:cs="Courier New" w:ascii="Courier New" w:hAnsi="Courier New"/>
        </w:rPr>
        <w:t>Collection Entity Address</w:t>
      </w:r>
      <w:r>
        <w:rPr/>
        <w:t xml:space="preserve"> parameters [3] in the eNB are deleted when the UE request session is ended.</w:t>
      </w:r>
    </w:p>
    <w:p>
      <w:pPr>
        <w:pStyle w:val="Heading4"/>
        <w:ind w:left="1418" w:hanging="1418"/>
        <w:rPr/>
      </w:pPr>
      <w:bookmarkStart w:id="48" w:name="__RefHeading___Toc82178513"/>
      <w:bookmarkEnd w:id="48"/>
      <w:r>
        <w:rPr/>
        <w:t>4.2.3.2</w:t>
        <w:tab/>
        <w:t>Deactivation of recording session</w:t>
      </w:r>
    </w:p>
    <w:p>
      <w:pPr>
        <w:pStyle w:val="Normal"/>
        <w:rPr/>
      </w:pPr>
      <w:r>
        <w:rPr/>
        <w:t xml:space="preserve">Regardless of whether the pre-set time has elapsed or not, the recording session continues to be active until the session for the application is ended. </w:t>
      </w:r>
    </w:p>
    <w:p>
      <w:pPr>
        <w:pStyle w:val="Heading3"/>
        <w:rPr/>
      </w:pPr>
      <w:bookmarkStart w:id="49" w:name="__RefHeading___Toc82178514"/>
      <w:bookmarkEnd w:id="49"/>
      <w:r>
        <w:rPr/>
        <w:t>4.2.4</w:t>
        <w:tab/>
        <w:t>Void</w:t>
      </w:r>
    </w:p>
    <w:p>
      <w:pPr>
        <w:pStyle w:val="Heading1"/>
        <w:ind w:left="1134" w:hanging="1134"/>
        <w:rPr/>
      </w:pPr>
      <w:bookmarkStart w:id="50" w:name="__RefHeading___Toc82178515"/>
      <w:bookmarkEnd w:id="50"/>
      <w:r>
        <w:rPr/>
        <w:t>5</w:t>
        <w:tab/>
        <w:t>Quality of Experience (QoE) measurement management parameters</w:t>
      </w:r>
    </w:p>
    <w:p>
      <w:pPr>
        <w:pStyle w:val="Heading2"/>
        <w:rPr>
          <w:iCs/>
        </w:rPr>
      </w:pPr>
      <w:bookmarkStart w:id="51" w:name="__RefHeading___Toc82178516"/>
      <w:bookmarkEnd w:id="51"/>
      <w:r>
        <w:rPr/>
        <w:t>5.1</w:t>
        <w:tab/>
        <w:t>QoE collection entity address (M)</w:t>
      </w:r>
    </w:p>
    <w:p>
      <w:pPr>
        <w:pStyle w:val="Normal"/>
        <w:rPr/>
      </w:pPr>
      <w:r>
        <w:rPr/>
        <w:t>This is a parameter which defines the IP address to which the QMC records shall be transferred. Ipv4 or Ipv6 address(es) may be used.</w:t>
      </w:r>
    </w:p>
    <w:p>
      <w:pPr>
        <w:pStyle w:val="Heading2"/>
        <w:rPr>
          <w:iCs/>
        </w:rPr>
      </w:pPr>
      <w:bookmarkStart w:id="52" w:name="__RefHeading___Toc82178517"/>
      <w:bookmarkEnd w:id="52"/>
      <w:r>
        <w:rPr/>
        <w:t>5.2</w:t>
        <w:tab/>
        <w:t>QoE reference (M)</w:t>
      </w:r>
    </w:p>
    <w:p>
      <w:pPr>
        <w:pStyle w:val="Normal"/>
        <w:rPr/>
      </w:pPr>
      <w:r>
        <w:rPr/>
        <w:t>The QoE reference parameter specify the network request session. The QoE reference shall be globally unique therefore it is composed as follows:</w:t>
      </w:r>
    </w:p>
    <w:p>
      <w:pPr>
        <w:pStyle w:val="Normal"/>
        <w:rPr/>
      </w:pPr>
      <w:r>
        <w:rPr/>
        <w:t xml:space="preserve">MCC+MNC+QMC ID, where the </w:t>
      </w:r>
      <w:r>
        <w:rPr>
          <w:rStyle w:val="Msoins"/>
          <w:color w:val="000000"/>
        </w:rPr>
        <w:t>MCC and MNC are coming with the QMC  activation request from the management system to identify one PLMN containing the management system, and</w:t>
      </w:r>
      <w:r>
        <w:rPr/>
        <w:t xml:space="preserve"> QMC ID is a 3 byte Octet String.</w:t>
      </w:r>
    </w:p>
    <w:p>
      <w:pPr>
        <w:pStyle w:val="Normal"/>
        <w:rPr/>
      </w:pPr>
      <w:r>
        <w:rPr/>
        <w:t>The QMC ID is generated by the management system or the operator.</w:t>
      </w:r>
    </w:p>
    <w:p>
      <w:pPr>
        <w:pStyle w:val="Normal"/>
        <w:rPr/>
      </w:pPr>
      <w:r>
        <w:rPr/>
        <w:t>It is used to identify the QoE measurement collection job in the traffic nodes and in the measurement collection centre.</w:t>
      </w:r>
    </w:p>
    <w:p>
      <w:pPr>
        <w:pStyle w:val="Heading2"/>
        <w:rPr/>
      </w:pPr>
      <w:bookmarkStart w:id="53" w:name="__RefHeading___Toc82178518"/>
      <w:bookmarkEnd w:id="53"/>
      <w:r>
        <w:rPr/>
        <w:t>5.3</w:t>
        <w:tab/>
        <w:t>PLMN target (CM)</w:t>
      </w:r>
    </w:p>
    <w:p>
      <w:pPr>
        <w:pStyle w:val="Normal"/>
        <w:rPr/>
      </w:pPr>
      <w:r>
        <w:rPr/>
        <w:t xml:space="preserve">This parameter defines the PLMN for which sessions shall be selected in the network request session in case of area based QMC when </w:t>
      </w:r>
      <w:r>
        <w:rPr>
          <w:lang w:eastAsia="zh-CN"/>
        </w:rPr>
        <w:t>several PLMNs are supported in the RAN</w:t>
      </w:r>
      <w:r>
        <w:rPr/>
        <w:t xml:space="preserve"> (this means that shared cells and not shared cells are allowed for the specified PLMN. Furthermore, several PLMNs can be used for not shared RAN cases as well as for shared RAN cases.). Only the sessions may be selected where the PLMN that the UE reports as selected PLMN is the same as the PLMN Target.</w:t>
      </w:r>
    </w:p>
    <w:p>
      <w:pPr>
        <w:pStyle w:val="Normal"/>
        <w:rPr/>
      </w:pPr>
      <w:r>
        <w:rPr/>
        <w:t>Note that the PLMN Target might differ from the PLMN specified in the Network Request Session Id, as that specifies the PLMN that is containing the management system requesting the Network Request  Session from the NE.</w:t>
      </w:r>
    </w:p>
    <w:p>
      <w:pPr>
        <w:pStyle w:val="Normal"/>
        <w:rPr/>
      </w:pPr>
      <w:r>
        <w:rPr/>
        <w:t>The parameter is mandatory if network sharing is deployed.</w:t>
      </w:r>
    </w:p>
    <w:p>
      <w:pPr>
        <w:pStyle w:val="Heading2"/>
        <w:rPr/>
      </w:pPr>
      <w:bookmarkStart w:id="54" w:name="__RefHeading___Toc82178519"/>
      <w:bookmarkEnd w:id="54"/>
      <w:r>
        <w:rPr/>
        <w:t>5.4</w:t>
        <w:tab/>
        <w:t>Area scope (CM)</w:t>
      </w:r>
    </w:p>
    <w:p>
      <w:pPr>
        <w:pStyle w:val="Normal"/>
        <w:rPr/>
      </w:pPr>
      <w:r>
        <w:rPr/>
        <w:t>The area scope parameter defines the area in terms or cells or Tracking Area/Routing Area/Location Area where the QMC shall take place. If the parameter is not present the QMC shall be done throughout the PLMN specified in PLMN target.</w:t>
      </w:r>
    </w:p>
    <w:p>
      <w:pPr>
        <w:pStyle w:val="Normal"/>
        <w:rPr/>
      </w:pPr>
      <w:r>
        <w:rPr/>
        <w:t>The area scope parameter in UMTS is either:</w:t>
      </w:r>
    </w:p>
    <w:p>
      <w:pPr>
        <w:pStyle w:val="B1"/>
        <w:rPr/>
      </w:pPr>
      <w:r>
        <w:rPr/>
        <w:t>-</w:t>
        <w:tab/>
        <w:t>List of cells, identified by CGI. Maximum 32 CGI can be defined.</w:t>
      </w:r>
    </w:p>
    <w:p>
      <w:pPr>
        <w:pStyle w:val="B1"/>
        <w:rPr/>
      </w:pPr>
      <w:r>
        <w:rPr/>
        <w:t>-</w:t>
        <w:tab/>
        <w:t>List of Routing Area, identified by RAI. Maximum of 8 RAIs can be defined.</w:t>
      </w:r>
    </w:p>
    <w:p>
      <w:pPr>
        <w:pStyle w:val="B1"/>
        <w:rPr/>
      </w:pPr>
      <w:r>
        <w:rPr/>
        <w:t>-</w:t>
        <w:tab/>
        <w:t>List of Location Area, identified by LAI. Maximum of 8 LAIs can be defined.</w:t>
      </w:r>
    </w:p>
    <w:p>
      <w:pPr>
        <w:pStyle w:val="Normal"/>
        <w:rPr/>
      </w:pPr>
      <w:r>
        <w:rPr/>
        <w:t>The area scope parameter in LTE is either:</w:t>
      </w:r>
    </w:p>
    <w:p>
      <w:pPr>
        <w:pStyle w:val="B1"/>
        <w:rPr/>
      </w:pPr>
      <w:r>
        <w:rPr/>
        <w:t>-</w:t>
        <w:tab/>
        <w:t>list of cells, identified by E-UTRAN-CGI. Maximum 32 CGI can be defined.</w:t>
      </w:r>
    </w:p>
    <w:p>
      <w:pPr>
        <w:pStyle w:val="B1"/>
        <w:rPr/>
      </w:pPr>
      <w:r>
        <w:rPr/>
        <w:t>-</w:t>
        <w:tab/>
        <w:t xml:space="preserve">List of Tracking Area, identified by TAC. Maximum of 8 TAC can be defined. </w:t>
      </w:r>
    </w:p>
    <w:p>
      <w:pPr>
        <w:pStyle w:val="Normal"/>
        <w:rPr/>
      </w:pPr>
      <w:r>
        <w:rPr/>
        <w:t>The parameter is mandatory if area based QMC is requested.</w:t>
      </w:r>
    </w:p>
    <w:p>
      <w:pPr>
        <w:pStyle w:val="Heading2"/>
        <w:rPr/>
      </w:pPr>
      <w:bookmarkStart w:id="55" w:name="__RefHeading___Toc82178520"/>
      <w:bookmarkEnd w:id="55"/>
      <w:r>
        <w:rPr/>
        <w:t>5.5</w:t>
        <w:tab/>
        <w:t>QMC configuration file (container) (M)</w:t>
      </w:r>
    </w:p>
    <w:p>
      <w:pPr>
        <w:pStyle w:val="Normal"/>
        <w:rPr/>
      </w:pPr>
      <w:r>
        <w:rPr/>
        <w:t>The QMC configuration file is a container that is specified in [6] or [7].</w:t>
      </w:r>
    </w:p>
    <w:p>
      <w:pPr>
        <w:pStyle w:val="Heading2"/>
        <w:rPr/>
      </w:pPr>
      <w:bookmarkStart w:id="56" w:name="__RefHeading___Toc82178521"/>
      <w:bookmarkEnd w:id="56"/>
      <w:r>
        <w:rPr/>
        <w:t>5.6</w:t>
        <w:tab/>
        <w:t>QMC target (M)</w:t>
      </w:r>
    </w:p>
    <w:p>
      <w:pPr>
        <w:pStyle w:val="Normal"/>
        <w:rPr/>
      </w:pPr>
      <w:r>
        <w:rPr/>
        <w:t>The QMC target parameter specifies it the QMC is area based or individual UE based.</w:t>
      </w:r>
    </w:p>
    <w:p>
      <w:pPr>
        <w:pStyle w:val="B1"/>
        <w:rPr/>
      </w:pPr>
      <w:r>
        <w:rPr/>
        <w:t>-</w:t>
        <w:tab/>
        <w:t>Area based QMC (0)</w:t>
      </w:r>
    </w:p>
    <w:p>
      <w:pPr>
        <w:pStyle w:val="NO"/>
        <w:rPr/>
      </w:pPr>
      <w:r>
        <w:rPr/>
        <w:t>NOTE:</w:t>
        <w:tab/>
        <w:t>Individual UE based QMC is not supported in this release.</w:t>
      </w:r>
    </w:p>
    <w:p>
      <w:pPr>
        <w:pStyle w:val="Heading2"/>
        <w:rPr/>
      </w:pPr>
      <w:bookmarkStart w:id="57" w:name="__RefHeading___Toc82178522"/>
      <w:bookmarkEnd w:id="57"/>
      <w:r>
        <w:rPr/>
        <w:t>5.7</w:t>
        <w:tab/>
        <w:t>Recording session id (M)</w:t>
      </w:r>
    </w:p>
    <w:p>
      <w:pPr>
        <w:pStyle w:val="Normal"/>
        <w:rPr/>
      </w:pPr>
      <w:r>
        <w:rPr/>
        <w:t>This parameter shall be a 2 byte octet string. The recording session id shall be the same for the whole session in the application, while for each different session in the application the recording session id shall be changed. The recording session id is generated by the application in the UE.</w:t>
      </w:r>
    </w:p>
    <w:p>
      <w:pPr>
        <w:pStyle w:val="Normal"/>
        <w:rPr/>
      </w:pPr>
      <w:r>
        <w:rPr/>
        <w:t>It is used in the measurement collection centre to identify which session within a UE has collected information in the application.</w:t>
      </w:r>
    </w:p>
    <w:p>
      <w:pPr>
        <w:pStyle w:val="Heading2"/>
        <w:rPr/>
      </w:pPr>
      <w:bookmarkStart w:id="58" w:name="__RefHeading___Toc82178523"/>
      <w:bookmarkEnd w:id="58"/>
      <w:r>
        <w:rPr/>
        <w:t>5.8</w:t>
        <w:tab/>
        <w:t>Service type (M)</w:t>
      </w:r>
    </w:p>
    <w:p>
      <w:pPr>
        <w:pStyle w:val="Normal"/>
        <w:rPr/>
      </w:pPr>
      <w:r>
        <w:rPr/>
        <w:t xml:space="preserve">Which kind of service that shall be recorded. </w:t>
      </w:r>
    </w:p>
    <w:p>
      <w:pPr>
        <w:pStyle w:val="B1"/>
        <w:rPr/>
      </w:pPr>
      <w:r>
        <w:rPr/>
        <w:t>-</w:t>
        <w:tab/>
        <w:t>DASH (0)</w:t>
      </w:r>
    </w:p>
    <w:p>
      <w:pPr>
        <w:pStyle w:val="B1"/>
        <w:rPr/>
      </w:pPr>
      <w:r>
        <w:rPr/>
        <w:t>-</w:t>
        <w:tab/>
        <w:t>MTSI (1)</w:t>
      </w:r>
    </w:p>
    <w:p>
      <w:pPr>
        <w:pStyle w:val="Normal"/>
        <w:rPr/>
      </w:pPr>
      <w:r>
        <w:rPr/>
        <w:t>DASH measurements are specified in [6]. MTSI measurements are specific in [7].</w:t>
      </w:r>
      <w:r>
        <w:br w:type="page"/>
      </w:r>
    </w:p>
    <w:p>
      <w:pPr>
        <w:pStyle w:val="Heading8"/>
        <w:ind w:left="0" w:hanging="0"/>
        <w:rPr/>
      </w:pPr>
      <w:bookmarkStart w:id="59" w:name="__RefHeading___Toc82178524"/>
      <w:bookmarkEnd w:id="59"/>
      <w:r>
        <w:rPr/>
        <w:t>Annex A (informative):</w:t>
        <w:br/>
        <w:t>Change history</w:t>
      </w:r>
      <w:bookmarkStart w:id="60" w:name="historyclause"/>
      <w:bookmarkEnd w:id="60"/>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567"/>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version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SA#93e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SP-210883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Aligning with RAN specifications 36.331 and 25.331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SA#94e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SP-211454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Corrent the description of QoE reference and PLMN target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bl>
    <w:p>
      <w:pPr>
        <w:pStyle w:val="Normal"/>
        <w:rPr/>
      </w:pPr>
      <w:r>
        <w:rPr/>
      </w:r>
    </w:p>
    <w:p>
      <w:pPr>
        <w:pStyle w:val="Normal"/>
        <w:spacing w:before="0" w:after="180"/>
        <w:rPr>
          <w:iCs/>
        </w:rPr>
      </w:pPr>
      <w:r>
        <w:rPr>
          <w:iCs/>
        </w:rPr>
      </w:r>
    </w:p>
    <w:sectPr>
      <w:headerReference w:type="default" r:id="rId10"/>
      <w:footerReference w:type="default" r:id="rId11"/>
      <w:type w:val="nextPage"/>
      <w:pgSz w:w="11906" w:h="16838"/>
      <w:pgMar w:left="1134" w:right="1134" w:gutter="0" w:header="680" w:top="736" w:footer="567" w:bottom="62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19" w:leader="none"/>
        <w:tab w:val="right" w:pos="9639" w:leader="none"/>
      </w:tabs>
      <w:rPr/>
    </w:pPr>
    <w:r>
      <w:rPr>
        <w:lang w:val="en-GB" w:eastAsia="en-US"/>
      </w:rPr>
      <w:tab/>
    </w: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15</w:t>
    </w:r>
    <w:r>
      <w:rPr>
        <w:lang w:val="en-GB" w:eastAsia="en-US"/>
      </w:rPr>
      <w:fldChar w:fldCharType="end"/>
    </w:r>
    <w:r>
      <w:rPr/>
      <w:tab/>
    </w:r>
    <w:r>
      <mc:AlternateContent>
        <mc:Choice Requires="wps">
          <w:drawing>
            <wp:anchor behindDoc="0" distT="0" distB="0" distL="0" distR="0" simplePos="0" locked="0" layoutInCell="0" allowOverlap="1" relativeHeight="21">
              <wp:simplePos x="0" y="0"/>
              <wp:positionH relativeFrom="page">
                <wp:posOffset>741045</wp:posOffset>
              </wp:positionH>
              <wp:positionV relativeFrom="paragraph">
                <wp:posOffset>26035</wp:posOffset>
              </wp:positionV>
              <wp:extent cx="591820" cy="180340"/>
              <wp:effectExtent l="0" t="0" r="0" b="0"/>
              <wp:wrapSquare wrapText="largest"/>
              <wp:docPr id="7" name="Frame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2.05pt;mso-position-vertical-relative:text;margin-left:58.35pt;mso-position-horizontal-relative:page">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80340"/>
              <wp:effectExtent l="0" t="0" r="0" b="0"/>
              <wp:wrapSquare wrapText="largest"/>
              <wp:docPr id="8" name="Frame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28.405 V16.2.0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28.405 V16.2.0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z w:val="16"/>
    </w:rPr>
  </w:style>
  <w:style w:type="character" w:styleId="WW8Num14z0">
    <w:name w:val="WW8Num14z0"/>
    <w:qFormat/>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sz w:val="16"/>
    </w:rPr>
  </w:style>
  <w:style w:type="character" w:styleId="WW8Num21z0">
    <w:name w:val="WW8Num21z0"/>
    <w:qFormat/>
    <w:rPr/>
  </w:style>
  <w:style w:type="character" w:styleId="WW8Num23z0">
    <w:name w:val="WW8Num23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7z0">
    <w:name w:val="WW8Num27z0"/>
    <w:qFormat/>
    <w:rPr>
      <w:rFonts w:ascii="Symbol" w:hAnsi="Symbol" w:cs="Symbol"/>
      <w:color w:val="00000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HeaderChar">
    <w:name w:val="Header Char"/>
    <w:qFormat/>
    <w:rPr>
      <w:rFonts w:ascii="Arial" w:hAnsi="Arial" w:eastAsia="Times New Roman" w:cs="Arial"/>
      <w:b/>
      <w:sz w:val="18"/>
      <w:lang w:val="en-US" w:eastAsia="en-US"/>
    </w:rPr>
  </w:style>
  <w:style w:type="character" w:styleId="FootnoteCharacters">
    <w:name w:val="Footnote Characters"/>
    <w:qFormat/>
    <w:rPr>
      <w:b/>
      <w:sz w:val="16"/>
      <w:vertAlign w:val="superscript"/>
    </w:rPr>
  </w:style>
  <w:style w:type="character" w:styleId="TALChar">
    <w:name w:val="TAL Char"/>
    <w:qFormat/>
    <w:rPr>
      <w:rFonts w:ascii="Arial" w:hAnsi="Arial" w:eastAsia="Times New Roman" w:cs="Arial"/>
      <w:sz w:val="18"/>
    </w:rPr>
  </w:style>
  <w:style w:type="character" w:styleId="NOChar">
    <w:name w:val="NO Char"/>
    <w:qFormat/>
    <w:rPr>
      <w:rFonts w:ascii="Times New Roman" w:hAnsi="Times New Roman" w:eastAsia="Times New Roman" w:cs="Times New Roman"/>
    </w:rPr>
  </w:style>
  <w:style w:type="character" w:styleId="EXCar">
    <w:name w:val="EX Car"/>
    <w:qFormat/>
    <w:rPr>
      <w:rFonts w:ascii="Times New Roman" w:hAnsi="Times New Roman" w:eastAsia="Times New Roman" w:cs="Times New Roman"/>
    </w:rPr>
  </w:style>
  <w:style w:type="character" w:styleId="ZGSM">
    <w:name w:val="ZGSM"/>
    <w:qFormat/>
    <w:rPr/>
  </w:style>
  <w:style w:type="character" w:styleId="B1Char1">
    <w:name w:val="B1 Char1"/>
    <w:qFormat/>
    <w:rPr>
      <w:rFonts w:ascii="Times New Roman" w:hAnsi="Times New Roman" w:eastAsia="Times New Roman" w:cs="Times New Roman"/>
    </w:rPr>
  </w:style>
  <w:style w:type="character" w:styleId="FooterChar">
    <w:name w:val="Footer Char"/>
    <w:qFormat/>
    <w:rPr>
      <w:rFonts w:ascii="Arial" w:hAnsi="Arial" w:eastAsia="Times New Roman" w:cs="Arial"/>
      <w:b/>
      <w:i/>
      <w:sz w:val="18"/>
      <w:lang w:val="en-US" w:eastAsia="en-US"/>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lang w:val="en-GB"/>
    </w:rPr>
  </w:style>
  <w:style w:type="character" w:styleId="Msoins">
    <w:name w:val="msoins"/>
    <w:basedOn w:val="DefaultParagraphFont"/>
    <w:qFormat/>
    <w:rPr/>
  </w:style>
  <w:style w:type="character" w:styleId="UnresolvedMention">
    <w:name w:val="Unresolved Mention"/>
    <w:qFormat/>
    <w:rPr>
      <w:color w:val="605E5C"/>
      <w:shd w:fill="E1DFDD" w:val="clear"/>
    </w:rPr>
  </w:style>
  <w:style w:type="character" w:styleId="BodyTextChar">
    <w:name w:val="Body Text Char"/>
    <w:qFormat/>
    <w:rPr>
      <w:rFonts w:ascii="Times New Roman" w:hAnsi="Times New Roman" w:eastAsia="Times New Roman" w:cs="Times New Roman"/>
      <w:lang w:val="en-GB"/>
    </w:rPr>
  </w:style>
  <w:style w:type="character" w:styleId="CommentTextChar">
    <w:name w:val="Comment Text Char"/>
    <w:qFormat/>
    <w:rPr>
      <w:rFonts w:ascii="Times New Roman" w:hAnsi="Times New Roman" w:eastAsia="Times New Roman" w:cs="Times New Roman"/>
    </w:rPr>
  </w:style>
  <w:style w:type="character" w:styleId="CommentSubjectChar">
    <w:name w:val="Comment Subject Char"/>
    <w:qFormat/>
    <w:rPr>
      <w:rFonts w:ascii="Times New Roman" w:hAnsi="Times New Roman" w:eastAsia="Times New Roman" w:cs="Times New Roman"/>
      <w:b/>
      <w:bCs/>
    </w:rPr>
  </w:style>
  <w:style w:type="character" w:styleId="B1Car">
    <w:name w:val="B1+ Car"/>
    <w:qFormat/>
    <w:rPr>
      <w:rFonts w:ascii="Times New Roman" w:hAnsi="Times New Roman" w:eastAsia="Times New Roman" w:cs="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Times New Roman"/>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http://www.3gpp.org/"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2021-12-23T10:03:00Z</dcterms:created>
  <dc:creator>Michael Sanders, John M Meredith</dc:creator>
  <dc:description/>
  <cp:keywords/>
  <dc:language>en-US</dc:language>
  <cp:lastModifiedBy>33.926_CR0050_(Rel-17)_eSCAS_5G</cp:lastModifiedBy>
  <dcterms:modified xsi:type="dcterms:W3CDTF">2021-12-23T10:03:00Z</dcterms:modified>
  <cp:revision>2</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1243237843</vt:lpwstr>
  </property>
</Properties>
</file>