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28.527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28.527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99440"/>
                <wp:effectExtent l="0" t="0" r="0" b="0"/>
                <wp:wrapTopAndBottom/>
                <wp:docPr id="11" name="Frame7"/>
                <a:graphic xmlns:a="http://schemas.openxmlformats.org/drawingml/2006/main">
                  <a:graphicData uri="http://schemas.microsoft.com/office/word/2010/wordprocessingShape">
                    <wps:wsp>
                      <wps:cNvSpPr txBox="1"/>
                      <wps:spPr>
                        <a:xfrm>
                          <a:off x="0" y="0"/>
                          <a:ext cx="6121400" cy="59944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lang w:eastAsia="zh-CN"/>
                              </w:rPr>
                              <w:t>virtualized network functions</w:t>
                            </w:r>
                            <w:r>
                              <w:rPr>
                                <w:rFonts w:cs="Arial" w:ascii="Arial" w:hAnsi="Arial"/>
                                <w:sz w:val="18"/>
                              </w:rPr>
                              <w:t>, Life Cycle Management</w:t>
                            </w:r>
                          </w:p>
                        </w:txbxContent>
                      </wps:txbx>
                      <wps:bodyPr anchor="t" lIns="0" tIns="0" rIns="0" bIns="12700">
                        <a:noAutofit/>
                      </wps:bodyPr>
                    </wps:wsp>
                  </a:graphicData>
                </a:graphic>
              </wp:anchor>
            </w:drawing>
          </mc:Choice>
          <mc:Fallback>
            <w:pict>
              <v:rect fillcolor="#FFFFFF" style="position:absolute;rotation:-0;width:482pt;height:47.2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lang w:eastAsia="zh-CN"/>
                        </w:rPr>
                        <w:t>virtualized network functions</w:t>
                      </w:r>
                      <w:r>
                        <w:rPr>
                          <w:rFonts w:cs="Arial" w:ascii="Arial" w:hAnsi="Arial"/>
                          <w:sz w:val="18"/>
                        </w:rPr>
                        <w:t>, Life Cycle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26940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7269410">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26941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26941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26941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26941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269415">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Information model definition</w:t>
            <w:tab/>
          </w:r>
          <w:hyperlink w:anchor="__RefHeading___Toc477269416">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t>Os-Ma-nfvo</w:t>
            <w:tab/>
          </w:r>
          <w:hyperlink w:anchor="__RefHeading___Toc477269417">
            <w:r>
              <w:rPr>
                <w:rStyle w:val="IndexLink"/>
              </w:rPr>
              <w:t>5</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t>Ve-Vnfm-em</w:t>
            <w:tab/>
          </w:r>
          <w:hyperlink w:anchor="__RefHeading___Toc477269418">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Interface definitions</w:t>
            <w:tab/>
          </w:r>
          <w:hyperlink w:anchor="__RefHeading___Toc477269419">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t>Os-Ma-nfvo</w:t>
            <w:tab/>
          </w:r>
          <w:hyperlink w:anchor="__RefHeading___Toc477269420">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t>Ve-Vnfm-em</w:t>
            <w:tab/>
          </w:r>
          <w:hyperlink w:anchor="__RefHeading___Toc477269421">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477269422">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726940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7269410"/>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t>TS 28.525:</w:t>
        <w:tab/>
      </w:r>
      <w:r>
        <w:rPr>
          <w:rFonts w:eastAsia="Batang;바탕"/>
          <w:lang w:eastAsia="ja-JP"/>
        </w:rPr>
        <w:t>Telecommunication management; Life Cycle Management (LCM) for mobile networks that include virtualized network functions; Requirements.</w:t>
      </w:r>
    </w:p>
    <w:p>
      <w:pPr>
        <w:pStyle w:val="B1"/>
        <w:rPr/>
      </w:pPr>
      <w:r>
        <w:rPr/>
        <w:t>TS 28.526:</w:t>
        <w:tab/>
        <w:t>Telecommunication management; Life Cycle Management (LCM) for mobile networks that include virtualized network functions; Procedures.</w:t>
      </w:r>
    </w:p>
    <w:p>
      <w:pPr>
        <w:pStyle w:val="B1"/>
        <w:rPr>
          <w:b/>
          <w:b/>
        </w:rPr>
      </w:pPr>
      <w:r>
        <w:rPr>
          <w:b/>
        </w:rPr>
        <w:t>TS 28.527:</w:t>
        <w:tab/>
        <w:t>Telecommunication management; Life Cycle Management (LCM) for mobile networks that include virtualized network functions; Stage 2.</w:t>
      </w:r>
    </w:p>
    <w:p>
      <w:pPr>
        <w:pStyle w:val="B1"/>
        <w:rPr/>
      </w:pPr>
      <w:r>
        <w:rPr/>
        <w:t>TS 28.528:</w:t>
        <w:tab/>
        <w:t>Telecommunication management; Life Cycle Management (LCM) for mobile networks that include virtualized network functions; Stage 3.</w:t>
      </w:r>
    </w:p>
    <w:p>
      <w:pPr>
        <w:pStyle w:val="Normal"/>
        <w:rPr/>
      </w:pPr>
      <w:r>
        <w:rPr/>
      </w:r>
      <w:r>
        <w:br w:type="page"/>
      </w:r>
    </w:p>
    <w:p>
      <w:pPr>
        <w:pStyle w:val="Heading1"/>
        <w:ind w:left="1134" w:hanging="1134"/>
        <w:rPr/>
      </w:pPr>
      <w:bookmarkStart w:id="10" w:name="__RefHeading___Toc477269411"/>
      <w:bookmarkEnd w:id="10"/>
      <w:r>
        <w:rPr/>
        <w:t>1</w:t>
        <w:tab/>
        <w:t>Scope</w:t>
      </w:r>
    </w:p>
    <w:p>
      <w:pPr>
        <w:pStyle w:val="Normal"/>
        <w:rPr/>
      </w:pPr>
      <w:r>
        <w:rPr>
          <w:lang w:eastAsia="zh-CN"/>
        </w:rPr>
        <w:t xml:space="preserve">The present document is the Life Cycle Management (LCM) stage 2 </w:t>
      </w:r>
      <w:r>
        <w:rPr>
          <w:lang w:eastAsia="zh-CN"/>
        </w:rPr>
        <w:t>specification</w:t>
      </w:r>
      <w:r>
        <w:rPr>
          <w:lang w:eastAsia="zh-CN"/>
        </w:rPr>
        <w:t xml:space="preserve"> for mobile networks that include virtualized network functions.</w:t>
      </w:r>
    </w:p>
    <w:p>
      <w:pPr>
        <w:pStyle w:val="Heading1"/>
        <w:ind w:left="1134" w:hanging="1134"/>
        <w:rPr/>
      </w:pPr>
      <w:bookmarkStart w:id="11" w:name="__RefHeading___Toc477269412"/>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28.500: "Telecommunication management; Concept, architecture and requirements for mobile networks that include virtualized network functions".</w:t>
      </w:r>
    </w:p>
    <w:p>
      <w:pPr>
        <w:pStyle w:val="EX"/>
        <w:rPr/>
      </w:pPr>
      <w:r>
        <w:rPr>
          <w:lang w:eastAsia="zh-CN"/>
        </w:rPr>
        <w:t>[3]</w:t>
        <w:tab/>
        <w:t>ETSI GS NFV-IFA 008 (V2.1.1): "Network Functions Virtualisation (NFV); Management and Orchestration; Ve-Vnfm reference point – Interface and Information Model Specification".</w:t>
      </w:r>
    </w:p>
    <w:p>
      <w:pPr>
        <w:pStyle w:val="EX"/>
        <w:rPr/>
      </w:pPr>
      <w:r>
        <w:rPr/>
        <w:t>[4]</w:t>
        <w:tab/>
      </w:r>
      <w:r>
        <w:rPr>
          <w:lang w:eastAsia="zh-CN"/>
        </w:rPr>
        <w:t>ETSI GS NFV-IFA 013 (V2.1.1): "Network Functions Virtualisation (NFV); Management and Orchestration; Os-Ma-nfvo reference point – Interface and Information Model Specification".</w:t>
      </w:r>
    </w:p>
    <w:p>
      <w:pPr>
        <w:pStyle w:val="Heading1"/>
        <w:ind w:left="1134" w:hanging="1134"/>
        <w:rPr/>
      </w:pPr>
      <w:r>
        <w:rPr>
          <w:rFonts w:eastAsia="Arial"/>
          <w:lang w:eastAsia="zh-CN"/>
        </w:rPr>
        <w:t xml:space="preserve"> </w:t>
      </w:r>
      <w:bookmarkStart w:id="12" w:name="__RefHeading___Toc477269413"/>
      <w:r>
        <w:rPr/>
        <w:t>3</w:t>
        <w:tab/>
        <w:t>Definitions and abbreviations</w:t>
      </w:r>
      <w:bookmarkEnd w:id="12"/>
    </w:p>
    <w:p>
      <w:pPr>
        <w:pStyle w:val="Heading2"/>
        <w:rPr/>
      </w:pPr>
      <w:bookmarkStart w:id="13" w:name="__RefHeading___Toc477269414"/>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3GPP TS 28.500 [2] and the following apply. A term defined in the present document takes precedence over the definition of the same term, if any, in 3GPP TR 21.905 [1] or in 3GPP TS 28.500 [2].</w:t>
      </w:r>
    </w:p>
    <w:p>
      <w:pPr>
        <w:pStyle w:val="Heading2"/>
        <w:rPr/>
      </w:pPr>
      <w:bookmarkStart w:id="17" w:name="__RefHeading___Toc477269415"/>
      <w:bookmarkEnd w:id="17"/>
      <w:r>
        <w:rPr/>
        <w:t>3.2</w:t>
        <w:tab/>
        <w:t>Abbreviations</w:t>
      </w:r>
    </w:p>
    <w:p>
      <w:pPr>
        <w:pStyle w:val="Normal"/>
        <w:keepNext w:val="true"/>
        <w:rPr/>
      </w:pPr>
      <w:r>
        <w:rPr/>
        <w:t>For the purposes of the present document, the abbreviations given in 3GPP TR 21.905 [1], 3GPP TS 28.500 [2] and the following apply. An abbreviation defined in the present document takes precedence over the definition of the same abbreviation, if any, in 3GPP TR 21.905 [1] or in 3GPP TS 28.500 [2].</w:t>
      </w:r>
    </w:p>
    <w:p>
      <w:pPr>
        <w:pStyle w:val="Heading1"/>
        <w:ind w:left="1134" w:hanging="1134"/>
        <w:rPr/>
      </w:pPr>
      <w:bookmarkStart w:id="18" w:name="__RefHeading___Toc477269416"/>
      <w:bookmarkEnd w:id="18"/>
      <w:r>
        <w:rPr/>
        <w:t>4</w:t>
        <w:tab/>
        <w:t>Information model definition</w:t>
      </w:r>
    </w:p>
    <w:p>
      <w:pPr>
        <w:pStyle w:val="Heading2"/>
        <w:rPr/>
      </w:pPr>
      <w:bookmarkStart w:id="19" w:name="__RefHeading___Toc477269417"/>
      <w:bookmarkEnd w:id="19"/>
      <w:r>
        <w:rPr>
          <w:lang w:val="en-US"/>
        </w:rPr>
        <w:t>4</w:t>
      </w:r>
      <w:r>
        <w:rPr/>
        <w:t>.</w:t>
      </w:r>
      <w:r>
        <w:rPr>
          <w:lang w:val="en-US"/>
        </w:rPr>
        <w:t>1</w:t>
      </w:r>
      <w:r>
        <w:rPr/>
        <w:tab/>
      </w:r>
      <w:r>
        <w:rPr/>
        <w:t>Os-Ma-nfvo</w:t>
      </w:r>
    </w:p>
    <w:p>
      <w:pPr>
        <w:pStyle w:val="Normal"/>
        <w:rPr/>
      </w:pPr>
      <w:r>
        <w:rPr/>
        <w:t>For Os-Ma-nfvo NS lifecycle management (LCM) and VNF lifecycle as part of NS LCM, the information elements and notifications related to NS lifecycle management which are specified in clause 8.3 of ETSI GS NFV-IFA 013 [4] shall be used.</w:t>
      </w:r>
    </w:p>
    <w:p>
      <w:pPr>
        <w:pStyle w:val="Heading2"/>
        <w:rPr/>
      </w:pPr>
      <w:bookmarkStart w:id="20" w:name="__RefHeading___Toc477269418"/>
      <w:bookmarkEnd w:id="20"/>
      <w:r>
        <w:rPr>
          <w:lang w:val="en-US"/>
        </w:rPr>
        <w:t>4</w:t>
      </w:r>
      <w:r>
        <w:rPr/>
        <w:t>.</w:t>
      </w:r>
      <w:r>
        <w:rPr>
          <w:lang w:val="en-US"/>
        </w:rPr>
        <w:t>2</w:t>
      </w:r>
      <w:r>
        <w:rPr/>
        <w:tab/>
      </w:r>
      <w:r>
        <w:rPr/>
        <w:t>Ve-Vnfm-em</w:t>
      </w:r>
    </w:p>
    <w:p>
      <w:pPr>
        <w:pStyle w:val="Normal"/>
        <w:rPr/>
      </w:pPr>
      <w:r>
        <w:rPr/>
        <w:t>For Ve-Vnfm-em VNF lifecycle management, the following shall be used:</w:t>
      </w:r>
    </w:p>
    <w:p>
      <w:pPr>
        <w:pStyle w:val="B1"/>
        <w:rPr/>
      </w:pPr>
      <w:r>
        <w:rPr/>
        <w:t>-</w:t>
        <w:tab/>
        <w:t>the information elements related to VNF lifecycle management which are specified in clause 9.4 of ETSI GS NFV-IFA 008 [3],</w:t>
      </w:r>
    </w:p>
    <w:p>
      <w:pPr>
        <w:pStyle w:val="B1"/>
        <w:rPr/>
      </w:pPr>
      <w:r>
        <w:rPr/>
        <w:t>-</w:t>
        <w:tab/>
        <w:t xml:space="preserve">the information elements and notifications related to VNF lifecycle changes which are specified in clause 9.5 of ETSI GS NFV-IFA 008 [3], and </w:t>
      </w:r>
    </w:p>
    <w:p>
      <w:pPr>
        <w:pStyle w:val="B1"/>
        <w:rPr/>
      </w:pPr>
      <w:r>
        <w:rPr/>
        <w:t>-</w:t>
        <w:tab/>
        <w:t>the information elements and notifications related to multiple interfaces which are specified in clause 9.8 of ETSI GS NFV-IFA 008 [3].</w:t>
      </w:r>
    </w:p>
    <w:p>
      <w:pPr>
        <w:pStyle w:val="Heading1"/>
        <w:ind w:left="1134" w:hanging="1134"/>
        <w:rPr/>
      </w:pPr>
      <w:bookmarkStart w:id="21" w:name="__RefHeading___Toc477269419"/>
      <w:bookmarkEnd w:id="21"/>
      <w:r>
        <w:rPr/>
        <w:t>5</w:t>
        <w:tab/>
        <w:t>Interface definitions</w:t>
      </w:r>
    </w:p>
    <w:p>
      <w:pPr>
        <w:pStyle w:val="Heading2"/>
        <w:rPr/>
      </w:pPr>
      <w:bookmarkStart w:id="22" w:name="__RefHeading___Toc477269420"/>
      <w:bookmarkEnd w:id="22"/>
      <w:r>
        <w:rPr>
          <w:lang w:val="en-US"/>
        </w:rPr>
        <w:t>5</w:t>
      </w:r>
      <w:r>
        <w:rPr/>
        <w:t>.1</w:t>
        <w:tab/>
      </w:r>
      <w:r>
        <w:rPr/>
        <w:t>Os-Ma-nfvo</w:t>
      </w:r>
    </w:p>
    <w:p>
      <w:pPr>
        <w:pStyle w:val="Normal"/>
        <w:rPr/>
      </w:pPr>
      <w:r>
        <w:rPr>
          <w:lang w:eastAsia="zh-CN"/>
        </w:rPr>
        <w:t>For NS lifecycle management the operations of the NS Lifecycle Management interface specified in clause 7.3 of ETSI GS NFV-IFA 013 [4] shall be used.</w:t>
      </w:r>
    </w:p>
    <w:p>
      <w:pPr>
        <w:pStyle w:val="Normal"/>
        <w:rPr>
          <w:lang w:eastAsia="zh-CN"/>
        </w:rPr>
      </w:pPr>
      <w:r>
        <w:rPr>
          <w:lang w:eastAsia="zh-CN"/>
        </w:rPr>
        <w:t>For NS lifecycle change notifications and notification subscription management, the operations of the NS Lifecycle Change Notification interface specified in clause 7.4 of ETSI GS NFV-IFA 013 [4] shall be used.</w:t>
      </w:r>
    </w:p>
    <w:p>
      <w:pPr>
        <w:pStyle w:val="Heading2"/>
        <w:rPr/>
      </w:pPr>
      <w:bookmarkStart w:id="23" w:name="__RefHeading___Toc477269421"/>
      <w:bookmarkEnd w:id="23"/>
      <w:r>
        <w:rPr>
          <w:lang w:val="en-US"/>
        </w:rPr>
        <w:t>5</w:t>
      </w:r>
      <w:r>
        <w:rPr/>
        <w:t>.2</w:t>
        <w:tab/>
        <w:t>Ve-Vnfm-em</w:t>
      </w:r>
    </w:p>
    <w:p>
      <w:pPr>
        <w:pStyle w:val="Normal"/>
        <w:rPr/>
      </w:pPr>
      <w:r>
        <w:rPr>
          <w:lang w:eastAsia="zh-CN"/>
        </w:rPr>
        <w:t>For VNF lifecycle management the operations of the VNF Lifecycle Management interface specified in clause 7.2 of ETSI GS NFV-IFA 008 [3] shall be used.</w:t>
      </w:r>
    </w:p>
    <w:p>
      <w:pPr>
        <w:pStyle w:val="Normal"/>
        <w:rPr/>
      </w:pPr>
      <w:r>
        <w:rPr>
          <w:lang w:eastAsia="zh-CN"/>
        </w:rPr>
        <w:t>For VNF lifecycle change notifications and notification subscription management, the operations of the VNF Lifecycle Change Notification interface specified in clause 7.3 of ETSI GS NFV-IFA 008 [3] shall be used.</w:t>
      </w:r>
      <w:r>
        <w:br w:type="page"/>
      </w:r>
    </w:p>
    <w:p>
      <w:pPr>
        <w:pStyle w:val="Heading8"/>
        <w:ind w:left="0" w:hanging="0"/>
        <w:rPr/>
      </w:pPr>
      <w:bookmarkStart w:id="24" w:name="__RefHeading___Toc477269422"/>
      <w:bookmarkEnd w:id="24"/>
      <w:r>
        <w:rPr/>
        <w:t xml:space="preserve">Annex A </w:t>
      </w:r>
      <w:bookmarkStart w:id="25" w:name="historyclause"/>
      <w:bookmarkEnd w:id="25"/>
      <w:r>
        <w:rPr/>
        <w:t>(informative):</w:t>
        <w:br/>
        <w:t>Change history</w:t>
      </w:r>
    </w:p>
    <w:tbl>
      <w:tblPr>
        <w:tblW w:w="9639" w:type="dxa"/>
        <w:jc w:val="left"/>
        <w:tblInd w:w="-7" w:type="dxa"/>
        <w:tblLayout w:type="fixed"/>
        <w:tblCellMar>
          <w:top w:w="0" w:type="dxa"/>
          <w:left w:w="40" w:type="dxa"/>
          <w:bottom w:w="0" w:type="dxa"/>
          <w:right w:w="40" w:type="dxa"/>
        </w:tblCellMar>
      </w:tblPr>
      <w:tblGrid>
        <w:gridCol w:w="800"/>
        <w:gridCol w:w="1000"/>
        <w:gridCol w:w="8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8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8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10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8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10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8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10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lang w:eastAsia="zh-CN"/>
        </w:rPr>
      </w:pPr>
      <w:r>
        <w:rPr>
          <w:lang w:eastAsia="zh-CN"/>
        </w:rPr>
      </w:r>
    </w:p>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28.527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28.527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rFonts w:ascii="Segoe UI;Sylfaen" w:hAnsi="Segoe UI;Sylfaen" w:cs="Segoe UI;Sylfaen"/>
      <w:sz w:val="18"/>
      <w:szCs w:val="18"/>
      <w:lang w:val="en-GB"/>
    </w:rPr>
  </w:style>
  <w:style w:type="character" w:styleId="Heading2Char">
    <w:name w:val="Heading 2 Char"/>
    <w:qFormat/>
    <w:rPr>
      <w:rFonts w:ascii="Arial" w:hAnsi="Arial" w:eastAsia="Times New Roman" w:cs="Arial"/>
      <w:sz w:val="32"/>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DocumentMap">
    <w:name w:val="Document Map"/>
    <w:basedOn w:val="Normal"/>
    <w:qFormat/>
    <w:pPr/>
    <w:rPr>
      <w:rFonts w:ascii="SimSun;宋体" w:hAnsi="SimSun;宋体" w:eastAsia="SimSun;宋体"/>
      <w:sz w:val="18"/>
      <w:szCs w:val="18"/>
      <w:lang w:val="en-US"/>
    </w:rPr>
  </w:style>
  <w:style w:type="paragraph" w:styleId="BalloonText">
    <w:name w:val="Balloon Text"/>
    <w:basedOn w:val="Normal"/>
    <w:qFormat/>
    <w:pPr>
      <w:spacing w:before="0" w:after="0"/>
    </w:pPr>
    <w:rPr>
      <w:rFonts w:ascii="Segoe UI;Sylfaen" w:hAnsi="Segoe UI;Sylfaen" w:eastAsia="SimSun;宋体" w:cs="Segoe UI;Sylfaen"/>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2020-07-09T15:34:00Z</dcterms:created>
  <dc:creator>Zhangkai</dc:creator>
  <dc:description/>
  <cp:keywords>&lt;keyword[ keyword ]&gt;</cp:keywords>
  <dc:language>en-US</dc:language>
  <cp:lastModifiedBy>23.401_CR3602R2_(Rel-16)_5GS_Ph1, LTE_feMob-Core, </cp:lastModifiedBy>
  <dcterms:modified xsi:type="dcterms:W3CDTF">2020-07-09T15:34:00Z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(3)98/Mtua4qWJjFWV3+zGv3cmJaEZXM9tzmqNTdTjHsn1wqQ5uA6C/ze4UgR14YQNM7K8zst2+
JwrQpzVnLnTdFb1VszeD+jJFVwrkUR+jb8Wle4h5UH7b5tMOgGo2NsRE+pRR0M9gQRJdnchY
pe5e5Kc6Ebaw14+hV8qfovVSqCsw2ZIjUxfgz+z1Nt4BRKYDSlvPEnm45UVSqTLpNQerfezd
xhdWtY7XbXy5Ot5vk2</vt:lpwstr>
  </property>
  <property fmtid="{D5CDD505-2E9C-101B-9397-08002B2CF9AE}" pid="3" name="_2015_ms_pID_7253431">
    <vt:lpwstr>Pot+ywFJfX+HKMOMvRWFmmgP2Jn+59za3Kl1QzzuGcTtBcd7JjUbR5
fkQdimniMrChf6pMcY20HxRuUzLkSj2KTOVMNsjweSVcvrOx4MutrEGAD8CmLw0ie4anZpEq
4y1QrdKLSQzQrQoM1EuFO0ebryRi4F8zEmuffI04oqz3sZhBVjUmRhbCdU4c/YF1Nn8BA1c6
rbDx9S/wFehuUV6XFWkzGNpAuyBbl38MAPKU</vt:lpwstr>
  </property>
  <property fmtid="{D5CDD505-2E9C-101B-9397-08002B2CF9AE}" pid="4" name="_2015_ms_pID_7253431_00">
    <vt:lpwstr>_2015_ms_pID_7253431</vt:lpwstr>
  </property>
  <property fmtid="{D5CDD505-2E9C-101B-9397-08002B2CF9AE}" pid="5" name="_2015_ms_pID_7253432">
    <vt:lpwstr>Kc1i1xFSukpWtQth0rrFVoEOhDyPxHKp7Y+w
XNZcDoKY02TyaIQwlFKCO7DHBM5Kt3HKZgpCOxY5lR2Tn/O9h20=</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1464080102</vt:lpwstr>
  </property>
</Properties>
</file>