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Generic Network Resource Model (NRM)</w:t>
                            </w:r>
                          </w:p>
                          <w:p>
                            <w:pPr>
                              <w:pStyle w:val="ZT"/>
                              <w:rPr/>
                            </w:pPr>
                            <w:r>
                              <w:rPr/>
                              <w:t>Integration Reference Point (IRP);</w:t>
                            </w:r>
                          </w:p>
                          <w:p>
                            <w:pPr>
                              <w:pStyle w:val="ZT"/>
                              <w:rPr/>
                            </w:pPr>
                            <w:r>
                              <w:rPr/>
                              <w:t>Requirements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Generic Network Resource Model (NRM)</w:t>
                      </w:r>
                    </w:p>
                    <w:p>
                      <w:pPr>
                        <w:pStyle w:val="ZT"/>
                        <w:rPr/>
                      </w:pPr>
                      <w:r>
                        <w:rPr/>
                        <w:t>Integration Reference Point (IRP);</w:t>
                      </w:r>
                    </w:p>
                    <w:p>
                      <w:pPr>
                        <w:pStyle w:val="ZT"/>
                        <w:rPr/>
                      </w:pPr>
                      <w:r>
                        <w:rPr/>
                        <w:t>Requirements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Generic, NRM, IRP, Converged Management</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Generic,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464894">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8464895">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8464896">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8464897">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8464898">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8464899">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8464900">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w:t>
            <w:tab/>
          </w:r>
          <w:hyperlink w:anchor="__RefHeading___Toc168464901">
            <w:r>
              <w:rPr>
                <w:rStyle w:val="IndexLink"/>
              </w:rPr>
              <w:t>7</w:t>
            </w:r>
          </w:hyperlink>
        </w:p>
        <w:p>
          <w:pPr>
            <w:pStyle w:val="Contents8"/>
            <w:rPr>
              <w:rFonts w:eastAsia="Batang;바탕"/>
              <w:sz w:val="24"/>
              <w:szCs w:val="24"/>
              <w:lang w:val="en-US" w:eastAsia="en-US"/>
            </w:rPr>
          </w:pPr>
          <w:r>
            <w:rPr>
              <w:b w:val="false"/>
            </w:rPr>
            <w:t>Annex A (informative):</w:t>
            <w:tab/>
            <w:t>Change history</w:t>
            <w:tab/>
          </w:r>
          <w:hyperlink w:anchor="__RefHeading___Toc168464902">
            <w:r>
              <w:rPr>
                <w:rStyle w:val="IndexLink"/>
                <w:b w:val="false"/>
              </w:rPr>
              <w:t>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6846489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8" w:name="__RefHeading___Toc168464895"/>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28.621:</w:t>
        <w:tab/>
        <w:t>Generic Network Resource Model (NRM) Integration Reference Point (IRP); Requirements</w:t>
      </w:r>
    </w:p>
    <w:p>
      <w:pPr>
        <w:pStyle w:val="B1"/>
        <w:rPr/>
      </w:pPr>
      <w:r>
        <w:rPr/>
        <w:t>28.622:</w:t>
        <w:tab/>
        <w:t>Generic Network Resource Model (NRM) Integration Reference Point (IRP); Information Service (IS)</w:t>
      </w:r>
    </w:p>
    <w:p>
      <w:pPr>
        <w:pStyle w:val="B1"/>
        <w:rPr/>
      </w:pPr>
      <w:r>
        <w:rPr/>
        <w:t>28.623:</w:t>
        <w:tab/>
        <w:t>Generic Network Resource Model (NRM)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168464896"/>
      <w:bookmarkEnd w:id="9"/>
      <w:r>
        <w:rPr/>
        <w:t>1</w:t>
        <w:tab/>
        <w:t>Scope</w:t>
      </w:r>
    </w:p>
    <w:p>
      <w:pPr>
        <w:pStyle w:val="Normal"/>
        <w:rPr/>
      </w:pPr>
      <w:r>
        <w:rPr/>
        <w:t>The present document defines, in addition to the requirements defined in [1], [2] and [3], the requirements for the present IRP: Generic Network Resource Model IRP.</w:t>
      </w:r>
    </w:p>
    <w:p>
      <w:pPr>
        <w:pStyle w:val="Heading1"/>
        <w:ind w:left="1134" w:hanging="1134"/>
        <w:rPr/>
      </w:pPr>
      <w:bookmarkStart w:id="10" w:name="__RefHeading___Toc16846489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32.101: "Telecommunication management; Principles and high level requirements". </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Void</w:t>
      </w:r>
    </w:p>
    <w:p>
      <w:pPr>
        <w:pStyle w:val="EX"/>
        <w:rPr/>
      </w:pPr>
      <w:r>
        <w:rPr/>
        <w:t>[5]</w:t>
        <w:tab/>
        <w:t>Void</w:t>
      </w:r>
    </w:p>
    <w:p>
      <w:pPr>
        <w:pStyle w:val="EX"/>
        <w:rPr/>
      </w:pPr>
      <w:r>
        <w:rPr/>
        <w:t>[6]</w:t>
        <w:tab/>
        <w:t>Void</w:t>
      </w:r>
    </w:p>
    <w:p>
      <w:pPr>
        <w:pStyle w:val="EX"/>
        <w:rPr/>
      </w:pPr>
      <w:r>
        <w:rPr/>
        <w:t>[7]</w:t>
        <w:tab/>
        <w:t>3GPP TS 28.620: "Telecommunication management; Fixed Mobile Convergence (FMC) Federated Network Information Model (FNIM) Umbrella Information Model (UIM)".</w:t>
      </w:r>
    </w:p>
    <w:p>
      <w:pPr>
        <w:pStyle w:val="EX"/>
        <w:rPr/>
      </w:pPr>
      <w:r>
        <w:rPr/>
        <w:t>[8]</w:t>
        <w:tab/>
        <w:t>3GPP TS 28.622: "Telecommunication management; Generic Network Resource Model (NRM) Integration Reference Point (IRP); Information Service (IS)".</w:t>
      </w:r>
    </w:p>
    <w:p>
      <w:pPr>
        <w:pStyle w:val="EX"/>
        <w:rPr/>
      </w:pPr>
      <w:r>
        <w:rPr/>
        <w:t>[9]</w:t>
        <w:tab/>
        <w:t>3GPP TR 21.905: "Vocabulary for 3GPP Specifications".</w:t>
      </w:r>
    </w:p>
    <w:p>
      <w:pPr>
        <w:pStyle w:val="Heading1"/>
        <w:ind w:left="1134" w:hanging="1134"/>
        <w:rPr/>
      </w:pPr>
      <w:bookmarkStart w:id="11" w:name="__RefHeading___Toc168464898"/>
      <w:bookmarkEnd w:id="11"/>
      <w:r>
        <w:rPr/>
        <w:t>3</w:t>
        <w:tab/>
        <w:t>Definitions and abbreviations</w:t>
      </w:r>
    </w:p>
    <w:p>
      <w:pPr>
        <w:pStyle w:val="Heading2"/>
        <w:rPr/>
      </w:pPr>
      <w:bookmarkStart w:id="12" w:name="__RefHeading___Toc168464899"/>
      <w:bookmarkEnd w:id="12"/>
      <w:r>
        <w:rPr/>
        <w:t>3.1</w:t>
        <w:tab/>
        <w:t>Definitions</w:t>
      </w:r>
    </w:p>
    <w:p>
      <w:pPr>
        <w:pStyle w:val="Normal"/>
        <w:rPr/>
      </w:pPr>
      <w:r>
        <w:rPr/>
        <w:t>For the purposes of the present document, the abbreviations given in 3GPP TR 21.905 [9] and the following apply. An abbreviation defined in the present document takes precedence over the definition of the same abbreviation, if any, in 3GPP TR 21.905 [9].</w:t>
      </w:r>
    </w:p>
    <w:p>
      <w:pPr>
        <w:pStyle w:val="Normal"/>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rPr/>
      </w:pPr>
      <w:r>
        <w:rPr>
          <w:i/>
        </w:rPr>
        <w:t>-</w:t>
        <w:tab/>
        <w:t>Element Management Functions</w:t>
      </w:r>
      <w:r>
        <w:rPr/>
        <w:t xml:space="preserve"> for management of NEs on an individual basis. These are basically the same functions as supported by the corresponding local terminals.</w:t>
      </w:r>
    </w:p>
    <w:p>
      <w:pPr>
        <w:pStyle w:val="B1"/>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pPr>
      <w:r>
        <w:rPr>
          <w:b/>
        </w:rPr>
        <w:t>IRP:</w:t>
      </w:r>
      <w:r>
        <w:rPr/>
        <w:t xml:space="preserve"> See 3GPP TS 32.101 [1].</w:t>
      </w:r>
    </w:p>
    <w:p>
      <w:pPr>
        <w:pStyle w:val="Normal"/>
        <w:rPr/>
      </w:pPr>
      <w:r>
        <w:rPr>
          <w:b/>
        </w:rPr>
        <w:t>IRP Information Service:</w:t>
      </w:r>
      <w:r>
        <w:rPr/>
        <w:t xml:space="preserve"> See 3GPP TS 32.101 [1].</w:t>
      </w:r>
    </w:p>
    <w:p>
      <w:pPr>
        <w:pStyle w:val="Normal"/>
        <w:rPr/>
      </w:pPr>
      <w:r>
        <w:rPr>
          <w:b/>
        </w:rPr>
        <w:t>IRP Solution Set:</w:t>
      </w:r>
      <w:r>
        <w:rPr/>
        <w:t xml:space="preserve"> See 3GPP TS 32.101 [1].</w:t>
      </w:r>
    </w:p>
    <w:p>
      <w:pPr>
        <w:pStyle w:val="Normal"/>
        <w:rPr/>
      </w:pPr>
      <w:r>
        <w:rPr>
          <w:b/>
        </w:rPr>
        <w:t>Information Object Class (IOC):</w:t>
      </w:r>
      <w:r>
        <w:rPr/>
        <w:t xml:space="preserve"> See 3GPP TS 28.622 [8] clause 3.1 Information Object Class (IOC).</w:t>
      </w:r>
    </w:p>
    <w:p>
      <w:pPr>
        <w:pStyle w:val="Normal"/>
        <w:rPr/>
      </w:pPr>
      <w:r>
        <w:rPr>
          <w:b/>
        </w:rPr>
        <w:t xml:space="preserve">Network Element (NE): </w:t>
      </w:r>
      <w:r>
        <w:rPr/>
        <w:t>is a discrete telecommunications entity, which can be, managed over a specific interface e.g. the RNC.</w:t>
      </w:r>
    </w:p>
    <w:p>
      <w:pPr>
        <w:pStyle w:val="Normal"/>
        <w:rPr/>
      </w:pPr>
      <w:r>
        <w:rPr>
          <w:b/>
        </w:rPr>
        <w:t>Network resource</w:t>
      </w:r>
      <w:r>
        <w:rPr/>
        <w:t>: See definition in TS 28.622 [8].</w:t>
      </w:r>
    </w:p>
    <w:p>
      <w:pPr>
        <w:pStyle w:val="Heading2"/>
        <w:rPr/>
      </w:pPr>
      <w:bookmarkStart w:id="13" w:name="__RefHeading___Toc168464900"/>
      <w:bookmarkEnd w:id="13"/>
      <w:r>
        <w:rPr/>
        <w:t>3.2</w:t>
        <w:tab/>
        <w:t>Abbreviations</w:t>
      </w:r>
    </w:p>
    <w:p>
      <w:pPr>
        <w:pStyle w:val="Normal"/>
        <w:keepNext w:val="true"/>
        <w:rPr/>
      </w:pPr>
      <w:r>
        <w:rPr/>
        <w:t>For the purposes of the present document, the abbreviations given in 3GPP TR 21.905 [9] and the following apply. An abbreviation defined in the present document takes precedence over the definition of the same abbreviation, if any, in 3GPP TR 21.905 [9].</w:t>
      </w:r>
    </w:p>
    <w:p>
      <w:pPr>
        <w:pStyle w:val="EW"/>
        <w:rPr/>
      </w:pPr>
      <w:r>
        <w:rPr/>
        <w:t>CM</w:t>
        <w:tab/>
        <w:t>Configuration Management</w:t>
      </w:r>
    </w:p>
    <w:p>
      <w:pPr>
        <w:pStyle w:val="EW"/>
        <w:rPr/>
      </w:pPr>
      <w:r>
        <w:rPr/>
        <w:t>IOC</w:t>
        <w:tab/>
        <w:t>Information Object Class</w:t>
      </w:r>
    </w:p>
    <w:p>
      <w:pPr>
        <w:pStyle w:val="EW"/>
        <w:rPr/>
      </w:pPr>
      <w:r>
        <w:rPr/>
      </w:r>
    </w:p>
    <w:p>
      <w:pPr>
        <w:pStyle w:val="Heading1"/>
        <w:tabs>
          <w:tab w:val="clear" w:pos="284"/>
          <w:tab w:val="left" w:pos="1140" w:leader="none"/>
        </w:tabs>
        <w:ind w:left="1140" w:hanging="1140"/>
        <w:rPr/>
      </w:pPr>
      <w:bookmarkStart w:id="14" w:name="__RefHeading___Toc168464901"/>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In addition, the NRM defined by this IRP:</w:t>
      </w:r>
    </w:p>
    <w:p>
      <w:pPr>
        <w:pStyle w:val="B1"/>
        <w:rPr/>
      </w:pPr>
      <w:r>
        <w:rPr/>
        <w:t>1)</w:t>
        <w:tab/>
        <w:t xml:space="preserve">Shall be generic, i.e. not contain any domain specific definitions such as UTRAN or CN entities. Examples of generic entities are: High-level IOCs for containment of other more domain-specific IOCs, and </w:t>
      </w:r>
      <w:r>
        <w:rPr>
          <w:lang w:eastAsia="zh-CN"/>
        </w:rPr>
        <w:t xml:space="preserve">abstract </w:t>
      </w:r>
      <w:r>
        <w:rPr/>
        <w:t>IOCs for sub-classing by other more domain-specific IOCs.</w:t>
      </w:r>
    </w:p>
    <w:p>
      <w:pPr>
        <w:pStyle w:val="B1"/>
        <w:rPr/>
      </w:pPr>
      <w:r>
        <w:rPr/>
        <w:t>2)</w:t>
        <w:tab/>
        <w:t>Shall support management of UMTS-GSM Inter-system handover.</w:t>
      </w:r>
    </w:p>
    <w:p>
      <w:pPr>
        <w:pStyle w:val="B1"/>
        <w:rPr/>
      </w:pPr>
      <w:r>
        <w:rPr/>
        <w:t>3)</w:t>
        <w:tab/>
        <w:t xml:space="preserve">Shall support communications for </w:t>
      </w:r>
      <w:r>
        <w:rPr>
          <w:lang w:val="en-US"/>
        </w:rPr>
        <w:t xml:space="preserve">telecommunication network management purposes, including management of converged networks. </w:t>
      </w:r>
    </w:p>
    <w:p>
      <w:pPr>
        <w:pStyle w:val="B1"/>
        <w:rPr/>
      </w:pPr>
      <w:r>
        <w:rPr>
          <w:lang w:val="en-US"/>
        </w:rPr>
        <w:t>4)</w:t>
        <w:tab/>
        <w:t xml:space="preserve">Is a member of the Federated Network Information Model (FNIM) </w:t>
      </w:r>
      <w:r>
        <w:rPr/>
        <w:t>[6] and its information is derived from FNIM Umbrella Information Model (UIM) [7].</w:t>
      </w:r>
    </w:p>
    <w:p>
      <w:pPr>
        <w:pStyle w:val="B1"/>
        <w:rPr/>
      </w:pPr>
      <w:r>
        <w:rPr/>
        <w:t>5)</w:t>
        <w:tab/>
      </w:r>
      <w:r>
        <w:rPr>
          <w:lang w:eastAsia="zh-CN"/>
        </w:rPr>
        <w:t xml:space="preserve">Shall support management of networks </w:t>
      </w:r>
      <w:r>
        <w:rPr>
          <w:lang w:eastAsia="zh-CN"/>
        </w:rPr>
        <w:t>that include virtualized network functions</w:t>
      </w:r>
      <w:r>
        <w:rPr>
          <w:lang w:eastAsia="zh-CN"/>
        </w:rPr>
        <w:t>.</w:t>
      </w:r>
      <w:r>
        <w:rPr/>
        <w:t xml:space="preserve">   </w:t>
      </w:r>
      <w:r>
        <w:br w:type="page"/>
      </w:r>
    </w:p>
    <w:p>
      <w:pPr>
        <w:pStyle w:val="Heading8"/>
        <w:ind w:left="0" w:hanging="0"/>
        <w:rPr/>
      </w:pPr>
      <w:bookmarkStart w:id="16" w:name="__RefHeading___Toc168464902"/>
      <w:bookmarkEnd w:id="16"/>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New version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SA#64</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SP-140358</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001</w:t>
            </w:r>
          </w:p>
        </w:tc>
        <w:tc>
          <w:tcPr>
            <w:tcW w:w="3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Move the feature support statements into a separate table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val="en-AU"/>
              </w:rPr>
            </w:pPr>
            <w:r>
              <w:rPr>
                <w:b/>
                <w:sz w:val="16"/>
                <w:lang w:val="en-AU"/>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lang w:val="en-AU"/>
              </w:rPr>
            </w:pPr>
            <w:r>
              <w:rPr>
                <w:b/>
                <w:sz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SP-160857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the generic configuration requirement to support management of  VNFs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lang w:val="en-US"/>
        </w:rPr>
      </w:pPr>
      <w:r>
        <w:rPr>
          <w:lang w:val="en-US"/>
        </w:rPr>
      </w:r>
    </w:p>
    <w:p>
      <w:pPr>
        <w:pStyle w:val="Normal"/>
        <w:spacing w:before="0" w:after="180"/>
        <w:rPr>
          <w:lang w:val="en-US"/>
        </w:rPr>
      </w:pPr>
      <w:r>
        <w:rPr>
          <w:lang w:val="en-US"/>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28.621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28.621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2020-07-09T15:35:00Z</dcterms:created>
  <dc:creator>MCC Support</dc:creator>
  <dc:description/>
  <cp:keywords>Generic NRM IRP Converged Management</cp:keywords>
  <dc:language>en-US</dc:language>
  <cp:lastModifiedBy>23.401_CR3602R2_(Rel-16)_5GS_Ph1, LTE_feMob-Core, </cp:lastModifiedBy>
  <dcterms:modified xsi:type="dcterms:W3CDTF">2020-07-09T15:35:00Z</dcterms:modified>
  <cp:revision>2</cp:revision>
  <dc:subject>Telecommunication management;  Generic Network Resource Model (NRM) Integration Reference Point (IRP); Requirements  (Release 13)</dc:subject>
  <dc:title>3GPP TS 28.621</dc:title>
</cp:coreProperties>
</file>