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28.661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28.661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Management,Generic RAN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Management,Generic RAN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rStyle w:val="IndexLink"/>
              <w:sz w:val="22"/>
              <w:szCs w:val="20"/>
              <w:rFonts w:eastAsia="Times New Roman" w:cs="Times New Roman"/>
              <w:color w:val="auto"/>
              <w:lang w:val="en-GB" w:eastAsia="en-US" w:bidi="ar-SA"/>
            </w:rPr>
            <w:instrText xml:space="preserve"> TOC \o "1-8" \h \z \u </w:instrText>
          </w:r>
          <w:r>
            <w:rPr>
              <w:rStyle w:val="IndexLink"/>
              <w:sz w:val="22"/>
              <w:szCs w:val="20"/>
              <w:rFonts w:eastAsia="Times New Roman" w:cs="Times New Roman"/>
              <w:color w:val="auto"/>
              <w:lang w:val="en-GB" w:eastAsia="en-US" w:bidi="ar-SA"/>
            </w:rPr>
            <w:fldChar w:fldCharType="separate"/>
          </w:r>
          <w:hyperlink w:anchor="__RefHeading___Toc333910724">
            <w:bookmarkStart w:id="8" w:name="historyclause"/>
            <w:bookmarkEnd w:id="8"/>
            <w:r>
              <w:rPr>
                <w:rStyle w:val="IndexLink"/>
                <w:rFonts w:eastAsia="Times New Roman" w:cs="Times New Roman"/>
                <w:color w:val="auto"/>
                <w:sz w:val="22"/>
                <w:szCs w:val="20"/>
                <w:lang w:val="en-GB" w:eastAsia="en-US" w:bidi="ar-SA"/>
              </w:rPr>
              <w:t>Introduction</w:t>
              <w:tab/>
              <w:t>4</w:t>
            </w:r>
          </w:hyperlink>
        </w:p>
        <w:p>
          <w:pPr>
            <w:pStyle w:val="Contents1"/>
            <w:rPr>
              <w:sz w:val="24"/>
              <w:szCs w:val="24"/>
              <w:lang w:val="en-US" w:eastAsia="en-US"/>
            </w:rPr>
          </w:pPr>
          <w:hyperlink w:anchor="__RefHeading___Toc333910725">
            <w:r>
              <w:rPr>
                <w:rStyle w:val="IndexLink"/>
              </w:rPr>
              <w:t>1</w:t>
            </w:r>
            <w:r>
              <w:rPr>
                <w:rStyle w:val="IndexLink"/>
                <w:sz w:val="24"/>
                <w:szCs w:val="24"/>
                <w:lang w:val="en-US" w:eastAsia="en-US"/>
              </w:rPr>
              <w:tab/>
            </w:r>
            <w:r>
              <w:rPr>
                <w:rStyle w:val="IndexLink"/>
              </w:rPr>
              <w:t>Scope</w:t>
              <w:tab/>
              <w:t>5</w:t>
            </w:r>
          </w:hyperlink>
        </w:p>
        <w:p>
          <w:pPr>
            <w:pStyle w:val="Contents1"/>
            <w:rPr>
              <w:sz w:val="24"/>
              <w:szCs w:val="24"/>
              <w:lang w:val="en-US" w:eastAsia="en-US"/>
            </w:rPr>
          </w:pPr>
          <w:hyperlink w:anchor="__RefHeading___Toc333910726">
            <w:r>
              <w:rPr>
                <w:rStyle w:val="IndexLink"/>
              </w:rPr>
              <w:t>2</w:t>
            </w:r>
            <w:r>
              <w:rPr>
                <w:rStyle w:val="IndexLink"/>
                <w:sz w:val="24"/>
                <w:szCs w:val="24"/>
                <w:lang w:val="en-US" w:eastAsia="en-US"/>
              </w:rPr>
              <w:tab/>
            </w:r>
            <w:r>
              <w:rPr>
                <w:rStyle w:val="IndexLink"/>
              </w:rPr>
              <w:t>References</w:t>
              <w:tab/>
              <w:t>5</w:t>
            </w:r>
          </w:hyperlink>
        </w:p>
        <w:p>
          <w:pPr>
            <w:pStyle w:val="Contents1"/>
            <w:rPr>
              <w:sz w:val="24"/>
              <w:szCs w:val="24"/>
              <w:lang w:val="en-US" w:eastAsia="en-US"/>
            </w:rPr>
          </w:pPr>
          <w:hyperlink w:anchor="__RefHeading___Toc333910727">
            <w:r>
              <w:rPr>
                <w:rStyle w:val="IndexLink"/>
              </w:rPr>
              <w:t>3</w:t>
            </w:r>
            <w:r>
              <w:rPr>
                <w:rStyle w:val="IndexLink"/>
                <w:sz w:val="24"/>
                <w:szCs w:val="24"/>
                <w:lang w:val="en-US" w:eastAsia="en-US"/>
              </w:rPr>
              <w:tab/>
            </w:r>
            <w:r>
              <w:rPr>
                <w:rStyle w:val="IndexLink"/>
              </w:rPr>
              <w:t>Definitions and abbreviations</w:t>
              <w:tab/>
              <w:t>5</w:t>
            </w:r>
          </w:hyperlink>
        </w:p>
        <w:p>
          <w:pPr>
            <w:pStyle w:val="Contents2"/>
            <w:rPr>
              <w:sz w:val="24"/>
              <w:szCs w:val="24"/>
              <w:lang w:val="en-US" w:eastAsia="en-US"/>
            </w:rPr>
          </w:pPr>
          <w:hyperlink w:anchor="__RefHeading___Toc333910728">
            <w:r>
              <w:rPr>
                <w:rStyle w:val="IndexLink"/>
              </w:rPr>
              <w:t>3.1</w:t>
            </w:r>
            <w:r>
              <w:rPr>
                <w:rStyle w:val="IndexLink"/>
                <w:sz w:val="24"/>
                <w:szCs w:val="24"/>
                <w:lang w:val="en-US" w:eastAsia="en-US"/>
              </w:rPr>
              <w:tab/>
            </w:r>
            <w:r>
              <w:rPr>
                <w:rStyle w:val="IndexLink"/>
              </w:rPr>
              <w:t>Definitions</w:t>
              <w:tab/>
              <w:t>5</w:t>
            </w:r>
          </w:hyperlink>
        </w:p>
        <w:p>
          <w:pPr>
            <w:pStyle w:val="Contents2"/>
            <w:rPr>
              <w:sz w:val="24"/>
              <w:szCs w:val="24"/>
              <w:lang w:val="en-US" w:eastAsia="en-US"/>
            </w:rPr>
          </w:pPr>
          <w:hyperlink w:anchor="__RefHeading___Toc333910729">
            <w:r>
              <w:rPr>
                <w:rStyle w:val="IndexLink"/>
              </w:rPr>
              <w:t>3.2</w:t>
            </w:r>
            <w:r>
              <w:rPr>
                <w:rStyle w:val="IndexLink"/>
                <w:sz w:val="24"/>
                <w:szCs w:val="24"/>
                <w:lang w:val="en-US" w:eastAsia="en-US"/>
              </w:rPr>
              <w:tab/>
            </w:r>
            <w:r>
              <w:rPr>
                <w:rStyle w:val="IndexLink"/>
              </w:rPr>
              <w:t>Abbreviations</w:t>
              <w:tab/>
              <w:t>6</w:t>
            </w:r>
          </w:hyperlink>
        </w:p>
        <w:p>
          <w:pPr>
            <w:pStyle w:val="Contents1"/>
            <w:rPr>
              <w:sz w:val="24"/>
              <w:szCs w:val="24"/>
              <w:lang w:val="en-US" w:eastAsia="en-US"/>
            </w:rPr>
          </w:pPr>
          <w:hyperlink w:anchor="__RefHeading___Toc333910730">
            <w:r>
              <w:rPr>
                <w:rStyle w:val="IndexLink"/>
              </w:rPr>
              <w:t>4</w:t>
            </w:r>
            <w:r>
              <w:rPr>
                <w:rStyle w:val="IndexLink"/>
                <w:sz w:val="24"/>
                <w:szCs w:val="24"/>
                <w:lang w:val="en-US" w:eastAsia="en-US"/>
              </w:rPr>
              <w:tab/>
            </w:r>
            <w:r>
              <w:rPr>
                <w:rStyle w:val="IndexLink"/>
              </w:rPr>
              <w:t>Requirements</w:t>
              <w:tab/>
              <w:t>6</w:t>
            </w:r>
          </w:hyperlink>
        </w:p>
        <w:p>
          <w:pPr>
            <w:pStyle w:val="Contents8"/>
            <w:rPr>
              <w:sz w:val="24"/>
              <w:szCs w:val="24"/>
              <w:lang w:val="en-US" w:eastAsia="en-US"/>
            </w:rPr>
          </w:pPr>
          <w:hyperlink w:anchor="__RefHeading___Toc333910731">
            <w:r>
              <w:rPr>
                <w:rStyle w:val="IndexLink"/>
                <w:b w:val="false"/>
              </w:rPr>
              <w:t>Annex A (informative): Change history</w:t>
              <w:tab/>
              <w:t>7</w:t>
            </w:r>
          </w:hyperlink>
          <w:r>
            <w:rPr>
              <w:rStyle w:val="IndexLink"/>
              <w:b w:val="false"/>
            </w:rPr>
            <w:fldChar w:fldCharType="end"/>
          </w:r>
        </w:p>
      </w:sdtContent>
    </w:sdt>
    <w:p>
      <w:pPr>
        <w:pStyle w:val="Normal"/>
        <w:rPr>
          <w:b/>
          <w:b/>
          <w:sz w:val="24"/>
          <w:szCs w:val="24"/>
          <w:lang w:val="en-US" w:eastAsia="en-US"/>
        </w:rPr>
      </w:pPr>
      <w:r>
        <w:rPr>
          <w:b/>
          <w:sz w:val="24"/>
          <w:szCs w:val="24"/>
          <w:lang w:val="en-US" w:eastAsia="en-US"/>
        </w:rPr>
      </w:r>
    </w:p>
    <w:p>
      <w:pPr>
        <w:pStyle w:val="Normal"/>
        <w:rPr/>
      </w:pPr>
      <w:r>
        <w:rPr/>
      </w:r>
      <w:r>
        <w:br w:type="page"/>
      </w:r>
    </w:p>
    <w:p>
      <w:pPr>
        <w:pStyle w:val="Normal"/>
        <w:rPr/>
      </w:pPr>
      <w:r>
        <w:rPr/>
      </w:r>
    </w:p>
    <w:p>
      <w:pPr>
        <w:pStyle w:val="Normal"/>
        <w:rPr>
          <w:rFonts w:ascii="Arial" w:hAnsi="Arial" w:cs="Arial"/>
          <w:sz w:val="36"/>
          <w:szCs w:val="36"/>
        </w:rPr>
      </w:pPr>
      <w:r>
        <w:rPr>
          <w:rFonts w:cs="Arial" w:ascii="Arial" w:hAnsi="Arial"/>
          <w:sz w:val="36"/>
          <w:szCs w:val="36"/>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333910724"/>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28.661</w:t>
        <w:tab/>
        <w:t>Generic Radio Access Network (RAN) Network Resource Model (NRM); Integration Reference Point (IRP); Requirements</w:t>
      </w:r>
    </w:p>
    <w:p>
      <w:pPr>
        <w:pStyle w:val="B1"/>
        <w:rPr/>
      </w:pPr>
      <w:r>
        <w:rPr>
          <w:bCs/>
        </w:rPr>
        <w:t>28.662</w:t>
        <w:tab/>
      </w:r>
      <w:r>
        <w:rPr/>
        <w:t>Generic Radio Access Network (</w:t>
      </w:r>
      <w:r>
        <w:rPr>
          <w:bCs/>
        </w:rPr>
        <w:t>RAN) Network Resource Model (NRM); Integration Reference Point (IRP); Information Service (IS)</w:t>
      </w:r>
    </w:p>
    <w:p>
      <w:pPr>
        <w:pStyle w:val="B1"/>
        <w:rPr/>
      </w:pPr>
      <w:r>
        <w:rPr/>
        <w:t>28.663</w:t>
        <w:tab/>
        <w:t>Generic Radio Access Network (RAN) Network Resource Model (NRM); Integration Reference Point (IRP); Solution Set (SS) definitions</w:t>
      </w:r>
      <w:r>
        <w:br w:type="page"/>
      </w:r>
    </w:p>
    <w:p>
      <w:pPr>
        <w:pStyle w:val="Heading1"/>
        <w:ind w:left="1134" w:hanging="1134"/>
        <w:rPr/>
      </w:pPr>
      <w:bookmarkStart w:id="10" w:name="__RefHeading___Toc333910725"/>
      <w:bookmarkEnd w:id="10"/>
      <w:r>
        <w:rPr/>
        <w:t>1</w:t>
        <w:tab/>
        <w:t>Scope</w:t>
      </w:r>
    </w:p>
    <w:p>
      <w:pPr>
        <w:pStyle w:val="Normal"/>
        <w:rPr/>
      </w:pPr>
      <w:r>
        <w:rPr/>
        <w:t>The present document defines, in addition to the requirements defined in 3GPP TS 32.101 [2], 3GPP TS 32.102 [3] and 3GPP TS 32.600 [4], the Requirements for the common and generic radio access network equipments that may be shared between BSS in GSM, UTRAN and E</w:t>
        <w:noBreakHyphen/>
        <w:t>UTRAN.</w:t>
      </w:r>
    </w:p>
    <w:p>
      <w:pPr>
        <w:pStyle w:val="Normal"/>
        <w:rPr/>
      </w:pPr>
      <w:r>
        <w:rPr/>
        <w:t>The present document can be used also for managing the equipment that can be shared by several RATs, even in the cases when it is not being shared.</w:t>
      </w:r>
    </w:p>
    <w:p>
      <w:pPr>
        <w:pStyle w:val="Heading1"/>
        <w:ind w:left="1134" w:hanging="1134"/>
        <w:rPr/>
      </w:pPr>
      <w:bookmarkStart w:id="11" w:name="__RefHeading___Toc33391072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32.600: "Telecommunication management; Configuration Management (CM); Concept and high-level requirements".</w:t>
      </w:r>
    </w:p>
    <w:p>
      <w:pPr>
        <w:pStyle w:val="EX"/>
        <w:rPr/>
      </w:pPr>
      <w:r>
        <w:rPr/>
        <w:t>[5]</w:t>
        <w:tab/>
        <w:t>3GPP TS 32.150: "Telecommunication management; Integration Reference Point (IRP) Concept and definitions".</w:t>
      </w:r>
    </w:p>
    <w:p>
      <w:pPr>
        <w:pStyle w:val="EX"/>
        <w:rPr/>
      </w:pPr>
      <w:r>
        <w:rPr/>
        <w:t>[6]</w:t>
        <w:tab/>
        <w:t>3GPP TS 32.107: "Telecommunication management; Fixed Mobile Convergence (FMC) Federated Network Information Model (FNIM)".</w:t>
      </w:r>
    </w:p>
    <w:p>
      <w:pPr>
        <w:pStyle w:val="EX"/>
        <w:rPr/>
      </w:pPr>
      <w:r>
        <w:rPr/>
        <w:t>[7]</w:t>
        <w:tab/>
        <w:t>3GPP TS 28.620: "Telecommunication management; Fixed Mobile Convergence (FMC) Federated Network Information Model (FNIM) Umbrella Information Model (UIM)".</w:t>
      </w:r>
    </w:p>
    <w:p>
      <w:pPr>
        <w:pStyle w:val="EX"/>
        <w:rPr/>
      </w:pPr>
      <w:r>
        <w:rPr/>
        <w:t>[8]</w:t>
        <w:tab/>
        <w:t>3GPP TS 25.106: "UTRA repeater radio transmission and reception".</w:t>
      </w:r>
    </w:p>
    <w:p>
      <w:pPr>
        <w:pStyle w:val="EX"/>
        <w:rPr/>
      </w:pPr>
      <w:r>
        <w:rPr/>
      </w:r>
    </w:p>
    <w:p>
      <w:pPr>
        <w:pStyle w:val="Heading1"/>
        <w:ind w:left="1134" w:hanging="1134"/>
        <w:rPr/>
      </w:pPr>
      <w:bookmarkStart w:id="12" w:name="__RefHeading___Toc333910727"/>
      <w:bookmarkEnd w:id="12"/>
      <w:r>
        <w:rPr/>
        <w:t>3</w:t>
        <w:tab/>
        <w:t>Definitions and abbreviations</w:t>
      </w:r>
    </w:p>
    <w:p>
      <w:pPr>
        <w:pStyle w:val="Heading2"/>
        <w:rPr/>
      </w:pPr>
      <w:bookmarkStart w:id="13" w:name="__RefHeading___Toc333910728"/>
      <w:bookmarkEnd w:id="13"/>
      <w:r>
        <w:rPr/>
        <w:t>3.1</w:t>
        <w:tab/>
        <w:t>Definitions</w:t>
      </w:r>
    </w:p>
    <w:p>
      <w:pPr>
        <w:pStyle w:val="Normal"/>
        <w:rPr/>
      </w:pPr>
      <w:r>
        <w:rPr/>
        <w:t>For the purposes of the present document, the terms and definitions given in 3GPP TS 32.150 [5], 3GPP TS 32.101 [2], 3GPP TS 32.102 [3] and 3GPP TR 21.905 [1] and the following apply. A term defined in the present document takes precedence over the definition of the same term, if any, in 3GPP TS 32.150 [5], 3GPP TS 32.101 [2], 3GPP TS 32.102 [3] and 3GPP TR 21.905 [1], in this order.</w:t>
      </w:r>
    </w:p>
    <w:p>
      <w:pPr>
        <w:pStyle w:val="Heading2"/>
        <w:rPr/>
      </w:pPr>
      <w:bookmarkStart w:id="14" w:name="__RefHeading___Toc333910729"/>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3GPP TR 21.905 [1].</w:t>
      </w:r>
    </w:p>
    <w:p>
      <w:pPr>
        <w:pStyle w:val="EW"/>
        <w:rPr/>
      </w:pPr>
      <w:r>
        <w:rPr/>
        <w:t>BSS</w:t>
        <w:tab/>
        <w:t>Base Station Subsystem</w:t>
      </w:r>
    </w:p>
    <w:p>
      <w:pPr>
        <w:pStyle w:val="EW"/>
        <w:rPr>
          <w:bCs/>
          <w:lang w:val="en-US"/>
        </w:rPr>
      </w:pPr>
      <w:r>
        <w:rPr>
          <w:bCs/>
          <w:lang w:val="en-US"/>
        </w:rPr>
        <w:t>CAPEX</w:t>
        <w:tab/>
        <w:t>Capital Expenditure</w:t>
      </w:r>
    </w:p>
    <w:p>
      <w:pPr>
        <w:pStyle w:val="EW"/>
        <w:rPr/>
      </w:pPr>
      <w:r>
        <w:rPr/>
        <w:t>E-UTRAN</w:t>
        <w:tab/>
        <w:t>Evolved UTRAN</w:t>
      </w:r>
    </w:p>
    <w:p>
      <w:pPr>
        <w:pStyle w:val="EW"/>
        <w:rPr/>
      </w:pPr>
      <w:r>
        <w:rPr/>
        <w:t>GSM</w:t>
        <w:tab/>
        <w:t>Global System for Mobile communications</w:t>
      </w:r>
    </w:p>
    <w:p>
      <w:pPr>
        <w:pStyle w:val="EW"/>
        <w:rPr/>
      </w:pPr>
      <w:r>
        <w:rPr/>
        <w:t>IRP</w:t>
        <w:tab/>
        <w:t>Integration Reference Point</w:t>
      </w:r>
    </w:p>
    <w:p>
      <w:pPr>
        <w:pStyle w:val="EW"/>
        <w:rPr/>
      </w:pPr>
      <w:r>
        <w:rPr/>
        <w:t>NRM</w:t>
        <w:tab/>
        <w:t>Network Resource Model</w:t>
      </w:r>
    </w:p>
    <w:p>
      <w:pPr>
        <w:pStyle w:val="EW"/>
        <w:rPr/>
      </w:pPr>
      <w:r>
        <w:rPr/>
        <w:t>RAN</w:t>
        <w:tab/>
        <w:t>Radio Access Network</w:t>
      </w:r>
    </w:p>
    <w:p>
      <w:pPr>
        <w:pStyle w:val="EW"/>
        <w:rPr>
          <w:lang w:val="en-US" w:eastAsia="en-US"/>
        </w:rPr>
      </w:pPr>
      <w:r>
        <w:rPr>
          <w:lang w:val="en-US" w:eastAsia="en-US"/>
        </w:rPr>
        <w:t>RAT</w:t>
        <w:tab/>
        <w:t>Radio Access Technology</w:t>
      </w:r>
    </w:p>
    <w:p>
      <w:pPr>
        <w:pStyle w:val="EW"/>
        <w:rPr/>
      </w:pPr>
      <w:r>
        <w:rPr/>
        <w:t>UTRAN</w:t>
        <w:tab/>
        <w:t>Universal Terrestrial Radio Access Network</w:t>
      </w:r>
      <w:r>
        <w:rPr>
          <w:lang w:val="en-US" w:eastAsia="en-US"/>
        </w:rPr>
        <w:t xml:space="preserve"> </w:t>
      </w:r>
    </w:p>
    <w:p>
      <w:pPr>
        <w:pStyle w:val="Normal"/>
        <w:keepNext w:val="true"/>
        <w:rPr>
          <w:lang w:val="en-US" w:eastAsia="en-US"/>
        </w:rPr>
      </w:pPr>
      <w:r>
        <w:rPr>
          <w:lang w:val="en-US" w:eastAsia="en-US"/>
        </w:rPr>
      </w:r>
    </w:p>
    <w:p>
      <w:pPr>
        <w:pStyle w:val="Heading1"/>
        <w:ind w:left="1134" w:hanging="1134"/>
        <w:rPr/>
      </w:pPr>
      <w:bookmarkStart w:id="15" w:name="__RefHeading___Toc333910730"/>
      <w:bookmarkEnd w:id="15"/>
      <w:r>
        <w:rPr/>
        <w:t>4</w:t>
        <w:tab/>
        <w:t>Requirements</w:t>
      </w:r>
    </w:p>
    <w:p>
      <w:pPr>
        <w:pStyle w:val="Normal"/>
        <w:rPr/>
      </w:pPr>
      <w:r>
        <w:rPr>
          <w:lang w:val="en-US"/>
        </w:rPr>
        <w:t>It is common that operators operate more than one RAT. To save CAPEX, some radio equipment can be shared between the different RATs. Radio equipment can also be shared within a RAT. This NRM makes it easy to operate such shared radio equipment and to understand the consequences in all affected RATs when a change is made in a shared equipment.</w:t>
      </w:r>
    </w:p>
    <w:p>
      <w:pPr>
        <w:pStyle w:val="Normal"/>
        <w:rPr/>
      </w:pPr>
      <w:r>
        <w:rPr/>
        <w:t>The following general and high-level requirement applies for the present IRP:</w:t>
      </w:r>
    </w:p>
    <w:p>
      <w:pPr>
        <w:pStyle w:val="B1"/>
        <w:rPr/>
      </w:pPr>
      <w:r>
        <w:rPr/>
        <w:t>a)</w:t>
        <w:tab/>
        <w:t>IRP-related requirements in 3GPP TS 32.101 [2].</w:t>
      </w:r>
    </w:p>
    <w:p>
      <w:pPr>
        <w:pStyle w:val="B1"/>
        <w:rPr/>
      </w:pPr>
      <w:r>
        <w:rPr/>
        <w:t>b)</w:t>
        <w:tab/>
        <w:t>IRP-related requirements in 3GPP TS 32.102 [3].</w:t>
      </w:r>
    </w:p>
    <w:p>
      <w:pPr>
        <w:pStyle w:val="B1"/>
        <w:rPr/>
      </w:pPr>
      <w:r>
        <w:rPr/>
        <w:t>c)</w:t>
        <w:tab/>
        <w:t>IRP-related requirements in 3GPP TS 32.600 [4].</w:t>
      </w:r>
    </w:p>
    <w:p>
      <w:pPr>
        <w:pStyle w:val="Normal"/>
        <w:rPr/>
      </w:pPr>
      <w:r>
        <w:rPr/>
        <w:t>The NRM defined by this IRP:</w:t>
      </w:r>
    </w:p>
    <w:p>
      <w:pPr>
        <w:pStyle w:val="B1"/>
        <w:rPr/>
      </w:pPr>
      <w:r>
        <w:rPr/>
        <w:t>d)</w:t>
        <w:tab/>
        <w:t xml:space="preserve">Shall support communications for </w:t>
      </w:r>
      <w:r>
        <w:rPr>
          <w:lang w:val="en-US"/>
        </w:rPr>
        <w:t xml:space="preserve">telecommunication network management purposes, including management of converged networks. </w:t>
      </w:r>
    </w:p>
    <w:p>
      <w:pPr>
        <w:pStyle w:val="B1"/>
        <w:rPr/>
      </w:pPr>
      <w:r>
        <w:rPr>
          <w:lang w:val="en-US"/>
        </w:rPr>
        <w:t>e)</w:t>
        <w:tab/>
        <w:t xml:space="preserve">Is a member of the Federated Network Information Model (FNIM) </w:t>
      </w:r>
      <w:r>
        <w:rPr/>
        <w:t xml:space="preserve">[6] and its information is derived from FNIM Umbrella Information Model (UIM) [7]  </w:t>
      </w:r>
    </w:p>
    <w:p>
      <w:pPr>
        <w:pStyle w:val="Normal"/>
        <w:rPr/>
      </w:pPr>
      <w:r>
        <w:rPr/>
        <w:t>In addition, the following more specific requirements apply:</w:t>
      </w:r>
    </w:p>
    <w:p>
      <w:pPr>
        <w:pStyle w:val="Normal"/>
        <w:rPr/>
      </w:pPr>
      <w:r>
        <w:rPr>
          <w:b/>
          <w:bCs/>
        </w:rPr>
        <w:t xml:space="preserve">REQ-GRAN_NRM-CON-001: </w:t>
      </w:r>
      <w:r>
        <w:rPr/>
        <w:t>The NRM defined by this IRP shall contain IOCs and related definitions, supporting equipment that may be shared between BSS, UTRAN and E-UTRAN networks</w:t>
      </w:r>
      <w:r>
        <w:rPr>
          <w:lang w:val="en-US" w:eastAsia="zh-CN"/>
        </w:rPr>
        <w:t>.</w:t>
      </w:r>
    </w:p>
    <w:p>
      <w:pPr>
        <w:pStyle w:val="Normal"/>
        <w:rPr/>
      </w:pPr>
      <w:r>
        <w:rPr>
          <w:b/>
          <w:bCs/>
        </w:rPr>
        <w:t>REQ-GRAN_NRM-CON-002:</w:t>
      </w:r>
      <w:r>
        <w:rPr>
          <w:lang w:eastAsia="zh-CN"/>
        </w:rPr>
        <w:t xml:space="preserve"> The IRPAgent shall </w:t>
      </w:r>
      <w:r>
        <w:rPr>
          <w:lang w:eastAsia="zh-CN"/>
        </w:rPr>
        <w:t>support</w:t>
      </w:r>
      <w:r>
        <w:rPr>
          <w:lang w:eastAsia="zh-CN"/>
        </w:rPr>
        <w:t xml:space="preserve"> a capability allowing the IRPManager to </w:t>
      </w:r>
      <w:r>
        <w:rPr>
          <w:lang w:eastAsia="zh-CN"/>
        </w:rPr>
        <w:t>know which</w:t>
      </w:r>
      <w:r>
        <w:rPr>
          <w:lang w:eastAsia="zh-CN"/>
        </w:rPr>
        <w:t xml:space="preserve"> RATs </w:t>
      </w:r>
      <w:r>
        <w:rPr>
          <w:lang w:eastAsia="zh-CN"/>
        </w:rPr>
        <w:t>are served by each</w:t>
      </w:r>
      <w:r>
        <w:rPr>
          <w:lang w:eastAsia="zh-CN"/>
        </w:rPr>
        <w:t xml:space="preserve"> m</w:t>
      </w:r>
      <w:r>
        <w:rPr>
          <w:lang w:eastAsia="zh-CN"/>
        </w:rPr>
        <w:t xml:space="preserve">anaged </w:t>
      </w:r>
      <w:r>
        <w:rPr>
          <w:lang w:eastAsia="zh-CN"/>
        </w:rPr>
        <w:t>o</w:t>
      </w:r>
      <w:r>
        <w:rPr>
          <w:lang w:eastAsia="zh-CN"/>
        </w:rPr>
        <w:t>bject</w:t>
      </w:r>
      <w:r>
        <w:rPr>
          <w:lang w:eastAsia="zh-CN"/>
        </w:rPr>
        <w:t>.</w:t>
      </w:r>
    </w:p>
    <w:p>
      <w:pPr>
        <w:pStyle w:val="Normal"/>
        <w:rPr/>
      </w:pPr>
      <w:r>
        <w:rPr>
          <w:b/>
          <w:bCs/>
        </w:rPr>
        <w:t>REQ-GRAN_NRM-CON-003:</w:t>
      </w:r>
      <w:r>
        <w:rPr>
          <w:lang w:eastAsia="zh-CN"/>
        </w:rPr>
        <w:t xml:space="preserve"> </w:t>
      </w:r>
      <w:r>
        <w:rPr>
          <w:lang w:eastAsia="zh-CN"/>
        </w:rPr>
        <w:t xml:space="preserve">The IRPAgent shall support a capability allowing the IRPManager to perform basic configuration and retrieve inventory information of repeater (see 3GPP TS 25.106 [8]). </w:t>
      </w:r>
    </w:p>
    <w:p>
      <w:pPr>
        <w:pStyle w:val="Normal"/>
        <w:rPr/>
      </w:pPr>
      <w:r>
        <w:rPr/>
      </w:r>
      <w:r>
        <w:br w:type="page"/>
      </w:r>
    </w:p>
    <w:p>
      <w:pPr>
        <w:pStyle w:val="Heading8"/>
        <w:ind w:left="0" w:hanging="0"/>
        <w:rPr/>
      </w:pPr>
      <w:bookmarkStart w:id="16" w:name="__RefHeading___Toc333910731"/>
      <w:bookmarkEnd w:id="16"/>
      <w:r>
        <w:rPr/>
        <w:t>Annex A (informative):</w:t>
        <w:br/>
        <w:t>Change history</w:t>
      </w:r>
    </w:p>
    <w:p>
      <w:pPr>
        <w:pStyle w:val="Normal"/>
        <w:rPr>
          <w:sz w:val="16"/>
        </w:rPr>
      </w:pPr>
      <w:r>
        <w:rPr>
          <w:sz w:val="16"/>
        </w:rPr>
      </w:r>
      <w:bookmarkStart w:id="17" w:name="historyclause"/>
      <w:bookmarkStart w:id="18" w:name="historyclause"/>
      <w:bookmarkEnd w:id="18"/>
    </w:p>
    <w:tbl>
      <w:tblPr>
        <w:tblW w:w="5000" w:type="pct"/>
        <w:jc w:val="left"/>
        <w:tblInd w:w="-47" w:type="dxa"/>
        <w:tblLayout w:type="fixed"/>
        <w:tblCellMar>
          <w:top w:w="0" w:type="dxa"/>
          <w:left w:w="40" w:type="dxa"/>
          <w:bottom w:w="0" w:type="dxa"/>
          <w:right w:w="40" w:type="dxa"/>
        </w:tblCellMar>
      </w:tblPr>
      <w:tblGrid>
        <w:gridCol w:w="707"/>
        <w:gridCol w:w="631"/>
        <w:gridCol w:w="706"/>
        <w:gridCol w:w="364"/>
        <w:gridCol w:w="371"/>
        <w:gridCol w:w="5225"/>
        <w:gridCol w:w="592"/>
        <w:gridCol w:w="521"/>
        <w:gridCol w:w="52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color w:val="000000"/>
                <w:sz w:val="16"/>
              </w:rPr>
            </w:pPr>
            <w:r>
              <w:rPr>
                <w:b/>
                <w:color w:val="000000"/>
              </w:rPr>
              <w:t>Change history</w:t>
            </w:r>
          </w:p>
        </w:tc>
      </w:tr>
      <w:tr>
        <w:trPr/>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3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0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36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2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2013-09</w:t>
            </w:r>
          </w:p>
        </w:tc>
        <w:tc>
          <w:tcPr>
            <w:tcW w:w="63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SA#61</w:t>
            </w:r>
          </w:p>
        </w:tc>
        <w:tc>
          <w:tcPr>
            <w:tcW w:w="70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SP-130433</w:t>
            </w:r>
          </w:p>
        </w:tc>
        <w:tc>
          <w:tcPr>
            <w:tcW w:w="3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3</w:t>
            </w:r>
          </w:p>
        </w:tc>
        <w:tc>
          <w:tcPr>
            <w:tcW w:w="52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Repeater Object requirements definitions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0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3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0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SP-140359</w:t>
            </w:r>
          </w:p>
        </w:tc>
        <w:tc>
          <w:tcPr>
            <w:tcW w:w="36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3"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11.2.0</w:t>
            </w:r>
          </w:p>
        </w:tc>
      </w:tr>
      <w:tr>
        <w:trPr/>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3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0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6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11.2.0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Cs/>
                <w:color w:val="000000"/>
                <w:sz w:val="16"/>
                <w:szCs w:val="16"/>
              </w:rPr>
            </w:pPr>
            <w:r>
              <w:rPr>
                <w:bCs/>
                <w:color w:val="000000"/>
                <w:sz w:val="16"/>
                <w:szCs w:val="16"/>
              </w:rPr>
              <w:t>12.0.0</w:t>
            </w:r>
          </w:p>
        </w:tc>
      </w:tr>
      <w:tr>
        <w:trPr/>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3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0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6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Cs/>
                <w:color w:val="000000"/>
                <w:sz w:val="16"/>
                <w:szCs w:val="16"/>
              </w:rPr>
            </w:pPr>
            <w:r>
              <w:rPr>
                <w:bCs/>
                <w:color w:val="000000"/>
                <w:sz w:val="16"/>
                <w:szCs w:val="16"/>
              </w:rPr>
              <w:t>13.0.0</w:t>
            </w:r>
          </w:p>
        </w:tc>
      </w:tr>
      <w:tr>
        <w:trPr/>
        <w:tc>
          <w:tcPr>
            <w:tcW w:w="70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3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0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6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Cs/>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Upgrade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b/>
                <w:b/>
                <w:color w:val="000000"/>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color w:val="000000"/>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4z0">
    <w:name w:val="WW8Num14z0"/>
    <w:qFormat/>
    <w:rPr/>
  </w:style>
  <w:style w:type="character" w:styleId="WW8Num15z0">
    <w:name w:val="WW8Num15z0"/>
    <w:qFormat/>
    <w:rPr>
      <w:rFonts w:ascii="Arial" w:hAnsi="Arial"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Arial" w:hAnsi="Arial" w:cs="Arial"/>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Arial" w:hAnsi="Arial" w:eastAsia="Times New Roman"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cs="Times New Roman"/>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Arial" w:hAnsi="Arial" w:eastAsia="Times New Roman" w:cs="Arial"/>
    </w:rPr>
  </w:style>
  <w:style w:type="character" w:styleId="WW8Num29z2">
    <w:name w:val="WW8Num29z2"/>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cs="Times New Roman"/>
    </w:rPr>
  </w:style>
  <w:style w:type="character" w:styleId="WW8Num30z2">
    <w:name w:val="WW8Num30z2"/>
    <w:qFormat/>
    <w:rPr>
      <w:rFonts w:cs="Times New Roman"/>
      <w:strike w:val="false"/>
      <w:dstrike w:val="false"/>
      <w:sz w:val="24"/>
      <w:szCs w:val="24"/>
    </w:rPr>
  </w:style>
  <w:style w:type="character" w:styleId="WW8Num33z0">
    <w:name w:val="WW8Num33z0"/>
    <w:qFormat/>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5"/>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5"/>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NRM IRP Converged Management Generic RAN</cp:keywords>
  <dc:language>en-US</dc:language>
  <cp:lastModifiedBy>28.622_CR0086R1_(Rel-16)_eNRM</cp:lastModifiedBy>
  <dcterms:modified xsi:type="dcterms:W3CDTF">2020-07-15T12:13:00Z</dcterms:modified>
  <cp:revision>6</cp:revision>
  <dc:subject>Telecommunication management; Generic Radio Access Network (RAN) Network Resource Model (NRM) Integration Reference Point (IRP); Requirements (Release 16)</dc:subject>
  <dc:title>3GPP TS 28.661</dc:title>
</cp:coreProperties>
</file>