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overflowPunct w:val="false"/>
                              <w:autoSpaceDE w:val="false"/>
                              <w:textAlignment w:val="baseline"/>
                              <w:rPr>
                                <w:sz w:val="64"/>
                                <w:lang w:val="en-US" w:eastAsia="en-US"/>
                              </w:rPr>
                            </w:pPr>
                            <w:bookmarkStart w:id="0" w:name="page1"/>
                            <w:bookmarkEnd w:id="0"/>
                            <w:r>
                              <w:rPr>
                                <w:sz w:val="64"/>
                                <w:lang w:val="en-US" w:eastAsia="en-US"/>
                              </w:rPr>
                              <w:t>3GPP TS 2</w:t>
                            </w:r>
                            <w:r>
                              <w:rPr>
                                <w:sz w:val="64"/>
                                <w:lang w:val="en-US" w:eastAsia="en-US"/>
                              </w:rPr>
                              <w:t>8</w:t>
                            </w:r>
                            <w:r>
                              <w:rPr>
                                <w:sz w:val="64"/>
                                <w:lang w:val="en-US" w:eastAsia="en-US"/>
                              </w:rPr>
                              <w:t xml:space="preserve">.671 </w:t>
                            </w:r>
                            <w:r>
                              <w:rPr>
                                <w:szCs w:val="40"/>
                                <w:lang w:val="en-US" w:eastAsia="en-US"/>
                              </w:rPr>
                              <w:t>V16.0.0</w:t>
                            </w:r>
                            <w:r>
                              <w:rPr>
                                <w:sz w:val="64"/>
                                <w:lang w:val="en-US" w:eastAsia="en-US"/>
                              </w:rPr>
                              <w:t xml:space="preserve"> </w:t>
                            </w:r>
                            <w:r>
                              <w:rPr>
                                <w:sz w:val="32"/>
                                <w:szCs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overflowPunct w:val="false"/>
                        <w:autoSpaceDE w:val="false"/>
                        <w:textAlignment w:val="baseline"/>
                        <w:rPr>
                          <w:sz w:val="64"/>
                          <w:lang w:val="en-US" w:eastAsia="en-US"/>
                        </w:rPr>
                      </w:pPr>
                      <w:bookmarkStart w:id="1" w:name="page1"/>
                      <w:bookmarkEnd w:id="1"/>
                      <w:r>
                        <w:rPr>
                          <w:sz w:val="64"/>
                          <w:lang w:val="en-US" w:eastAsia="en-US"/>
                        </w:rPr>
                        <w:t>3GPP TS 2</w:t>
                      </w:r>
                      <w:r>
                        <w:rPr>
                          <w:sz w:val="64"/>
                          <w:lang w:val="en-US" w:eastAsia="en-US"/>
                        </w:rPr>
                        <w:t>8</w:t>
                      </w:r>
                      <w:r>
                        <w:rPr>
                          <w:sz w:val="64"/>
                          <w:lang w:val="en-US" w:eastAsia="en-US"/>
                        </w:rPr>
                        <w:t xml:space="preserve">.671 </w:t>
                      </w:r>
                      <w:r>
                        <w:rPr>
                          <w:szCs w:val="40"/>
                          <w:lang w:val="en-US" w:eastAsia="en-US"/>
                        </w:rPr>
                        <w:t>V16.0.0</w:t>
                      </w:r>
                      <w:r>
                        <w:rPr>
                          <w:sz w:val="64"/>
                          <w:lang w:val="en-US" w:eastAsia="en-US"/>
                        </w:rPr>
                        <w:t xml:space="preserve"> </w:t>
                      </w:r>
                      <w:r>
                        <w:rPr>
                          <w:sz w:val="32"/>
                          <w:szCs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1603375</wp:posOffset>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lang w:eastAsia="zh-CN"/>
                              </w:rPr>
                              <w:t>Home Node B</w:t>
                            </w:r>
                            <w:r>
                              <w:rPr>
                                <w:lang w:eastAsia="zh-CN"/>
                              </w:rPr>
                              <w:t xml:space="preserve"> (HNB)</w:t>
                            </w:r>
                            <w:r>
                              <w:rPr>
                                <w:lang w:eastAsia="zh-CN"/>
                              </w:rPr>
                              <w:t xml:space="preserve"> Subsystem (HNS)</w:t>
                            </w:r>
                          </w:p>
                          <w:p>
                            <w:pPr>
                              <w:pStyle w:val="ZT"/>
                              <w:rPr>
                                <w:lang w:eastAsia="zh-CN"/>
                              </w:rPr>
                            </w:pPr>
                            <w:r>
                              <w:rPr>
                                <w:lang w:eastAsia="zh-CN"/>
                              </w:rPr>
                              <w:t>Network Resource Model (NRM)</w:t>
                            </w:r>
                          </w:p>
                          <w:p>
                            <w:pPr>
                              <w:pStyle w:val="ZT"/>
                              <w:rPr/>
                            </w:pPr>
                            <w:r>
                              <w:rPr>
                                <w:lang w:eastAsia="zh-CN"/>
                              </w:rPr>
                              <w:t>Integration Reference Point (IRP)</w:t>
                            </w:r>
                            <w:r>
                              <w:rPr>
                                <w:lang w:eastAsia="zh-CN"/>
                              </w:rPr>
                              <w:t>;</w:t>
                            </w:r>
                          </w:p>
                          <w:p>
                            <w:pPr>
                              <w:pStyle w:val="ZT"/>
                              <w:rPr>
                                <w:rStyle w:val="ZGSM"/>
                              </w:rPr>
                            </w:pPr>
                            <w:r>
                              <w:rPr>
                                <w:lang w:eastAsia="zh-CN"/>
                              </w:rPr>
                              <w:t xml:space="preserve">Requirements </w:t>
                              <w:br/>
                            </w:r>
                            <w:r>
                              <w:rPr>
                                <w:rStyle w:val="ZGSM"/>
                              </w:rPr>
                              <w:t>(Release 16)</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26.25pt;mso-position-vertical-relative:page;margin-left:40.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lang w:eastAsia="zh-CN"/>
                        </w:rPr>
                        <w:t>Home Node B</w:t>
                      </w:r>
                      <w:r>
                        <w:rPr>
                          <w:lang w:eastAsia="zh-CN"/>
                        </w:rPr>
                        <w:t xml:space="preserve"> (HNB)</w:t>
                      </w:r>
                      <w:r>
                        <w:rPr>
                          <w:lang w:eastAsia="zh-CN"/>
                        </w:rPr>
                        <w:t xml:space="preserve"> Subsystem (HNS)</w:t>
                      </w:r>
                    </w:p>
                    <w:p>
                      <w:pPr>
                        <w:pStyle w:val="ZT"/>
                        <w:rPr>
                          <w:lang w:eastAsia="zh-CN"/>
                        </w:rPr>
                      </w:pPr>
                      <w:r>
                        <w:rPr>
                          <w:lang w:eastAsia="zh-CN"/>
                        </w:rPr>
                        <w:t>Network Resource Model (NRM)</w:t>
                      </w:r>
                    </w:p>
                    <w:p>
                      <w:pPr>
                        <w:pStyle w:val="ZT"/>
                        <w:rPr/>
                      </w:pPr>
                      <w:r>
                        <w:rPr>
                          <w:lang w:eastAsia="zh-CN"/>
                        </w:rPr>
                        <w:t>Integration Reference Point (IRP)</w:t>
                      </w:r>
                      <w:r>
                        <w:rPr>
                          <w:lang w:eastAsia="zh-CN"/>
                        </w:rPr>
                        <w:t>;</w:t>
                      </w:r>
                    </w:p>
                    <w:p>
                      <w:pPr>
                        <w:pStyle w:val="ZT"/>
                        <w:rPr>
                          <w:rStyle w:val="ZGSM"/>
                        </w:rPr>
                      </w:pPr>
                      <w:r>
                        <w:rPr>
                          <w:lang w:eastAsia="zh-CN"/>
                        </w:rPr>
                        <w:t xml:space="preserve">Requirements </w:t>
                        <w:br/>
                      </w: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Home Node B Subsystem, NRM,IRP, Converged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eastAsia="zh-CN"/>
                        </w:rPr>
                        <w:t>Home Node B Subsystem, NRM,IRP, Converged Management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5.8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lang w:eastAsia="zh-CN"/>
        </w:rPr>
      </w:pPr>
      <w:bookmarkStart w:id="6" w:name="page2"/>
      <w:bookmarkEnd w:id="6"/>
      <w:r>
        <w:rPr>
          <w:lang w:eastAsia="zh-CN"/>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39594595">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339594596">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339594597">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39594598">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339594599">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 xml:space="preserve"> Definitions</w:t>
            <w:tab/>
          </w:r>
          <w:hyperlink w:anchor="__RefHeading___Toc339594600">
            <w:r>
              <w:rPr>
                <w:rStyle w:val="IndexLink"/>
              </w:rPr>
              <w:t>6</w:t>
            </w:r>
          </w:hyperlink>
        </w:p>
        <w:p>
          <w:pPr>
            <w:pStyle w:val="Contents2"/>
            <w:rPr>
              <w:rFonts w:ascii="Calibri" w:hAnsi="Calibri" w:eastAsia="Times New Roman" w:cs="Calibri"/>
              <w:sz w:val="22"/>
              <w:szCs w:val="22"/>
              <w:lang w:val="en-US" w:eastAsia="en-US"/>
            </w:rPr>
          </w:pPr>
          <w:r>
            <w:rPr/>
            <w:t>3.</w:t>
          </w:r>
          <w:r>
            <w:rPr>
              <w:lang w:val="en-US" w:eastAsia="en-US"/>
            </w:rPr>
            <w:t>2</w:t>
          </w:r>
          <w:r>
            <w:rPr>
              <w:rFonts w:eastAsia="Times New Roman" w:cs="Calibri" w:ascii="Calibri" w:hAnsi="Calibri"/>
              <w:sz w:val="22"/>
              <w:szCs w:val="22"/>
              <w:lang w:val="en-US" w:eastAsia="en-US"/>
            </w:rPr>
            <w:tab/>
          </w:r>
          <w:r>
            <w:rPr/>
            <w:t>Abbreviations</w:t>
            <w:tab/>
          </w:r>
          <w:hyperlink w:anchor="__RefHeading___Toc339594601">
            <w:r>
              <w:rPr>
                <w:rStyle w:val="IndexLink"/>
              </w:rPr>
              <w:t>7</w:t>
            </w:r>
          </w:hyperlink>
        </w:p>
        <w:p>
          <w:pPr>
            <w:pStyle w:val="Contents1"/>
            <w:rPr>
              <w:rFonts w:ascii="Calibri" w:hAnsi="Calibri" w:eastAsia="Times New Roman" w:cs="Calibri"/>
              <w:szCs w:val="22"/>
              <w:lang w:val="en-US" w:eastAsia="en-US"/>
            </w:rPr>
          </w:pPr>
          <w:r>
            <w:rPr>
              <w:lang w:val="en-US" w:eastAsia="en-US"/>
            </w:rPr>
            <w:t>4</w:t>
          </w:r>
          <w:r>
            <w:rPr>
              <w:rFonts w:eastAsia="Times New Roman" w:cs="Calibri" w:ascii="Calibri" w:hAnsi="Calibri"/>
              <w:szCs w:val="22"/>
              <w:lang w:val="en-US" w:eastAsia="en-US"/>
            </w:rPr>
            <w:tab/>
          </w:r>
          <w:r>
            <w:rPr>
              <w:lang w:val="en-US" w:eastAsia="en-US"/>
            </w:rPr>
            <w:t>Concepts and background</w:t>
          </w:r>
          <w:r>
            <w:rPr/>
            <w:tab/>
          </w:r>
          <w:hyperlink w:anchor="__RefHeading___Toc339594602">
            <w:r>
              <w:rPr>
                <w:rStyle w:val="IndexLink"/>
              </w:rPr>
              <w:t>8</w:t>
            </w:r>
          </w:hyperlink>
        </w:p>
        <w:p>
          <w:pPr>
            <w:pStyle w:val="Contents1"/>
            <w:rPr>
              <w:rFonts w:ascii="Calibri" w:hAnsi="Calibri" w:eastAsia="Times New Roman" w:cs="Calibri"/>
              <w:szCs w:val="22"/>
              <w:lang w:val="en-US" w:eastAsia="en-US"/>
            </w:rPr>
          </w:pPr>
          <w:r>
            <w:rPr>
              <w:lang w:val="en-US" w:eastAsia="en-US"/>
            </w:rPr>
            <w:t>5</w:t>
          </w:r>
          <w:r>
            <w:rPr>
              <w:rFonts w:eastAsia="Times New Roman" w:cs="Calibri" w:ascii="Calibri" w:hAnsi="Calibri"/>
              <w:szCs w:val="22"/>
              <w:lang w:val="en-US" w:eastAsia="en-US"/>
            </w:rPr>
            <w:tab/>
          </w:r>
          <w:r>
            <w:rPr>
              <w:lang w:val="en-US" w:eastAsia="en-US"/>
            </w:rPr>
            <w:t>Requirements</w:t>
          </w:r>
          <w:r>
            <w:rPr/>
            <w:tab/>
          </w:r>
          <w:hyperlink w:anchor="__RefHeading___Toc339594603">
            <w:r>
              <w:rPr>
                <w:rStyle w:val="IndexLink"/>
              </w:rPr>
              <w:t>8</w:t>
            </w:r>
          </w:hyperlink>
        </w:p>
        <w:p>
          <w:pPr>
            <w:pStyle w:val="Contents8"/>
            <w:rPr>
              <w:rFonts w:ascii="Calibri" w:hAnsi="Calibri" w:eastAsia="Times New Roman" w:cs="Calibri"/>
              <w:szCs w:val="22"/>
              <w:lang w:val="en-US" w:eastAsia="en-US"/>
            </w:rPr>
          </w:pPr>
          <w:r>
            <w:rPr>
              <w:b w:val="false"/>
            </w:rPr>
            <w:t>Annex A (informative): Change history</w:t>
            <w:tab/>
          </w:r>
          <w:hyperlink w:anchor="__RefHeading___Toc339594604">
            <w:r>
              <w:rPr>
                <w:rStyle w:val="IndexLink"/>
                <w:b w:val="false"/>
              </w:rPr>
              <w:t>9</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7" w:name="__RefHeading___Toc339594595"/>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b/>
          <w:b/>
          <w:sz w:val="24"/>
          <w:szCs w:val="24"/>
        </w:rPr>
      </w:pPr>
      <w:r>
        <w:rPr>
          <w:b/>
          <w:sz w:val="24"/>
          <w:szCs w:val="24"/>
        </w:rPr>
      </w:r>
    </w:p>
    <w:p>
      <w:pPr>
        <w:pStyle w:val="Heading1"/>
        <w:ind w:left="1134" w:hanging="1134"/>
        <w:rPr/>
      </w:pPr>
      <w:bookmarkStart w:id="8" w:name="__RefHeading___Toc339594596"/>
      <w:bookmarkEnd w:id="8"/>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b/>
          <w:b/>
        </w:rPr>
      </w:pPr>
      <w:r>
        <w:rPr>
          <w:b/>
          <w:lang w:eastAsia="zh-CN"/>
        </w:rPr>
        <w:t>28</w:t>
      </w:r>
      <w:r>
        <w:rPr>
          <w:b/>
          <w:lang w:eastAsia="zh-CN"/>
        </w:rPr>
        <w:t>.</w:t>
      </w:r>
      <w:r>
        <w:rPr>
          <w:b/>
          <w:lang w:eastAsia="zh-CN"/>
        </w:rPr>
        <w:t>6</w:t>
      </w:r>
      <w:r>
        <w:rPr>
          <w:b/>
          <w:lang w:eastAsia="zh-CN"/>
        </w:rPr>
        <w:t>71:</w:t>
        <w:tab/>
      </w:r>
      <w:r>
        <w:rPr>
          <w:b/>
        </w:rPr>
        <w:t>Telecommunication management; Home Node B Subsystem (HNS) Network Resource Model (NRM) Integration Reference Point (IRP): Requirements</w:t>
      </w:r>
    </w:p>
    <w:p>
      <w:pPr>
        <w:pStyle w:val="B1"/>
        <w:rPr>
          <w:lang w:eastAsia="zh-CN"/>
        </w:rPr>
      </w:pPr>
      <w:r>
        <w:rPr>
          <w:lang w:eastAsia="zh-CN"/>
        </w:rPr>
        <w:t>28</w:t>
      </w:r>
      <w:r>
        <w:rPr>
          <w:lang w:eastAsia="zh-CN"/>
        </w:rPr>
        <w:t>.</w:t>
      </w:r>
      <w:r>
        <w:rPr>
          <w:lang w:eastAsia="zh-CN"/>
        </w:rPr>
        <w:t>6</w:t>
      </w:r>
      <w:r>
        <w:rPr>
          <w:lang w:eastAsia="zh-CN"/>
        </w:rPr>
        <w:t>72:</w:t>
        <w:tab/>
      </w:r>
      <w:r>
        <w:rPr>
          <w:lang w:eastAsia="zh-CN"/>
        </w:rPr>
        <w:t>Telecommunication management; Home Node B Subsystem (HNS)</w:t>
      </w:r>
      <w:r>
        <w:rPr>
          <w:lang w:eastAsia="zh-CN"/>
        </w:rPr>
        <w:t xml:space="preserve"> </w:t>
      </w:r>
      <w:r>
        <w:rPr>
          <w:lang w:eastAsia="zh-CN"/>
        </w:rPr>
        <w:t>Network Resource Model (NRM) Integration Reference Point (IRP): Information Service (IS)</w:t>
      </w:r>
    </w:p>
    <w:p>
      <w:pPr>
        <w:pStyle w:val="B1"/>
        <w:rPr>
          <w:lang w:eastAsia="zh-CN"/>
        </w:rPr>
      </w:pPr>
      <w:r>
        <w:rPr>
          <w:lang w:eastAsia="zh-CN"/>
        </w:rPr>
        <w:t>28</w:t>
      </w:r>
      <w:r>
        <w:rPr>
          <w:lang w:eastAsia="zh-CN"/>
        </w:rPr>
        <w:t>.</w:t>
      </w:r>
      <w:r>
        <w:rPr>
          <w:lang w:eastAsia="zh-CN"/>
        </w:rPr>
        <w:t>6</w:t>
      </w:r>
      <w:r>
        <w:rPr>
          <w:lang w:eastAsia="zh-CN"/>
        </w:rPr>
        <w:t>73:</w:t>
        <w:tab/>
      </w:r>
      <w:r>
        <w:rPr>
          <w:lang w:eastAsia="zh-CN"/>
        </w:rPr>
        <w:t xml:space="preserve">Telecommunication management; Home Node B (HNB) Subsystem (HNS) Network ResourceModel (NRM) Integration Reference Point (IRP); Solution Set (SS) definitions </w:t>
      </w:r>
      <w:r>
        <w:br w:type="page"/>
      </w:r>
    </w:p>
    <w:p>
      <w:pPr>
        <w:pStyle w:val="Heading1"/>
        <w:ind w:left="1134" w:hanging="1134"/>
        <w:rPr/>
      </w:pPr>
      <w:bookmarkStart w:id="9" w:name="__RefHeading___Toc339594597"/>
      <w:bookmarkStart w:id="10" w:name="historyclause"/>
      <w:bookmarkEnd w:id="9"/>
      <w:bookmarkEnd w:id="10"/>
      <w:r>
        <w:rPr/>
        <w:t>1</w:t>
        <w:tab/>
        <w:t>Scope</w:t>
      </w:r>
    </w:p>
    <w:p>
      <w:pPr>
        <w:pStyle w:val="ListBullet"/>
        <w:numPr>
          <w:ilvl w:val="0"/>
          <w:numId w:val="0"/>
        </w:numPr>
        <w:ind w:left="0" w:hanging="0"/>
        <w:rPr/>
      </w:pPr>
      <w:r>
        <w:rPr>
          <w:lang w:eastAsia="zh-CN"/>
        </w:rPr>
        <w:t xml:space="preserve">The document </w:t>
      </w:r>
      <w:r>
        <w:rPr>
          <w:lang w:eastAsia="zh-CN"/>
        </w:rPr>
        <w:t>describes</w:t>
      </w:r>
      <w:r>
        <w:rPr>
          <w:lang w:eastAsia="zh-CN"/>
        </w:rPr>
        <w:t xml:space="preserve"> the </w:t>
      </w:r>
      <w:r>
        <w:rPr>
          <w:lang w:eastAsia="zh-CN"/>
        </w:rPr>
        <w:t>requirements</w:t>
      </w:r>
      <w:r>
        <w:rPr>
          <w:lang w:eastAsia="zh-CN"/>
        </w:rPr>
        <w:t xml:space="preserve"> for Home NodeB Subsystem (HNS), which includes Home NodeB (HNB) and Home NodeB gateway (HNB GW). The HNS NRM IRP </w:t>
      </w:r>
      <w:r>
        <w:rPr>
          <w:lang w:eastAsia="zh-CN"/>
        </w:rPr>
        <w:t>requirements</w:t>
      </w:r>
      <w:r>
        <w:rPr>
          <w:lang w:eastAsia="zh-CN"/>
        </w:rPr>
        <w:t xml:space="preserve"> are </w:t>
      </w:r>
      <w:r>
        <w:rPr>
          <w:lang w:eastAsia="zh-CN"/>
        </w:rPr>
        <w:t>targeted on</w:t>
      </w:r>
      <w:r>
        <w:rPr>
          <w:lang w:eastAsia="zh-CN"/>
        </w:rPr>
        <w:t xml:space="preserve"> both HNB and HNB GW NRM.</w:t>
      </w:r>
    </w:p>
    <w:p>
      <w:pPr>
        <w:pStyle w:val="Heading1"/>
        <w:ind w:left="1134" w:hanging="1134"/>
        <w:rPr/>
      </w:pPr>
      <w:bookmarkStart w:id="11" w:name="__RefHeading___Toc339594598"/>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fldChar w:fldCharType="begin"/>
      </w:r>
      <w:r>
        <w:rPr/>
        <w:instrText xml:space="preserve"> SEQ reference \* ARABIC </w:instrText>
      </w:r>
      <w:r>
        <w:rPr/>
        <w:fldChar w:fldCharType="separate"/>
      </w:r>
      <w:r>
        <w:rPr/>
        <w:t>1</w:t>
      </w:r>
      <w:r>
        <w:rPr/>
        <w:fldChar w:fldCharType="end"/>
      </w:r>
      <w:r>
        <w:rPr/>
        <w:t>]</w:t>
        <w:tab/>
        <w:t>3GPP T</w:t>
      </w:r>
      <w:r>
        <w:rPr>
          <w:lang w:eastAsia="zh-CN"/>
        </w:rPr>
        <w:t>S</w:t>
      </w:r>
      <w:r>
        <w:rPr/>
        <w:t xml:space="preserve"> 2</w:t>
      </w:r>
      <w:r>
        <w:rPr>
          <w:lang w:eastAsia="zh-CN"/>
        </w:rPr>
        <w:t>5</w:t>
      </w:r>
      <w:r>
        <w:rPr/>
        <w:t>.905: "Vocabulary for 3GPP Specifications".</w:t>
      </w:r>
    </w:p>
    <w:p>
      <w:pPr>
        <w:pStyle w:val="EX"/>
        <w:rPr/>
      </w:pPr>
      <w:r>
        <w:rPr/>
        <w:t>[</w:t>
      </w:r>
      <w:r>
        <w:rPr>
          <w:lang w:eastAsia="zh-CN"/>
        </w:rPr>
        <w:t>2</w:t>
      </w:r>
      <w:r>
        <w:rPr/>
        <w:t>]</w:t>
        <w:tab/>
        <w:t>3GPP TS 32.101: "Telecommunication management; Principles and high level requirements".</w:t>
      </w:r>
    </w:p>
    <w:p>
      <w:pPr>
        <w:pStyle w:val="EX"/>
        <w:rPr/>
      </w:pPr>
      <w:r>
        <w:rPr/>
        <w:t>[</w:t>
      </w:r>
      <w:r>
        <w:rPr>
          <w:lang w:eastAsia="zh-CN"/>
        </w:rPr>
        <w:t>3</w:t>
      </w:r>
      <w:r>
        <w:rPr/>
        <w:t>]</w:t>
        <w:tab/>
        <w:t>3GPP TS 32.102: "Telecommunication management; Architecture".</w:t>
      </w:r>
    </w:p>
    <w:p>
      <w:pPr>
        <w:pStyle w:val="EX"/>
        <w:rPr>
          <w:lang w:eastAsia="zh-CN"/>
        </w:rPr>
      </w:pPr>
      <w:r>
        <w:rPr/>
        <w:t>[</w:t>
      </w:r>
      <w:r>
        <w:rPr>
          <w:lang w:eastAsia="zh-CN"/>
        </w:rPr>
        <w:t>4</w:t>
      </w:r>
      <w:r>
        <w:rPr/>
        <w:t>]</w:t>
        <w:tab/>
        <w:t>3GPP TS 32.600: "Telecommunication management; Configuration Management (CM); Concept and high-level requirements".</w:t>
      </w:r>
    </w:p>
    <w:p>
      <w:pPr>
        <w:pStyle w:val="EX"/>
        <w:rPr/>
      </w:pPr>
      <w:r>
        <w:rPr>
          <w:lang w:eastAsia="zh-CN"/>
        </w:rPr>
        <w:t>[5]</w:t>
      </w:r>
      <w:r>
        <w:rPr/>
        <w:tab/>
      </w:r>
      <w:r>
        <w:rPr>
          <w:lang w:eastAsia="zh-CN"/>
        </w:rPr>
        <w:t>3GPP TS 32.150: "Telecommunication management; Integration Reference Point (IRP) Concept and definitions".</w:t>
      </w:r>
    </w:p>
    <w:p>
      <w:pPr>
        <w:pStyle w:val="EX"/>
        <w:rPr/>
      </w:pPr>
      <w:r>
        <w:rPr/>
        <w:t>[6]</w:t>
        <w:tab/>
        <w:t>3GPP TS 23.060: "General Packet Radio Service (GPRS); Service description; Stage 2".</w:t>
      </w:r>
    </w:p>
    <w:p>
      <w:pPr>
        <w:pStyle w:val="EX"/>
        <w:rPr/>
      </w:pPr>
      <w:r>
        <w:rPr>
          <w:lang w:eastAsia="ko-KR"/>
        </w:rPr>
        <w:t>[</w:t>
      </w:r>
      <w:r>
        <w:rPr>
          <w:lang w:eastAsia="zh-CN"/>
        </w:rPr>
        <w:t>7</w:t>
      </w:r>
      <w:r>
        <w:rPr>
          <w:lang w:eastAsia="ko-KR"/>
        </w:rPr>
        <w:t>]</w:t>
        <w:tab/>
        <w:t>3GPP TS 25.467: "UTRAN architecture for 3G Home NodeB; Stage 2".</w:t>
      </w:r>
    </w:p>
    <w:p>
      <w:pPr>
        <w:pStyle w:val="EX"/>
        <w:rPr/>
      </w:pPr>
      <w:r>
        <w:rPr/>
        <w:t>[8]</w:t>
        <w:tab/>
        <w:t>3GPP TS 32.107: "Telecommunication management; Fixed Mobile Convergence (FMC) Federated Network Information Model (FNIM)".</w:t>
      </w:r>
    </w:p>
    <w:p>
      <w:pPr>
        <w:pStyle w:val="EX"/>
        <w:rPr/>
      </w:pPr>
      <w:r>
        <w:rPr/>
        <w:t>[9]</w:t>
        <w:tab/>
        <w:t>3GPP TS 28.620: "Telecommunication management; Fixed Mobile Convergence (FMC) Federated Network Information Model (FNIM) Umbrella Information Model (UIM)".</w:t>
      </w:r>
    </w:p>
    <w:p>
      <w:pPr>
        <w:pStyle w:val="EX"/>
        <w:rPr>
          <w:lang w:eastAsia="ko-KR"/>
        </w:rPr>
      </w:pPr>
      <w:r>
        <w:rPr>
          <w:lang w:eastAsia="ko-KR"/>
        </w:rPr>
      </w:r>
    </w:p>
    <w:p>
      <w:pPr>
        <w:pStyle w:val="Heading1"/>
        <w:ind w:left="1134" w:hanging="1134"/>
        <w:rPr/>
      </w:pPr>
      <w:bookmarkStart w:id="12" w:name="__RefHeading___Toc339594599"/>
      <w:bookmarkEnd w:id="12"/>
      <w:r>
        <w:rPr/>
        <w:t>3</w:t>
        <w:tab/>
        <w:t>Definitions, symbols and abbreviations</w:t>
      </w:r>
    </w:p>
    <w:p>
      <w:pPr>
        <w:pStyle w:val="Heading2"/>
        <w:rPr/>
      </w:pPr>
      <w:bookmarkStart w:id="13" w:name="__RefHeading___Toc339594600"/>
      <w:bookmarkEnd w:id="13"/>
      <w:r>
        <w:rPr/>
        <w:t>3.1</w:t>
        <w:tab/>
        <w:tab/>
        <w:t>Definitions</w:t>
      </w:r>
    </w:p>
    <w:p>
      <w:pPr>
        <w:pStyle w:val="Normal"/>
        <w:keepNext w:val="true"/>
        <w:rPr>
          <w:lang w:eastAsia="zh-CN"/>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Normal"/>
        <w:rPr/>
      </w:pPr>
      <w:r>
        <w:rPr>
          <w:b/>
        </w:rPr>
        <w:t>Integration Reference Point (IRP):</w:t>
      </w:r>
      <w:r>
        <w:rPr/>
        <w:t xml:space="preserve"> See 3GPP TS 32.</w:t>
      </w:r>
      <w:r>
        <w:rPr>
          <w:lang w:eastAsia="zh-CN"/>
        </w:rPr>
        <w:t>150</w:t>
      </w:r>
      <w:r>
        <w:rPr/>
        <w:t xml:space="preserve"> [</w:t>
      </w:r>
      <w:r>
        <w:rPr>
          <w:lang w:eastAsia="zh-CN"/>
        </w:rPr>
        <w:t>5</w:t>
      </w:r>
      <w:r>
        <w:rPr/>
        <w:t>].</w:t>
      </w:r>
    </w:p>
    <w:p>
      <w:pPr>
        <w:pStyle w:val="Normal"/>
        <w:rPr/>
      </w:pPr>
      <w:r>
        <w:rPr>
          <w:b/>
        </w:rPr>
        <w:t>Information Service (IS):</w:t>
      </w:r>
      <w:r>
        <w:rPr/>
        <w:t xml:space="preserve"> See 3GPP TS 32.</w:t>
      </w:r>
      <w:r>
        <w:rPr>
          <w:lang w:eastAsia="zh-CN"/>
        </w:rPr>
        <w:t>150</w:t>
      </w:r>
      <w:r>
        <w:rPr/>
        <w:t xml:space="preserve"> [</w:t>
      </w:r>
      <w:r>
        <w:rPr>
          <w:lang w:eastAsia="zh-CN"/>
        </w:rPr>
        <w:t>5</w:t>
      </w:r>
      <w:r>
        <w:rPr/>
        <w:t>].</w:t>
      </w:r>
    </w:p>
    <w:p>
      <w:pPr>
        <w:pStyle w:val="Normal"/>
        <w:rPr/>
      </w:pPr>
      <w:r>
        <w:rPr>
          <w:b/>
        </w:rPr>
        <w:t>Solution Set (SS):</w:t>
      </w:r>
      <w:r>
        <w:rPr/>
        <w:t xml:space="preserve"> See 3GPP TS 32.</w:t>
      </w:r>
      <w:r>
        <w:rPr>
          <w:lang w:eastAsia="zh-CN"/>
        </w:rPr>
        <w:t>150</w:t>
      </w:r>
      <w:r>
        <w:rPr/>
        <w:t xml:space="preserve"> [</w:t>
      </w:r>
      <w:r>
        <w:rPr>
          <w:lang w:eastAsia="zh-CN"/>
        </w:rPr>
        <w:t>5</w:t>
      </w:r>
      <w:r>
        <w:rPr/>
        <w:t>].</w:t>
      </w:r>
    </w:p>
    <w:p>
      <w:pPr>
        <w:pStyle w:val="Normal"/>
        <w:rPr/>
      </w:pPr>
      <w:r>
        <w:rPr>
          <w:b/>
        </w:rPr>
        <w:t>IRP Solution Set:</w:t>
      </w:r>
      <w:r>
        <w:rPr/>
        <w:t xml:space="preserve"> See 3GPP TS 32.101 [1].</w:t>
      </w:r>
    </w:p>
    <w:p>
      <w:pPr>
        <w:pStyle w:val="Heading2"/>
        <w:rPr/>
      </w:pPr>
      <w:bookmarkStart w:id="14" w:name="__RefHeading___Toc339594601"/>
      <w:bookmarkEnd w:id="14"/>
      <w:r>
        <w:rPr/>
        <w:t>3.</w:t>
      </w:r>
      <w:r>
        <w:rPr>
          <w:lang w:eastAsia="zh-CN"/>
        </w:rPr>
        <w:t>2</w:t>
      </w:r>
      <w:r>
        <w:rPr/>
        <w:tab/>
        <w:t>Abbreviations</w:t>
      </w:r>
    </w:p>
    <w:p>
      <w:pPr>
        <w:pStyle w:val="Normal"/>
        <w:keepNext w:val="true"/>
        <w:rPr/>
      </w:pPr>
      <w:bookmarkStart w:id="15" w:name="OLE_LINK3"/>
      <w:bookmarkEnd w:id="15"/>
      <w:r>
        <w:rPr/>
        <w:t>For the purposes of the present document, the following abbreviations apply:</w:t>
      </w:r>
    </w:p>
    <w:p>
      <w:pPr>
        <w:pStyle w:val="EW"/>
        <w:rPr>
          <w:lang w:val="en-US" w:eastAsia="zh-CN"/>
        </w:rPr>
      </w:pPr>
      <w:r>
        <w:rPr>
          <w:lang w:val="en-US" w:eastAsia="zh-CN"/>
        </w:rPr>
        <w:t>CN</w:t>
        <w:tab/>
        <w:t>Core Network</w:t>
      </w:r>
    </w:p>
    <w:p>
      <w:pPr>
        <w:pStyle w:val="EW"/>
        <w:rPr/>
      </w:pPr>
      <w:r>
        <w:rPr>
          <w:lang w:val="en-US" w:eastAsia="zh-CN"/>
        </w:rPr>
        <w:t>GW</w:t>
      </w:r>
      <w:r>
        <w:rPr>
          <w:lang w:val="en-US" w:eastAsia="zh-CN"/>
        </w:rPr>
        <w:tab/>
      </w:r>
      <w:r>
        <w:rPr>
          <w:lang w:val="en-US" w:eastAsia="zh-CN"/>
        </w:rPr>
        <w:t>Gateway</w:t>
      </w:r>
    </w:p>
    <w:p>
      <w:pPr>
        <w:pStyle w:val="EW"/>
        <w:rPr/>
      </w:pPr>
      <w:r>
        <w:rPr>
          <w:lang w:val="en-US" w:eastAsia="zh-CN"/>
        </w:rPr>
        <w:t>HNB</w:t>
      </w:r>
      <w:r>
        <w:rPr>
          <w:lang w:val="en-US" w:eastAsia="zh-CN"/>
        </w:rPr>
        <w:tab/>
      </w:r>
      <w:r>
        <w:rPr>
          <w:lang w:val="en-US" w:eastAsia="zh-CN"/>
        </w:rPr>
        <w:t>Home Node B</w:t>
      </w:r>
    </w:p>
    <w:p>
      <w:pPr>
        <w:pStyle w:val="EW"/>
        <w:rPr>
          <w:lang w:val="en-US" w:eastAsia="zh-CN"/>
        </w:rPr>
      </w:pPr>
      <w:r>
        <w:rPr>
          <w:lang w:val="en-US" w:eastAsia="zh-CN"/>
        </w:rPr>
        <w:t>HNS</w:t>
        <w:tab/>
        <w:t>Home Node B Subsystem</w:t>
      </w:r>
    </w:p>
    <w:p>
      <w:pPr>
        <w:pStyle w:val="EW"/>
        <w:rPr>
          <w:lang w:val="en-US" w:eastAsia="zh-CN"/>
        </w:rPr>
      </w:pPr>
      <w:r>
        <w:rPr>
          <w:lang w:val="en-US"/>
        </w:rPr>
        <w:t>IRP</w:t>
        <w:tab/>
        <w:t>Integration Reference Point</w:t>
      </w:r>
    </w:p>
    <w:p>
      <w:pPr>
        <w:pStyle w:val="EW"/>
        <w:rPr>
          <w:lang w:val="en-US" w:eastAsia="zh-CN"/>
        </w:rPr>
      </w:pPr>
      <w:r>
        <w:rPr>
          <w:lang w:val="en-US" w:eastAsia="zh-CN"/>
        </w:rPr>
        <w:t>IOC</w:t>
        <w:tab/>
        <w:t>Information Object Class</w:t>
      </w:r>
    </w:p>
    <w:p>
      <w:pPr>
        <w:pStyle w:val="EW"/>
        <w:rPr>
          <w:lang w:eastAsia="zh-CN"/>
        </w:rPr>
      </w:pPr>
      <w:r>
        <w:rPr>
          <w:lang w:eastAsia="zh-CN"/>
        </w:rPr>
        <w:t>NRM</w:t>
      </w:r>
      <w:r>
        <w:rPr>
          <w:lang w:eastAsia="zh-CN"/>
        </w:rPr>
        <w:tab/>
      </w:r>
      <w:r>
        <w:rPr/>
        <w:t>Network Resource Model</w:t>
      </w:r>
    </w:p>
    <w:p>
      <w:pPr>
        <w:pStyle w:val="EW"/>
        <w:rPr>
          <w:lang w:eastAsia="zh-CN"/>
        </w:rPr>
      </w:pPr>
      <w:r>
        <w:rPr>
          <w:lang w:eastAsia="zh-CN"/>
        </w:rPr>
        <w:t>SCTP</w:t>
      </w:r>
      <w:r>
        <w:rPr>
          <w:lang w:eastAsia="zh-CN"/>
        </w:rPr>
        <w:tab/>
        <w:t>Stream Control Transmission Protocol</w:t>
      </w:r>
    </w:p>
    <w:p>
      <w:pPr>
        <w:pStyle w:val="EW"/>
        <w:rPr>
          <w:lang w:eastAsia="zh-CN"/>
        </w:rPr>
      </w:pPr>
      <w:r>
        <w:rPr>
          <w:lang w:eastAsia="zh-CN"/>
        </w:rPr>
      </w:r>
      <w:r>
        <w:br w:type="page"/>
      </w:r>
    </w:p>
    <w:p>
      <w:pPr>
        <w:pStyle w:val="Heading1"/>
        <w:ind w:left="1134" w:hanging="1134"/>
        <w:rPr>
          <w:lang w:eastAsia="zh-CN"/>
        </w:rPr>
      </w:pPr>
      <w:bookmarkStart w:id="16" w:name="OLE_LINK3"/>
      <w:bookmarkStart w:id="17" w:name="__RefHeading___Toc339594602"/>
      <w:bookmarkEnd w:id="16"/>
      <w:r>
        <w:rPr>
          <w:lang w:eastAsia="zh-CN"/>
        </w:rPr>
        <w:t>4</w:t>
        <w:tab/>
        <w:t>Concepts and b</w:t>
      </w:r>
      <w:r>
        <w:rPr>
          <w:lang w:eastAsia="zh-CN"/>
        </w:rPr>
        <w:t>ackground</w:t>
      </w:r>
      <w:bookmarkEnd w:id="17"/>
      <w:r>
        <w:rPr>
          <w:lang w:eastAsia="zh-CN"/>
        </w:rPr>
        <w:t xml:space="preserve"> </w:t>
      </w:r>
    </w:p>
    <w:p>
      <w:pPr>
        <w:pStyle w:val="Normal"/>
        <w:rPr>
          <w:lang w:eastAsia="zh-CN"/>
        </w:rPr>
      </w:pPr>
      <w:r>
        <w:rPr>
          <w:lang w:eastAsia="zh-CN"/>
        </w:rPr>
        <w:t>HNB Subsystem is defined in TS 23.060</w:t>
      </w:r>
      <w:r>
        <w:rPr>
          <w:lang w:eastAsia="zh-CN"/>
        </w:rPr>
        <w:t xml:space="preserve"> </w:t>
      </w:r>
      <w:r>
        <w:rPr>
          <w:lang w:eastAsia="zh-CN"/>
        </w:rPr>
        <w:t>[</w:t>
      </w:r>
      <w:r>
        <w:rPr>
          <w:lang w:eastAsia="zh-CN"/>
        </w:rPr>
        <w:t>6]</w:t>
      </w:r>
      <w:r>
        <w:rPr>
          <w:lang w:eastAsia="zh-CN"/>
        </w:rPr>
        <w:t xml:space="preserve">. </w:t>
      </w:r>
      <w:r>
        <w:rPr/>
        <w:t xml:space="preserve">According </w:t>
      </w:r>
      <w:r>
        <w:rPr>
          <w:lang w:eastAsia="zh-CN"/>
        </w:rPr>
        <w:t>to the definition, a</w:t>
      </w:r>
      <w:r>
        <w:rPr/>
        <w:t xml:space="preserve"> HNB subsystem consists of a HNB and a HNB GW.</w:t>
      </w:r>
      <w:r>
        <w:rPr>
          <w:lang w:eastAsia="zh-CN"/>
        </w:rPr>
        <w:t xml:space="preserve"> </w:t>
      </w:r>
      <w:r>
        <w:rPr/>
        <w:t>The HNB Subsystem appears as an RNS to the core network and is connected by means of the Iu-CS interface to the MSC and by means of the Iu-PS interface to the SGSN.</w:t>
      </w:r>
    </w:p>
    <w:p>
      <w:pPr>
        <w:pStyle w:val="Normal"/>
        <w:rPr>
          <w:lang w:eastAsia="zh-CN"/>
        </w:rPr>
      </w:pPr>
      <w:r>
        <w:rPr>
          <w:lang w:eastAsia="zh-CN"/>
        </w:rPr>
        <w:t>Detailed functions of HNB and HNB GW are described in TS 25.467 [7]</w:t>
      </w:r>
      <w:r>
        <w:rPr>
          <w:lang w:eastAsia="zh-CN"/>
        </w:rPr>
        <w:t xml:space="preserve">. </w:t>
      </w:r>
      <w:r>
        <w:rPr>
          <w:lang w:eastAsia="zh-CN"/>
        </w:rPr>
        <w:t>T</w:t>
      </w:r>
      <w:r>
        <w:rPr>
          <w:lang w:eastAsia="zh-CN"/>
        </w:rPr>
        <w:t xml:space="preserve">o be more specific, </w:t>
      </w:r>
      <w:r>
        <w:rPr>
          <w:lang w:eastAsia="zh-CN"/>
        </w:rPr>
        <w:t>HNB is a Customer Premise Equipment that offers the Uu Interface to the UE. It provides RAN connectivity and supports RNC like functions as well as UE registration over Iuh.</w:t>
      </w:r>
      <w:r>
        <w:rPr>
          <w:lang w:eastAsia="zh-CN"/>
        </w:rPr>
        <w:t xml:space="preserve"> </w:t>
      </w:r>
      <w:r>
        <w:rPr>
          <w:lang w:eastAsia="zh-CN"/>
        </w:rPr>
        <w:t>HNB Gateway (HNB-GW) terminates Iuh from HNB</w:t>
      </w:r>
      <w:r>
        <w:rPr>
          <w:lang w:eastAsia="zh-CN"/>
        </w:rPr>
        <w:t xml:space="preserve"> and appears</w:t>
      </w:r>
      <w:r>
        <w:rPr>
          <w:lang w:eastAsia="zh-CN"/>
        </w:rPr>
        <w:t xml:space="preserve"> as an RNC to the existing Core network using existing Iu interface. It supports HNB registration and UE registration over Iuh.</w:t>
      </w:r>
    </w:p>
    <w:p>
      <w:pPr>
        <w:pStyle w:val="Normal"/>
        <w:rPr/>
      </w:pPr>
      <w:r>
        <w:rPr>
          <w:lang w:eastAsia="zh-CN"/>
        </w:rPr>
        <w:t xml:space="preserve">Based on the above </w:t>
      </w:r>
      <w:r>
        <w:rPr>
          <w:lang w:eastAsia="zh-CN"/>
        </w:rPr>
        <w:t>characteristics</w:t>
      </w:r>
      <w:r>
        <w:rPr>
          <w:lang w:eastAsia="zh-CN"/>
        </w:rPr>
        <w:t xml:space="preserve">, this specification defines </w:t>
      </w:r>
      <w:r>
        <w:rPr>
          <w:lang w:eastAsia="zh-CN"/>
        </w:rPr>
        <w:t xml:space="preserve">respective HNS NRM IRP </w:t>
      </w:r>
      <w:r>
        <w:rPr>
          <w:lang w:eastAsia="zh-CN"/>
        </w:rPr>
        <w:t>requirements</w:t>
      </w:r>
      <w:r>
        <w:rPr>
          <w:lang w:eastAsia="zh-CN"/>
        </w:rPr>
        <w:t>.</w:t>
      </w:r>
    </w:p>
    <w:p>
      <w:pPr>
        <w:pStyle w:val="Heading1"/>
        <w:ind w:left="1134" w:hanging="1134"/>
        <w:rPr>
          <w:lang w:eastAsia="zh-CN"/>
        </w:rPr>
      </w:pPr>
      <w:bookmarkStart w:id="18" w:name="__RefHeading___Toc339594603"/>
      <w:bookmarkEnd w:id="18"/>
      <w:r>
        <w:rPr>
          <w:lang w:eastAsia="zh-CN"/>
        </w:rPr>
        <w:t>5</w:t>
        <w:tab/>
        <w:t>Requirements</w:t>
      </w:r>
    </w:p>
    <w:p>
      <w:pPr>
        <w:pStyle w:val="Normal"/>
        <w:rPr/>
      </w:pPr>
      <w:r>
        <w:rPr/>
        <w:t>The following general and high-level requirements apply for the present IRP:</w:t>
      </w:r>
    </w:p>
    <w:p>
      <w:pPr>
        <w:pStyle w:val="B1"/>
        <w:rPr/>
      </w:pPr>
      <w:r>
        <w:rPr/>
        <w:t>a)</w:t>
        <w:tab/>
        <w:t>IRP-related requirements in 3GPP TS 32.101 [</w:t>
      </w:r>
      <w:r>
        <w:rPr>
          <w:lang w:eastAsia="zh-CN"/>
        </w:rPr>
        <w:t>2</w:t>
      </w:r>
      <w:r>
        <w:rPr/>
        <w:t>].</w:t>
      </w:r>
    </w:p>
    <w:p>
      <w:pPr>
        <w:pStyle w:val="B1"/>
        <w:rPr/>
      </w:pPr>
      <w:r>
        <w:rPr/>
        <w:t>b)</w:t>
        <w:tab/>
        <w:t>IRP-related requirements in 3GPP TS 32.102 [</w:t>
      </w:r>
      <w:r>
        <w:rPr>
          <w:lang w:eastAsia="zh-CN"/>
        </w:rPr>
        <w:t>3</w:t>
      </w:r>
      <w:r>
        <w:rPr/>
        <w:t>].</w:t>
      </w:r>
    </w:p>
    <w:p>
      <w:pPr>
        <w:pStyle w:val="B1"/>
        <w:rPr/>
      </w:pPr>
      <w:r>
        <w:rPr/>
        <w:t>c)</w:t>
        <w:tab/>
        <w:t>IRP-related requirements in 3GPP TS 32.600 [</w:t>
      </w:r>
      <w:r>
        <w:rPr>
          <w:lang w:eastAsia="zh-CN"/>
        </w:rPr>
        <w:t>4</w:t>
      </w:r>
      <w:r>
        <w:rPr/>
        <w:t>].</w:t>
      </w:r>
    </w:p>
    <w:p>
      <w:pPr>
        <w:pStyle w:val="Normal"/>
        <w:rPr/>
      </w:pPr>
      <w:r>
        <w:rPr/>
        <w:t>The NRM defined by this IRP:</w:t>
      </w:r>
    </w:p>
    <w:p>
      <w:pPr>
        <w:pStyle w:val="B1"/>
        <w:rPr/>
      </w:pPr>
      <w:r>
        <w:rPr/>
        <w:t>d)</w:t>
        <w:tab/>
        <w:t xml:space="preserve">Shall support communications for </w:t>
      </w:r>
      <w:r>
        <w:rPr>
          <w:lang w:val="en-US"/>
        </w:rPr>
        <w:t xml:space="preserve">telecommunication network management purposes, including management of converged networks. </w:t>
      </w:r>
    </w:p>
    <w:p>
      <w:pPr>
        <w:pStyle w:val="B1"/>
        <w:rPr/>
      </w:pPr>
      <w:r>
        <w:rPr>
          <w:lang w:val="en-US"/>
        </w:rPr>
        <w:t>e)</w:t>
        <w:tab/>
        <w:t xml:space="preserve">Is a member of the Federated Network Information Model (FNIM) </w:t>
      </w:r>
      <w:r>
        <w:rPr/>
        <w:t xml:space="preserve">[8] and its information is derived from FNIM Umbrella Information Model (UIM) [9]  </w:t>
      </w:r>
    </w:p>
    <w:p>
      <w:pPr>
        <w:pStyle w:val="Normal"/>
        <w:rPr>
          <w:lang w:eastAsia="zh-CN"/>
        </w:rPr>
      </w:pPr>
      <w:r>
        <w:rPr/>
        <w:t>In addition to the above, the following more specific requirements apply:</w:t>
      </w:r>
    </w:p>
    <w:p>
      <w:pPr>
        <w:pStyle w:val="Normal"/>
        <w:overflowPunct w:val="false"/>
        <w:autoSpaceDE w:val="false"/>
        <w:textAlignment w:val="baseline"/>
        <w:rPr/>
      </w:pPr>
      <w:r>
        <w:rPr>
          <w:b/>
          <w:lang w:eastAsia="zh-CN"/>
        </w:rPr>
        <w:t>REQ-HNS_GW-CON-001</w:t>
        <w:tab/>
        <w:tab/>
      </w:r>
      <w:r>
        <w:rPr/>
        <w:t xml:space="preserve">The Network Resource Model </w:t>
      </w:r>
      <w:r>
        <w:rPr/>
        <w:t>defined</w:t>
      </w:r>
      <w:r>
        <w:rPr/>
        <w:t xml:space="preserve"> by this IRP shall contain </w:t>
      </w:r>
      <w:r>
        <w:rPr/>
        <w:t>HNB GW</w:t>
      </w:r>
      <w:r>
        <w:rPr/>
        <w:t xml:space="preserve"> specific IOCs and related definitions.</w:t>
      </w:r>
    </w:p>
    <w:p>
      <w:pPr>
        <w:pStyle w:val="Normal"/>
        <w:overflowPunct w:val="false"/>
        <w:autoSpaceDE w:val="false"/>
        <w:textAlignment w:val="baseline"/>
        <w:rPr/>
      </w:pPr>
      <w:r>
        <w:rPr>
          <w:b/>
          <w:lang w:eastAsia="zh-CN"/>
        </w:rPr>
        <w:t>REQ-HNS_GW-CON-002</w:t>
        <w:tab/>
      </w:r>
      <w:r>
        <w:rPr>
          <w:lang w:eastAsia="zh-CN"/>
        </w:rPr>
        <w:tab/>
      </w:r>
      <w:r>
        <w:rPr/>
        <w:t xml:space="preserve">The Network Resource Model </w:t>
      </w:r>
      <w:r>
        <w:rPr/>
        <w:t>defined</w:t>
      </w:r>
      <w:r>
        <w:rPr/>
        <w:t xml:space="preserve"> by this IRP shall provide support for enabling consistency between </w:t>
      </w:r>
      <w:r>
        <w:rPr/>
        <w:t>HNB GW</w:t>
      </w:r>
      <w:r>
        <w:rPr>
          <w:lang w:eastAsia="zh-CN"/>
        </w:rPr>
        <w:t>,</w:t>
      </w:r>
      <w:r>
        <w:rPr/>
        <w:t xml:space="preserve"> </w:t>
      </w:r>
      <w:r>
        <w:rPr/>
        <w:t>HNB</w:t>
      </w:r>
      <w:r>
        <w:rPr>
          <w:lang w:eastAsia="zh-CN"/>
        </w:rPr>
        <w:t xml:space="preserve"> and related core network nodes.</w:t>
      </w:r>
    </w:p>
    <w:p>
      <w:pPr>
        <w:pStyle w:val="Normal"/>
        <w:overflowPunct w:val="false"/>
        <w:autoSpaceDE w:val="false"/>
        <w:textAlignment w:val="baseline"/>
        <w:rPr>
          <w:lang w:eastAsia="zh-CN"/>
        </w:rPr>
      </w:pPr>
      <w:r>
        <w:rPr>
          <w:b/>
          <w:lang w:eastAsia="zh-CN"/>
        </w:rPr>
        <w:t>REQ-HNS_GW-CON-003</w:t>
        <w:tab/>
        <w:tab/>
      </w:r>
      <w:r>
        <w:rPr/>
        <w:t>The NRM specified by this IRP</w:t>
      </w:r>
      <w:r>
        <w:rPr>
          <w:lang w:eastAsia="zh-CN"/>
        </w:rPr>
        <w:t xml:space="preserve"> shall be able to view </w:t>
      </w:r>
      <w:r>
        <w:rPr/>
        <w:t xml:space="preserve">configuration </w:t>
      </w:r>
      <w:r>
        <w:rPr>
          <w:lang w:eastAsia="zh-CN"/>
        </w:rPr>
        <w:t xml:space="preserve">information </w:t>
      </w:r>
      <w:r>
        <w:rPr/>
        <w:t xml:space="preserve">of the </w:t>
      </w:r>
      <w:r>
        <w:rPr>
          <w:lang w:eastAsia="zh-CN"/>
        </w:rPr>
        <w:t>HNB GW entity</w:t>
      </w:r>
      <w:r>
        <w:rPr/>
        <w:t xml:space="preserve">. More </w:t>
      </w:r>
      <w:r>
        <w:rPr>
          <w:lang w:eastAsia="zh-CN"/>
        </w:rPr>
        <w:t xml:space="preserve">detailed information is as </w:t>
      </w:r>
      <w:r>
        <w:rPr>
          <w:lang w:eastAsia="zh-CN"/>
        </w:rPr>
        <w:t>follows</w:t>
      </w:r>
      <w:r>
        <w:rPr/>
        <w:t>:</w:t>
      </w:r>
    </w:p>
    <w:p>
      <w:pPr>
        <w:pStyle w:val="B1"/>
        <w:rPr/>
      </w:pPr>
      <w:r>
        <w:rPr>
          <w:lang w:eastAsia="zh-CN"/>
        </w:rPr>
        <w:t>S</w:t>
      </w:r>
      <w:r>
        <w:rPr/>
        <w:t xml:space="preserve">hall allow for the viewing of </w:t>
      </w:r>
      <w:r>
        <w:rPr>
          <w:lang w:eastAsia="zh-CN"/>
        </w:rPr>
        <w:t xml:space="preserve">basic configuration information including version, equipment type, equipment provider and unique </w:t>
      </w:r>
      <w:r>
        <w:rPr>
          <w:lang w:eastAsia="zh-CN"/>
        </w:rPr>
        <w:t>identification</w:t>
      </w:r>
      <w:r>
        <w:rPr>
          <w:lang w:eastAsia="zh-CN"/>
        </w:rPr>
        <w:t>, etc.</w:t>
      </w:r>
    </w:p>
    <w:p>
      <w:pPr>
        <w:pStyle w:val="B1"/>
        <w:rPr/>
      </w:pPr>
      <w:r>
        <w:rPr>
          <w:rFonts w:eastAsia="Times New Roman"/>
          <w:lang w:eastAsia="zh-CN"/>
        </w:rPr>
        <w:t xml:space="preserve"> </w:t>
      </w:r>
      <w:r>
        <w:rPr>
          <w:lang w:eastAsia="zh-CN"/>
        </w:rPr>
        <w:t xml:space="preserve">Shall allow for the viewing </w:t>
      </w:r>
      <w:r>
        <w:rPr>
          <w:lang w:eastAsia="zh-CN"/>
        </w:rPr>
        <w:t>of network</w:t>
      </w:r>
      <w:r>
        <w:rPr>
          <w:lang w:eastAsia="zh-CN"/>
        </w:rPr>
        <w:t xml:space="preserve"> configuration information including IP address, sub-network mask, default gateway and port configuration information, etc.</w:t>
      </w:r>
    </w:p>
    <w:p>
      <w:pPr>
        <w:pStyle w:val="B1"/>
        <w:rPr>
          <w:lang w:val="en-US" w:eastAsia="zh-CN"/>
        </w:rPr>
      </w:pPr>
      <w:r>
        <w:rPr>
          <w:lang w:eastAsia="zh-CN"/>
        </w:rPr>
        <w:t>S</w:t>
      </w:r>
      <w:r>
        <w:rPr>
          <w:lang w:eastAsia="zh-CN"/>
        </w:rPr>
        <w:t xml:space="preserve">hall allow for the viewing of service related configuration </w:t>
      </w:r>
      <w:r>
        <w:rPr>
          <w:lang w:eastAsia="zh-CN"/>
        </w:rPr>
        <w:t>information, for</w:t>
      </w:r>
      <w:r>
        <w:rPr>
          <w:lang w:eastAsia="zh-CN"/>
        </w:rPr>
        <w:t xml:space="preserve"> example the maximum number of HNB to be </w:t>
      </w:r>
      <w:r>
        <w:rPr>
          <w:lang w:eastAsia="zh-CN"/>
        </w:rPr>
        <w:t>registered, the</w:t>
      </w:r>
      <w:r>
        <w:rPr>
          <w:lang w:eastAsia="zh-CN"/>
        </w:rPr>
        <w:t xml:space="preserve"> maximum number </w:t>
      </w:r>
      <w:r>
        <w:rPr>
          <w:lang w:eastAsia="zh-CN"/>
        </w:rPr>
        <w:t>of packets</w:t>
      </w:r>
      <w:r>
        <w:rPr>
          <w:lang w:eastAsia="zh-CN"/>
        </w:rPr>
        <w:t xml:space="preserve"> to be forwarded, etc.</w:t>
      </w:r>
    </w:p>
    <w:p>
      <w:pPr>
        <w:pStyle w:val="Normal"/>
        <w:overflowPunct w:val="false"/>
        <w:autoSpaceDE w:val="false"/>
        <w:textAlignment w:val="baseline"/>
        <w:rPr/>
      </w:pPr>
      <w:r>
        <w:rPr>
          <w:b/>
          <w:lang w:eastAsia="zh-CN"/>
        </w:rPr>
        <w:t>REQ-HNS_GW-CON-004</w:t>
        <w:tab/>
        <w:tab/>
      </w:r>
      <w:r>
        <w:rPr/>
        <w:t>The NRM specified by this IRP</w:t>
      </w:r>
      <w:r>
        <w:rPr/>
        <w:t xml:space="preserve"> shall </w:t>
      </w:r>
      <w:r>
        <w:rPr>
          <w:lang w:eastAsia="zh-CN"/>
        </w:rPr>
        <w:t xml:space="preserve">capture Iuh interface information </w:t>
      </w:r>
      <w:r>
        <w:rPr>
          <w:lang w:eastAsia="zh-CN"/>
        </w:rPr>
        <w:t>of HNB</w:t>
      </w:r>
      <w:r>
        <w:rPr>
          <w:lang w:eastAsia="zh-CN"/>
        </w:rPr>
        <w:t xml:space="preserve"> GW.</w:t>
      </w:r>
      <w:r>
        <w:rPr/>
        <w:t xml:space="preserve"> More </w:t>
      </w:r>
      <w:r>
        <w:rPr/>
        <w:t xml:space="preserve">detailed information is as </w:t>
      </w:r>
      <w:r>
        <w:rPr/>
        <w:t>follows:</w:t>
      </w:r>
    </w:p>
    <w:p>
      <w:pPr>
        <w:pStyle w:val="B1"/>
        <w:rPr/>
      </w:pPr>
      <w:r>
        <w:rPr>
          <w:lang w:eastAsia="zh-CN"/>
        </w:rPr>
        <w:t>S</w:t>
      </w:r>
      <w:r>
        <w:rPr>
          <w:lang w:eastAsia="zh-CN"/>
        </w:rPr>
        <w:t xml:space="preserve">hall allow for the viewing of basic configuration information including Iuh </w:t>
      </w:r>
      <w:r>
        <w:rPr>
          <w:lang w:eastAsia="zh-CN"/>
        </w:rPr>
        <w:t>identification</w:t>
      </w:r>
      <w:r>
        <w:rPr>
          <w:lang w:eastAsia="zh-CN"/>
        </w:rPr>
        <w:t xml:space="preserve"> etc.</w:t>
      </w:r>
    </w:p>
    <w:p>
      <w:pPr>
        <w:pStyle w:val="B1"/>
        <w:rPr/>
      </w:pPr>
      <w:r>
        <w:rPr>
          <w:lang w:eastAsia="zh-CN"/>
        </w:rPr>
        <w:t>S</w:t>
      </w:r>
      <w:r>
        <w:rPr>
          <w:lang w:eastAsia="zh-CN"/>
        </w:rPr>
        <w:t xml:space="preserve">hall allow for the viewing of network configuration information including SCTP management </w:t>
      </w:r>
      <w:r>
        <w:rPr>
          <w:lang w:eastAsia="zh-CN"/>
        </w:rPr>
        <w:t>information</w:t>
      </w:r>
      <w:r>
        <w:rPr>
          <w:lang w:eastAsia="zh-CN"/>
        </w:rPr>
        <w:t>, etc.</w:t>
      </w:r>
    </w:p>
    <w:p>
      <w:pPr>
        <w:pStyle w:val="Normal"/>
        <w:overflowPunct w:val="false"/>
        <w:autoSpaceDE w:val="false"/>
        <w:textAlignment w:val="baseline"/>
        <w:rPr>
          <w:lang w:val="en-US"/>
        </w:rPr>
      </w:pPr>
      <w:r>
        <w:rPr>
          <w:b/>
          <w:lang w:eastAsia="zh-CN"/>
        </w:rPr>
        <w:t>REQ-HNS_GW-CON-005</w:t>
        <w:tab/>
        <w:tab/>
      </w:r>
      <w:r>
        <w:rPr>
          <w:lang w:eastAsia="zh-CN"/>
        </w:rPr>
        <w:t>The NRM specified by this IRP shall capture the identity of registered HNB</w:t>
      </w:r>
      <w:r>
        <w:rPr>
          <w:lang w:eastAsia="zh-CN"/>
        </w:rPr>
        <w:t>.</w:t>
      </w:r>
      <w:r>
        <w:rPr>
          <w:lang w:eastAsia="zh-CN"/>
        </w:rPr>
        <w:t xml:space="preserve"> </w:t>
      </w:r>
      <w:r>
        <w:br w:type="page"/>
      </w:r>
    </w:p>
    <w:p>
      <w:pPr>
        <w:pStyle w:val="Heading8"/>
        <w:ind w:left="0" w:hanging="0"/>
        <w:rPr/>
      </w:pPr>
      <w:bookmarkStart w:id="19" w:name="__RefHeading___Toc339594604"/>
      <w:bookmarkEnd w:id="19"/>
      <w:r>
        <w:rPr/>
        <w:t>Annex A (informative):</w:t>
        <w:br/>
        <w:t>Change history</w:t>
      </w:r>
    </w:p>
    <w:tbl>
      <w:tblPr>
        <w:tblW w:w="9721" w:type="dxa"/>
        <w:jc w:val="left"/>
        <w:tblInd w:w="-47" w:type="dxa"/>
        <w:tblLayout w:type="fixed"/>
        <w:tblCellMar>
          <w:top w:w="0" w:type="dxa"/>
          <w:left w:w="40" w:type="dxa"/>
          <w:bottom w:w="0" w:type="dxa"/>
          <w:right w:w="40" w:type="dxa"/>
        </w:tblCellMar>
      </w:tblPr>
      <w:tblGrid>
        <w:gridCol w:w="765"/>
        <w:gridCol w:w="670"/>
        <w:gridCol w:w="792"/>
        <w:gridCol w:w="429"/>
        <w:gridCol w:w="374"/>
        <w:gridCol w:w="5041"/>
        <w:gridCol w:w="596"/>
        <w:gridCol w:w="525"/>
        <w:gridCol w:w="529"/>
      </w:tblGrid>
      <w:tr>
        <w:trPr>
          <w:cantSplit w:val="true"/>
        </w:trPr>
        <w:tc>
          <w:tcPr>
            <w:tcW w:w="9721" w:type="dxa"/>
            <w:gridSpan w:val="9"/>
            <w:tcBorders>
              <w:top w:val="single" w:sz="6" w:space="0" w:color="000000"/>
              <w:left w:val="single" w:sz="6" w:space="0" w:color="000000"/>
              <w:right w:val="single" w:sz="6" w:space="0" w:color="000000"/>
            </w:tcBorders>
            <w:shd w:fill="FFFFFF" w:val="clear"/>
          </w:tcPr>
          <w:p>
            <w:pPr>
              <w:pStyle w:val="TAH"/>
              <w:rPr/>
            </w:pPr>
            <w:r>
              <w:rPr/>
              <w:t>Change history</w:t>
            </w:r>
          </w:p>
        </w:tc>
      </w:tr>
      <w:tr>
        <w:trPr/>
        <w:tc>
          <w:tcPr>
            <w:tcW w:w="76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Date</w:t>
            </w:r>
          </w:p>
        </w:tc>
        <w:tc>
          <w:tcPr>
            <w:tcW w:w="670"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w:t>
            </w:r>
          </w:p>
        </w:tc>
        <w:tc>
          <w:tcPr>
            <w:tcW w:w="792"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TSG Doc.</w:t>
            </w:r>
          </w:p>
        </w:tc>
        <w:tc>
          <w:tcPr>
            <w:tcW w:w="429"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CR</w:t>
            </w:r>
          </w:p>
        </w:tc>
        <w:tc>
          <w:tcPr>
            <w:tcW w:w="374"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Rev</w:t>
            </w:r>
          </w:p>
        </w:tc>
        <w:tc>
          <w:tcPr>
            <w:tcW w:w="5041"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Subject/Comment</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rFonts w:eastAsia="MS Mincho;ＭＳ 明朝" w:cs="Arial"/>
                <w:b/>
                <w:bCs/>
                <w:color w:val="000000"/>
                <w:sz w:val="16"/>
                <w:szCs w:val="16"/>
                <w:lang w:eastAsia="ja-JP"/>
              </w:rPr>
              <w:t>Cat</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Old</w:t>
            </w:r>
          </w:p>
        </w:tc>
        <w:tc>
          <w:tcPr>
            <w:tcW w:w="529" w:type="dxa"/>
            <w:tcBorders>
              <w:top w:val="single" w:sz="6" w:space="0" w:color="000000"/>
              <w:left w:val="single" w:sz="6" w:space="0" w:color="000000"/>
              <w:bottom w:val="single" w:sz="6" w:space="0" w:color="000000"/>
              <w:right w:val="single" w:sz="6" w:space="0" w:color="000000"/>
            </w:tcBorders>
            <w:shd w:fill="E5E5E5" w:val="clear"/>
          </w:tcPr>
          <w:p>
            <w:pPr>
              <w:pStyle w:val="TAL"/>
              <w:rPr>
                <w:b/>
                <w:b/>
                <w:color w:val="000000"/>
                <w:sz w:val="16"/>
              </w:rPr>
            </w:pPr>
            <w:r>
              <w:rPr>
                <w:b/>
                <w:color w:val="000000"/>
                <w:sz w:val="16"/>
              </w:rPr>
              <w:t>New</w:t>
            </w:r>
          </w:p>
        </w:tc>
      </w:tr>
      <w:tr>
        <w:trPr/>
        <w:tc>
          <w:tcPr>
            <w:tcW w:w="76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2014-06</w:t>
            </w:r>
          </w:p>
        </w:tc>
        <w:tc>
          <w:tcPr>
            <w:tcW w:w="670"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SA#64</w:t>
            </w:r>
          </w:p>
        </w:tc>
        <w:tc>
          <w:tcPr>
            <w:tcW w:w="792"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SP-140360</w:t>
            </w:r>
          </w:p>
        </w:tc>
        <w:tc>
          <w:tcPr>
            <w:tcW w:w="429"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001</w:t>
            </w:r>
          </w:p>
        </w:tc>
        <w:tc>
          <w:tcPr>
            <w:tcW w:w="374"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4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596"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F</w:t>
            </w:r>
          </w:p>
        </w:tc>
        <w:tc>
          <w:tcPr>
            <w:tcW w:w="525"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11.0.0</w:t>
            </w:r>
          </w:p>
        </w:tc>
        <w:tc>
          <w:tcPr>
            <w:tcW w:w="529"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11.1.0</w:t>
            </w:r>
          </w:p>
        </w:tc>
      </w:tr>
      <w:tr>
        <w:trPr/>
        <w:tc>
          <w:tcPr>
            <w:tcW w:w="76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2014-10</w:t>
            </w:r>
          </w:p>
        </w:tc>
        <w:tc>
          <w:tcPr>
            <w:tcW w:w="67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79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9"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4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color w:val="000000"/>
                <w:sz w:val="16"/>
                <w:szCs w:val="16"/>
              </w:rPr>
              <w:t>Update to Rel-12 version (MCC)</w:t>
            </w:r>
          </w:p>
        </w:tc>
        <w:tc>
          <w:tcPr>
            <w:tcW w:w="59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11.1.0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12.0.0</w:t>
            </w:r>
          </w:p>
        </w:tc>
      </w:tr>
      <w:tr>
        <w:trPr/>
        <w:tc>
          <w:tcPr>
            <w:tcW w:w="76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2016-01</w:t>
            </w:r>
          </w:p>
        </w:tc>
        <w:tc>
          <w:tcPr>
            <w:tcW w:w="67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79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9"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4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Update to Rel-13 version (MCC)</w:t>
            </w:r>
          </w:p>
        </w:tc>
        <w:tc>
          <w:tcPr>
            <w:tcW w:w="59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12.0.0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b/>
                <w:b/>
                <w:color w:val="000000"/>
                <w:sz w:val="16"/>
                <w:szCs w:val="16"/>
              </w:rPr>
            </w:pPr>
            <w:r>
              <w:rPr>
                <w:b/>
                <w:color w:val="000000"/>
                <w:sz w:val="16"/>
                <w:szCs w:val="16"/>
              </w:rPr>
              <w:t>13.0.0</w:t>
            </w:r>
          </w:p>
        </w:tc>
      </w:tr>
      <w:tr>
        <w:trPr/>
        <w:tc>
          <w:tcPr>
            <w:tcW w:w="76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2017-03</w:t>
            </w:r>
          </w:p>
        </w:tc>
        <w:tc>
          <w:tcPr>
            <w:tcW w:w="670"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SA#75</w:t>
            </w:r>
          </w:p>
        </w:tc>
        <w:tc>
          <w:tcPr>
            <w:tcW w:w="792"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429"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374"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w:t>
            </w:r>
          </w:p>
        </w:tc>
        <w:tc>
          <w:tcPr>
            <w:tcW w:w="504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Promotion to Release 14 without technical change</w:t>
            </w:r>
          </w:p>
        </w:tc>
        <w:tc>
          <w:tcPr>
            <w:tcW w:w="596"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color w:val="000000"/>
                <w:sz w:val="16"/>
                <w:szCs w:val="16"/>
                <w:lang w:eastAsia="zh-CN"/>
              </w:rPr>
            </w:pPr>
            <w:r>
              <w:rPr>
                <w:color w:val="000000"/>
                <w:sz w:val="16"/>
                <w:szCs w:val="16"/>
                <w:lang w:eastAsia="zh-CN"/>
              </w:rPr>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rPr>
            </w:pPr>
            <w:r>
              <w:rPr>
                <w:color w:val="000000"/>
                <w:sz w:val="16"/>
                <w:szCs w:val="16"/>
              </w:rPr>
              <w:t>13.0.0</w:t>
            </w:r>
          </w:p>
        </w:tc>
        <w:tc>
          <w:tcPr>
            <w:tcW w:w="529"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b/>
                <w:color w:val="000000"/>
                <w:sz w:val="16"/>
                <w:szCs w:val="16"/>
              </w:rPr>
              <w:t>14.0.0</w:t>
            </w:r>
          </w:p>
        </w:tc>
      </w:tr>
    </w:tbl>
    <w:p>
      <w:pPr>
        <w:pStyle w:val="Normal"/>
        <w:rPr>
          <w:rFonts w:ascii="Arial" w:hAnsi="Arial" w:cs="Arial"/>
          <w:color w:val="0000FF"/>
          <w:kern w:val="2"/>
          <w:lang w:val="en-US" w:eastAsia="zh-CN"/>
        </w:rPr>
      </w:pPr>
      <w:r>
        <w:rPr>
          <w:rFonts w:cs="Arial" w:ascii="Arial" w:hAnsi="Arial"/>
          <w:color w:val="0000FF"/>
          <w:kern w:val="2"/>
          <w:lang w:val="en-US" w:eastAsia="zh-CN"/>
        </w:rPr>
      </w:r>
      <w:bookmarkStart w:id="20" w:name="historyclause"/>
      <w:bookmarkStart w:id="21" w:name="historyclause"/>
      <w:bookmarkEnd w:id="21"/>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rFonts w:ascii="Arial" w:hAnsi="Arial" w:cs="Arial"/>
          <w:color w:val="0000FF"/>
          <w:kern w:val="2"/>
          <w:lang w:val="en-US" w:eastAsia="zh-CN"/>
        </w:rPr>
      </w:pPr>
      <w:r>
        <w:rPr>
          <w:rFonts w:cs="Arial" w:ascii="Arial" w:hAnsi="Arial"/>
          <w:color w:val="0000FF"/>
          <w:kern w:val="2"/>
          <w:lang w:val="en-US" w:eastAsia="zh-CN"/>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Geneva">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28.671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28.671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6121400" cy="262890"/>
              <wp:effectExtent l="0" t="0" r="0" b="0"/>
              <wp:wrapSquare wrapText="largest"/>
              <wp:docPr id="16" name="Frame12"/>
              <a:graphic xmlns:a="http://schemas.openxmlformats.org/drawingml/2006/main">
                <a:graphicData uri="http://schemas.microsoft.com/office/word/2010/wordprocessingShape">
                  <wps:wsp>
                    <wps:cNvSpPr txBox="1"/>
                    <wps:spPr>
                      <a:xfrm>
                        <a:off x="0" y="0"/>
                        <a:ext cx="6121400" cy="262890"/>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p>
                        <w:p>
                          <w:pPr>
                            <w:pStyle w:val="Header"/>
                            <w:widowControl/>
                            <w:rPr/>
                          </w:pPr>
                          <w:r>
                            <w:rPr/>
                          </w:r>
                          <w:r>
                            <w:rPr/>
                            <w:fldChar w:fldCharType="end"/>
                          </w:r>
                        </w:p>
                      </w:txbxContent>
                    </wps:txbx>
                    <wps:bodyPr anchor="t" lIns="0" tIns="0" rIns="0" bIns="0">
                      <a:noAutofit/>
                    </wps:bodyPr>
                  </wps:wsp>
                </a:graphicData>
              </a:graphic>
            </wp:anchor>
          </w:drawing>
        </mc:Choice>
        <mc:Fallback>
          <w:pict>
            <v:rect fillcolor="#FFFFFF" style="position:absolute;rotation:-0;width:482pt;height:20.7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p>
                  <w:p>
                    <w:pPr>
                      <w:pStyle w:val="Header"/>
                      <w:widowControl/>
                      <w:rPr/>
                    </w:pPr>
                    <w:r>
                      <w:rPr/>
                    </w:r>
                    <w:r>
                      <w:rPr/>
                      <w:fldChar w:fldCharType="end"/>
                    </w:r>
                  </w:p>
                </w:txbxContent>
              </v:textbox>
              <w10:wrap type="square" side="largest"/>
            </v:rect>
          </w:pict>
        </mc:Fallback>
      </mc:AlternateContent>
    </w:r>
  </w:p>
  <w:p>
    <w:pPr>
      <w:pStyle w:val="Normal"/>
      <w:widowControl/>
      <w:bidi w:val="0"/>
      <w:spacing w:before="0" w:after="1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6z0">
    <w:name w:val="WW8Num16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style>
  <w:style w:type="character" w:styleId="WW8Num22z0">
    <w:name w:val="WW8Num22z0"/>
    <w:qFormat/>
    <w:rPr/>
  </w:style>
  <w:style w:type="character" w:styleId="WW8Num22z3">
    <w:name w:val="WW8Num22z3"/>
    <w:qFormat/>
    <w:rPr>
      <w:rFonts w:ascii="Symbol" w:hAnsi="Symbol" w:cs="Symbol"/>
    </w:rPr>
  </w:style>
  <w:style w:type="character" w:styleId="WW8Num22z4">
    <w:name w:val="WW8Num22z4"/>
    <w:qFormat/>
    <w:rPr>
      <w:rFonts w:ascii="Courier New" w:hAnsi="Courier New" w:cs="Courier New"/>
    </w:rPr>
  </w:style>
  <w:style w:type="character" w:styleId="WW8Num22z5">
    <w:name w:val="WW8Num22z5"/>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7z0">
    <w:name w:val="WW8Num27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tyle>
  <w:style w:type="character" w:styleId="WW8Num34z0">
    <w:name w:val="WW8Num34z0"/>
    <w:qFormat/>
    <w:rPr>
      <w:rFonts w:ascii="Arial" w:hAnsi="Arial" w:eastAsia="Times New Roman" w:cs="Aria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style>
  <w:style w:type="character" w:styleId="WW8Num36z0">
    <w:name w:val="WW8Num36z0"/>
    <w:qFormat/>
    <w:rPr/>
  </w:style>
  <w:style w:type="character" w:styleId="WW8Num37z0">
    <w:name w:val="WW8Num37z0"/>
    <w:qFormat/>
    <w:rPr/>
  </w:style>
  <w:style w:type="character" w:styleId="WW8Num38z0">
    <w:name w:val="WW8Num38z0"/>
    <w:qFormat/>
    <w:rPr>
      <w:rFonts w:ascii="Symbol" w:hAnsi="Symbol" w:cs="Symbol"/>
    </w:rPr>
  </w:style>
  <w:style w:type="character" w:styleId="WW8Num39z0">
    <w:name w:val="WW8Num39z0"/>
    <w:qFormat/>
    <w:rPr>
      <w:rFonts w:ascii="ZapfDingbats" w:hAnsi="ZapfDingbats" w:cs="ZapfDingbats"/>
      <w:b/>
      <w:i w:val="false"/>
      <w:color w:val="70CEF5"/>
      <w:sz w:val="20"/>
      <w:szCs w:val="20"/>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style>
  <w:style w:type="character" w:styleId="WW8Num41z0">
    <w:name w:val="WW8Num4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6z0">
    <w:name w:val="WW8NumSt36z0"/>
    <w:qFormat/>
    <w:rPr>
      <w:rFonts w:ascii="Geneva" w:hAnsi="Geneva" w:cs="Geneva"/>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THChar">
    <w:name w:val="TH Char"/>
    <w:qFormat/>
    <w:rPr>
      <w:rFonts w:ascii="Arial" w:hAnsi="Arial" w:cs="Arial"/>
      <w:b/>
      <w:lang w:val="en-GB" w:bidi="ar-SA"/>
    </w:rPr>
  </w:style>
  <w:style w:type="character" w:styleId="CommentTextChar">
    <w:name w:val="Comment Text Char"/>
    <w:qFormat/>
    <w:rPr>
      <w:lang w:val="en-GB" w:bidi="ar-SA"/>
    </w:rPr>
  </w:style>
  <w:style w:type="character" w:styleId="Heading4Char">
    <w:name w:val="Heading 4 Char"/>
    <w:qFormat/>
    <w:rPr>
      <w:rFonts w:ascii="Arial" w:hAnsi="Arial" w:cs="Arial"/>
      <w:sz w:val="24"/>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CharCharCharCharCharChar1CharCharCharCharCharChar">
    <w:name w:val=" Char Char Char Char Char Char1 Char Char Char Char Char Char"/>
    <w:qFormat/>
    <w:pPr>
      <w:keepNext w:val="true"/>
      <w:widowControl/>
      <w:numPr>
        <w:ilvl w:val="0"/>
        <w:numId w:val="2"/>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harCharChar">
    <w:name w:val="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
    <w:name w:val="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
    <w:name w:val=" Char Char Char Char"/>
    <w:basedOn w:val="Normal"/>
    <w:qFormat/>
    <w:pPr>
      <w:spacing w:lineRule="exact" w:line="240" w:before="0" w:after="160"/>
    </w:pPr>
    <w:rPr>
      <w:rFonts w:ascii="Arial" w:hAnsi="Arial" w:eastAsia="SimSun;宋体" w:cs="Arial"/>
      <w:szCs w:val="22"/>
      <w:lang w:val="en-US"/>
    </w:rPr>
  </w:style>
  <w:style w:type="paragraph" w:styleId="Tal1">
    <w:name w:val="tal"/>
    <w:basedOn w:val="Normal"/>
    <w:qFormat/>
    <w:pPr>
      <w:spacing w:before="100" w:after="100"/>
    </w:pPr>
    <w:rPr>
      <w:rFonts w:eastAsia="SimSun;宋体"/>
      <w:sz w:val="24"/>
      <w:szCs w:val="24"/>
      <w:lang w:val="en-US" w:eastAsia="zh-CN"/>
    </w:rPr>
  </w:style>
  <w:style w:type="paragraph" w:styleId="Xmsolistbullet">
    <w:name w:val="x_msolistbullet"/>
    <w:basedOn w:val="Normal"/>
    <w:qFormat/>
    <w:pPr>
      <w:spacing w:before="100" w:after="100"/>
    </w:pPr>
    <w:rPr>
      <w:sz w:val="24"/>
      <w:szCs w:val="24"/>
      <w:lang w:val="de-DE"/>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2020-07-09T15:46:00Z</dcterms:created>
  <dc:creator>MCC Support</dc:creator>
  <dc:description/>
  <cp:keywords>Home Node B Subsystem NRM IRP Converged Management</cp:keywords>
  <dc:language>en-US</dc:language>
  <cp:lastModifiedBy>23.401_CR3602R2_(Rel-16)_5GS_Ph1, LTE_feMob-Core, </cp:lastModifiedBy>
  <dcterms:modified xsi:type="dcterms:W3CDTF">2020-07-09T15:46:00Z</dcterms:modified>
  <cp:revision>2</cp:revision>
  <dc:subject>Telecommunication management; Home Node B (HNB) Subsystem (HNS) Network Resource Model (NRM) Integration Reference Point (IRP); Requirements (Release 16)</dc:subject>
  <dc:title>3GPP TS 28.671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1353023342</vt:lpwstr>
  </property>
</Properties>
</file>