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overflowPunct w:val="false"/>
                              <w:autoSpaceDE w:val="false"/>
                              <w:textAlignment w:val="baseline"/>
                              <w:rPr>
                                <w:sz w:val="64"/>
                                <w:lang w:val="en-US" w:eastAsia="en-US"/>
                              </w:rPr>
                            </w:pPr>
                            <w:bookmarkStart w:id="0" w:name="page1"/>
                            <w:bookmarkEnd w:id="0"/>
                            <w:r>
                              <w:rPr>
                                <w:sz w:val="64"/>
                                <w:lang w:val="en-US" w:eastAsia="en-US"/>
                              </w:rPr>
                              <w:t>3GPP TS 2</w:t>
                            </w:r>
                            <w:r>
                              <w:rPr>
                                <w:sz w:val="64"/>
                                <w:lang w:val="en-US" w:eastAsia="en-US"/>
                              </w:rPr>
                              <w:t>8</w:t>
                            </w:r>
                            <w:r>
                              <w:rPr>
                                <w:sz w:val="64"/>
                                <w:lang w:val="en-US" w:eastAsia="en-US"/>
                              </w:rPr>
                              <w:t xml:space="preserve">.674 </w:t>
                            </w:r>
                            <w:r>
                              <w:rPr>
                                <w:szCs w:val="40"/>
                                <w:lang w:val="en-US" w:eastAsia="en-US"/>
                              </w:rPr>
                              <w:t>V16.0.0</w:t>
                            </w:r>
                            <w:r>
                              <w:rPr>
                                <w:sz w:val="64"/>
                                <w:lang w:val="en-US" w:eastAsia="en-US"/>
                              </w:rPr>
                              <w:t xml:space="preserve"> </w:t>
                            </w:r>
                            <w:r>
                              <w:rPr>
                                <w:sz w:val="32"/>
                                <w:szCs w:val="32"/>
                                <w:lang w:val="en-US"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overflowPunct w:val="false"/>
                        <w:autoSpaceDE w:val="false"/>
                        <w:textAlignment w:val="baseline"/>
                        <w:rPr>
                          <w:sz w:val="64"/>
                          <w:lang w:val="en-US" w:eastAsia="en-US"/>
                        </w:rPr>
                      </w:pPr>
                      <w:bookmarkStart w:id="1" w:name="page1"/>
                      <w:bookmarkEnd w:id="1"/>
                      <w:r>
                        <w:rPr>
                          <w:sz w:val="64"/>
                          <w:lang w:val="en-US" w:eastAsia="en-US"/>
                        </w:rPr>
                        <w:t>3GPP TS 2</w:t>
                      </w:r>
                      <w:r>
                        <w:rPr>
                          <w:sz w:val="64"/>
                          <w:lang w:val="en-US" w:eastAsia="en-US"/>
                        </w:rPr>
                        <w:t>8</w:t>
                      </w:r>
                      <w:r>
                        <w:rPr>
                          <w:sz w:val="64"/>
                          <w:lang w:val="en-US" w:eastAsia="en-US"/>
                        </w:rPr>
                        <w:t xml:space="preserve">.674 </w:t>
                      </w:r>
                      <w:r>
                        <w:rPr>
                          <w:szCs w:val="40"/>
                          <w:lang w:val="en-US" w:eastAsia="en-US"/>
                        </w:rPr>
                        <w:t>V16.0.0</w:t>
                      </w:r>
                      <w:r>
                        <w:rPr>
                          <w:sz w:val="64"/>
                          <w:lang w:val="en-US" w:eastAsia="en-US"/>
                        </w:rPr>
                        <w:t xml:space="preserve"> </w:t>
                      </w:r>
                      <w:r>
                        <w:rPr>
                          <w:sz w:val="32"/>
                          <w:szCs w:val="32"/>
                          <w:lang w:val="en-US"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509270</wp:posOffset>
                </wp:positionH>
                <wp:positionV relativeFrom="page">
                  <wp:posOffset>1603375</wp:posOffset>
                </wp:positionV>
                <wp:extent cx="6479540" cy="1986280"/>
                <wp:effectExtent l="0" t="0" r="0" b="0"/>
                <wp:wrapTopAndBottom/>
                <wp:docPr id="3" name="Frame3"/>
                <a:graphic xmlns:a="http://schemas.openxmlformats.org/drawingml/2006/main">
                  <a:graphicData uri="http://schemas.microsoft.com/office/word/2010/wordprocessingShape">
                    <wps:wsp>
                      <wps:cNvSpPr txBox="1"/>
                      <wps:spPr>
                        <a:xfrm>
                          <a:off x="0" y="0"/>
                          <a:ext cx="6479540" cy="19862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lang w:eastAsia="zh-CN"/>
                              </w:rPr>
                            </w:pPr>
                            <w:r>
                              <w:rPr>
                                <w:lang w:eastAsia="zh-CN"/>
                              </w:rPr>
                              <w:t xml:space="preserve">Home </w:t>
                            </w:r>
                            <w:r>
                              <w:rPr>
                                <w:lang w:eastAsia="zh-CN"/>
                              </w:rPr>
                              <w:t xml:space="preserve">enhanced </w:t>
                            </w:r>
                            <w:r>
                              <w:rPr>
                                <w:lang w:eastAsia="zh-CN"/>
                              </w:rPr>
                              <w:t>Node</w:t>
                            </w:r>
                            <w:r>
                              <w:rPr>
                                <w:lang w:eastAsia="zh-CN"/>
                              </w:rPr>
                              <w:t xml:space="preserve"> </w:t>
                            </w:r>
                            <w:r>
                              <w:rPr>
                                <w:lang w:eastAsia="zh-CN"/>
                              </w:rPr>
                              <w:t>B (HeNB)</w:t>
                            </w:r>
                            <w:r>
                              <w:rPr>
                                <w:lang w:eastAsia="zh-CN"/>
                              </w:rPr>
                              <w:t xml:space="preserve"> Subsystem</w:t>
                            </w:r>
                            <w:r>
                              <w:rPr>
                                <w:lang w:eastAsia="zh-CN"/>
                              </w:rPr>
                              <w:t xml:space="preserve"> (</w:t>
                            </w:r>
                            <w:r>
                              <w:rPr>
                                <w:lang w:eastAsia="zh-CN"/>
                              </w:rPr>
                              <w:t>HeNS)</w:t>
                            </w:r>
                            <w:r>
                              <w:rPr>
                                <w:lang w:eastAsia="zh-CN"/>
                              </w:rPr>
                              <w:t xml:space="preserve"> </w:t>
                            </w:r>
                          </w:p>
                          <w:p>
                            <w:pPr>
                              <w:pStyle w:val="ZT"/>
                              <w:rPr>
                                <w:lang w:eastAsia="zh-CN"/>
                              </w:rPr>
                            </w:pPr>
                            <w:r>
                              <w:rPr/>
                              <w:t>Network Resource Model (NRM)</w:t>
                            </w:r>
                          </w:p>
                          <w:p>
                            <w:pPr>
                              <w:pStyle w:val="ZT"/>
                              <w:rPr/>
                            </w:pPr>
                            <w:r>
                              <w:rPr>
                                <w:rFonts w:eastAsia="Arial"/>
                                <w:lang w:eastAsia="zh-CN"/>
                              </w:rPr>
                              <w:t xml:space="preserve"> </w:t>
                            </w:r>
                            <w:r>
                              <w:rPr>
                                <w:lang w:eastAsia="zh-CN"/>
                              </w:rPr>
                              <w:t>Integration Reference Point (IRP)</w:t>
                            </w:r>
                            <w:r>
                              <w:rPr>
                                <w:lang w:eastAsia="zh-CN"/>
                              </w:rPr>
                              <w:t>;</w:t>
                            </w:r>
                          </w:p>
                          <w:p>
                            <w:pPr>
                              <w:pStyle w:val="ZT"/>
                              <w:rPr>
                                <w:lang w:eastAsia="zh-CN"/>
                              </w:rPr>
                            </w:pPr>
                            <w:r>
                              <w:rPr>
                                <w:rFonts w:eastAsia="Arial"/>
                                <w:lang w:eastAsia="zh-CN"/>
                              </w:rPr>
                              <w:t xml:space="preserve"> </w:t>
                            </w:r>
                            <w:r>
                              <w:rPr>
                                <w:lang w:eastAsia="zh-CN"/>
                              </w:rPr>
                              <w:t>Requirements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56.4pt;mso-wrap-distance-left:0pt;mso-wrap-distance-right:0pt;mso-wrap-distance-top:0pt;mso-wrap-distance-bottom:0pt;margin-top:126.25pt;mso-position-vertical-relative:page;margin-left:40.1pt;mso-position-horizontal-relative:page">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lang w:eastAsia="zh-CN"/>
                        </w:rPr>
                      </w:pPr>
                      <w:r>
                        <w:rPr>
                          <w:lang w:eastAsia="zh-CN"/>
                        </w:rPr>
                        <w:t xml:space="preserve">Home </w:t>
                      </w:r>
                      <w:r>
                        <w:rPr>
                          <w:lang w:eastAsia="zh-CN"/>
                        </w:rPr>
                        <w:t xml:space="preserve">enhanced </w:t>
                      </w:r>
                      <w:r>
                        <w:rPr>
                          <w:lang w:eastAsia="zh-CN"/>
                        </w:rPr>
                        <w:t>Node</w:t>
                      </w:r>
                      <w:r>
                        <w:rPr>
                          <w:lang w:eastAsia="zh-CN"/>
                        </w:rPr>
                        <w:t xml:space="preserve"> </w:t>
                      </w:r>
                      <w:r>
                        <w:rPr>
                          <w:lang w:eastAsia="zh-CN"/>
                        </w:rPr>
                        <w:t>B (HeNB)</w:t>
                      </w:r>
                      <w:r>
                        <w:rPr>
                          <w:lang w:eastAsia="zh-CN"/>
                        </w:rPr>
                        <w:t xml:space="preserve"> Subsystem</w:t>
                      </w:r>
                      <w:r>
                        <w:rPr>
                          <w:lang w:eastAsia="zh-CN"/>
                        </w:rPr>
                        <w:t xml:space="preserve"> (</w:t>
                      </w:r>
                      <w:r>
                        <w:rPr>
                          <w:lang w:eastAsia="zh-CN"/>
                        </w:rPr>
                        <w:t>HeNS)</w:t>
                      </w:r>
                      <w:r>
                        <w:rPr>
                          <w:lang w:eastAsia="zh-CN"/>
                        </w:rPr>
                        <w:t xml:space="preserve"> </w:t>
                      </w:r>
                    </w:p>
                    <w:p>
                      <w:pPr>
                        <w:pStyle w:val="ZT"/>
                        <w:rPr>
                          <w:lang w:eastAsia="zh-CN"/>
                        </w:rPr>
                      </w:pPr>
                      <w:r>
                        <w:rPr/>
                        <w:t>Network Resource Model (NRM)</w:t>
                      </w:r>
                    </w:p>
                    <w:p>
                      <w:pPr>
                        <w:pStyle w:val="ZT"/>
                        <w:rPr/>
                      </w:pPr>
                      <w:r>
                        <w:rPr>
                          <w:rFonts w:eastAsia="Arial"/>
                          <w:lang w:eastAsia="zh-CN"/>
                        </w:rPr>
                        <w:t xml:space="preserve"> </w:t>
                      </w:r>
                      <w:r>
                        <w:rPr>
                          <w:lang w:eastAsia="zh-CN"/>
                        </w:rPr>
                        <w:t>Integration Reference Point (IRP)</w:t>
                      </w:r>
                      <w:r>
                        <w:rPr>
                          <w:lang w:eastAsia="zh-CN"/>
                        </w:rPr>
                        <w:t>;</w:t>
                      </w:r>
                    </w:p>
                    <w:p>
                      <w:pPr>
                        <w:pStyle w:val="ZT"/>
                        <w:rPr>
                          <w:lang w:eastAsia="zh-CN"/>
                        </w:rPr>
                      </w:pPr>
                      <w:r>
                        <w:rPr>
                          <w:rFonts w:eastAsia="Arial"/>
                          <w:lang w:eastAsia="zh-CN"/>
                        </w:rPr>
                        <w:t xml:space="preserve"> </w:t>
                      </w:r>
                      <w:r>
                        <w:rPr>
                          <w:lang w:eastAsia="zh-CN"/>
                        </w:rPr>
                        <w:t>Requirements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eastAsia="zh-CN"/>
                              </w:rPr>
                              <w:t>Home enhanced Node B Subsystem, NRM, IRP, Converged Management</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eastAsia="zh-CN"/>
                        </w:rPr>
                        <w:t>Home enhanced Node B Subsystem, NRM, IRP, Converged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5.8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lang w:eastAsia="zh-CN"/>
        </w:rPr>
      </w:pPr>
      <w:bookmarkStart w:id="6" w:name="page2"/>
      <w:bookmarkEnd w:id="6"/>
      <w:r>
        <w:rPr>
          <w:lang w:eastAsia="zh-CN"/>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39594423">
            <w:r>
              <w:rPr>
                <w:rStyle w:val="IndexLink"/>
                <w:rFonts w:eastAsia="SimSun;宋体"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Introduction</w:t>
            <w:tab/>
          </w:r>
          <w:hyperlink w:anchor="__RefHeading___Toc339594424">
            <w:r>
              <w:rPr>
                <w:rStyle w:val="IndexLink"/>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339594425">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339594426">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symbols and abbreviations</w:t>
            <w:tab/>
          </w:r>
          <w:hyperlink w:anchor="__RefHeading___Toc339594427">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 xml:space="preserve"> Definitions</w:t>
            <w:tab/>
          </w:r>
          <w:hyperlink w:anchor="__RefHeading___Toc339594428">
            <w:r>
              <w:rPr>
                <w:rStyle w:val="IndexLink"/>
              </w:rPr>
              <w:t>6</w:t>
            </w:r>
          </w:hyperlink>
        </w:p>
        <w:p>
          <w:pPr>
            <w:pStyle w:val="Contents2"/>
            <w:rPr>
              <w:rFonts w:ascii="Calibri" w:hAnsi="Calibri" w:eastAsia="Times New Roman" w:cs="Calibri"/>
              <w:sz w:val="22"/>
              <w:szCs w:val="22"/>
              <w:lang w:val="en-US" w:eastAsia="en-US"/>
            </w:rPr>
          </w:pPr>
          <w:r>
            <w:rPr/>
            <w:t>3.</w:t>
          </w:r>
          <w:r>
            <w:rPr>
              <w:lang w:val="en-US" w:eastAsia="en-US"/>
            </w:rPr>
            <w:t>1</w:t>
          </w:r>
          <w:r>
            <w:rPr>
              <w:rFonts w:eastAsia="Times New Roman" w:cs="Calibri" w:ascii="Calibri" w:hAnsi="Calibri"/>
              <w:sz w:val="22"/>
              <w:szCs w:val="22"/>
              <w:lang w:val="en-US" w:eastAsia="en-US"/>
            </w:rPr>
            <w:tab/>
          </w:r>
          <w:r>
            <w:rPr/>
            <w:t>Abbreviations</w:t>
            <w:tab/>
          </w:r>
          <w:hyperlink w:anchor="__RefHeading___Toc339594429">
            <w:r>
              <w:rPr>
                <w:rStyle w:val="IndexLink"/>
              </w:rPr>
              <w:t>7</w:t>
            </w:r>
          </w:hyperlink>
        </w:p>
        <w:p>
          <w:pPr>
            <w:pStyle w:val="Contents1"/>
            <w:rPr>
              <w:rFonts w:ascii="Calibri" w:hAnsi="Calibri" w:eastAsia="Times New Roman" w:cs="Calibri"/>
              <w:szCs w:val="22"/>
              <w:lang w:val="en-US" w:eastAsia="en-US"/>
            </w:rPr>
          </w:pPr>
          <w:r>
            <w:rPr>
              <w:lang w:val="en-US" w:eastAsia="en-US"/>
            </w:rPr>
            <w:t>4</w:t>
          </w:r>
          <w:r>
            <w:rPr>
              <w:rFonts w:eastAsia="Times New Roman" w:cs="Calibri" w:ascii="Calibri" w:hAnsi="Calibri"/>
              <w:szCs w:val="22"/>
              <w:lang w:val="en-US" w:eastAsia="en-US"/>
            </w:rPr>
            <w:tab/>
          </w:r>
          <w:r>
            <w:rPr/>
            <w:t>Concepts and background</w:t>
            <w:tab/>
          </w:r>
          <w:hyperlink w:anchor="__RefHeading___Toc339594430">
            <w:r>
              <w:rPr>
                <w:rStyle w:val="IndexLink"/>
              </w:rPr>
              <w:t>8</w:t>
            </w:r>
          </w:hyperlink>
        </w:p>
        <w:p>
          <w:pPr>
            <w:pStyle w:val="Contents1"/>
            <w:rPr>
              <w:rFonts w:ascii="Calibri" w:hAnsi="Calibri" w:eastAsia="Times New Roman" w:cs="Calibri"/>
              <w:szCs w:val="22"/>
              <w:lang w:val="en-US" w:eastAsia="en-US"/>
            </w:rPr>
          </w:pPr>
          <w:r>
            <w:rPr>
              <w:lang w:val="en-US" w:eastAsia="en-US"/>
            </w:rPr>
            <w:t>5</w:t>
          </w:r>
          <w:r>
            <w:rPr>
              <w:rFonts w:eastAsia="Times New Roman" w:cs="Calibri" w:ascii="Calibri" w:hAnsi="Calibri"/>
              <w:szCs w:val="22"/>
              <w:lang w:val="en-US" w:eastAsia="en-US"/>
            </w:rPr>
            <w:tab/>
          </w:r>
          <w:r>
            <w:rPr>
              <w:lang w:val="en-US" w:eastAsia="en-US"/>
            </w:rPr>
            <w:t>Requirements</w:t>
          </w:r>
          <w:r>
            <w:rPr/>
            <w:tab/>
          </w:r>
          <w:hyperlink w:anchor="__RefHeading___Toc339594431">
            <w:r>
              <w:rPr>
                <w:rStyle w:val="IndexLink"/>
              </w:rPr>
              <w:t>8</w:t>
            </w:r>
          </w:hyperlink>
        </w:p>
        <w:p>
          <w:pPr>
            <w:pStyle w:val="Contents8"/>
            <w:rPr>
              <w:rFonts w:ascii="Calibri" w:hAnsi="Calibri" w:eastAsia="Times New Roman" w:cs="Calibri"/>
              <w:szCs w:val="22"/>
              <w:lang w:val="en-US" w:eastAsia="en-US"/>
            </w:rPr>
          </w:pPr>
          <w:r>
            <w:rPr>
              <w:b w:val="false"/>
              <w:lang w:val="en-US" w:eastAsia="en-US"/>
            </w:rPr>
            <w:t>Annex A (informative):  Change history</w:t>
          </w:r>
          <w:r>
            <w:rPr>
              <w:b w:val="false"/>
            </w:rPr>
            <w:tab/>
          </w:r>
          <w:hyperlink w:anchor="__RefHeading___Toc339594432">
            <w:r>
              <w:rPr>
                <w:rStyle w:val="IndexLink"/>
                <w:b w:val="false"/>
              </w:rPr>
              <w:t>9</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p>
    <w:p>
      <w:pPr>
        <w:pStyle w:val="Normal"/>
        <w:rPr>
          <w:sz w:val="22"/>
          <w:lang w:val="en-US" w:eastAsia="zh-CN"/>
        </w:rPr>
      </w:pPr>
      <w:r>
        <w:rPr>
          <w:sz w:val="22"/>
          <w:lang w:val="en-US" w:eastAsia="zh-CN"/>
        </w:rPr>
      </w:r>
      <w:r>
        <w:br w:type="page"/>
      </w:r>
    </w:p>
    <w:p>
      <w:pPr>
        <w:pStyle w:val="Heading1"/>
        <w:ind w:left="1134" w:hanging="1134"/>
        <w:rPr/>
      </w:pPr>
      <w:bookmarkStart w:id="7" w:name="__RefHeading___Toc339594423"/>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lang w:eastAsia="zh-CN"/>
        </w:rPr>
      </w:pPr>
      <w:bookmarkStart w:id="8" w:name="__RefHeading___Toc339594424"/>
      <w:bookmarkEnd w:id="8"/>
      <w:r>
        <w:rPr/>
        <w:t>Introduction</w:t>
      </w:r>
    </w:p>
    <w:p>
      <w:pPr>
        <w:pStyle w:val="Normal"/>
        <w:rPr/>
      </w:pPr>
      <w:r>
        <w:rPr/>
        <w:t xml:space="preserve">The present document </w:t>
      </w:r>
      <w:r>
        <w:rPr>
          <w:lang w:eastAsia="zh-CN"/>
        </w:rPr>
        <w:t>is part of a TS-family covering the 3</w:t>
      </w:r>
      <w:r>
        <w:rPr>
          <w:vertAlign w:val="superscript"/>
          <w:lang w:eastAsia="zh-CN"/>
        </w:rPr>
        <w:t>rd</w:t>
      </w:r>
      <w:r>
        <w:rPr>
          <w:lang w:eastAsia="zh-CN"/>
        </w:rPr>
        <w:t xml:space="preserve"> Generation Partnership Project Technical Specification Group Services and System Aspects, Telecommunication Management; as identified below:</w:t>
      </w:r>
    </w:p>
    <w:p>
      <w:pPr>
        <w:pStyle w:val="B1"/>
        <w:rPr>
          <w:b/>
          <w:b/>
        </w:rPr>
      </w:pPr>
      <w:r>
        <w:rPr>
          <w:b/>
          <w:lang w:eastAsia="zh-CN"/>
        </w:rPr>
        <w:t>28</w:t>
      </w:r>
      <w:r>
        <w:rPr>
          <w:b/>
          <w:lang w:eastAsia="zh-CN"/>
        </w:rPr>
        <w:t>.</w:t>
      </w:r>
      <w:r>
        <w:rPr>
          <w:b/>
          <w:lang w:eastAsia="zh-CN"/>
        </w:rPr>
        <w:t>674</w:t>
      </w:r>
      <w:r>
        <w:rPr>
          <w:b/>
          <w:lang w:eastAsia="zh-CN"/>
        </w:rPr>
        <w:t>:</w:t>
        <w:tab/>
      </w:r>
      <w:r>
        <w:rPr>
          <w:b/>
        </w:rPr>
        <w:t>Telecommunication management; Home enhanced Node B Subsystem (HeNS) Network Resource Model (NRM) Integration Reference Point (IRP); Requirements</w:t>
      </w:r>
    </w:p>
    <w:p>
      <w:pPr>
        <w:pStyle w:val="B1"/>
        <w:rPr>
          <w:lang w:eastAsia="zh-CN"/>
        </w:rPr>
      </w:pPr>
      <w:r>
        <w:rPr>
          <w:lang w:eastAsia="zh-CN"/>
        </w:rPr>
        <w:t>28.675</w:t>
      </w:r>
      <w:r>
        <w:rPr>
          <w:lang w:eastAsia="zh-CN"/>
        </w:rPr>
        <w:t>:</w:t>
        <w:tab/>
      </w:r>
      <w:r>
        <w:rPr>
          <w:lang w:eastAsia="zh-CN"/>
        </w:rPr>
        <w:t>Telecommunication management; Home enhanced Node B Subsystem (HeNS) Network Resource Model (NRM) Integration Reference Point (IRP); Information Service (IS)</w:t>
      </w:r>
    </w:p>
    <w:p>
      <w:pPr>
        <w:pStyle w:val="B1"/>
        <w:rPr>
          <w:lang w:eastAsia="zh-CN"/>
        </w:rPr>
      </w:pPr>
      <w:r>
        <w:rPr>
          <w:lang w:eastAsia="zh-CN"/>
        </w:rPr>
        <w:t>28.676</w:t>
      </w:r>
      <w:r>
        <w:rPr>
          <w:lang w:eastAsia="zh-CN"/>
        </w:rPr>
        <w:t>:</w:t>
        <w:tab/>
      </w:r>
      <w:r>
        <w:rPr>
          <w:lang w:eastAsia="zh-CN"/>
        </w:rPr>
        <w:t>Telecommunication management; Home enhanced Node B Subsystem (HeNS) Network Resource Model (NRM) Integration Reference Point (IRP); Solution Set (SS) definitions</w:t>
      </w:r>
      <w:r>
        <w:br w:type="page"/>
      </w:r>
    </w:p>
    <w:p>
      <w:pPr>
        <w:pStyle w:val="Heading1"/>
        <w:ind w:left="1134" w:hanging="1134"/>
        <w:rPr/>
      </w:pPr>
      <w:bookmarkStart w:id="9" w:name="__RefHeading___Toc339594425"/>
      <w:bookmarkStart w:id="10" w:name="historyclause"/>
      <w:bookmarkEnd w:id="9"/>
      <w:bookmarkEnd w:id="10"/>
      <w:r>
        <w:rPr/>
        <w:t>1</w:t>
        <w:tab/>
        <w:t>Scope</w:t>
      </w:r>
    </w:p>
    <w:p>
      <w:pPr>
        <w:pStyle w:val="ListBullet"/>
        <w:numPr>
          <w:ilvl w:val="0"/>
          <w:numId w:val="0"/>
        </w:numPr>
        <w:ind w:left="0" w:hanging="0"/>
        <w:rPr/>
      </w:pPr>
      <w:r>
        <w:rPr>
          <w:lang w:eastAsia="zh-CN"/>
        </w:rPr>
        <w:t xml:space="preserve">The document </w:t>
      </w:r>
      <w:r>
        <w:rPr>
          <w:lang w:eastAsia="zh-CN"/>
        </w:rPr>
        <w:t>describes</w:t>
      </w:r>
      <w:r>
        <w:rPr>
          <w:lang w:eastAsia="zh-CN"/>
        </w:rPr>
        <w:t xml:space="preserve"> the </w:t>
      </w:r>
      <w:r>
        <w:rPr>
          <w:lang w:eastAsia="zh-CN"/>
        </w:rPr>
        <w:t>requirements</w:t>
      </w:r>
      <w:r>
        <w:rPr>
          <w:lang w:eastAsia="zh-CN"/>
        </w:rPr>
        <w:t xml:space="preserve"> for Home eNodeB Subsystem (HeNS), which include Home eNodeB (HeNB) and Home eNodeB gateway (HeNB GW). The HeNS NRM IRP </w:t>
      </w:r>
      <w:r>
        <w:rPr>
          <w:lang w:eastAsia="zh-CN"/>
        </w:rPr>
        <w:t>requirements</w:t>
      </w:r>
      <w:r>
        <w:rPr>
          <w:lang w:eastAsia="zh-CN"/>
        </w:rPr>
        <w:t xml:space="preserve"> are </w:t>
      </w:r>
      <w:r>
        <w:rPr>
          <w:lang w:eastAsia="zh-CN"/>
        </w:rPr>
        <w:t>targeted on</w:t>
      </w:r>
      <w:r>
        <w:rPr>
          <w:lang w:eastAsia="zh-CN"/>
        </w:rPr>
        <w:t xml:space="preserve"> both HeNB and HeNB GW NRM.</w:t>
      </w:r>
    </w:p>
    <w:p>
      <w:pPr>
        <w:pStyle w:val="Heading1"/>
        <w:ind w:left="1134" w:hanging="1134"/>
        <w:rPr/>
      </w:pPr>
      <w:bookmarkStart w:id="11" w:name="__RefHeading___Toc339594426"/>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w:t>
      </w:r>
      <w:r>
        <w:rPr>
          <w:lang w:eastAsia="zh-CN"/>
        </w:rPr>
        <w:t>S</w:t>
      </w:r>
      <w:r>
        <w:rPr/>
        <w:t xml:space="preserve"> 2</w:t>
      </w:r>
      <w:r>
        <w:rPr>
          <w:lang w:eastAsia="zh-CN"/>
        </w:rPr>
        <w:t>5</w:t>
      </w:r>
      <w:r>
        <w:rPr/>
        <w:t>.905: "Vocabulary for 3GPP Specifications".</w:t>
      </w:r>
    </w:p>
    <w:p>
      <w:pPr>
        <w:pStyle w:val="EX"/>
        <w:rPr/>
      </w:pPr>
      <w:r>
        <w:rPr/>
        <w:t>[</w:t>
      </w:r>
      <w:r>
        <w:rPr>
          <w:lang w:eastAsia="zh-CN"/>
        </w:rPr>
        <w:t>2</w:t>
      </w:r>
      <w:r>
        <w:rPr/>
        <w:t>]</w:t>
        <w:tab/>
        <w:t>3GPP TS 32.101: "Telecommunication management; Principles and high level requirements".</w:t>
      </w:r>
    </w:p>
    <w:p>
      <w:pPr>
        <w:pStyle w:val="EX"/>
        <w:rPr>
          <w:lang w:eastAsia="zh-CN"/>
        </w:rPr>
      </w:pPr>
      <w:r>
        <w:rPr/>
        <w:t>[</w:t>
      </w:r>
      <w:r>
        <w:rPr>
          <w:lang w:eastAsia="zh-CN"/>
        </w:rPr>
        <w:t>3</w:t>
      </w:r>
      <w:r>
        <w:rPr/>
        <w:t>]</w:t>
        <w:tab/>
        <w:t>3GPP TS 32.102: "Telecommunication management; Architecture".</w:t>
      </w:r>
    </w:p>
    <w:p>
      <w:pPr>
        <w:pStyle w:val="EX"/>
        <w:rPr/>
      </w:pPr>
      <w:r>
        <w:rPr/>
        <w:t>[</w:t>
      </w:r>
      <w:r>
        <w:rPr>
          <w:lang w:eastAsia="zh-CN"/>
        </w:rPr>
        <w:t>4</w:t>
      </w:r>
      <w:r>
        <w:rPr/>
        <w:t>]</w:t>
        <w:tab/>
        <w:t>3GPP TS 32.600: "Telecommunication management; Configuration Management (CM); Concept and high-level requirements".</w:t>
      </w:r>
    </w:p>
    <w:p>
      <w:pPr>
        <w:pStyle w:val="EX"/>
        <w:rPr/>
      </w:pPr>
      <w:r>
        <w:rPr/>
        <w:t>[</w:t>
      </w:r>
      <w:r>
        <w:rPr>
          <w:lang w:eastAsia="zh-CN"/>
        </w:rPr>
        <w:t>5</w:t>
      </w:r>
      <w:r>
        <w:rPr/>
        <w:t>]</w:t>
        <w:tab/>
        <w:t>3GPP TS 32.150: "Telecommunication management; Integration Reference Point (IRP) Concept and definitions".</w:t>
      </w:r>
    </w:p>
    <w:p>
      <w:pPr>
        <w:pStyle w:val="EX"/>
        <w:rPr>
          <w:lang w:eastAsia="zh-CN"/>
        </w:rPr>
      </w:pPr>
      <w:r>
        <w:rPr/>
        <w:t>[</w:t>
      </w:r>
      <w:r>
        <w:rPr>
          <w:lang w:eastAsia="zh-CN"/>
        </w:rPr>
        <w:t>6</w:t>
      </w:r>
      <w:r>
        <w:rPr/>
        <w:t>]</w:t>
        <w:tab/>
      </w:r>
      <w:r>
        <w:rPr>
          <w:lang w:eastAsia="zh-CN"/>
        </w:rPr>
        <w:t xml:space="preserve">3GPP TS 23.401: </w:t>
      </w:r>
      <w:r>
        <w:rPr>
          <w:lang w:eastAsia="zh-CN"/>
        </w:rPr>
        <w:t>“General Packet Radio Service (GPRS) enhancements for Evolved Universal Terrestrial Radio Access Network (E-UTRAN) access”</w:t>
      </w:r>
      <w:r>
        <w:rPr/>
        <w:t>.</w:t>
      </w:r>
    </w:p>
    <w:p>
      <w:pPr>
        <w:pStyle w:val="EX"/>
        <w:rPr/>
      </w:pPr>
      <w:r>
        <w:rPr/>
        <w:t>[</w:t>
      </w:r>
      <w:r>
        <w:rPr>
          <w:lang w:eastAsia="zh-CN"/>
        </w:rPr>
        <w:t>7</w:t>
      </w:r>
      <w:r>
        <w:rPr/>
        <w:t>]</w:t>
        <w:tab/>
        <w:t>3GPP TS 36.300: "Evolved Universal Terrestrial Radio Access (E-UTRA) and Evolved Universal Terrestrial Radio Access (E-UTRAN); Overall description; Stage 2".</w:t>
      </w:r>
    </w:p>
    <w:p>
      <w:pPr>
        <w:pStyle w:val="EX"/>
        <w:rPr/>
      </w:pPr>
      <w:r>
        <w:rPr/>
        <w:t>[8]</w:t>
        <w:tab/>
        <w:t>3GPP TS 32.107: "Telecommunication management; Fixed Mobile Convergence (FMC) Federated Network Information Model (FNIM)".</w:t>
      </w:r>
    </w:p>
    <w:p>
      <w:pPr>
        <w:pStyle w:val="EX"/>
        <w:rPr/>
      </w:pPr>
      <w:r>
        <w:rPr/>
        <w:t>[9]</w:t>
        <w:tab/>
        <w:t>3GPP TS 28.620: "Telecommunication management; Fixed Mobile Convergence (FMC) Federated Network Information Model (FNIM) Umbrella Information Model (UIM)".</w:t>
      </w:r>
    </w:p>
    <w:p>
      <w:pPr>
        <w:pStyle w:val="EX"/>
        <w:rPr>
          <w:lang w:eastAsia="zh-CN"/>
        </w:rPr>
      </w:pPr>
      <w:r>
        <w:rPr>
          <w:lang w:eastAsia="zh-CN"/>
        </w:rPr>
      </w:r>
    </w:p>
    <w:p>
      <w:pPr>
        <w:pStyle w:val="Heading1"/>
        <w:ind w:left="1134" w:hanging="1134"/>
        <w:rPr/>
      </w:pPr>
      <w:bookmarkStart w:id="12" w:name="__RefHeading___Toc339594427"/>
      <w:bookmarkEnd w:id="12"/>
      <w:r>
        <w:rPr/>
        <w:t>3</w:t>
        <w:tab/>
        <w:t>Definitions, symbols and abbreviations</w:t>
      </w:r>
    </w:p>
    <w:p>
      <w:pPr>
        <w:pStyle w:val="Heading2"/>
        <w:rPr/>
      </w:pPr>
      <w:bookmarkStart w:id="13" w:name="__RefHeading___Toc339594428"/>
      <w:bookmarkEnd w:id="13"/>
      <w:r>
        <w:rPr/>
        <w:t>3.1</w:t>
        <w:tab/>
        <w:tab/>
        <w:t>Definitions</w:t>
      </w:r>
    </w:p>
    <w:p>
      <w:pPr>
        <w:pStyle w:val="Normal"/>
        <w:rPr/>
      </w:pPr>
      <w:r>
        <w:rPr/>
        <w:t>For the purposes of the present document, the following terms and definitions apply:</w:t>
      </w:r>
    </w:p>
    <w:p>
      <w:pPr>
        <w:pStyle w:val="Normal"/>
        <w:rPr/>
      </w:pPr>
      <w:r>
        <w:rPr>
          <w:b/>
        </w:rPr>
        <w:t>Integration Reference Point (IRP):</w:t>
      </w:r>
      <w:r>
        <w:rPr/>
        <w:t xml:space="preserve"> See 3GPP TS 32.</w:t>
      </w:r>
      <w:r>
        <w:rPr>
          <w:lang w:eastAsia="zh-CN"/>
        </w:rPr>
        <w:t>150</w:t>
      </w:r>
      <w:r>
        <w:rPr/>
        <w:t xml:space="preserve"> [</w:t>
      </w:r>
      <w:r>
        <w:rPr>
          <w:lang w:eastAsia="zh-CN"/>
        </w:rPr>
        <w:t>5</w:t>
      </w:r>
      <w:r>
        <w:rPr/>
        <w:t>].</w:t>
      </w:r>
    </w:p>
    <w:p>
      <w:pPr>
        <w:pStyle w:val="Normal"/>
        <w:rPr/>
      </w:pPr>
      <w:r>
        <w:rPr>
          <w:b/>
        </w:rPr>
        <w:t>Information Service (IS):</w:t>
      </w:r>
      <w:r>
        <w:rPr/>
        <w:t xml:space="preserve"> See 3GPP TS 32.</w:t>
      </w:r>
      <w:r>
        <w:rPr>
          <w:lang w:eastAsia="zh-CN"/>
        </w:rPr>
        <w:t>150</w:t>
      </w:r>
      <w:r>
        <w:rPr/>
        <w:t xml:space="preserve"> [</w:t>
      </w:r>
      <w:r>
        <w:rPr>
          <w:lang w:eastAsia="zh-CN"/>
        </w:rPr>
        <w:t>5</w:t>
      </w:r>
      <w:r>
        <w:rPr/>
        <w:t>].</w:t>
      </w:r>
    </w:p>
    <w:p>
      <w:pPr>
        <w:pStyle w:val="Normal"/>
        <w:rPr/>
      </w:pPr>
      <w:r>
        <w:rPr>
          <w:b/>
        </w:rPr>
        <w:t>Solution Set (SS):</w:t>
      </w:r>
      <w:r>
        <w:rPr/>
        <w:t xml:space="preserve"> See 3GPP TS 32.</w:t>
      </w:r>
      <w:r>
        <w:rPr>
          <w:lang w:eastAsia="zh-CN"/>
        </w:rPr>
        <w:t>150</w:t>
      </w:r>
      <w:r>
        <w:rPr/>
        <w:t xml:space="preserve"> [</w:t>
      </w:r>
      <w:r>
        <w:rPr>
          <w:lang w:eastAsia="zh-CN"/>
        </w:rPr>
        <w:t>5</w:t>
      </w:r>
      <w:r>
        <w:rPr/>
        <w:t>].</w:t>
      </w:r>
    </w:p>
    <w:p>
      <w:pPr>
        <w:pStyle w:val="Normal"/>
        <w:rPr/>
      </w:pPr>
      <w:r>
        <w:rPr>
          <w:b/>
        </w:rPr>
        <w:t>IRP Solution Set:</w:t>
      </w:r>
      <w:r>
        <w:rPr/>
        <w:t xml:space="preserve"> See 3GPP TS 32.101 [1].</w:t>
      </w:r>
    </w:p>
    <w:p>
      <w:pPr>
        <w:pStyle w:val="Heading2"/>
        <w:rPr/>
      </w:pPr>
      <w:bookmarkStart w:id="14" w:name="__RefHeading___Toc339594429"/>
      <w:bookmarkEnd w:id="14"/>
      <w:r>
        <w:rPr/>
        <w:t>3.</w:t>
      </w:r>
      <w:r>
        <w:rPr>
          <w:lang w:eastAsia="zh-CN"/>
        </w:rPr>
        <w:t>1</w:t>
      </w:r>
      <w:r>
        <w:rPr/>
        <w:tab/>
        <w:t>Abbreviations</w:t>
      </w:r>
    </w:p>
    <w:p>
      <w:pPr>
        <w:pStyle w:val="Normal"/>
        <w:keepNext w:val="true"/>
        <w:rPr/>
      </w:pPr>
      <w:bookmarkStart w:id="15" w:name="OLE_LINK3"/>
      <w:bookmarkEnd w:id="15"/>
      <w:r>
        <w:rPr/>
        <w:t>For the purposes of the present document, the following abbreviations apply:</w:t>
      </w:r>
    </w:p>
    <w:p>
      <w:pPr>
        <w:pStyle w:val="EW"/>
        <w:rPr/>
      </w:pPr>
      <w:r>
        <w:rPr>
          <w:lang w:eastAsia="zh-CN"/>
        </w:rPr>
        <w:t>HeNB</w:t>
      </w:r>
      <w:r>
        <w:rPr>
          <w:lang w:eastAsia="zh-CN"/>
        </w:rPr>
        <w:tab/>
      </w:r>
      <w:r>
        <w:rPr>
          <w:lang w:eastAsia="zh-CN"/>
        </w:rPr>
        <w:t>Home eNodeB</w:t>
      </w:r>
    </w:p>
    <w:p>
      <w:pPr>
        <w:pStyle w:val="EW"/>
        <w:rPr/>
      </w:pPr>
      <w:r>
        <w:rPr>
          <w:lang w:eastAsia="zh-CN"/>
        </w:rPr>
        <w:t>GW</w:t>
      </w:r>
      <w:r>
        <w:rPr>
          <w:lang w:eastAsia="zh-CN"/>
        </w:rPr>
        <w:tab/>
      </w:r>
      <w:r>
        <w:rPr>
          <w:lang w:eastAsia="zh-CN"/>
        </w:rPr>
        <w:t>Gateway</w:t>
      </w:r>
    </w:p>
    <w:p>
      <w:pPr>
        <w:pStyle w:val="EW"/>
        <w:rPr/>
      </w:pPr>
      <w:r>
        <w:rPr>
          <w:lang w:val="en-US" w:eastAsia="zh-CN"/>
        </w:rPr>
        <w:t>HeNB</w:t>
      </w:r>
      <w:r>
        <w:rPr>
          <w:lang w:val="en-US" w:eastAsia="zh-CN"/>
        </w:rPr>
        <w:tab/>
      </w:r>
      <w:r>
        <w:rPr>
          <w:lang w:val="en-US" w:eastAsia="zh-CN"/>
        </w:rPr>
        <w:t>Home enhanced Node B</w:t>
      </w:r>
    </w:p>
    <w:p>
      <w:pPr>
        <w:pStyle w:val="EW"/>
        <w:rPr>
          <w:lang w:val="en-US" w:eastAsia="zh-CN"/>
        </w:rPr>
      </w:pPr>
      <w:r>
        <w:rPr>
          <w:lang w:val="en-US" w:eastAsia="zh-CN"/>
        </w:rPr>
        <w:t>HeNS</w:t>
        <w:tab/>
        <w:t>Home enhanced Node B Subsystem</w:t>
      </w:r>
    </w:p>
    <w:p>
      <w:pPr>
        <w:pStyle w:val="EW"/>
        <w:rPr>
          <w:lang w:val="en-US" w:eastAsia="zh-CN"/>
        </w:rPr>
      </w:pPr>
      <w:r>
        <w:rPr>
          <w:lang w:val="en-US"/>
        </w:rPr>
        <w:t>IRP</w:t>
        <w:tab/>
        <w:t>Integration Reference Point</w:t>
      </w:r>
    </w:p>
    <w:p>
      <w:pPr>
        <w:pStyle w:val="EW"/>
        <w:rPr>
          <w:lang w:val="en-US" w:eastAsia="zh-CN"/>
        </w:rPr>
      </w:pPr>
      <w:r>
        <w:rPr>
          <w:lang w:val="en-US" w:eastAsia="zh-CN"/>
        </w:rPr>
        <w:t>IOC</w:t>
        <w:tab/>
        <w:t>Information Object Class</w:t>
      </w:r>
    </w:p>
    <w:p>
      <w:pPr>
        <w:pStyle w:val="EW"/>
        <w:rPr>
          <w:lang w:eastAsia="zh-CN"/>
        </w:rPr>
      </w:pPr>
      <w:r>
        <w:rPr>
          <w:lang w:eastAsia="zh-CN"/>
        </w:rPr>
        <w:t>NRM</w:t>
      </w:r>
      <w:r>
        <w:rPr>
          <w:lang w:eastAsia="zh-CN"/>
        </w:rPr>
        <w:tab/>
      </w:r>
      <w:r>
        <w:rPr/>
        <w:t>Network Resource Model</w:t>
      </w:r>
      <w:r>
        <w:br w:type="page"/>
      </w:r>
    </w:p>
    <w:p>
      <w:pPr>
        <w:pStyle w:val="Heading1"/>
        <w:ind w:left="1134" w:hanging="1134"/>
        <w:rPr>
          <w:lang w:eastAsia="zh-CN"/>
        </w:rPr>
      </w:pPr>
      <w:bookmarkStart w:id="16" w:name="OLE_LINK3"/>
      <w:bookmarkStart w:id="17" w:name="__RefHeading___Toc339594430"/>
      <w:bookmarkEnd w:id="16"/>
      <w:bookmarkEnd w:id="17"/>
      <w:r>
        <w:rPr/>
        <w:t>4</w:t>
        <w:tab/>
        <w:t>Concepts and background</w:t>
      </w:r>
    </w:p>
    <w:p>
      <w:pPr>
        <w:pStyle w:val="Normal"/>
        <w:rPr>
          <w:lang w:eastAsia="zh-CN"/>
        </w:rPr>
      </w:pPr>
      <w:r>
        <w:rPr>
          <w:lang w:eastAsia="zh-CN"/>
        </w:rPr>
        <w:t>HeNB Subsystem is defined in TS 23.401[6</w:t>
      </w:r>
      <w:r>
        <w:rPr>
          <w:lang w:eastAsia="zh-CN"/>
        </w:rPr>
        <w:t>]</w:t>
      </w:r>
      <w:r>
        <w:rPr>
          <w:lang w:eastAsia="zh-CN"/>
        </w:rPr>
        <w:t>. According to the definition, a</w:t>
      </w:r>
      <w:r>
        <w:rPr>
          <w:lang w:eastAsia="zh-CN"/>
        </w:rPr>
        <w:t xml:space="preserve"> HeNB </w:t>
      </w:r>
      <w:r>
        <w:rPr>
          <w:lang w:eastAsia="zh-CN"/>
        </w:rPr>
        <w:t>S</w:t>
      </w:r>
      <w:r>
        <w:rPr>
          <w:lang w:eastAsia="zh-CN"/>
        </w:rPr>
        <w:t>ubsystem consists of a HeNB and optionally a HeNB GW.</w:t>
      </w:r>
      <w:r>
        <w:rPr>
          <w:lang w:eastAsia="zh-CN"/>
        </w:rPr>
        <w:t xml:space="preserve"> </w:t>
      </w:r>
      <w:r>
        <w:rPr>
          <w:lang w:eastAsia="zh-CN"/>
        </w:rPr>
        <w:t xml:space="preserve">The HeNB </w:t>
      </w:r>
      <w:r>
        <w:rPr>
          <w:lang w:eastAsia="zh-CN"/>
        </w:rPr>
        <w:t>S</w:t>
      </w:r>
      <w:r>
        <w:rPr>
          <w:lang w:eastAsia="zh-CN"/>
        </w:rPr>
        <w:t>ubsystem is connected by means of the standard S1 interface to the EPC (Evolved Packet Core), more specifically to the MME (Mobility Management Entity) by means of the S1-MME interface and to the Serving Gateway (S-GW) by means of the S1-U interface.</w:t>
      </w:r>
    </w:p>
    <w:p>
      <w:pPr>
        <w:pStyle w:val="Normal"/>
        <w:rPr>
          <w:lang w:eastAsia="zh-CN"/>
        </w:rPr>
      </w:pPr>
      <w:r>
        <w:rPr>
          <w:lang w:eastAsia="zh-CN"/>
        </w:rPr>
        <w:t>Detailed functions of HeNB and HeNB GW are described in TS 36.300 [</w:t>
      </w:r>
      <w:r>
        <w:rPr>
          <w:lang w:eastAsia="zh-CN"/>
        </w:rPr>
        <w:t>7</w:t>
      </w:r>
      <w:r>
        <w:rPr>
          <w:lang w:eastAsia="zh-CN"/>
        </w:rPr>
        <w:t>]. T</w:t>
      </w:r>
      <w:r>
        <w:rPr>
          <w:lang w:eastAsia="zh-CN"/>
        </w:rPr>
        <w:t xml:space="preserve">o be more specific, HeNB is a </w:t>
      </w:r>
      <w:r>
        <w:rPr>
          <w:lang w:eastAsia="zh-CN"/>
        </w:rPr>
        <w:t xml:space="preserve">Customer Premise Equipment that offers the </w:t>
      </w:r>
      <w:r>
        <w:rPr>
          <w:lang w:eastAsia="zh-CN"/>
        </w:rPr>
        <w:t>LTE-</w:t>
      </w:r>
      <w:r>
        <w:rPr>
          <w:lang w:eastAsia="zh-CN"/>
        </w:rPr>
        <w:t>Uu Interface to the UE.</w:t>
      </w:r>
      <w:r>
        <w:rPr>
          <w:lang w:eastAsia="zh-CN"/>
        </w:rPr>
        <w:t xml:space="preserve"> And it could discovery </w:t>
      </w:r>
      <w:r>
        <w:rPr/>
        <w:t>a suitable Serving HeNB GW</w:t>
      </w:r>
      <w:r>
        <w:rPr>
          <w:lang w:eastAsia="zh-CN"/>
        </w:rPr>
        <w:t xml:space="preserve"> over S1 interface. </w:t>
      </w:r>
      <w:r>
        <w:rPr>
          <w:lang w:eastAsia="zh-CN"/>
        </w:rPr>
        <w:t xml:space="preserve">A HeNB GW can relay UE-associated S1 application part messages between the MME serving the UE and the HeNB serving the UE. It </w:t>
      </w:r>
      <w:r>
        <w:rPr>
          <w:lang w:eastAsia="zh-CN"/>
        </w:rPr>
        <w:t xml:space="preserve">could </w:t>
      </w:r>
      <w:r>
        <w:rPr>
          <w:lang w:eastAsia="zh-CN"/>
        </w:rPr>
        <w:t>terminate non-UE associated S1 application part procedures towards the HeNB and towards the MME and optionally terminate S1-U interface with the HeNB and with the S-GW.</w:t>
      </w:r>
    </w:p>
    <w:p>
      <w:pPr>
        <w:pStyle w:val="Normal"/>
        <w:rPr/>
      </w:pPr>
      <w:r>
        <w:rPr>
          <w:lang w:eastAsia="zh-CN"/>
        </w:rPr>
        <w:t xml:space="preserve">Based on the above </w:t>
      </w:r>
      <w:r>
        <w:rPr>
          <w:lang w:eastAsia="zh-CN"/>
        </w:rPr>
        <w:t>characteristics</w:t>
      </w:r>
      <w:r>
        <w:rPr>
          <w:lang w:eastAsia="zh-CN"/>
        </w:rPr>
        <w:t xml:space="preserve">, this specification defines </w:t>
      </w:r>
      <w:r>
        <w:rPr>
          <w:lang w:eastAsia="zh-CN"/>
        </w:rPr>
        <w:t xml:space="preserve">respective HeNS NRM IRP </w:t>
      </w:r>
      <w:r>
        <w:rPr>
          <w:lang w:eastAsia="zh-CN"/>
        </w:rPr>
        <w:t>requirements</w:t>
      </w:r>
      <w:r>
        <w:rPr>
          <w:lang w:eastAsia="zh-CN"/>
        </w:rPr>
        <w:t>.</w:t>
      </w:r>
    </w:p>
    <w:p>
      <w:pPr>
        <w:pStyle w:val="Heading1"/>
        <w:ind w:left="1134" w:hanging="1134"/>
        <w:rPr>
          <w:lang w:eastAsia="zh-CN"/>
        </w:rPr>
      </w:pPr>
      <w:bookmarkStart w:id="18" w:name="__RefHeading___Toc339594431"/>
      <w:r>
        <w:rPr>
          <w:lang w:eastAsia="zh-CN"/>
        </w:rPr>
        <w:t>5</w:t>
        <w:tab/>
        <w:t>Requirements</w:t>
      </w:r>
      <w:bookmarkEnd w:id="18"/>
      <w:r>
        <w:rPr>
          <w:lang w:eastAsia="zh-CN"/>
        </w:rPr>
        <w:t xml:space="preserve"> </w:t>
      </w:r>
    </w:p>
    <w:p>
      <w:pPr>
        <w:pStyle w:val="Normal"/>
        <w:rPr/>
      </w:pPr>
      <w:r>
        <w:rPr/>
        <w:t>The following general and high-level requirements apply for the present IRP:</w:t>
      </w:r>
    </w:p>
    <w:p>
      <w:pPr>
        <w:pStyle w:val="B1"/>
        <w:rPr/>
      </w:pPr>
      <w:r>
        <w:rPr/>
        <w:t>a)</w:t>
        <w:tab/>
        <w:t>IRP-related requirements in 3GPP TS 32.101 [</w:t>
      </w:r>
      <w:r>
        <w:rPr>
          <w:lang w:eastAsia="zh-CN"/>
        </w:rPr>
        <w:t>2</w:t>
      </w:r>
      <w:r>
        <w:rPr/>
        <w:t>].</w:t>
      </w:r>
    </w:p>
    <w:p>
      <w:pPr>
        <w:pStyle w:val="B1"/>
        <w:rPr/>
      </w:pPr>
      <w:r>
        <w:rPr/>
        <w:t>b)</w:t>
        <w:tab/>
        <w:t>IRP-related requirements in 3GPP TS 32.102 [</w:t>
      </w:r>
      <w:r>
        <w:rPr>
          <w:lang w:eastAsia="zh-CN"/>
        </w:rPr>
        <w:t>3</w:t>
      </w:r>
      <w:r>
        <w:rPr/>
        <w:t>].</w:t>
      </w:r>
    </w:p>
    <w:p>
      <w:pPr>
        <w:pStyle w:val="B1"/>
        <w:rPr/>
      </w:pPr>
      <w:r>
        <w:rPr/>
        <w:t>c)</w:t>
        <w:tab/>
        <w:t>IRP-related requirements in 3GPP TS 32.600 [</w:t>
      </w:r>
      <w:r>
        <w:rPr>
          <w:lang w:eastAsia="zh-CN"/>
        </w:rPr>
        <w:t>4</w:t>
      </w:r>
      <w:r>
        <w:rPr/>
        <w:t>].</w:t>
      </w:r>
    </w:p>
    <w:p>
      <w:pPr>
        <w:pStyle w:val="Normal"/>
        <w:rPr/>
      </w:pPr>
      <w:r>
        <w:rPr/>
        <w:t>The NRM defined by this IRP:</w:t>
      </w:r>
    </w:p>
    <w:p>
      <w:pPr>
        <w:pStyle w:val="B1"/>
        <w:rPr/>
      </w:pPr>
      <w:r>
        <w:rPr/>
        <w:t>d)</w:t>
        <w:tab/>
        <w:t xml:space="preserve">Shall support communications for </w:t>
      </w:r>
      <w:r>
        <w:rPr>
          <w:lang w:val="en-US"/>
        </w:rPr>
        <w:t xml:space="preserve">telecommunication network management purposes, including management of converged networks. </w:t>
      </w:r>
    </w:p>
    <w:p>
      <w:pPr>
        <w:pStyle w:val="B1"/>
        <w:rPr/>
      </w:pPr>
      <w:r>
        <w:rPr>
          <w:lang w:val="en-US"/>
        </w:rPr>
        <w:t>e)</w:t>
        <w:tab/>
        <w:t xml:space="preserve">Is a member of the Federated Network Information Model (FNIM) </w:t>
      </w:r>
      <w:r>
        <w:rPr/>
        <w:t xml:space="preserve">[8] and its information is derived from FNIM Umbrella Information Model (UIM) [9]  </w:t>
      </w:r>
    </w:p>
    <w:p>
      <w:pPr>
        <w:pStyle w:val="Normal"/>
        <w:rPr>
          <w:lang w:eastAsia="zh-CN"/>
        </w:rPr>
      </w:pPr>
      <w:r>
        <w:rPr/>
        <w:t>In addition to the above, the following more specific requirements apply:</w:t>
      </w:r>
    </w:p>
    <w:p>
      <w:pPr>
        <w:pStyle w:val="Normal"/>
        <w:rPr/>
      </w:pPr>
      <w:r>
        <w:rPr>
          <w:b/>
          <w:lang w:eastAsia="zh-CN"/>
        </w:rPr>
        <w:t>REQ-HeNS_GW-CON-001</w:t>
        <w:tab/>
      </w:r>
      <w:r>
        <w:rPr/>
        <w:t xml:space="preserve">The Network Resource Model </w:t>
      </w:r>
      <w:r>
        <w:rPr/>
        <w:t>defined</w:t>
      </w:r>
      <w:r>
        <w:rPr/>
        <w:t xml:space="preserve"> by this IRP shall contain </w:t>
      </w:r>
      <w:r>
        <w:rPr/>
        <w:t>H</w:t>
      </w:r>
      <w:r>
        <w:rPr>
          <w:lang w:eastAsia="zh-CN"/>
        </w:rPr>
        <w:t>e</w:t>
      </w:r>
      <w:r>
        <w:rPr/>
        <w:t>NB GW</w:t>
      </w:r>
      <w:r>
        <w:rPr/>
        <w:t xml:space="preserve"> specific IOCs and related definitions</w:t>
      </w:r>
      <w:r>
        <w:rPr>
          <w:lang w:eastAsia="zh-CN"/>
        </w:rPr>
        <w:t>.</w:t>
      </w:r>
      <w:r>
        <w:rPr/>
        <w:t>.</w:t>
      </w:r>
    </w:p>
    <w:p>
      <w:pPr>
        <w:pStyle w:val="Normal"/>
        <w:overflowPunct w:val="false"/>
        <w:autoSpaceDE w:val="false"/>
        <w:textAlignment w:val="baseline"/>
        <w:rPr/>
      </w:pPr>
      <w:r>
        <w:rPr>
          <w:b/>
          <w:lang w:eastAsia="zh-CN"/>
        </w:rPr>
        <w:t>REQ-HeNS_GW-CON-002</w:t>
        <w:tab/>
      </w:r>
      <w:r>
        <w:rPr/>
        <w:t xml:space="preserve">The Network Resource Model </w:t>
      </w:r>
      <w:r>
        <w:rPr/>
        <w:t>defined</w:t>
      </w:r>
      <w:r>
        <w:rPr/>
        <w:t xml:space="preserve"> by this IRP shall provide support for enabling consistency between </w:t>
      </w:r>
      <w:r>
        <w:rPr/>
        <w:t>H</w:t>
      </w:r>
      <w:r>
        <w:rPr>
          <w:lang w:eastAsia="zh-CN"/>
        </w:rPr>
        <w:t>e</w:t>
      </w:r>
      <w:r>
        <w:rPr/>
        <w:t>NB GW</w:t>
      </w:r>
      <w:r>
        <w:rPr>
          <w:lang w:eastAsia="zh-CN"/>
        </w:rPr>
        <w:t>,</w:t>
      </w:r>
      <w:r>
        <w:rPr/>
        <w:t xml:space="preserve"> </w:t>
      </w:r>
      <w:r>
        <w:rPr/>
        <w:t>H</w:t>
      </w:r>
      <w:r>
        <w:rPr>
          <w:lang w:eastAsia="zh-CN"/>
        </w:rPr>
        <w:t>e</w:t>
      </w:r>
      <w:r>
        <w:rPr/>
        <w:t>NB</w:t>
      </w:r>
      <w:r>
        <w:rPr>
          <w:lang w:eastAsia="zh-CN"/>
        </w:rPr>
        <w:t xml:space="preserve"> and related EPC</w:t>
      </w:r>
      <w:r>
        <w:rPr/>
        <w:t xml:space="preserve"> </w:t>
      </w:r>
      <w:r>
        <w:rPr>
          <w:lang w:eastAsia="zh-CN"/>
        </w:rPr>
        <w:t>nodes</w:t>
      </w:r>
      <w:r>
        <w:rPr/>
        <w:t>.</w:t>
      </w:r>
      <w:r>
        <w:br w:type="page"/>
      </w:r>
    </w:p>
    <w:p>
      <w:pPr>
        <w:pStyle w:val="Heading8"/>
        <w:ind w:left="0" w:hanging="0"/>
        <w:rPr/>
      </w:pPr>
      <w:bookmarkStart w:id="19" w:name="__RefHeading___Toc339594432"/>
      <w:bookmarkEnd w:id="19"/>
      <w:r>
        <w:rPr/>
        <w:t xml:space="preserve">Annex A (informative): </w:t>
        <w:br/>
        <w:t>Change history</w:t>
      </w:r>
    </w:p>
    <w:tbl>
      <w:tblPr>
        <w:tblW w:w="9721" w:type="dxa"/>
        <w:jc w:val="left"/>
        <w:tblInd w:w="-47" w:type="dxa"/>
        <w:tblLayout w:type="fixed"/>
        <w:tblCellMar>
          <w:top w:w="0" w:type="dxa"/>
          <w:left w:w="40" w:type="dxa"/>
          <w:bottom w:w="0" w:type="dxa"/>
          <w:right w:w="40" w:type="dxa"/>
        </w:tblCellMar>
      </w:tblPr>
      <w:tblGrid>
        <w:gridCol w:w="765"/>
        <w:gridCol w:w="670"/>
        <w:gridCol w:w="792"/>
        <w:gridCol w:w="429"/>
        <w:gridCol w:w="374"/>
        <w:gridCol w:w="5041"/>
        <w:gridCol w:w="596"/>
        <w:gridCol w:w="525"/>
        <w:gridCol w:w="529"/>
      </w:tblGrid>
      <w:tr>
        <w:trPr>
          <w:cantSplit w:val="true"/>
        </w:trPr>
        <w:tc>
          <w:tcPr>
            <w:tcW w:w="9721" w:type="dxa"/>
            <w:gridSpan w:val="9"/>
            <w:tcBorders>
              <w:top w:val="single" w:sz="6" w:space="0" w:color="000000"/>
              <w:left w:val="single" w:sz="6" w:space="0" w:color="000000"/>
              <w:right w:val="single" w:sz="6" w:space="0" w:color="000000"/>
            </w:tcBorders>
            <w:shd w:fill="FFFFFF" w:val="clear"/>
          </w:tcPr>
          <w:p>
            <w:pPr>
              <w:pStyle w:val="TAH"/>
              <w:rPr/>
            </w:pPr>
            <w:r>
              <w:rPr/>
              <w:t>Change history</w:t>
            </w:r>
          </w:p>
        </w:tc>
      </w:tr>
      <w:tr>
        <w:trPr/>
        <w:tc>
          <w:tcPr>
            <w:tcW w:w="765"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Date</w:t>
            </w:r>
          </w:p>
        </w:tc>
        <w:tc>
          <w:tcPr>
            <w:tcW w:w="670"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TSG #</w:t>
            </w:r>
          </w:p>
        </w:tc>
        <w:tc>
          <w:tcPr>
            <w:tcW w:w="792"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TSG Doc.</w:t>
            </w:r>
          </w:p>
        </w:tc>
        <w:tc>
          <w:tcPr>
            <w:tcW w:w="429"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CR</w:t>
            </w:r>
          </w:p>
        </w:tc>
        <w:tc>
          <w:tcPr>
            <w:tcW w:w="374"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Rev</w:t>
            </w:r>
          </w:p>
        </w:tc>
        <w:tc>
          <w:tcPr>
            <w:tcW w:w="5041"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Subject/Comment</w:t>
            </w:r>
          </w:p>
        </w:tc>
        <w:tc>
          <w:tcPr>
            <w:tcW w:w="596"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rFonts w:eastAsia="MS Mincho;ＭＳ 明朝" w:cs="Arial"/>
                <w:b/>
                <w:bCs/>
                <w:color w:val="000000"/>
                <w:sz w:val="16"/>
                <w:szCs w:val="16"/>
                <w:lang w:eastAsia="ja-JP"/>
              </w:rPr>
              <w:t>Cat</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Old</w:t>
            </w:r>
          </w:p>
        </w:tc>
        <w:tc>
          <w:tcPr>
            <w:tcW w:w="529"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New</w:t>
            </w:r>
          </w:p>
        </w:tc>
      </w:tr>
      <w:tr>
        <w:trPr/>
        <w:tc>
          <w:tcPr>
            <w:tcW w:w="765"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2014-06</w:t>
            </w:r>
          </w:p>
        </w:tc>
        <w:tc>
          <w:tcPr>
            <w:tcW w:w="670"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SA#64</w:t>
            </w:r>
          </w:p>
        </w:tc>
        <w:tc>
          <w:tcPr>
            <w:tcW w:w="792"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SP-140360</w:t>
            </w:r>
          </w:p>
        </w:tc>
        <w:tc>
          <w:tcPr>
            <w:tcW w:w="429"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001</w:t>
            </w:r>
          </w:p>
        </w:tc>
        <w:tc>
          <w:tcPr>
            <w:tcW w:w="374"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04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remove the feature support statements</w:t>
            </w:r>
          </w:p>
        </w:tc>
        <w:tc>
          <w:tcPr>
            <w:tcW w:w="596"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F</w:t>
            </w:r>
          </w:p>
        </w:tc>
        <w:tc>
          <w:tcPr>
            <w:tcW w:w="525"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11.0.0</w:t>
            </w:r>
          </w:p>
        </w:tc>
        <w:tc>
          <w:tcPr>
            <w:tcW w:w="529"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11.1.0</w:t>
            </w:r>
          </w:p>
        </w:tc>
      </w:tr>
      <w:tr>
        <w:trPr/>
        <w:tc>
          <w:tcPr>
            <w:tcW w:w="76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2014-10</w:t>
            </w:r>
          </w:p>
        </w:tc>
        <w:tc>
          <w:tcPr>
            <w:tcW w:w="67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792"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29"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37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04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color w:val="000000"/>
                <w:sz w:val="16"/>
                <w:szCs w:val="16"/>
              </w:rPr>
              <w:t>Update to Rel-12 version (MCC)</w:t>
            </w:r>
          </w:p>
        </w:tc>
        <w:tc>
          <w:tcPr>
            <w:tcW w:w="596"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color w:val="000000"/>
                <w:sz w:val="16"/>
                <w:szCs w:val="16"/>
                <w:lang w:eastAsia="zh-CN"/>
              </w:rPr>
            </w:pPr>
            <w:r>
              <w:rPr>
                <w:color w:val="000000"/>
                <w:sz w:val="16"/>
                <w:szCs w:val="16"/>
                <w:lang w:eastAsia="zh-CN"/>
              </w:rPr>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11.1.0</w:t>
            </w:r>
          </w:p>
        </w:tc>
        <w:tc>
          <w:tcPr>
            <w:tcW w:w="529" w:type="dxa"/>
            <w:tcBorders>
              <w:top w:val="single" w:sz="12" w:space="0" w:color="000000"/>
              <w:left w:val="single" w:sz="6" w:space="0" w:color="000000"/>
              <w:bottom w:val="single" w:sz="12" w:space="0" w:color="000000"/>
              <w:right w:val="single" w:sz="6" w:space="0" w:color="000000"/>
            </w:tcBorders>
            <w:shd w:fill="FFFFFF" w:val="clear"/>
          </w:tcPr>
          <w:p>
            <w:pPr>
              <w:pStyle w:val="TAL"/>
              <w:rPr>
                <w:b/>
                <w:b/>
                <w:color w:val="000000"/>
                <w:sz w:val="16"/>
                <w:szCs w:val="16"/>
              </w:rPr>
            </w:pPr>
            <w:r>
              <w:rPr>
                <w:b/>
                <w:color w:val="000000"/>
                <w:sz w:val="16"/>
                <w:szCs w:val="16"/>
              </w:rPr>
              <w:t>12.0.0</w:t>
            </w:r>
          </w:p>
        </w:tc>
      </w:tr>
      <w:tr>
        <w:trPr/>
        <w:tc>
          <w:tcPr>
            <w:tcW w:w="76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2016-01</w:t>
            </w:r>
          </w:p>
        </w:tc>
        <w:tc>
          <w:tcPr>
            <w:tcW w:w="67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792"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29"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37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04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color w:val="000000"/>
                <w:sz w:val="16"/>
                <w:szCs w:val="16"/>
              </w:rPr>
              <w:t>Update to Rel-13 version (MCC)</w:t>
            </w:r>
          </w:p>
        </w:tc>
        <w:tc>
          <w:tcPr>
            <w:tcW w:w="596"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color w:val="000000"/>
                <w:sz w:val="16"/>
                <w:szCs w:val="16"/>
                <w:lang w:eastAsia="zh-CN"/>
              </w:rPr>
            </w:pPr>
            <w:r>
              <w:rPr>
                <w:color w:val="000000"/>
                <w:sz w:val="16"/>
                <w:szCs w:val="16"/>
                <w:lang w:eastAsia="zh-CN"/>
              </w:rPr>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12.0.0</w:t>
            </w:r>
          </w:p>
        </w:tc>
        <w:tc>
          <w:tcPr>
            <w:tcW w:w="529" w:type="dxa"/>
            <w:tcBorders>
              <w:top w:val="single" w:sz="12" w:space="0" w:color="000000"/>
              <w:left w:val="single" w:sz="6" w:space="0" w:color="000000"/>
              <w:bottom w:val="single" w:sz="12" w:space="0" w:color="000000"/>
              <w:right w:val="single" w:sz="6" w:space="0" w:color="000000"/>
            </w:tcBorders>
            <w:shd w:fill="FFFFFF" w:val="clear"/>
          </w:tcPr>
          <w:p>
            <w:pPr>
              <w:pStyle w:val="TAL"/>
              <w:rPr>
                <w:b/>
                <w:b/>
                <w:color w:val="000000"/>
                <w:sz w:val="16"/>
                <w:szCs w:val="16"/>
              </w:rPr>
            </w:pPr>
            <w:r>
              <w:rPr>
                <w:b/>
                <w:color w:val="000000"/>
                <w:sz w:val="16"/>
                <w:szCs w:val="16"/>
              </w:rPr>
              <w:t>13.0.0</w:t>
            </w:r>
          </w:p>
        </w:tc>
      </w:tr>
      <w:tr>
        <w:trPr/>
        <w:tc>
          <w:tcPr>
            <w:tcW w:w="76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2017-03</w:t>
            </w:r>
          </w:p>
        </w:tc>
        <w:tc>
          <w:tcPr>
            <w:tcW w:w="67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SA#75</w:t>
            </w:r>
          </w:p>
        </w:tc>
        <w:tc>
          <w:tcPr>
            <w:tcW w:w="792"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29"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37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041"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sz w:val="16"/>
                <w:szCs w:val="16"/>
              </w:rPr>
              <w:t>Promotion to Release 14 without technical change</w:t>
            </w:r>
          </w:p>
        </w:tc>
        <w:tc>
          <w:tcPr>
            <w:tcW w:w="596"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13.0.0</w:t>
            </w:r>
          </w:p>
        </w:tc>
        <w:tc>
          <w:tcPr>
            <w:tcW w:w="529" w:type="dxa"/>
            <w:tcBorders>
              <w:top w:val="single" w:sz="12" w:space="0" w:color="000000"/>
              <w:left w:val="single" w:sz="6" w:space="0" w:color="000000"/>
              <w:bottom w:val="single" w:sz="12" w:space="0" w:color="000000"/>
              <w:right w:val="single" w:sz="6" w:space="0" w:color="000000"/>
            </w:tcBorders>
            <w:shd w:fill="FFFFFF" w:val="clear"/>
          </w:tcPr>
          <w:p>
            <w:pPr>
              <w:pStyle w:val="TAL"/>
              <w:rPr>
                <w:b/>
                <w:b/>
                <w:color w:val="000000"/>
                <w:sz w:val="16"/>
                <w:szCs w:val="16"/>
              </w:rPr>
            </w:pPr>
            <w:r>
              <w:rPr>
                <w:b/>
                <w:color w:val="000000"/>
                <w:sz w:val="16"/>
                <w:szCs w:val="16"/>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charset w:val="02"/>
    <w:family w:val="decorative"/>
    <w:pitch w:val="variable"/>
  </w:font>
  <w:font w:name="Geneva">
    <w:charset w:val="00"/>
    <w:family w:val="swiss"/>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28.674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28.674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p>
    <w:pPr>
      <w:pStyle w:val="Normal"/>
      <w:widowControl/>
      <w:bidi w:val="0"/>
      <w:spacing w:before="0" w:after="18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7z0">
    <w:name w:val="WW8Num17z0"/>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style>
  <w:style w:type="character" w:styleId="WW8Num21z0">
    <w:name w:val="WW8Num21z0"/>
    <w:qFormat/>
    <w:rPr/>
  </w:style>
  <w:style w:type="character" w:styleId="WW8Num23z0">
    <w:name w:val="WW8Num23z0"/>
    <w:qFormat/>
    <w:rPr/>
  </w:style>
  <w:style w:type="character" w:styleId="WW8Num23z3">
    <w:name w:val="WW8Num23z3"/>
    <w:qFormat/>
    <w:rPr>
      <w:rFonts w:ascii="Symbol" w:hAnsi="Symbol" w:cs="Symbol"/>
    </w:rPr>
  </w:style>
  <w:style w:type="character" w:styleId="WW8Num23z4">
    <w:name w:val="WW8Num23z4"/>
    <w:qFormat/>
    <w:rPr>
      <w:rFonts w:ascii="Courier New" w:hAnsi="Courier New" w:cs="Courier New"/>
    </w:rPr>
  </w:style>
  <w:style w:type="character" w:styleId="WW8Num23z5">
    <w:name w:val="WW8Num23z5"/>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style>
  <w:style w:type="character" w:styleId="WW8Num28z0">
    <w:name w:val="WW8Num28z0"/>
    <w:qFormat/>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style>
  <w:style w:type="character" w:styleId="WW8Num35z0">
    <w:name w:val="WW8Num35z0"/>
    <w:qFormat/>
    <w:rPr>
      <w:rFonts w:ascii="Arial" w:hAnsi="Arial" w:eastAsia="Times New Roman" w:cs="Aria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style>
  <w:style w:type="character" w:styleId="WW8Num37z0">
    <w:name w:val="WW8Num37z0"/>
    <w:qFormat/>
    <w:rPr/>
  </w:style>
  <w:style w:type="character" w:styleId="WW8Num38z0">
    <w:name w:val="WW8Num38z0"/>
    <w:qFormat/>
    <w:rPr/>
  </w:style>
  <w:style w:type="character" w:styleId="WW8Num39z0">
    <w:name w:val="WW8Num39z0"/>
    <w:qFormat/>
    <w:rPr>
      <w:rFonts w:ascii="Symbol" w:hAnsi="Symbol" w:cs="Symbol"/>
    </w:rPr>
  </w:style>
  <w:style w:type="character" w:styleId="WW8Num40z0">
    <w:name w:val="WW8Num40z0"/>
    <w:qFormat/>
    <w:rPr>
      <w:rFonts w:ascii="ZapfDingbats" w:hAnsi="ZapfDingbats" w:cs="ZapfDingbats"/>
      <w:b/>
      <w:i w:val="false"/>
      <w:color w:val="70CEF5"/>
      <w:sz w:val="20"/>
      <w:szCs w:val="20"/>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41z0">
    <w:name w:val="WW8Num41z0"/>
    <w:qFormat/>
    <w:rPr/>
  </w:style>
  <w:style w:type="character" w:styleId="WW8Num42z0">
    <w:name w:val="WW8Num4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6z0">
    <w:name w:val="WW8NumSt36z0"/>
    <w:qFormat/>
    <w:rPr>
      <w:rFonts w:ascii="Geneva" w:hAnsi="Geneva" w:cs="Geneva"/>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bidi="ar-SA"/>
    </w:rPr>
  </w:style>
  <w:style w:type="character" w:styleId="THChar">
    <w:name w:val="TH Char"/>
    <w:qFormat/>
    <w:rPr>
      <w:rFonts w:ascii="Arial" w:hAnsi="Arial" w:cs="Arial"/>
      <w:b/>
      <w:lang w:val="en-GB" w:bidi="ar-SA"/>
    </w:rPr>
  </w:style>
  <w:style w:type="character" w:styleId="CommentTextChar">
    <w:name w:val="Comment Text Char"/>
    <w:qFormat/>
    <w:rPr>
      <w:lang w:val="en-GB" w:bidi="ar-SA"/>
    </w:rPr>
  </w:style>
  <w:style w:type="character" w:styleId="Heading4Char">
    <w:name w:val="Heading 4 Char"/>
    <w:qFormat/>
    <w:rPr>
      <w:rFonts w:ascii="Arial" w:hAnsi="Arial" w:cs="Arial"/>
      <w:sz w:val="24"/>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CharCharCharCharCharChar1CharCharCharCharCharChar">
    <w:name w:val=" Char Char Char Char Char Char1 Char Char Char Char Char Char"/>
    <w:qFormat/>
    <w:pPr>
      <w:keepNext w:val="true"/>
      <w:widowControl/>
      <w:numPr>
        <w:ilvl w:val="0"/>
        <w:numId w:val="2"/>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CharCharChar">
    <w:name w:val="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
    <w:name w:val="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CharChar">
    <w:name w:val=" Char Char Char Char"/>
    <w:basedOn w:val="Normal"/>
    <w:qFormat/>
    <w:pPr>
      <w:spacing w:lineRule="exact" w:line="240" w:before="0" w:after="160"/>
    </w:pPr>
    <w:rPr>
      <w:rFonts w:ascii="Arial" w:hAnsi="Arial" w:eastAsia="SimSun;宋体" w:cs="Arial"/>
      <w:szCs w:val="22"/>
      <w:lang w:val="en-US"/>
    </w:rPr>
  </w:style>
  <w:style w:type="paragraph" w:styleId="Tal1">
    <w:name w:val="tal"/>
    <w:basedOn w:val="Normal"/>
    <w:qFormat/>
    <w:pPr>
      <w:spacing w:before="100" w:after="100"/>
    </w:pPr>
    <w:rPr>
      <w:rFonts w:eastAsia="SimSun;宋体"/>
      <w:sz w:val="24"/>
      <w:szCs w:val="24"/>
      <w:lang w:val="en-US" w:eastAsia="zh-CN"/>
    </w:rPr>
  </w:style>
  <w:style w:type="paragraph" w:styleId="Xmsolistbullet">
    <w:name w:val="x_msolistbullet"/>
    <w:basedOn w:val="Normal"/>
    <w:qFormat/>
    <w:pPr>
      <w:spacing w:before="100" w:after="100"/>
    </w:pPr>
    <w:rPr>
      <w:sz w:val="24"/>
      <w:szCs w:val="24"/>
      <w:lang w:val="de-DE"/>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Tdocheader">
    <w:name w:val="tdoc-header"/>
    <w:qFormat/>
    <w:pPr>
      <w:widowControl/>
      <w:bidi w:val="0"/>
    </w:pPr>
    <w:rPr>
      <w:rFonts w:ascii="Arial" w:hAnsi="Arial" w:eastAsia="SimSun;宋体" w:cs="Arial"/>
      <w:color w:val="auto"/>
      <w:sz w:val="24"/>
      <w:szCs w:val="20"/>
      <w:lang w:val="en-GB"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2020-07-09T15:48:00Z</dcterms:created>
  <dc:creator>MCC Support</dc:creator>
  <dc:description/>
  <cp:keywords>Home enhanced Node B Subsystem NRM IRP Converged Management</cp:keywords>
  <dc:language>en-US</dc:language>
  <cp:lastModifiedBy>23.401_CR3602R2_(Rel-16)_5GS_Ph1, LTE_feMob-Core, </cp:lastModifiedBy>
  <dcterms:modified xsi:type="dcterms:W3CDTF">2020-07-09T15:48:00Z</dcterms:modified>
  <cp:revision>2</cp:revision>
  <dc:subject>Telecommunication management; Home enhanced Node B (HeNB) Subsystem (HeNS)  Network Resource Model (NRM)  Integration Reference Point (IRP);  Requirements (Release 16)</dc:subject>
  <dc:title>3GPP TS 28.674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1353023342</vt:lpwstr>
  </property>
</Properties>
</file>