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28.683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28.683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Wireless Local Area Network (WLAN)</w:t>
                            </w:r>
                          </w:p>
                          <w:p>
                            <w:pPr>
                              <w:pStyle w:val="ZT"/>
                              <w:rPr>
                                <w:lang w:val="en-US"/>
                              </w:rPr>
                            </w:pPr>
                            <w:r>
                              <w:rPr>
                                <w:lang w:val="en-US"/>
                              </w:rPr>
                              <w:t>Network Resource Model (NRM)</w:t>
                            </w:r>
                          </w:p>
                          <w:p>
                            <w:pPr>
                              <w:pStyle w:val="ZT"/>
                              <w:rPr>
                                <w:lang w:val="en-US"/>
                              </w:rPr>
                            </w:pPr>
                            <w:r>
                              <w:rPr>
                                <w:lang w:val="en-US"/>
                              </w:rPr>
                              <w:t>Integration Reference Point (IRP)</w:t>
                            </w:r>
                            <w:r>
                              <w:rPr/>
                              <w:t>;</w:t>
                            </w:r>
                          </w:p>
                          <w:p>
                            <w:pPr>
                              <w:pStyle w:val="ZT"/>
                              <w:rPr>
                                <w:bCs/>
                              </w:rPr>
                            </w:pPr>
                            <w:r>
                              <w:rPr>
                                <w:bCs/>
                              </w:rPr>
                              <w:t>Solution Set (SS)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Wireless Local Area Network (WLAN)</w:t>
                      </w:r>
                    </w:p>
                    <w:p>
                      <w:pPr>
                        <w:pStyle w:val="ZT"/>
                        <w:rPr>
                          <w:lang w:val="en-US"/>
                        </w:rPr>
                      </w:pPr>
                      <w:r>
                        <w:rPr>
                          <w:lang w:val="en-US"/>
                        </w:rPr>
                        <w:t>Network Resource Model (NRM)</w:t>
                      </w:r>
                    </w:p>
                    <w:p>
                      <w:pPr>
                        <w:pStyle w:val="ZT"/>
                        <w:rPr>
                          <w:lang w:val="en-US"/>
                        </w:rPr>
                      </w:pPr>
                      <w:r>
                        <w:rPr>
                          <w:lang w:val="en-US"/>
                        </w:rPr>
                        <w:t>Integration Reference Point (IRP)</w:t>
                      </w:r>
                      <w:r>
                        <w:rPr/>
                        <w:t>;</w:t>
                      </w:r>
                    </w:p>
                    <w:p>
                      <w:pPr>
                        <w:pStyle w:val="ZT"/>
                        <w:rPr>
                          <w:bCs/>
                        </w:rPr>
                      </w:pPr>
                      <w:r>
                        <w:rPr>
                          <w:bCs/>
                        </w:rPr>
                        <w:t>Solution Set (SS)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page">
                  <wp:posOffset>716915</wp:posOffset>
                </wp:positionH>
                <wp:positionV relativeFrom="page">
                  <wp:posOffset>4549775</wp:posOffset>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358.25pt;mso-position-vertical-relative:page;margin-left:56.45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PMingLiU;新細明體"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6054685">
            <w:r>
              <w:rPr>
                <w:rStyle w:val="IndexLink"/>
                <w:rFonts w:eastAsia="Times New Roman" w:cs="Times New Roman"/>
                <w:color w:val="auto"/>
                <w:sz w:val="22"/>
                <w:szCs w:val="20"/>
                <w:lang w:val="en-GB" w:eastAsia="en-US" w:bidi="ar-SA"/>
              </w:rPr>
              <w:t>4</w:t>
            </w:r>
          </w:hyperlink>
        </w:p>
        <w:p>
          <w:pPr>
            <w:pStyle w:val="Contents1"/>
            <w:rPr>
              <w:rFonts w:ascii="Calibri" w:hAnsi="Calibri" w:eastAsia="PMingLiU;新細明體" w:cs="Calibri"/>
              <w:szCs w:val="22"/>
              <w:lang w:val="en-US" w:eastAsia="en-US"/>
            </w:rPr>
          </w:pPr>
          <w:r>
            <w:rPr/>
            <w:t>Introduction</w:t>
            <w:tab/>
          </w:r>
          <w:hyperlink w:anchor="__RefHeading___Toc436054686">
            <w:r>
              <w:rPr>
                <w:rStyle w:val="IndexLink"/>
              </w:rPr>
              <w:t>4</w:t>
            </w:r>
          </w:hyperlink>
        </w:p>
        <w:p>
          <w:pPr>
            <w:pStyle w:val="Contents1"/>
            <w:rPr>
              <w:rFonts w:ascii="Calibri" w:hAnsi="Calibri" w:eastAsia="PMingLiU;新細明體" w:cs="Calibri"/>
              <w:szCs w:val="22"/>
              <w:lang w:val="en-US" w:eastAsia="en-US"/>
            </w:rPr>
          </w:pPr>
          <w:r>
            <w:rPr/>
            <w:t>1</w:t>
          </w:r>
          <w:r>
            <w:rPr>
              <w:rFonts w:eastAsia="PMingLiU;新細明體" w:cs="Calibri" w:ascii="Calibri" w:hAnsi="Calibri"/>
              <w:szCs w:val="22"/>
              <w:lang w:val="en-US" w:eastAsia="en-US"/>
            </w:rPr>
            <w:tab/>
          </w:r>
          <w:r>
            <w:rPr/>
            <w:t>Scope</w:t>
            <w:tab/>
          </w:r>
          <w:hyperlink w:anchor="__RefHeading___Toc436054687">
            <w:r>
              <w:rPr>
                <w:rStyle w:val="IndexLink"/>
              </w:rPr>
              <w:t>5</w:t>
            </w:r>
          </w:hyperlink>
        </w:p>
        <w:p>
          <w:pPr>
            <w:pStyle w:val="Contents1"/>
            <w:rPr>
              <w:rFonts w:ascii="Calibri" w:hAnsi="Calibri" w:eastAsia="PMingLiU;新細明體" w:cs="Calibri"/>
              <w:szCs w:val="22"/>
              <w:lang w:val="en-US" w:eastAsia="en-US"/>
            </w:rPr>
          </w:pPr>
          <w:r>
            <w:rPr/>
            <w:t>2</w:t>
          </w:r>
          <w:r>
            <w:rPr>
              <w:rFonts w:eastAsia="PMingLiU;新細明體" w:cs="Calibri" w:ascii="Calibri" w:hAnsi="Calibri"/>
              <w:szCs w:val="22"/>
              <w:lang w:val="en-US" w:eastAsia="en-US"/>
            </w:rPr>
            <w:tab/>
          </w:r>
          <w:r>
            <w:rPr/>
            <w:t>References</w:t>
            <w:tab/>
          </w:r>
          <w:hyperlink w:anchor="__RefHeading___Toc436054688">
            <w:r>
              <w:rPr>
                <w:rStyle w:val="IndexLink"/>
              </w:rPr>
              <w:t>5</w:t>
            </w:r>
          </w:hyperlink>
        </w:p>
        <w:p>
          <w:pPr>
            <w:pStyle w:val="Contents1"/>
            <w:rPr>
              <w:rFonts w:ascii="Calibri" w:hAnsi="Calibri" w:eastAsia="PMingLiU;新細明體" w:cs="Calibri"/>
              <w:szCs w:val="22"/>
              <w:lang w:val="en-US" w:eastAsia="en-US"/>
            </w:rPr>
          </w:pPr>
          <w:r>
            <w:rPr/>
            <w:t>3</w:t>
          </w:r>
          <w:r>
            <w:rPr>
              <w:rFonts w:eastAsia="PMingLiU;新細明體" w:cs="Calibri" w:ascii="Calibri" w:hAnsi="Calibri"/>
              <w:szCs w:val="22"/>
              <w:lang w:val="en-US" w:eastAsia="en-US"/>
            </w:rPr>
            <w:tab/>
          </w:r>
          <w:r>
            <w:rPr/>
            <w:t>Definitions, and abbreviations</w:t>
            <w:tab/>
          </w:r>
          <w:hyperlink w:anchor="__RefHeading___Toc436054689">
            <w:r>
              <w:rPr>
                <w:rStyle w:val="IndexLink"/>
              </w:rPr>
              <w:t>5</w:t>
            </w:r>
          </w:hyperlink>
        </w:p>
        <w:p>
          <w:pPr>
            <w:pStyle w:val="Contents2"/>
            <w:rPr>
              <w:rFonts w:ascii="Calibri" w:hAnsi="Calibri" w:eastAsia="PMingLiU;新細明體" w:cs="Calibri"/>
              <w:sz w:val="22"/>
              <w:szCs w:val="22"/>
              <w:lang w:val="en-US" w:eastAsia="en-US"/>
            </w:rPr>
          </w:pPr>
          <w:r>
            <w:rPr/>
            <w:t>3.1</w:t>
          </w:r>
          <w:r>
            <w:rPr>
              <w:rFonts w:eastAsia="PMingLiU;新細明體" w:cs="Calibri" w:ascii="Calibri" w:hAnsi="Calibri"/>
              <w:sz w:val="22"/>
              <w:szCs w:val="22"/>
              <w:lang w:val="en-US" w:eastAsia="en-US"/>
            </w:rPr>
            <w:tab/>
          </w:r>
          <w:r>
            <w:rPr/>
            <w:t>Definitions</w:t>
            <w:tab/>
          </w:r>
          <w:hyperlink w:anchor="__RefHeading___Toc436054690">
            <w:r>
              <w:rPr>
                <w:rStyle w:val="IndexLink"/>
              </w:rPr>
              <w:t>5</w:t>
            </w:r>
          </w:hyperlink>
        </w:p>
        <w:p>
          <w:pPr>
            <w:pStyle w:val="Contents2"/>
            <w:rPr>
              <w:rFonts w:ascii="Calibri" w:hAnsi="Calibri" w:eastAsia="PMingLiU;新細明體" w:cs="Calibri"/>
              <w:sz w:val="22"/>
              <w:szCs w:val="22"/>
              <w:lang w:val="en-US" w:eastAsia="en-US"/>
            </w:rPr>
          </w:pPr>
          <w:r>
            <w:rPr/>
            <w:t>3.2</w:t>
          </w:r>
          <w:r>
            <w:rPr>
              <w:rFonts w:eastAsia="PMingLiU;新細明體" w:cs="Calibri" w:ascii="Calibri" w:hAnsi="Calibri"/>
              <w:sz w:val="22"/>
              <w:szCs w:val="22"/>
              <w:lang w:val="en-US" w:eastAsia="en-US"/>
            </w:rPr>
            <w:tab/>
          </w:r>
          <w:r>
            <w:rPr/>
            <w:t>Abbreviations</w:t>
            <w:tab/>
            <w:t>5</w:t>
          </w:r>
        </w:p>
        <w:p>
          <w:pPr>
            <w:pStyle w:val="Contents1"/>
            <w:rPr>
              <w:rFonts w:ascii="Calibri" w:hAnsi="Calibri" w:eastAsia="PMingLiU;新細明體" w:cs="Calibri"/>
              <w:szCs w:val="22"/>
              <w:lang w:val="en-US" w:eastAsia="en-US"/>
            </w:rPr>
          </w:pPr>
          <w:r>
            <w:rPr/>
            <w:t>4</w:t>
          </w:r>
          <w:r>
            <w:rPr>
              <w:rFonts w:eastAsia="PMingLiU;新細明體" w:cs="Calibri" w:ascii="Calibri" w:hAnsi="Calibri"/>
              <w:szCs w:val="22"/>
              <w:lang w:val="en-US" w:eastAsia="en-US"/>
            </w:rPr>
            <w:tab/>
          </w:r>
          <w:r>
            <w:rPr/>
            <w:t>Solution Set definitions</w:t>
            <w:tab/>
            <w:t>5</w:t>
          </w:r>
        </w:p>
        <w:p>
          <w:pPr>
            <w:pStyle w:val="Contents8"/>
            <w:rPr>
              <w:rFonts w:ascii="Calibri" w:hAnsi="Calibri" w:eastAsia="PMingLiU;新細明體" w:cs="Calibri"/>
              <w:b w:val="false"/>
              <w:b w:val="false"/>
              <w:szCs w:val="22"/>
              <w:lang w:val="en-US" w:eastAsia="en-US"/>
            </w:rPr>
          </w:pPr>
          <w:r>
            <w:rPr/>
            <w:t>Annex &lt;A&gt; (normative): CORBA Solution Set</w:t>
            <w:tab/>
            <w:t>6</w:t>
          </w:r>
        </w:p>
        <w:p>
          <w:pPr>
            <w:pStyle w:val="Contents8"/>
            <w:rPr>
              <w:rFonts w:ascii="Calibri" w:hAnsi="Calibri" w:eastAsia="PMingLiU;新細明體" w:cs="Calibri"/>
              <w:b w:val="false"/>
              <w:b w:val="false"/>
              <w:szCs w:val="22"/>
              <w:lang w:val="en-US" w:eastAsia="en-US"/>
            </w:rPr>
          </w:pPr>
          <w:r>
            <w:rPr/>
            <w:t>Annex &lt;B&gt; (informative): XML definitions</w:t>
            <w:tab/>
            <w:t>7</w:t>
          </w:r>
        </w:p>
        <w:p>
          <w:pPr>
            <w:pStyle w:val="Contents8"/>
            <w:rPr>
              <w:rFonts w:ascii="Calibri" w:hAnsi="Calibri" w:eastAsia="PMingLiU;新細明體" w:cs="Calibri"/>
              <w:szCs w:val="22"/>
              <w:lang w:val="en-US" w:eastAsia="en-US"/>
            </w:rPr>
          </w:pPr>
          <w:r>
            <w:rPr>
              <w:b w:val="false"/>
            </w:rPr>
            <w:t>Annex &lt;X&gt; (informative): Change history</w:t>
            <w:tab/>
            <w:t>8</w:t>
          </w:r>
          <w:r>
            <w:rPr>
              <w:b w:val="false"/>
            </w:rPr>
            <w:fldChar w:fldCharType="end"/>
          </w:r>
        </w:p>
      </w:sdtContent>
    </w:sdt>
    <w:p>
      <w:pPr>
        <w:pStyle w:val="Normal"/>
        <w:rPr>
          <w:rFonts w:ascii="Calibri" w:hAnsi="Calibri" w:eastAsia="PMingLiU;新細明體" w:cs="Calibri"/>
          <w:b/>
          <w:b/>
          <w:sz w:val="22"/>
          <w:szCs w:val="22"/>
          <w:lang w:val="en-US" w:eastAsia="en-US"/>
        </w:rPr>
      </w:pPr>
      <w:r>
        <w:rPr>
          <w:rFonts w:eastAsia="PMingLiU;新細明體" w:cs="Calibri" w:ascii="Calibri" w:hAnsi="Calibri"/>
          <w:b/>
          <w:sz w:val="22"/>
          <w:szCs w:val="22"/>
          <w:lang w:val="en-US" w:eastAsia="en-US"/>
        </w:rPr>
      </w:r>
      <w:r>
        <w:br w:type="page"/>
      </w:r>
    </w:p>
    <w:p>
      <w:pPr>
        <w:pStyle w:val="Heading1"/>
        <w:ind w:left="1134" w:hanging="1134"/>
        <w:rPr/>
      </w:pPr>
      <w:bookmarkStart w:id="8" w:name="__RefHeading___Toc43605468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6054686"/>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lang w:eastAsia="zh-CN"/>
        </w:rPr>
      </w:pPr>
      <w:r>
        <w:rPr/>
        <w:t>TS 28.680:</w:t>
        <w:tab/>
      </w:r>
      <w:r>
        <w:rPr>
          <w:rFonts w:eastAsia="Batang;바탕"/>
          <w:lang w:eastAsia="ja-JP"/>
        </w:rPr>
        <w:t>Telecommunication management; Wireless Local Area Network (WLAN) management; Concepts and requirements</w:t>
      </w:r>
    </w:p>
    <w:p>
      <w:pPr>
        <w:pStyle w:val="B1"/>
        <w:rPr/>
      </w:pPr>
      <w:r>
        <w:rPr>
          <w:lang w:eastAsia="zh-CN"/>
        </w:rPr>
        <w:t>TS 28.681</w:t>
      </w:r>
      <w:r>
        <w:rPr>
          <w:lang w:eastAsia="zh-CN"/>
        </w:rPr>
        <w:t>:</w:t>
        <w:tab/>
      </w:r>
      <w:r>
        <w:rPr/>
        <w:t>Telecommunication management; Wireless Local Area Network (WLAN) Network Resource Model (NRM) Integration Reference Point (IRP); Requirements</w:t>
      </w:r>
    </w:p>
    <w:p>
      <w:pPr>
        <w:pStyle w:val="B1"/>
        <w:rPr/>
      </w:pPr>
      <w:r>
        <w:rPr/>
        <w:t>TS 28.682:</w:t>
        <w:tab/>
        <w:t>Telecommunication management; Wireless Local Area Network (WLAN) Network Resource Model (NRM) Integration Reference Point (IRP); Information Service (IS)</w:t>
      </w:r>
    </w:p>
    <w:p>
      <w:pPr>
        <w:pStyle w:val="B1"/>
        <w:rPr>
          <w:lang w:eastAsia="zh-CN"/>
        </w:rPr>
      </w:pPr>
      <w:r>
        <w:rPr>
          <w:b/>
        </w:rPr>
        <w:t>TS 28.683:</w:t>
        <w:tab/>
        <w:t>Telecommunication management; Wireless Local Area Network (WLAN) Network Resource Model (NRM) Integration Reference Point (IRP); Solution Set (SS) definitions</w:t>
      </w:r>
      <w:r>
        <w:br w:type="page"/>
      </w:r>
    </w:p>
    <w:p>
      <w:pPr>
        <w:pStyle w:val="Heading1"/>
        <w:ind w:left="1134" w:hanging="1134"/>
        <w:rPr/>
      </w:pPr>
      <w:bookmarkStart w:id="10" w:name="__RefHeading___Toc436054687"/>
      <w:bookmarkEnd w:id="10"/>
      <w:r>
        <w:rPr/>
        <w:t>1</w:t>
        <w:tab/>
        <w:t>Scope</w:t>
      </w:r>
    </w:p>
    <w:p>
      <w:pPr>
        <w:pStyle w:val="Normal"/>
        <w:rPr/>
      </w:pPr>
      <w:r>
        <w:rPr/>
        <w:t>The present document is part of an Integration Reference Point (IRP) named Wireless Local Area Network (WLAN) Management Network Resource Model (NRM) IRP, through which an IRPAgent can communicate management information to one or several IRPManagers concerning WLAN management. The WLAN management NRM IRP comprises a set of specifications defining Requirements, a protocol neutral Information Service and one or more Solution Set(s).</w:t>
      </w:r>
    </w:p>
    <w:p>
      <w:pPr>
        <w:pStyle w:val="Normal"/>
        <w:rPr>
          <w:color w:val="000000"/>
        </w:rPr>
      </w:pPr>
      <w:r>
        <w:rPr/>
        <w:t>The present document specifies the Solution Sets for the WLAN NRM IRP</w:t>
      </w:r>
      <w:r>
        <w:rPr>
          <w:bCs/>
          <w:lang w:eastAsia="zh-CN"/>
        </w:rPr>
        <w:t>.</w:t>
      </w:r>
    </w:p>
    <w:p>
      <w:pPr>
        <w:pStyle w:val="Heading1"/>
        <w:ind w:left="1134" w:hanging="1134"/>
        <w:rPr/>
      </w:pPr>
      <w:bookmarkStart w:id="11" w:name="__RefHeading___Toc43605468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28.682: "Wireless Local Area Network (WLAN) Network Resource Model (NRM) Integration Reference Point (IRP); Information Service (IS)"</w:t>
      </w:r>
    </w:p>
    <w:p>
      <w:pPr>
        <w:pStyle w:val="EX"/>
        <w:rPr/>
      </w:pPr>
      <w:r>
        <w:rPr/>
        <w:t>[3]</w:t>
        <w:tab/>
        <w:t>3GPP TS 32.150: "Integration Reference Point (IRP) Concept and definitions"</w:t>
      </w:r>
    </w:p>
    <w:p>
      <w:pPr>
        <w:pStyle w:val="Heading1"/>
        <w:ind w:left="1134" w:hanging="1134"/>
        <w:rPr/>
      </w:pPr>
      <w:bookmarkStart w:id="12" w:name="__RefHeading___Toc436054689"/>
      <w:bookmarkEnd w:id="12"/>
      <w:r>
        <w:rPr/>
        <w:t>3</w:t>
        <w:tab/>
        <w:t>Definitions and abbreviations</w:t>
      </w:r>
    </w:p>
    <w:p>
      <w:pPr>
        <w:pStyle w:val="Heading2"/>
        <w:rPr/>
      </w:pPr>
      <w:bookmarkStart w:id="13" w:name="__RefHeading___Toc436054690"/>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and 3GPP TS 32.150 [3] apply. A term defined in the present document takes precedence over the definition of the same term, if any, in 3GPP TR 21.905 [1].</w:t>
      </w:r>
    </w:p>
    <w:p>
      <w:pPr>
        <w:pStyle w:val="EW"/>
        <w:rPr/>
      </w:pPr>
      <w:r>
        <w:rPr/>
      </w:r>
    </w:p>
    <w:p>
      <w:pPr>
        <w:pStyle w:val="Heading2"/>
        <w:rPr/>
      </w:pPr>
      <w:r>
        <w:rPr/>
        <w:t>3.2</w:t>
        <w:tab/>
        <w:t>Abbreviations</w:t>
      </w:r>
    </w:p>
    <w:p>
      <w:pPr>
        <w:pStyle w:val="Normal"/>
        <w:keepNext w:val="true"/>
        <w:rPr/>
      </w:pPr>
      <w:r>
        <w:rPr/>
        <w:t>For the purposes of the present document, the abbreviations given in 3GPP TR 21.905 [1], 3GPP TS 32.150 [3 and the following apply. An abbreviation defined in the present document takes precedence over the definition of the same abbreviation, if any, in 3GPP TR 21.905 [1] or 3GPP TS 32.150 [3].</w:t>
      </w:r>
    </w:p>
    <w:p>
      <w:pPr>
        <w:pStyle w:val="EW"/>
        <w:rPr/>
      </w:pPr>
      <w:r>
        <w:rPr/>
        <w:t>WLAN</w:t>
        <w:tab/>
        <w:tab/>
        <w:t>Wireless Local Area Network</w:t>
      </w:r>
    </w:p>
    <w:p>
      <w:pPr>
        <w:pStyle w:val="EW"/>
        <w:rPr/>
      </w:pPr>
      <w:r>
        <w:rPr/>
      </w:r>
    </w:p>
    <w:p>
      <w:pPr>
        <w:pStyle w:val="Heading1"/>
        <w:ind w:left="1134" w:hanging="1134"/>
        <w:rPr/>
      </w:pPr>
      <w:r>
        <w:rPr/>
        <w:t>4</w:t>
        <w:tab/>
        <w:t>Solution Set definitions</w:t>
      </w:r>
    </w:p>
    <w:p>
      <w:pPr>
        <w:pStyle w:val="Normal"/>
        <w:rPr/>
      </w:pPr>
      <w:r>
        <w:rPr/>
        <w:t>Since the instances of all of the IOC(s) defined in WLAN NRM IS (3GPP TS 28.682 [2]) are not visible to Basic CM IRP and Bulk CM IRP, there is no need to define solution sets in the present document.</w:t>
      </w:r>
    </w:p>
    <w:p>
      <w:pPr>
        <w:pStyle w:val="Heading8"/>
        <w:ind w:left="0" w:hanging="0"/>
        <w:rPr>
          <w:szCs w:val="36"/>
        </w:rPr>
      </w:pPr>
      <w:r>
        <w:rPr/>
        <w:t>Annex A (normative):</w:t>
        <w:br/>
      </w:r>
      <w:r>
        <w:rPr>
          <w:szCs w:val="36"/>
        </w:rPr>
        <w:t>CORBA Solution Set</w:t>
      </w:r>
    </w:p>
    <w:p>
      <w:pPr>
        <w:pStyle w:val="Normal"/>
        <w:rPr/>
      </w:pPr>
      <w:r>
        <w:rPr/>
        <w:t>Void.</w:t>
      </w:r>
      <w:r>
        <w:br w:type="page"/>
      </w:r>
    </w:p>
    <w:p>
      <w:pPr>
        <w:pStyle w:val="Heading8"/>
        <w:ind w:left="0" w:hanging="0"/>
        <w:rPr>
          <w:szCs w:val="36"/>
        </w:rPr>
      </w:pPr>
      <w:r>
        <w:rPr/>
        <w:t>Annex B (informative):</w:t>
        <w:br/>
      </w:r>
      <w:r>
        <w:rPr>
          <w:szCs w:val="36"/>
        </w:rPr>
        <w:t>XML definitions</w:t>
      </w:r>
    </w:p>
    <w:p>
      <w:pPr>
        <w:pStyle w:val="Normal"/>
        <w:rPr/>
      </w:pPr>
      <w:r>
        <w:rPr/>
        <w:t>Void.</w:t>
      </w:r>
    </w:p>
    <w:p>
      <w:pPr>
        <w:pStyle w:val="Guidance"/>
        <w:rPr/>
      </w:pPr>
      <w:r>
        <w:rPr/>
      </w:r>
      <w:r>
        <w:br w:type="page"/>
      </w:r>
    </w:p>
    <w:p>
      <w:pPr>
        <w:pStyle w:val="Heading8"/>
        <w:ind w:left="0" w:hanging="0"/>
        <w:rPr/>
      </w:pPr>
      <w:bookmarkStart w:id="17" w:name="historyclause"/>
      <w:bookmarkEnd w:id="17"/>
      <w:r>
        <w:rPr/>
        <w:t>Annex C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567"/>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SA-70</w:t>
            </w:r>
          </w:p>
        </w:tc>
        <w:tc>
          <w:tcPr>
            <w:tcW w:w="901" w:type="dxa"/>
            <w:tcBorders>
              <w:top w:val="single" w:sz="6" w:space="0" w:color="000000"/>
              <w:left w:val="single" w:sz="6" w:space="0" w:color="000000"/>
              <w:right w:val="single" w:sz="6" w:space="0" w:color="000000"/>
            </w:tcBorders>
            <w:shd w:fill="FFFFFF" w:val="clear"/>
          </w:tcPr>
          <w:p>
            <w:pPr>
              <w:pStyle w:val="TAL"/>
              <w:rPr/>
            </w:pPr>
            <w:r>
              <w:rPr/>
              <w:t>SP-150688</w:t>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right w:val="single" w:sz="6" w:space="0" w:color="000000"/>
            </w:tcBorders>
            <w:shd w:fill="FFFFFF" w:val="clear"/>
          </w:tcPr>
          <w:p>
            <w:pPr>
              <w:pStyle w:val="TAL"/>
              <w:rPr/>
            </w:pPr>
            <w:r>
              <w:rPr/>
              <w:t>Presented for information and approval</w:t>
            </w:r>
          </w:p>
        </w:tc>
        <w:tc>
          <w:tcPr>
            <w:tcW w:w="567" w:type="dxa"/>
            <w:tcBorders>
              <w:top w:val="single" w:sz="6" w:space="0" w:color="000000"/>
              <w:left w:val="single" w:sz="6" w:space="0" w:color="000000"/>
              <w:right w:val="single" w:sz="6" w:space="0" w:color="000000"/>
            </w:tcBorders>
            <w:shd w:fill="FFFFFF" w:val="clear"/>
          </w:tcPr>
          <w:p>
            <w:pPr>
              <w:pStyle w:val="TAL"/>
              <w:rPr/>
            </w:pPr>
            <w:r>
              <w:rPr/>
              <w:t>0.1.0</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eastAsia="Times New Roman" w:cs="Arial"/>
      <w:b/>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lang w:val="en-GB"/>
    </w:rPr>
  </w:style>
  <w:style w:type="character" w:styleId="TALChar">
    <w:name w:val="TAL Char"/>
    <w:qFormat/>
    <w:rPr>
      <w:rFonts w:ascii="Arial" w:hAnsi="Arial" w:cs="Arial"/>
      <w:sz w:val="18"/>
      <w:lang w:val="en-GB"/>
    </w:rPr>
  </w:style>
  <w:style w:type="character" w:styleId="BalloonTextChar">
    <w:name w:val="Balloon Text Char"/>
    <w:qFormat/>
    <w:rPr>
      <w:rFonts w:ascii="Segoe UI;Sylfaen" w:hAnsi="Segoe UI;Sylfaen" w:cs="Segoe UI;Sylfaen"/>
      <w:sz w:val="18"/>
      <w:szCs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2020-07-09T15:49:00Z</dcterms:created>
  <dc:creator>MCC Support</dc:creator>
  <dc:description/>
  <cp:keywords>WLAN management WLAN MIB WLAN OAM</cp:keywords>
  <dc:language>en-US</dc:language>
  <cp:lastModifiedBy>23.401_CR3602R2_(Rel-16)_5GS_Ph1, LTE_feMob-Core, </cp:lastModifiedBy>
  <dcterms:modified xsi:type="dcterms:W3CDTF">2020-07-09T15:49:00Z</dcterms:modified>
  <cp:revision>2</cp:revision>
  <dc:subject>Telecommunication management; Wireless Local Area Network (WLAN) Network Resource Model (NRM) Integration Reference Point (IRP); Solution Set (SS) definitions (Release 16)</dc:subject>
  <dc:title>3GPP TS 28.683</dc:title>
</cp:coreProperties>
</file>