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28.701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28.701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Core Network (CN)</w:t>
                            </w:r>
                          </w:p>
                          <w:p>
                            <w:pPr>
                              <w:pStyle w:val="ZT"/>
                              <w:rPr/>
                            </w:pPr>
                            <w:r>
                              <w:rPr>
                                <w:rFonts w:eastAsia="Arial"/>
                              </w:rPr>
                              <w:t xml:space="preserve"> </w:t>
                            </w:r>
                            <w:r>
                              <w:rPr>
                                <w:lang w:eastAsia="zh-CN"/>
                              </w:rPr>
                              <w:t>Network Resource Model (NRM)</w:t>
                            </w:r>
                          </w:p>
                          <w:p>
                            <w:pPr>
                              <w:pStyle w:val="ZT"/>
                              <w:rPr/>
                            </w:pPr>
                            <w:r>
                              <w:rPr/>
                              <w:t xml:space="preserve">Integration Reference Point (IRP); </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Core Network (CN)</w:t>
                      </w:r>
                    </w:p>
                    <w:p>
                      <w:pPr>
                        <w:pStyle w:val="ZT"/>
                        <w:rPr/>
                      </w:pPr>
                      <w:r>
                        <w:rPr>
                          <w:rFonts w:eastAsia="Arial"/>
                        </w:rPr>
                        <w:t xml:space="preserve"> </w:t>
                      </w:r>
                      <w:r>
                        <w:rPr>
                          <w:lang w:eastAsia="zh-CN"/>
                        </w:rPr>
                        <w:t>Network Resource Model (NRM)</w:t>
                      </w:r>
                    </w:p>
                    <w:p>
                      <w:pPr>
                        <w:pStyle w:val="ZT"/>
                        <w:rPr/>
                      </w:pPr>
                      <w:r>
                        <w:rPr/>
                        <w:t xml:space="preserve">Integration Reference Point (IRP); </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CN, NRM, IRP,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CN,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54619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854619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854619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854619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854620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854620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854620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Requirements</w:t>
            <w:tab/>
          </w:r>
          <w:hyperlink w:anchor="__RefHeading___Toc478546203">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478546204">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854619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8" w:name="__RefHeading___Toc478546197"/>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Configuration Management (CM); as identified below:</w:t>
      </w:r>
    </w:p>
    <w:p>
      <w:pPr>
        <w:pStyle w:val="B1"/>
        <w:rPr>
          <w:b/>
          <w:b/>
        </w:rPr>
      </w:pPr>
      <w:r>
        <w:rPr>
          <w:b/>
        </w:rPr>
        <w:t>28.701:</w:t>
        <w:tab/>
      </w:r>
      <w:r>
        <w:rPr>
          <w:b/>
          <w:bCs/>
        </w:rPr>
        <w:t>"</w:t>
      </w:r>
      <w:r>
        <w:rPr>
          <w:b/>
        </w:rPr>
        <w:t xml:space="preserve">Core Network (CN) </w:t>
      </w:r>
      <w:r>
        <w:rPr>
          <w:b/>
          <w:lang w:eastAsia="zh-CN"/>
        </w:rPr>
        <w:t>Network Resource Model (NRM)</w:t>
      </w:r>
      <w:r>
        <w:rPr>
          <w:b/>
        </w:rPr>
        <w:t xml:space="preserve"> Integration Reference Point (IRP); Requirements".</w:t>
      </w:r>
    </w:p>
    <w:p>
      <w:pPr>
        <w:pStyle w:val="B1"/>
        <w:rPr/>
      </w:pPr>
      <w:r>
        <w:rPr/>
        <w:t>28.702:</w:t>
        <w:tab/>
        <w:t>"</w:t>
      </w:r>
      <w:r>
        <w:rPr>
          <w:bCs/>
        </w:rPr>
        <w:t xml:space="preserve">Core Network </w:t>
      </w:r>
      <w:r>
        <w:rPr/>
        <w:t xml:space="preserve">(CN) </w:t>
      </w:r>
      <w:r>
        <w:rPr>
          <w:lang w:eastAsia="zh-CN"/>
        </w:rPr>
        <w:t xml:space="preserve">Network Resource Model (NRM) </w:t>
      </w:r>
      <w:r>
        <w:rPr>
          <w:bCs/>
        </w:rPr>
        <w:t>Integration Reference Point (IRP); Information Service (IS)".</w:t>
      </w:r>
    </w:p>
    <w:p>
      <w:pPr>
        <w:pStyle w:val="B1"/>
        <w:rPr/>
      </w:pPr>
      <w:r>
        <w:rPr/>
        <w:t>28.703:</w:t>
        <w:tab/>
        <w:t xml:space="preserve">"Core Network CN) </w:t>
      </w:r>
      <w:r>
        <w:rPr>
          <w:lang w:eastAsia="zh-CN"/>
        </w:rPr>
        <w:t>Network Resource Model (NRM)</w:t>
      </w:r>
      <w:r>
        <w:rPr/>
        <w:t>Integration Reference Point (IRP); Solution Set (SS) definitions".</w:t>
      </w:r>
    </w:p>
    <w:p>
      <w:pPr>
        <w:pStyle w:val="Normal"/>
        <w:rPr/>
      </w:pPr>
      <w:r>
        <w:rPr/>
        <w:t>Configuration Management (CM), in general, provides the operator with the ability to assure correct and effective operation of the 3GPP network as it evolves. CM actions have the objective to control and monitor the actual configuration on the Network Elements (NEs) and Network Resources (NRs),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3GPP network, or as part of a complex procedure involving actions on many resources/objects in one or several NEs.</w:t>
      </w:r>
      <w:r>
        <w:br w:type="page"/>
      </w:r>
    </w:p>
    <w:p>
      <w:pPr>
        <w:pStyle w:val="Heading1"/>
        <w:ind w:left="1134" w:hanging="1134"/>
        <w:rPr/>
      </w:pPr>
      <w:bookmarkStart w:id="9" w:name="__RefHeading___Toc478546198"/>
      <w:bookmarkEnd w:id="9"/>
      <w:r>
        <w:rPr/>
        <w:t>1</w:t>
        <w:tab/>
        <w:t>Scope</w:t>
      </w:r>
    </w:p>
    <w:p>
      <w:pPr>
        <w:pStyle w:val="Normal"/>
        <w:rPr/>
      </w:pPr>
      <w:r>
        <w:rPr/>
        <w:t>The present document defines, in addition to the requirements defined in [1], [2] and [3], the requirements for the present IRP: Core Network Network Resource Model IRP.</w:t>
      </w:r>
    </w:p>
    <w:p>
      <w:pPr>
        <w:pStyle w:val="Heading1"/>
        <w:ind w:left="1134" w:hanging="1134"/>
        <w:rPr/>
      </w:pPr>
      <w:bookmarkStart w:id="10" w:name="__RefHeading___Toc47854619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32.602: "Telecommunication management; Configuration Management (CM); Basic Configuration Management Integration Reference Point (IRP): Information Service (IS)".</w:t>
      </w:r>
    </w:p>
    <w:p>
      <w:pPr>
        <w:pStyle w:val="EX"/>
        <w:rPr/>
      </w:pPr>
      <w:r>
        <w:rPr/>
        <w:t>[5]</w:t>
        <w:tab/>
        <w:t>3GPP TS 28.704: " Telecommunication management; IP Multimedia Subsystem (IMS) Network Resource Model (NRM) Integration Reference Point (IRP); Requirements".</w:t>
      </w:r>
    </w:p>
    <w:p>
      <w:pPr>
        <w:pStyle w:val="EX"/>
        <w:rPr/>
      </w:pPr>
      <w:r>
        <w:rPr>
          <w:lang w:eastAsia="zh-CN"/>
        </w:rPr>
        <w:t>[6]</w:t>
      </w:r>
      <w:r>
        <w:rPr/>
        <w:tab/>
      </w:r>
      <w:r>
        <w:rPr>
          <w:lang w:eastAsia="zh-CN"/>
        </w:rPr>
        <w:t>3GPP TS 32.150: "Telecommunication management; Integration Reference Point (IRP) Concept and definitions".</w:t>
      </w:r>
    </w:p>
    <w:p>
      <w:pPr>
        <w:pStyle w:val="EX"/>
        <w:rPr/>
      </w:pPr>
      <w:r>
        <w:rPr/>
        <w:t>[7]</w:t>
        <w:tab/>
        <w:t>3GPP TS 28.620: "Telecommunication management; Fixed Mobile Convergence (FMC) Federated Network Information Model (FNIM) Umbrella Information Model (UIM)".</w:t>
      </w:r>
    </w:p>
    <w:p>
      <w:pPr>
        <w:pStyle w:val="EX"/>
        <w:rPr/>
      </w:pPr>
      <w:r>
        <w:rPr/>
        <w:t>[8]</w:t>
        <w:tab/>
        <w:t>3GPP TS 28.622: "Telecommunication management; Generic Network Resource Model (NRM) Integration Reference Point (IRP); Information Service".</w:t>
      </w:r>
    </w:p>
    <w:p>
      <w:pPr>
        <w:pStyle w:val="EX"/>
        <w:rPr/>
      </w:pPr>
      <w:r>
        <w:rPr/>
      </w:r>
    </w:p>
    <w:p>
      <w:pPr>
        <w:pStyle w:val="Heading1"/>
        <w:ind w:left="1134" w:hanging="1134"/>
        <w:rPr/>
      </w:pPr>
      <w:bookmarkStart w:id="11" w:name="__RefHeading___Toc478546200"/>
      <w:bookmarkEnd w:id="11"/>
      <w:r>
        <w:rPr/>
        <w:t>3</w:t>
        <w:tab/>
        <w:t>Definitions and abbreviations</w:t>
      </w:r>
    </w:p>
    <w:p>
      <w:pPr>
        <w:pStyle w:val="Heading2"/>
        <w:rPr/>
      </w:pPr>
      <w:bookmarkStart w:id="12" w:name="__RefHeading___Toc478546201"/>
      <w:bookmarkEnd w:id="12"/>
      <w:r>
        <w:rPr/>
        <w:t>3.1</w:t>
        <w:tab/>
        <w:t>Definitions</w:t>
      </w:r>
    </w:p>
    <w:p>
      <w:pPr>
        <w:pStyle w:val="Normal"/>
        <w:rPr/>
      </w:pPr>
      <w:r>
        <w:rPr/>
        <w:t>For the purposes of the present document, the following terms and definitions apply.</w:t>
      </w:r>
    </w:p>
    <w:p>
      <w:pPr>
        <w:pStyle w:val="Normal"/>
        <w:rPr/>
      </w:pPr>
      <w:r>
        <w:rPr>
          <w:b/>
        </w:rPr>
        <w:t>Data:</w:t>
      </w:r>
      <w:r>
        <w:rPr/>
        <w:t xml:space="preserve"> is any information or set of information required to give software or equipment or combinations thereof a specific state of functionality.</w:t>
      </w:r>
    </w:p>
    <w:p>
      <w:pPr>
        <w:pStyle w:val="Normal"/>
        <w:rPr/>
      </w:pPr>
      <w:r>
        <w:rPr>
          <w:b/>
        </w:rPr>
        <w:t>Element Manager (EM):</w:t>
      </w:r>
      <w:r>
        <w:rPr/>
        <w:t xml:space="preserve"> provides a package of end-user functions for management of a set of closely related types of Network Elements (NEs). These functions can be divided into two main categories:</w:t>
      </w:r>
    </w:p>
    <w:p>
      <w:pPr>
        <w:pStyle w:val="B1"/>
        <w:rPr/>
      </w:pPr>
      <w:r>
        <w:rPr>
          <w:i/>
        </w:rPr>
        <w:t>-</w:t>
        <w:tab/>
        <w:t>Element Management Functions</w:t>
      </w:r>
      <w:r>
        <w:rPr/>
        <w:t xml:space="preserve"> for management of NEs on an individual basis. These are basically the same functions as supported by the corresponding local terminals.</w:t>
      </w:r>
    </w:p>
    <w:p>
      <w:pPr>
        <w:pStyle w:val="B1"/>
        <w:rPr/>
      </w:pPr>
      <w:r>
        <w:rPr>
          <w:i/>
        </w:rPr>
        <w:t>-</w:t>
        <w:tab/>
        <w:t>Sub-Network Management Functions</w:t>
      </w:r>
      <w:r>
        <w:rPr/>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pPr>
        <w:pStyle w:val="Normal"/>
        <w:rPr/>
      </w:pPr>
      <w:r>
        <w:rPr>
          <w:b/>
        </w:rPr>
        <w:t>Information Object Class (IOC):</w:t>
      </w:r>
      <w:r>
        <w:rPr/>
        <w:t xml:space="preserve"> See definition in TS 28.622 [8].</w:t>
      </w:r>
    </w:p>
    <w:p>
      <w:pPr>
        <w:pStyle w:val="Normal"/>
        <w:rPr/>
      </w:pPr>
      <w:r>
        <w:rPr>
          <w:b/>
        </w:rPr>
        <w:t>Integration Reference Point (IRP):</w:t>
      </w:r>
      <w:r>
        <w:rPr/>
        <w:t xml:space="preserve"> See 3GPP TS 32.</w:t>
      </w:r>
      <w:r>
        <w:rPr>
          <w:lang w:eastAsia="zh-CN"/>
        </w:rPr>
        <w:t>150</w:t>
      </w:r>
      <w:r>
        <w:rPr/>
        <w:t xml:space="preserve"> [</w:t>
      </w:r>
      <w:r>
        <w:rPr>
          <w:lang w:eastAsia="zh-CN"/>
        </w:rPr>
        <w:t>6</w:t>
      </w:r>
      <w:r>
        <w:rPr/>
        <w:t>].</w:t>
      </w:r>
    </w:p>
    <w:p>
      <w:pPr>
        <w:pStyle w:val="Normal"/>
        <w:rPr/>
      </w:pPr>
      <w:r>
        <w:rPr>
          <w:b/>
        </w:rPr>
        <w:t>Information Service (IS):</w:t>
      </w:r>
      <w:r>
        <w:rPr/>
        <w:t xml:space="preserve"> See 3GPP TS 32.</w:t>
      </w:r>
      <w:r>
        <w:rPr>
          <w:lang w:eastAsia="zh-CN"/>
        </w:rPr>
        <w:t>150</w:t>
      </w:r>
      <w:r>
        <w:rPr/>
        <w:t xml:space="preserve"> [</w:t>
      </w:r>
      <w:r>
        <w:rPr>
          <w:lang w:eastAsia="zh-CN"/>
        </w:rPr>
        <w:t>6</w:t>
      </w:r>
      <w:r>
        <w:rPr/>
        <w:t>].</w:t>
      </w:r>
    </w:p>
    <w:p>
      <w:pPr>
        <w:pStyle w:val="Normal"/>
        <w:rPr/>
      </w:pPr>
      <w:r>
        <w:rPr>
          <w:b/>
        </w:rPr>
        <w:t>Solution Set (SS):</w:t>
      </w:r>
      <w:r>
        <w:rPr/>
        <w:t xml:space="preserve"> See 3GPP TS 32.</w:t>
      </w:r>
      <w:r>
        <w:rPr>
          <w:lang w:eastAsia="zh-CN"/>
        </w:rPr>
        <w:t>150</w:t>
      </w:r>
      <w:r>
        <w:rPr/>
        <w:t xml:space="preserve"> [</w:t>
      </w:r>
      <w:r>
        <w:rPr>
          <w:lang w:eastAsia="zh-CN"/>
        </w:rPr>
        <w:t>6</w:t>
      </w:r>
      <w:r>
        <w:rPr/>
        <w:t>].</w:t>
      </w:r>
    </w:p>
    <w:p>
      <w:pPr>
        <w:pStyle w:val="Normal"/>
        <w:rPr/>
      </w:pPr>
      <w:r>
        <w:rPr>
          <w:b/>
        </w:rPr>
        <w:t>IRP Solution Set:</w:t>
      </w:r>
      <w:r>
        <w:rPr/>
        <w:t xml:space="preserve"> See 3GPP TS 32.101 [1].</w:t>
      </w:r>
    </w:p>
    <w:p>
      <w:pPr>
        <w:pStyle w:val="Normal"/>
        <w:rPr/>
      </w:pPr>
      <w:r>
        <w:rPr>
          <w:b/>
        </w:rPr>
        <w:t xml:space="preserve">Managed Object (MO): </w:t>
      </w:r>
      <w:r>
        <w:rPr/>
        <w:t>an abstract entity, which may be accessed through an open interface between two or more systems, and representing a Network Resource (NR) for the purpose of management. The Managed Object (MO) is an instance of a Managed Object Class (MOC) as defined in a Management Information Model (MIM). The MIM does not define how the MO or NR is implemented; only what can be seen in the interface.</w:t>
      </w:r>
    </w:p>
    <w:p>
      <w:pPr>
        <w:pStyle w:val="Normal"/>
        <w:rPr/>
      </w:pPr>
      <w:r>
        <w:rPr>
          <w:b/>
        </w:rPr>
        <w:t>Managed Object Class (MOC):</w:t>
      </w:r>
      <w:r>
        <w:rPr/>
        <w:t xml:space="preserve"> a description of all the common characteristics for a number of MOs, such as their attributes, operations, notifications and behaviour.</w:t>
      </w:r>
    </w:p>
    <w:p>
      <w:pPr>
        <w:pStyle w:val="Normal"/>
        <w:rPr>
          <w:i/>
          <w:i/>
        </w:rPr>
      </w:pPr>
      <w:r>
        <w:rPr>
          <w:b/>
        </w:rPr>
        <w:t>Management Information Model (MIM)</w:t>
      </w:r>
      <w:r>
        <w:rPr/>
        <w:t>: also referred to as NRM – see the definition below. There is a slight difference between the meaning of MIM and NRM – the term MIM is generic and can be used to denote any type of management model, while NRM denotes the model of the actual managed telecommunications Network Resources (NRs).</w:t>
      </w:r>
    </w:p>
    <w:p>
      <w:pPr>
        <w:pStyle w:val="Normal"/>
        <w:rPr/>
      </w:pPr>
      <w:r>
        <w:rPr>
          <w:b/>
        </w:rPr>
        <w:t xml:space="preserve">Network Element (NE): </w:t>
      </w:r>
      <w:r>
        <w:rPr/>
        <w:t>is a discrete telecommunications entity, which can be, managed over a specific interface e.g. the RNC.</w:t>
      </w:r>
    </w:p>
    <w:p>
      <w:pPr>
        <w:pStyle w:val="Normal"/>
        <w:rPr/>
      </w:pPr>
      <w:r>
        <w:rPr>
          <w:b/>
        </w:rPr>
        <w:t>Network Manager (NM)</w:t>
      </w:r>
      <w:r>
        <w:rPr/>
        <w:t>: provides a package of end-user functions with the responsibility for the management of a network, mainly as supported by the EM(s) but it may also involve direct access to the NEs. All communication with the network is based on open and well-standardised interfaces supporting management of multi-vendor and multi-technology NEs.</w:t>
      </w:r>
    </w:p>
    <w:p>
      <w:pPr>
        <w:pStyle w:val="Normal"/>
        <w:rPr/>
      </w:pPr>
      <w:r>
        <w:rPr>
          <w:b/>
        </w:rPr>
        <w:t>Network Resource (NR):</w:t>
      </w:r>
      <w:r>
        <w:rPr/>
        <w:t xml:space="preserve"> is a component of a NE, which can be identified as a discrete separate entity and is in an object oriented environment for the purpose of management represented by an abstract entity called Managed Object (MO).</w:t>
      </w:r>
    </w:p>
    <w:p>
      <w:pPr>
        <w:pStyle w:val="Normal"/>
        <w:rPr/>
      </w:pPr>
      <w:r>
        <w:rPr>
          <w:b/>
        </w:rPr>
        <w:t>Network Resource Model (NRM)</w:t>
      </w:r>
      <w:r>
        <w:rPr/>
        <w:t>: See definition in TS 28.622 [8].</w:t>
      </w:r>
    </w:p>
    <w:p>
      <w:pPr>
        <w:pStyle w:val="Normal"/>
        <w:rPr/>
      </w:pPr>
      <w:r>
        <w:rPr>
          <w:b/>
        </w:rPr>
        <w:t>Object Management Group (OMG):</w:t>
      </w:r>
      <w:r>
        <w:rPr/>
        <w:t xml:space="preserve"> see http://www.omg.org.</w:t>
      </w:r>
    </w:p>
    <w:p>
      <w:pPr>
        <w:pStyle w:val="Normal"/>
        <w:rPr/>
      </w:pPr>
      <w:r>
        <w:rPr>
          <w:b/>
        </w:rPr>
        <w:t>Operations System (OS):</w:t>
      </w:r>
      <w:r>
        <w:rPr/>
        <w:t xml:space="preserve"> indicates a generic management system, independent of its location level within the management hierarchy.</w:t>
      </w:r>
    </w:p>
    <w:p>
      <w:pPr>
        <w:pStyle w:val="Heading2"/>
        <w:rPr/>
      </w:pPr>
      <w:bookmarkStart w:id="13" w:name="__RefHeading___Toc478546202"/>
      <w:bookmarkEnd w:id="13"/>
      <w:r>
        <w:rPr/>
        <w:t>3.2</w:t>
        <w:tab/>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pPr>
      <w:r>
        <w:rPr/>
        <w:t>CN</w:t>
        <w:tab/>
        <w:t>Core Network</w:t>
      </w:r>
    </w:p>
    <w:p>
      <w:pPr>
        <w:pStyle w:val="EW"/>
        <w:rPr/>
      </w:pPr>
      <w:r>
        <w:rPr/>
        <w:t>EM</w:t>
        <w:tab/>
        <w:t>Element Manager</w:t>
      </w:r>
    </w:p>
    <w:p>
      <w:pPr>
        <w:pStyle w:val="EW"/>
        <w:rPr/>
      </w:pPr>
      <w:r>
        <w:rPr/>
        <w:t>FM</w:t>
        <w:tab/>
        <w:t>Fault Management</w:t>
      </w:r>
    </w:p>
    <w:p>
      <w:pPr>
        <w:pStyle w:val="EW"/>
        <w:rPr/>
      </w:pPr>
      <w:r>
        <w:rPr/>
        <w:t>GSM</w:t>
        <w:tab/>
        <w:t>Global System for Mobile communication</w:t>
      </w:r>
    </w:p>
    <w:p>
      <w:pPr>
        <w:pStyle w:val="EW"/>
        <w:rPr/>
      </w:pPr>
      <w:r>
        <w:rPr/>
        <w:t>IMS</w:t>
        <w:tab/>
        <w:t>IP Multimedia Subsystem</w:t>
      </w:r>
    </w:p>
    <w:p>
      <w:pPr>
        <w:pStyle w:val="EW"/>
        <w:rPr/>
      </w:pPr>
      <w:r>
        <w:rPr/>
        <w:t>IOC</w:t>
        <w:tab/>
        <w:t>Information Object Class</w:t>
      </w:r>
    </w:p>
    <w:p>
      <w:pPr>
        <w:pStyle w:val="EW"/>
        <w:rPr/>
      </w:pPr>
      <w:r>
        <w:rPr/>
        <w:t>IRP</w:t>
        <w:tab/>
        <w:t>Integration Reference Point</w:t>
      </w:r>
    </w:p>
    <w:p>
      <w:pPr>
        <w:pStyle w:val="EW"/>
        <w:rPr/>
      </w:pPr>
      <w:r>
        <w:rPr/>
        <w:t>IS</w:t>
        <w:tab/>
        <w:t>Information Service (see [1])</w:t>
      </w:r>
    </w:p>
    <w:p>
      <w:pPr>
        <w:pStyle w:val="EW"/>
        <w:rPr/>
      </w:pPr>
      <w:r>
        <w:rPr/>
        <w:t>MIB</w:t>
        <w:tab/>
        <w:t>Management Information Base</w:t>
      </w:r>
    </w:p>
    <w:p>
      <w:pPr>
        <w:pStyle w:val="EW"/>
        <w:rPr/>
      </w:pPr>
      <w:r>
        <w:rPr/>
        <w:t>MIM</w:t>
        <w:tab/>
        <w:t>Management Information Model</w:t>
      </w:r>
    </w:p>
    <w:p>
      <w:pPr>
        <w:pStyle w:val="EW"/>
        <w:rPr/>
      </w:pPr>
      <w:r>
        <w:rPr/>
        <w:t>MOC</w:t>
        <w:tab/>
        <w:t>Managed Object Class</w:t>
      </w:r>
    </w:p>
    <w:p>
      <w:pPr>
        <w:pStyle w:val="EW"/>
        <w:rPr/>
      </w:pPr>
      <w:r>
        <w:rPr/>
        <w:t>MOI</w:t>
        <w:tab/>
        <w:t>Managed Object Instance</w:t>
      </w:r>
    </w:p>
    <w:p>
      <w:pPr>
        <w:pStyle w:val="EW"/>
        <w:rPr/>
      </w:pPr>
      <w:r>
        <w:rPr/>
        <w:t>NE</w:t>
        <w:tab/>
        <w:t>Network Element</w:t>
      </w:r>
    </w:p>
    <w:p>
      <w:pPr>
        <w:pStyle w:val="EW"/>
        <w:rPr/>
      </w:pPr>
      <w:r>
        <w:rPr/>
        <w:t>NM</w:t>
        <w:tab/>
        <w:t>Network Manager</w:t>
      </w:r>
    </w:p>
    <w:p>
      <w:pPr>
        <w:pStyle w:val="EW"/>
        <w:rPr/>
      </w:pPr>
      <w:r>
        <w:rPr/>
        <w:t>NR</w:t>
        <w:tab/>
        <w:t>Network Resource</w:t>
      </w:r>
    </w:p>
    <w:p>
      <w:pPr>
        <w:pStyle w:val="EW"/>
        <w:rPr/>
      </w:pPr>
      <w:r>
        <w:rPr/>
        <w:t>NRM</w:t>
        <w:tab/>
        <w:t>Network Resource Model</w:t>
      </w:r>
    </w:p>
    <w:p>
      <w:pPr>
        <w:pStyle w:val="EW"/>
        <w:rPr/>
      </w:pPr>
      <w:r>
        <w:rPr/>
        <w:t>OMG</w:t>
        <w:tab/>
        <w:t>Object Management Group</w:t>
      </w:r>
    </w:p>
    <w:p>
      <w:pPr>
        <w:pStyle w:val="EW"/>
        <w:rPr/>
      </w:pPr>
      <w:r>
        <w:rPr/>
        <w:t>OS</w:t>
        <w:tab/>
        <w:t>Operations System</w:t>
      </w:r>
    </w:p>
    <w:p>
      <w:pPr>
        <w:pStyle w:val="EW"/>
        <w:rPr/>
      </w:pPr>
      <w:r>
        <w:rPr/>
        <w:t>PM</w:t>
        <w:tab/>
        <w:t>Performance Management</w:t>
      </w:r>
    </w:p>
    <w:p>
      <w:pPr>
        <w:pStyle w:val="EW"/>
        <w:rPr/>
      </w:pPr>
      <w:r>
        <w:rPr/>
        <w:t>TM</w:t>
        <w:tab/>
        <w:t>Telecom Management</w:t>
      </w:r>
    </w:p>
    <w:p>
      <w:pPr>
        <w:pStyle w:val="EW"/>
        <w:rPr/>
      </w:pPr>
      <w:r>
        <w:rPr/>
        <w:t>UML</w:t>
        <w:tab/>
        <w:t>Unified Modelling Language (OMG)</w:t>
      </w:r>
    </w:p>
    <w:p>
      <w:pPr>
        <w:pStyle w:val="Heading1"/>
        <w:tabs>
          <w:tab w:val="clear" w:pos="284"/>
          <w:tab w:val="left" w:pos="1140" w:leader="none"/>
        </w:tabs>
        <w:ind w:left="1140" w:hanging="1140"/>
        <w:rPr/>
      </w:pPr>
      <w:bookmarkStart w:id="14" w:name="__RefHeading___Toc478546203"/>
      <w:bookmarkEnd w:id="14"/>
      <w:r>
        <w:rPr/>
        <w:t>4</w:t>
        <w:tab/>
        <w:t>Requirements</w:t>
      </w:r>
    </w:p>
    <w:p>
      <w:pPr>
        <w:pStyle w:val="Normal"/>
        <w:rPr/>
      </w:pPr>
      <w:bookmarkStart w:id="15" w:name="historyclause"/>
      <w:bookmarkEnd w:id="15"/>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In addition to the above, the following more specific requirements apply:</w:t>
      </w:r>
    </w:p>
    <w:p>
      <w:pPr>
        <w:pStyle w:val="B1"/>
        <w:rPr/>
      </w:pPr>
      <w:r>
        <w:rPr/>
        <w:t>1)</w:t>
        <w:tab/>
        <w:t>The Network Resource Model defined by this IRP shall contain CN specific IOCs  and related definitions, supporting Core Network entities in the current 3GPP Release, except for the IMS parts of CN (for the IMS parts, refer to the IMS NRM IRP Requirements in 3GPP TS 28.704 [5]).</w:t>
      </w:r>
    </w:p>
    <w:p>
      <w:pPr>
        <w:pStyle w:val="B1"/>
        <w:rPr/>
      </w:pPr>
      <w:r>
        <w:rPr/>
        <w:t>2)</w:t>
        <w:tab/>
        <w:t>The Network Resource Model defined by this IRP shall provide support for enabling consistency between UTRAN/GERAN and CN parameters, e.g. by defining relevant attributes.</w:t>
      </w:r>
    </w:p>
    <w:p>
      <w:pPr>
        <w:pStyle w:val="Normal"/>
        <w:rPr/>
      </w:pPr>
      <w:r>
        <w:rPr/>
        <w:t>The NRM defined by this IRP:</w:t>
      </w:r>
    </w:p>
    <w:p>
      <w:pPr>
        <w:pStyle w:val="B1"/>
        <w:rPr/>
      </w:pPr>
      <w:r>
        <w:rPr/>
        <w:t>a)</w:t>
        <w:tab/>
        <w:t xml:space="preserve">Shall support communications for telecommunication network management purposes, including management of converged networks. </w:t>
      </w:r>
    </w:p>
    <w:p>
      <w:pPr>
        <w:pStyle w:val="B1"/>
        <w:rPr/>
      </w:pPr>
      <w:r>
        <w:rPr/>
        <w:t>b)</w:t>
        <w:tab/>
        <w:t>Is a member of the Federated Network Information Model (FNIM) [5] and its information is derived from FNIM Umbrella Information Model (UIM) [7].</w:t>
      </w:r>
    </w:p>
    <w:p>
      <w:pPr>
        <w:pStyle w:val="Normal"/>
        <w:rPr/>
      </w:pPr>
      <w:r>
        <w:rPr/>
      </w:r>
      <w:r>
        <w:br w:type="page"/>
      </w:r>
    </w:p>
    <w:p>
      <w:pPr>
        <w:pStyle w:val="Heading8"/>
        <w:ind w:left="0" w:hanging="0"/>
        <w:rPr/>
      </w:pPr>
      <w:bookmarkStart w:id="16" w:name="__RefHeading___Toc478546204"/>
      <w:bookmarkEnd w:id="16"/>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668"/>
        <w:gridCol w:w="556"/>
        <w:gridCol w:w="702"/>
        <w:gridCol w:w="433"/>
        <w:gridCol w:w="371"/>
        <w:gridCol w:w="5276"/>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66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70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3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527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66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2014-06</w:t>
            </w:r>
          </w:p>
        </w:tc>
        <w:tc>
          <w:tcPr>
            <w:tcW w:w="55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SA#64</w:t>
            </w:r>
          </w:p>
        </w:tc>
        <w:tc>
          <w:tcPr>
            <w:tcW w:w="7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SP-140360</w:t>
            </w:r>
          </w:p>
        </w:tc>
        <w:tc>
          <w:tcPr>
            <w:tcW w:w="43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001</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276" w:type="dxa"/>
            <w:tcBorders>
              <w:top w:val="single" w:sz="6" w:space="0" w:color="000000"/>
              <w:left w:val="single" w:sz="6" w:space="0" w:color="000000"/>
              <w:bottom w:val="single" w:sz="12" w:space="0" w:color="000000"/>
              <w:right w:val="single" w:sz="6" w:space="0" w:color="000000"/>
            </w:tcBorders>
            <w:shd w:fill="FFFFFF" w:val="clear"/>
          </w:tcPr>
          <w:p>
            <w:pPr>
              <w:pStyle w:val="TAL"/>
              <w:tabs>
                <w:tab w:val="clear" w:pos="284"/>
                <w:tab w:val="right" w:pos="5241" w:leader="none"/>
              </w:tabs>
              <w:rPr>
                <w:rFonts w:cs="Arial"/>
                <w:sz w:val="16"/>
              </w:rPr>
            </w:pPr>
            <w:r>
              <w:rPr>
                <w:rFonts w:cs="Arial"/>
                <w:sz w:val="16"/>
              </w:rPr>
              <w:t>remove the feature support statements</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F</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6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2014-10</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276"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right" w:pos="5241" w:leader="none"/>
              </w:tabs>
              <w:rPr>
                <w:rFonts w:cs="Arial"/>
                <w:sz w:val="16"/>
              </w:rPr>
            </w:pPr>
            <w:r>
              <w:rPr>
                <w:rFonts w:cs="Arial"/>
                <w:sz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rPr>
            </w:pPr>
            <w:r>
              <w:rPr>
                <w:rFonts w:cs="Arial"/>
                <w:sz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11.1.0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12.0.0</w:t>
            </w:r>
          </w:p>
        </w:tc>
      </w:tr>
      <w:tr>
        <w:trPr/>
        <w:tc>
          <w:tcPr>
            <w:tcW w:w="6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276"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right" w:pos="5241" w:leader="none"/>
              </w:tabs>
              <w:rPr>
                <w:rFonts w:cs="Arial"/>
                <w:sz w:val="16"/>
              </w:rPr>
            </w:pPr>
            <w:r>
              <w:rPr>
                <w:rFonts w:cs="Arial"/>
                <w:sz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rPr>
            </w:pPr>
            <w:r>
              <w:rPr>
                <w:rFonts w:cs="Arial"/>
                <w:sz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6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276"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right" w:pos="5241" w:leader="none"/>
              </w:tabs>
              <w:rPr>
                <w:rFonts w:cs="Arial"/>
                <w:sz w:val="16"/>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rPr>
            </w:pPr>
            <w:r>
              <w:rPr>
                <w:rFonts w:cs="Arial"/>
                <w:sz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SP-180830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Align terminology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28.701 V15.1.0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28.701 V15.1.0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rPr>
      <w:rFonts w:ascii="Tahoma" w:hAnsi="Tahoma" w:cs="Tahoma"/>
      <w:sz w:val="16"/>
      <w:szCs w:val="16"/>
    </w:rPr>
  </w:style>
  <w:style w:type="paragraph" w:styleId="CharCharCharCharCharCharCharCharCharCharCharCharZchnZchnCharChar">
    <w:name w:val=" Char Char Char Char Char Char Char Char Char Char Char Char Zchn Zchn Char Char"/>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2020-07-09T15:50:00Z</dcterms:created>
  <dc:creator>MCC Support</dc:creator>
  <dc:description/>
  <cp:keywords>CN NRM IRP Converged Management</cp:keywords>
  <dc:language>en-US</dc:language>
  <cp:lastModifiedBy>23.401_CR3602R2_(Rel-16)_5GS_Ph1, LTE_feMob-Core, </cp:lastModifiedBy>
  <dcterms:modified xsi:type="dcterms:W3CDTF">2020-07-09T15:50:00Z</dcterms:modified>
  <cp:revision>2</cp:revision>
  <dc:subject>Telecommunication management;  Core Network (CN)  Network Resource Model (NRM) Integration Reference Point (IRP);  Requirements (Release 16)</dc:subject>
  <dc:title>3GPP TS 28.701</dc:title>
</cp:coreProperties>
</file>