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sz w:val="64"/>
                                <w:lang w:val="en-US" w:eastAsia="en-US"/>
                              </w:rPr>
                            </w:pPr>
                            <w:bookmarkStart w:id="0" w:name="page1"/>
                            <w:bookmarkEnd w:id="0"/>
                            <w:r>
                              <w:rPr>
                                <w:sz w:val="64"/>
                                <w:lang w:val="en-US" w:eastAsia="en-US"/>
                              </w:rPr>
                              <w:t>3GPP TS 2</w:t>
                            </w:r>
                            <w:r>
                              <w:rPr>
                                <w:sz w:val="64"/>
                                <w:lang w:val="en-US" w:eastAsia="en-US"/>
                              </w:rPr>
                              <w:t>8</w:t>
                            </w:r>
                            <w:r>
                              <w:rPr>
                                <w:sz w:val="64"/>
                                <w:lang w:val="en-US" w:eastAsia="en-US"/>
                              </w:rPr>
                              <w:t xml:space="preserve">.704 </w:t>
                            </w:r>
                            <w:r>
                              <w:rPr>
                                <w:szCs w:val="40"/>
                                <w:lang w:val="en-US" w:eastAsia="en-US"/>
                              </w:rPr>
                              <w:t>V16.0.0</w:t>
                            </w:r>
                            <w:r>
                              <w:rPr>
                                <w:sz w:val="64"/>
                                <w:lang w:val="en-US" w:eastAsia="en-US"/>
                              </w:rPr>
                              <w:t xml:space="preserve"> </w:t>
                            </w:r>
                            <w:r>
                              <w:rPr>
                                <w:sz w:val="32"/>
                                <w:szCs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sz w:val="64"/>
                          <w:lang w:val="en-US" w:eastAsia="en-US"/>
                        </w:rPr>
                      </w:pPr>
                      <w:bookmarkStart w:id="1" w:name="page1"/>
                      <w:bookmarkEnd w:id="1"/>
                      <w:r>
                        <w:rPr>
                          <w:sz w:val="64"/>
                          <w:lang w:val="en-US" w:eastAsia="en-US"/>
                        </w:rPr>
                        <w:t>3GPP TS 2</w:t>
                      </w:r>
                      <w:r>
                        <w:rPr>
                          <w:sz w:val="64"/>
                          <w:lang w:val="en-US" w:eastAsia="en-US"/>
                        </w:rPr>
                        <w:t>8</w:t>
                      </w:r>
                      <w:r>
                        <w:rPr>
                          <w:sz w:val="64"/>
                          <w:lang w:val="en-US" w:eastAsia="en-US"/>
                        </w:rPr>
                        <w:t xml:space="preserve">.704 </w:t>
                      </w:r>
                      <w:r>
                        <w:rPr>
                          <w:szCs w:val="40"/>
                          <w:lang w:val="en-US" w:eastAsia="en-US"/>
                        </w:rPr>
                        <w:t>V16.0.0</w:t>
                      </w:r>
                      <w:r>
                        <w:rPr>
                          <w:sz w:val="64"/>
                          <w:lang w:val="en-US" w:eastAsia="en-US"/>
                        </w:rPr>
                        <w:t xml:space="preserve"> </w:t>
                      </w:r>
                      <w:r>
                        <w:rPr>
                          <w:sz w:val="32"/>
                          <w:szCs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IP Multimedia Subsystem (IMS)</w:t>
                            </w:r>
                          </w:p>
                          <w:p>
                            <w:pPr>
                              <w:pStyle w:val="ZT"/>
                              <w:rPr/>
                            </w:pPr>
                            <w:r>
                              <w:rPr/>
                              <w:t>Network Resource Model (NRM)</w:t>
                            </w:r>
                          </w:p>
                          <w:p>
                            <w:pPr>
                              <w:pStyle w:val="ZT"/>
                              <w:rPr/>
                            </w:pPr>
                            <w:r>
                              <w:rPr/>
                              <w:t xml:space="preserve">Integration Reference Point (IRP); </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rFonts w:eastAsia="Arial"/>
                        </w:rPr>
                        <w:t xml:space="preserve"> </w:t>
                      </w:r>
                      <w:r>
                        <w:rPr/>
                        <w:t>IP Multimedia Subsystem (IMS)</w:t>
                      </w:r>
                    </w:p>
                    <w:p>
                      <w:pPr>
                        <w:pStyle w:val="ZT"/>
                        <w:rPr/>
                      </w:pPr>
                      <w:r>
                        <w:rPr/>
                        <w:t>Network Resource Model (NRM)</w:t>
                      </w:r>
                    </w:p>
                    <w:p>
                      <w:pPr>
                        <w:pStyle w:val="ZT"/>
                        <w:rPr/>
                      </w:pPr>
                      <w:r>
                        <w:rPr/>
                        <w:t xml:space="preserve">Integration Reference Point (IRP); </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Management,IMS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Management,IMS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51519008">
            <w:r>
              <w:rPr>
                <w:rStyle w:val="IndexLink"/>
                <w:rFonts w:eastAsia="SimSun;宋体"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51519009">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51519010">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51519011">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151519012">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51519013">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51519014">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Requirements</w:t>
            <w:tab/>
          </w:r>
          <w:hyperlink w:anchor="__RefHeading___Toc151519015">
            <w:r>
              <w:rPr>
                <w:rStyle w:val="IndexLink"/>
              </w:rPr>
              <w:t>6</w:t>
            </w:r>
          </w:hyperlink>
        </w:p>
        <w:p>
          <w:pPr>
            <w:pStyle w:val="Contents8"/>
            <w:rPr>
              <w:rFonts w:eastAsia="MS Mincho;ＭＳ 明朝"/>
              <w:sz w:val="24"/>
              <w:szCs w:val="24"/>
              <w:lang w:val="en-US" w:eastAsia="en-US"/>
            </w:rPr>
          </w:pPr>
          <w:r>
            <w:rPr>
              <w:b w:val="false"/>
            </w:rPr>
            <w:t>Annex A (informative):</w:t>
            <w:tab/>
            <w:t>Change history</w:t>
            <w:tab/>
          </w:r>
          <w:hyperlink w:anchor="__RefHeading___Toc151519016">
            <w:r>
              <w:rPr>
                <w:rStyle w:val="IndexLink"/>
                <w:b w:val="false"/>
              </w:rPr>
              <w:t>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5151900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b/>
          <w:b/>
          <w:sz w:val="24"/>
          <w:szCs w:val="24"/>
        </w:rPr>
      </w:pPr>
      <w:r>
        <w:rPr>
          <w:b/>
          <w:sz w:val="24"/>
          <w:szCs w:val="24"/>
        </w:rPr>
      </w:r>
    </w:p>
    <w:p>
      <w:pPr>
        <w:pStyle w:val="Heading1"/>
        <w:ind w:left="1134" w:hanging="1134"/>
        <w:rPr/>
      </w:pPr>
      <w:bookmarkStart w:id="8" w:name="__RefHeading___Toc151519009"/>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28.704:</w:t>
        <w:tab/>
        <w:t>IP Multimedia Subsystem (IMS) Network Resource Model (NRM) Integration Reference Point (IRP); Requirements.</w:t>
      </w:r>
    </w:p>
    <w:p>
      <w:pPr>
        <w:pStyle w:val="B1"/>
        <w:rPr/>
      </w:pPr>
      <w:r>
        <w:rPr/>
        <w:t>28.705:</w:t>
        <w:tab/>
        <w:t>IP Multimedia Subsystem (IMS) Network Resource Model (NRM) Integration Reference Point (IRP); Information Service (IS).</w:t>
      </w:r>
    </w:p>
    <w:p>
      <w:pPr>
        <w:pStyle w:val="B1"/>
        <w:rPr/>
      </w:pPr>
      <w:r>
        <w:rPr/>
        <w:t>28.706:</w:t>
        <w:tab/>
        <w:t>IP Multimedia Subsystem (IMS) Network Resource Model (NRM) Integration Reference Point (IRP); Solution Set (SS) definitions.</w:t>
      </w:r>
      <w:r>
        <w:br w:type="page"/>
      </w:r>
    </w:p>
    <w:p>
      <w:pPr>
        <w:pStyle w:val="Heading1"/>
        <w:ind w:left="1134" w:hanging="1134"/>
        <w:rPr/>
      </w:pPr>
      <w:bookmarkStart w:id="9" w:name="__RefHeading___Toc151519010"/>
      <w:bookmarkEnd w:id="9"/>
      <w:r>
        <w:rPr/>
        <w:t>1</w:t>
        <w:tab/>
        <w:t>Scope</w:t>
      </w:r>
    </w:p>
    <w:p>
      <w:pPr>
        <w:pStyle w:val="Normal"/>
        <w:rPr/>
      </w:pPr>
      <w:r>
        <w:rPr/>
        <w:t>The present document defines, in addition to the requirements defined in [1], [2] and [3], the requirements for the present IRP: IMS Network Resource Model (NRM) IRP.</w:t>
      </w:r>
    </w:p>
    <w:p>
      <w:pPr>
        <w:pStyle w:val="Heading1"/>
        <w:ind w:left="1134" w:hanging="1134"/>
        <w:rPr/>
      </w:pPr>
      <w:bookmarkStart w:id="10" w:name="__RefHeading___Toc15151901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32.150: "Telecommunication management; Integration Reference Point (IRP) Concept and definitions".</w:t>
      </w:r>
    </w:p>
    <w:p>
      <w:pPr>
        <w:pStyle w:val="EX"/>
        <w:rPr/>
      </w:pPr>
      <w:r>
        <w:rPr/>
        <w:t>[5]</w:t>
        <w:tab/>
        <w:t>3GPP TS 32.107: "Telecommunication management; Fixed Mobile Convergence (FMC) Federated Network Information Model (FNIM)".</w:t>
      </w:r>
    </w:p>
    <w:p>
      <w:pPr>
        <w:pStyle w:val="EX"/>
        <w:rPr/>
      </w:pPr>
      <w:r>
        <w:rPr/>
        <w:t>[6]</w:t>
        <w:tab/>
        <w:t>3GPP TS 28.620: "Telecommunication management; Fixed Mobile Convergence (FMC) Federated Network Information Model (FNIM) Umbrella Information Model (UIM)".</w:t>
      </w:r>
    </w:p>
    <w:p>
      <w:pPr>
        <w:pStyle w:val="EX"/>
        <w:rPr/>
      </w:pPr>
      <w:r>
        <w:rPr/>
        <w:t>[7]</w:t>
        <w:tab/>
        <w:t>3GPP TS 28.622: "Telecommunication management; Generic Network Resource Model (NRM) Integration Reference Point (IRP); Information Service".</w:t>
      </w:r>
    </w:p>
    <w:p>
      <w:pPr>
        <w:pStyle w:val="EX"/>
        <w:rPr/>
      </w:pPr>
      <w:r>
        <w:rPr/>
      </w:r>
    </w:p>
    <w:p>
      <w:pPr>
        <w:pStyle w:val="Heading1"/>
        <w:ind w:left="1134" w:hanging="1134"/>
        <w:rPr/>
      </w:pPr>
      <w:bookmarkStart w:id="11" w:name="__RefHeading___Toc151519012"/>
      <w:bookmarkEnd w:id="11"/>
      <w:r>
        <w:rPr/>
        <w:t>3</w:t>
        <w:tab/>
        <w:t>Definitions and abbreviations</w:t>
      </w:r>
    </w:p>
    <w:p>
      <w:pPr>
        <w:pStyle w:val="Heading2"/>
        <w:rPr/>
      </w:pPr>
      <w:bookmarkStart w:id="12" w:name="__RefHeading___Toc151519013"/>
      <w:bookmarkEnd w:id="12"/>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32.150 [4].</w:t>
      </w:r>
    </w:p>
    <w:p>
      <w:pPr>
        <w:pStyle w:val="Normal"/>
        <w:rPr/>
      </w:pPr>
      <w:r>
        <w:rPr>
          <w:b/>
        </w:rPr>
        <w:t>Information Object Class (IOC):</w:t>
      </w:r>
      <w:r>
        <w:rPr/>
        <w:t xml:space="preserve"> See definition in TS 28.622 [7].</w:t>
      </w:r>
    </w:p>
    <w:p>
      <w:pPr>
        <w:pStyle w:val="Normal"/>
        <w:rPr/>
      </w:pPr>
      <w:r>
        <w:rPr>
          <w:b/>
        </w:rPr>
        <w:t>Network Resource Model (NRM)</w:t>
      </w:r>
      <w:r>
        <w:rPr/>
        <w:t>: See definition in TS 28.622 [7].</w:t>
      </w:r>
    </w:p>
    <w:p>
      <w:pPr>
        <w:pStyle w:val="Heading2"/>
        <w:rPr/>
      </w:pPr>
      <w:bookmarkStart w:id="13" w:name="__RefHeading___Toc151519014"/>
      <w:bookmarkEnd w:id="13"/>
      <w:r>
        <w:rPr/>
        <w:t>3.2</w:t>
        <w:tab/>
        <w:t>Abbreviations</w:t>
      </w:r>
    </w:p>
    <w:p>
      <w:pPr>
        <w:pStyle w:val="Normal"/>
        <w:keepNext w:val="true"/>
        <w:rPr/>
      </w:pPr>
      <w:r>
        <w:rPr/>
        <w:t>For the purposes of the present document, the following abbreviations apply:</w:t>
      </w:r>
    </w:p>
    <w:p>
      <w:pPr>
        <w:pStyle w:val="EW"/>
        <w:rPr/>
      </w:pPr>
      <w:r>
        <w:rPr/>
        <w:t>CM</w:t>
        <w:tab/>
        <w:t>Configuration Management</w:t>
      </w:r>
    </w:p>
    <w:p>
      <w:pPr>
        <w:pStyle w:val="EW"/>
        <w:rPr/>
      </w:pPr>
      <w:r>
        <w:rPr/>
        <w:t>IMS</w:t>
        <w:tab/>
        <w:t>IP Multimedia Subsystem</w:t>
      </w:r>
    </w:p>
    <w:p>
      <w:pPr>
        <w:pStyle w:val="EW"/>
        <w:rPr/>
      </w:pPr>
      <w:r>
        <w:rPr/>
        <w:t>IOC</w:t>
        <w:tab/>
        <w:t xml:space="preserve">Information Object Class </w:t>
      </w:r>
    </w:p>
    <w:p>
      <w:pPr>
        <w:pStyle w:val="EW"/>
        <w:rPr/>
      </w:pPr>
      <w:r>
        <w:rPr/>
        <w:t>IRP</w:t>
        <w:tab/>
        <w:t>Integration Reference Point</w:t>
      </w:r>
    </w:p>
    <w:p>
      <w:pPr>
        <w:pStyle w:val="EW"/>
        <w:rPr/>
      </w:pPr>
      <w:r>
        <w:rPr/>
        <w:t>NRM</w:t>
        <w:tab/>
        <w:t>Network Resource Model</w:t>
      </w:r>
    </w:p>
    <w:p>
      <w:pPr>
        <w:pStyle w:val="EW"/>
        <w:rPr/>
      </w:pPr>
      <w:r>
        <w:rPr/>
      </w:r>
    </w:p>
    <w:p>
      <w:pPr>
        <w:pStyle w:val="Heading1"/>
        <w:tabs>
          <w:tab w:val="clear" w:pos="284"/>
          <w:tab w:val="left" w:pos="1140" w:leader="none"/>
        </w:tabs>
        <w:ind w:left="1140" w:hanging="1140"/>
        <w:rPr/>
      </w:pPr>
      <w:bookmarkStart w:id="14" w:name="__RefHeading___Toc151519015"/>
      <w:bookmarkEnd w:id="14"/>
      <w:r>
        <w:rPr/>
        <w:t>4</w:t>
        <w:tab/>
        <w:t>Requirements</w:t>
      </w:r>
    </w:p>
    <w:p>
      <w:pPr>
        <w:pStyle w:val="Normal"/>
        <w:rPr/>
      </w:pPr>
      <w:bookmarkStart w:id="15" w:name="historyclause"/>
      <w:bookmarkEnd w:id="15"/>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The NRM defined by this IRP:</w:t>
      </w:r>
    </w:p>
    <w:p>
      <w:pPr>
        <w:pStyle w:val="B1"/>
        <w:rPr/>
      </w:pPr>
      <w:r>
        <w:rPr/>
        <w:t>d)</w:t>
        <w:tab/>
        <w:t xml:space="preserve">Shall support communications for telecommunication network management purposes, including management of converged networks. </w:t>
      </w:r>
    </w:p>
    <w:p>
      <w:pPr>
        <w:pStyle w:val="B1"/>
        <w:rPr/>
      </w:pPr>
      <w:r>
        <w:rPr/>
        <w:t>e)</w:t>
        <w:tab/>
        <w:t xml:space="preserve">Is a member of the Federated Network Information Model (FNIM) [5] and its information is derived from FNIM Umbrella Information Model (UIM) [6].  </w:t>
      </w:r>
    </w:p>
    <w:p>
      <w:pPr>
        <w:pStyle w:val="Normal"/>
        <w:rPr/>
      </w:pPr>
      <w:r>
        <w:rPr/>
      </w:r>
    </w:p>
    <w:p>
      <w:pPr>
        <w:pStyle w:val="Normal"/>
        <w:rPr/>
      </w:pPr>
      <w:r>
        <w:rPr/>
        <w:t>In addition to the above, the following more specific requirement applies:</w:t>
      </w:r>
    </w:p>
    <w:p>
      <w:pPr>
        <w:pStyle w:val="Normal"/>
        <w:rPr/>
      </w:pPr>
      <w:r>
        <w:rPr/>
        <w:t>The Network Resource Model defined by this IRP shall contain IMS specific IOCs and related definitions, supporting IMS entities in the current 3GPP Release.</w:t>
      </w:r>
      <w:r>
        <w:br w:type="page"/>
      </w:r>
    </w:p>
    <w:p>
      <w:pPr>
        <w:pStyle w:val="Heading8"/>
        <w:ind w:left="0" w:hanging="0"/>
        <w:rPr/>
      </w:pPr>
      <w:bookmarkStart w:id="16" w:name="__RefHeading___Toc151519016"/>
      <w:bookmarkEnd w:id="16"/>
      <w:r>
        <w:rPr/>
        <w:t>Annex A (informative):</w:t>
        <w:br/>
        <w:t>Change history</w:t>
      </w:r>
    </w:p>
    <w:tbl>
      <w:tblPr>
        <w:tblW w:w="5050" w:type="pct"/>
        <w:jc w:val="left"/>
        <w:tblInd w:w="-47" w:type="dxa"/>
        <w:tblLayout w:type="fixed"/>
        <w:tblCellMar>
          <w:top w:w="0" w:type="dxa"/>
          <w:left w:w="40" w:type="dxa"/>
          <w:bottom w:w="0" w:type="dxa"/>
          <w:right w:w="40" w:type="dxa"/>
        </w:tblCellMar>
      </w:tblPr>
      <w:tblGrid>
        <w:gridCol w:w="806"/>
        <w:gridCol w:w="638"/>
        <w:gridCol w:w="878"/>
        <w:gridCol w:w="530"/>
        <w:gridCol w:w="275"/>
        <w:gridCol w:w="5064"/>
        <w:gridCol w:w="420"/>
        <w:gridCol w:w="563"/>
        <w:gridCol w:w="562"/>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3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w:t>
            </w:r>
          </w:p>
        </w:tc>
        <w:tc>
          <w:tcPr>
            <w:tcW w:w="50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4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sz w:val="16"/>
                <w:szCs w:val="16"/>
                <w:lang w:eastAsia="ja-JP"/>
              </w:rPr>
              <w:t>Cat</w:t>
            </w:r>
          </w:p>
        </w:tc>
        <w:tc>
          <w:tcPr>
            <w:tcW w:w="5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2014-06</w:t>
            </w:r>
          </w:p>
        </w:tc>
        <w:tc>
          <w:tcPr>
            <w:tcW w:w="638"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SA#64</w:t>
            </w:r>
          </w:p>
        </w:tc>
        <w:tc>
          <w:tcPr>
            <w:tcW w:w="878"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SP-140360</w:t>
            </w:r>
          </w:p>
        </w:tc>
        <w:tc>
          <w:tcPr>
            <w:tcW w:w="530"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001</w:t>
            </w:r>
          </w:p>
        </w:tc>
        <w:tc>
          <w:tcPr>
            <w:tcW w:w="275"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064" w:type="dxa"/>
            <w:tcBorders>
              <w:top w:val="single" w:sz="6" w:space="0" w:color="000000"/>
              <w:left w:val="single" w:sz="6" w:space="0" w:color="000000"/>
              <w:bottom w:val="single" w:sz="12" w:space="0" w:color="000000"/>
              <w:right w:val="single" w:sz="6" w:space="0" w:color="000000"/>
            </w:tcBorders>
          </w:tcPr>
          <w:p>
            <w:pPr>
              <w:pStyle w:val="TAL"/>
              <w:rPr>
                <w:sz w:val="16"/>
                <w:szCs w:val="16"/>
                <w:lang w:eastAsia="zh-CN"/>
              </w:rPr>
            </w:pPr>
            <w:r>
              <w:rPr>
                <w:sz w:val="16"/>
                <w:szCs w:val="16"/>
                <w:lang w:eastAsia="zh-CN"/>
              </w:rPr>
              <w:t>remove the feature support statements</w:t>
            </w:r>
          </w:p>
        </w:tc>
        <w:tc>
          <w:tcPr>
            <w:tcW w:w="42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6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62"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80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638"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87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064"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rFonts w:eastAsia="MS Mincho;ＭＳ 明朝"/>
                <w:sz w:val="16"/>
                <w:szCs w:val="16"/>
                <w:lang w:eastAsia="zh-TW" w:bidi="en-US"/>
              </w:rPr>
              <w:t>Update to Rel-12 version (MCC)</w:t>
            </w:r>
          </w:p>
        </w:tc>
        <w:tc>
          <w:tcPr>
            <w:tcW w:w="420"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12.0.0</w:t>
            </w:r>
          </w:p>
        </w:tc>
      </w:tr>
      <w:tr>
        <w:trPr/>
        <w:tc>
          <w:tcPr>
            <w:tcW w:w="80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638"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87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064" w:type="dxa"/>
            <w:tcBorders>
              <w:top w:val="single" w:sz="12" w:space="0" w:color="000000"/>
              <w:left w:val="single" w:sz="6" w:space="0" w:color="000000"/>
              <w:bottom w:val="single" w:sz="12" w:space="0" w:color="000000"/>
              <w:right w:val="single" w:sz="6" w:space="0" w:color="000000"/>
            </w:tcBorders>
          </w:tcPr>
          <w:p>
            <w:pPr>
              <w:pStyle w:val="TAL"/>
              <w:rPr>
                <w:sz w:val="16"/>
                <w:szCs w:val="16"/>
                <w:lang w:eastAsia="zh-CN"/>
              </w:rPr>
            </w:pPr>
            <w:r>
              <w:rPr>
                <w:rFonts w:eastAsia="MS Mincho;ＭＳ 明朝"/>
                <w:sz w:val="16"/>
                <w:szCs w:val="16"/>
                <w:lang w:eastAsia="zh-TW" w:bidi="en-US"/>
              </w:rPr>
              <w:t>Update to Rel-13 version (MCC)</w:t>
            </w:r>
          </w:p>
        </w:tc>
        <w:tc>
          <w:tcPr>
            <w:tcW w:w="420"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13.0.0</w:t>
            </w:r>
          </w:p>
        </w:tc>
      </w:tr>
      <w:tr>
        <w:trPr/>
        <w:tc>
          <w:tcPr>
            <w:tcW w:w="80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2017-03</w:t>
            </w:r>
          </w:p>
        </w:tc>
        <w:tc>
          <w:tcPr>
            <w:tcW w:w="638"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SA#75</w:t>
            </w:r>
          </w:p>
        </w:tc>
        <w:tc>
          <w:tcPr>
            <w:tcW w:w="87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30"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275"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064"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sz w:val="16"/>
                <w:szCs w:val="16"/>
              </w:rPr>
              <w:t>Promotion to Release 14 without technical change</w:t>
            </w:r>
          </w:p>
        </w:tc>
        <w:tc>
          <w:tcPr>
            <w:tcW w:w="420"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6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62"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
                <w:b/>
                <w:sz w:val="16"/>
                <w:szCs w:val="16"/>
                <w:lang w:eastAsia="zh-TW" w:bidi="en-US"/>
              </w:rPr>
            </w:pPr>
            <w:r>
              <w:rPr>
                <w:rFonts w:eastAsia="MS Mincho;ＭＳ 明朝"/>
                <w:b/>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Geneva">
    <w:charset w:val="00"/>
    <w:family w:val="swiss"/>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3z0">
    <w:name w:val="WW8Num23z0"/>
    <w:qFormat/>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3z5">
    <w:name w:val="WW8Num23z5"/>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5z0">
    <w:name w:val="WW8Num35z0"/>
    <w:qFormat/>
    <w:rPr/>
  </w:style>
  <w:style w:type="character" w:styleId="WW8Num36z0">
    <w:name w:val="WW8Num36z0"/>
    <w:qFormat/>
    <w:rPr>
      <w:rFonts w:ascii="Arial" w:hAnsi="Arial" w:eastAsia="Times New Roman" w:cs="Aria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rFonts w:ascii="Symbol" w:hAnsi="Symbol" w:cs="Symbol"/>
    </w:rPr>
  </w:style>
  <w:style w:type="character" w:styleId="WW8Num41z0">
    <w:name w:val="WW8Num41z0"/>
    <w:qFormat/>
    <w:rPr>
      <w:rFonts w:ascii="ZapfDingbats" w:hAnsi="ZapfDingbats" w:cs="ZapfDingbats"/>
      <w:b/>
      <w:i w:val="false"/>
      <w:color w:val="70CEF5"/>
      <w:sz w:val="20"/>
      <w:szCs w:val="20"/>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3z0">
    <w:name w:val="WW8Num4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6z0">
    <w:name w:val="WW8NumSt36z0"/>
    <w:qFormat/>
    <w:rPr>
      <w:rFonts w:ascii="Geneva" w:hAnsi="Geneva" w:cs="Genev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bidi="ar-SA"/>
    </w:rPr>
  </w:style>
  <w:style w:type="character" w:styleId="Heading4Char">
    <w:name w:val="Heading 4 Char"/>
    <w:qFormat/>
    <w:rPr>
      <w:rFonts w:ascii="Arial" w:hAnsi="Arial" w:cs="Arial"/>
      <w:sz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1CharCharCharCharCharChar">
    <w:name w:val=" Char Char Char Char Char Char1 Char Char Char Char Char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Tal1">
    <w:name w:val="tal"/>
    <w:basedOn w:val="Normal"/>
    <w:qFormat/>
    <w:pPr>
      <w:spacing w:before="100" w:after="100"/>
    </w:pPr>
    <w:rPr>
      <w:rFonts w:eastAsia="SimSun;宋体"/>
      <w:sz w:val="24"/>
      <w:szCs w:val="24"/>
      <w:lang w:val="en-US" w:eastAsia="zh-CN"/>
    </w:rPr>
  </w:style>
  <w:style w:type="paragraph" w:styleId="Xmsolistbullet">
    <w:name w:val="x_msolistbullet"/>
    <w:basedOn w:val="Normal"/>
    <w:qFormat/>
    <w:pPr>
      <w:spacing w:before="100" w:after="100"/>
    </w:pPr>
    <w:rPr>
      <w:sz w:val="24"/>
      <w:szCs w:val="24"/>
      <w:lang w:val="de-DE"/>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2020-07-09T15:51:00Z</dcterms:created>
  <dc:creator>MCC Support</dc:creator>
  <dc:description/>
  <cp:keywords>NRM IRP Converged Management IMS</cp:keywords>
  <dc:language>en-US</dc:language>
  <cp:lastModifiedBy>23.401_CR3602R2_(Rel-16)_5GS_Ph1, LTE_feMob-Core, </cp:lastModifiedBy>
  <dcterms:modified xsi:type="dcterms:W3CDTF">2020-07-09T15:51:00Z</dcterms:modified>
  <cp:revision>2</cp:revision>
  <dc:subject>Telecommunication management;  IP Multimedia Subsystem (IMS) Network Resource Model (NRM) Integration Reference Point (IRP);  Requirements (Release 16)</dc:subject>
  <dc:title>3GPP TS 28.704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ies>
</file>