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28.731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28.731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rStyle w:val="IndexLink"/>
              <w:sz w:val="22"/>
              <w:szCs w:val="20"/>
              <w:rFonts w:eastAsia="Times New Roman" w:cs="Times New Roman"/>
              <w:color w:val="auto"/>
              <w:lang w:val="en-GB" w:eastAsia="en-US" w:bidi="ar-SA"/>
            </w:rPr>
            <w:instrText xml:space="preserve"> TOC \o "1-8" \h \z \u </w:instrText>
          </w:r>
          <w:r>
            <w:rPr>
              <w:rStyle w:val="IndexLink"/>
              <w:sz w:val="22"/>
              <w:szCs w:val="20"/>
              <w:rFonts w:eastAsia="Times New Roman" w:cs="Times New Roman"/>
              <w:color w:val="auto"/>
              <w:lang w:val="en-GB" w:eastAsia="en-US" w:bidi="ar-SA"/>
            </w:rPr>
            <w:fldChar w:fldCharType="separate"/>
          </w:r>
          <w:hyperlink w:anchor="__RefHeading___Toc333916426">
            <w:r>
              <w:rPr>
                <w:rStyle w:val="IndexLink"/>
                <w:rFonts w:eastAsia="Times New Roman" w:cs="Times New Roman"/>
                <w:color w:val="auto"/>
                <w:sz w:val="22"/>
                <w:szCs w:val="20"/>
                <w:lang w:val="en-GB" w:eastAsia="en-US" w:bidi="ar-SA"/>
              </w:rPr>
              <w:t>Foreword</w:t>
              <w:tab/>
              <w:t>4</w:t>
            </w:r>
          </w:hyperlink>
        </w:p>
        <w:p>
          <w:pPr>
            <w:pStyle w:val="Contents1"/>
            <w:rPr>
              <w:sz w:val="24"/>
              <w:szCs w:val="24"/>
              <w:lang w:val="en-US" w:eastAsia="en-US"/>
            </w:rPr>
          </w:pPr>
          <w:hyperlink w:anchor="__RefHeading___Toc333916427">
            <w:r>
              <w:rPr>
                <w:rStyle w:val="IndexLink"/>
              </w:rPr>
              <w:t>Introduction</w:t>
              <w:tab/>
              <w:t>4</w:t>
            </w:r>
          </w:hyperlink>
        </w:p>
        <w:p>
          <w:pPr>
            <w:pStyle w:val="Contents1"/>
            <w:rPr>
              <w:sz w:val="24"/>
              <w:szCs w:val="24"/>
              <w:lang w:val="en-US" w:eastAsia="en-US"/>
            </w:rPr>
          </w:pPr>
          <w:hyperlink w:anchor="__RefHeading___Toc333916428">
            <w:r>
              <w:rPr>
                <w:rStyle w:val="IndexLink"/>
              </w:rPr>
              <w:t>1</w:t>
            </w:r>
            <w:r>
              <w:rPr>
                <w:rStyle w:val="IndexLink"/>
                <w:sz w:val="24"/>
                <w:szCs w:val="24"/>
                <w:lang w:val="en-US" w:eastAsia="en-US"/>
              </w:rPr>
              <w:tab/>
            </w:r>
            <w:r>
              <w:rPr>
                <w:rStyle w:val="IndexLink"/>
              </w:rPr>
              <w:t>Scope</w:t>
              <w:tab/>
              <w:t>5</w:t>
            </w:r>
          </w:hyperlink>
        </w:p>
        <w:p>
          <w:pPr>
            <w:pStyle w:val="Contents1"/>
            <w:rPr>
              <w:sz w:val="24"/>
              <w:szCs w:val="24"/>
              <w:lang w:val="en-US" w:eastAsia="en-US"/>
            </w:rPr>
          </w:pPr>
          <w:hyperlink w:anchor="__RefHeading___Toc333916429">
            <w:r>
              <w:rPr>
                <w:rStyle w:val="IndexLink"/>
              </w:rPr>
              <w:t>2</w:t>
            </w:r>
            <w:r>
              <w:rPr>
                <w:rStyle w:val="IndexLink"/>
                <w:sz w:val="24"/>
                <w:szCs w:val="24"/>
                <w:lang w:val="en-US" w:eastAsia="en-US"/>
              </w:rPr>
              <w:tab/>
            </w:r>
            <w:r>
              <w:rPr>
                <w:rStyle w:val="IndexLink"/>
              </w:rPr>
              <w:t>References</w:t>
              <w:tab/>
              <w:t>5</w:t>
            </w:r>
          </w:hyperlink>
        </w:p>
        <w:p>
          <w:pPr>
            <w:pStyle w:val="Contents1"/>
            <w:rPr>
              <w:sz w:val="24"/>
              <w:szCs w:val="24"/>
              <w:lang w:val="en-US" w:eastAsia="en-US"/>
            </w:rPr>
          </w:pPr>
          <w:hyperlink w:anchor="__RefHeading___Toc333916430">
            <w:r>
              <w:rPr>
                <w:rStyle w:val="IndexLink"/>
              </w:rPr>
              <w:t>3</w:t>
            </w:r>
            <w:r>
              <w:rPr>
                <w:rStyle w:val="IndexLink"/>
                <w:sz w:val="24"/>
                <w:szCs w:val="24"/>
                <w:lang w:val="en-US" w:eastAsia="en-US"/>
              </w:rPr>
              <w:tab/>
            </w:r>
            <w:r>
              <w:rPr>
                <w:rStyle w:val="IndexLink"/>
              </w:rPr>
              <w:t>Definitions and abbreviations</w:t>
              <w:tab/>
              <w:t>5</w:t>
            </w:r>
          </w:hyperlink>
        </w:p>
        <w:p>
          <w:pPr>
            <w:pStyle w:val="Contents2"/>
            <w:rPr>
              <w:sz w:val="24"/>
              <w:szCs w:val="24"/>
              <w:lang w:val="en-US" w:eastAsia="en-US"/>
            </w:rPr>
          </w:pPr>
          <w:hyperlink w:anchor="__RefHeading___Toc333916431">
            <w:r>
              <w:rPr>
                <w:rStyle w:val="IndexLink"/>
              </w:rPr>
              <w:t>3.1</w:t>
            </w:r>
            <w:r>
              <w:rPr>
                <w:rStyle w:val="IndexLink"/>
                <w:sz w:val="24"/>
                <w:szCs w:val="24"/>
                <w:lang w:val="en-US" w:eastAsia="en-US"/>
              </w:rPr>
              <w:tab/>
            </w:r>
            <w:r>
              <w:rPr>
                <w:rStyle w:val="IndexLink"/>
              </w:rPr>
              <w:t>Definitions</w:t>
              <w:tab/>
              <w:t>5</w:t>
            </w:r>
          </w:hyperlink>
        </w:p>
        <w:p>
          <w:pPr>
            <w:pStyle w:val="Contents2"/>
            <w:rPr>
              <w:sz w:val="24"/>
              <w:szCs w:val="24"/>
              <w:lang w:val="en-US" w:eastAsia="en-US"/>
            </w:rPr>
          </w:pPr>
          <w:hyperlink w:anchor="__RefHeading___Toc333916432">
            <w:r>
              <w:rPr>
                <w:rStyle w:val="IndexLink"/>
              </w:rPr>
              <w:t>3.2</w:t>
            </w:r>
            <w:r>
              <w:rPr>
                <w:rStyle w:val="IndexLink"/>
                <w:sz w:val="24"/>
                <w:szCs w:val="24"/>
                <w:lang w:val="en-US" w:eastAsia="en-US"/>
              </w:rPr>
              <w:tab/>
            </w:r>
            <w:r>
              <w:rPr>
                <w:rStyle w:val="IndexLink"/>
              </w:rPr>
              <w:t>Abbreviations</w:t>
              <w:tab/>
              <w:t>5</w:t>
            </w:r>
          </w:hyperlink>
        </w:p>
        <w:p>
          <w:pPr>
            <w:pStyle w:val="Contents1"/>
            <w:rPr>
              <w:sz w:val="24"/>
              <w:szCs w:val="24"/>
              <w:lang w:val="en-US" w:eastAsia="en-US"/>
            </w:rPr>
          </w:pPr>
          <w:hyperlink w:anchor="__RefHeading___Toc333916439">
            <w:r>
              <w:rPr>
                <w:rStyle w:val="IndexLink"/>
              </w:rPr>
              <w:t>4</w:t>
            </w:r>
            <w:r>
              <w:rPr>
                <w:rStyle w:val="IndexLink"/>
                <w:sz w:val="24"/>
                <w:szCs w:val="24"/>
                <w:lang w:val="en-US" w:eastAsia="en-US"/>
              </w:rPr>
              <w:tab/>
            </w:r>
            <w:r>
              <w:rPr>
                <w:rStyle w:val="IndexLink"/>
              </w:rPr>
              <w:t>Requirements</w:t>
              <w:tab/>
              <w:t>6</w:t>
            </w:r>
          </w:hyperlink>
        </w:p>
        <w:p>
          <w:pPr>
            <w:pStyle w:val="Contents8"/>
            <w:rPr>
              <w:sz w:val="24"/>
              <w:szCs w:val="24"/>
              <w:lang w:val="en-US" w:eastAsia="en-US"/>
            </w:rPr>
          </w:pPr>
          <w:hyperlink w:anchor="__RefHeading___Toc333916440">
            <w:r>
              <w:rPr>
                <w:rStyle w:val="IndexLink"/>
                <w:b w:val="false"/>
              </w:rPr>
              <w:t>Annex B (informative): Change history</w:t>
              <w:tab/>
              <w:t>7</w:t>
            </w:r>
          </w:hyperlink>
          <w:r>
            <w:rPr>
              <w:rStyle w:val="IndexLink"/>
              <w:b w:val="false"/>
            </w:rPr>
            <w:fldChar w:fldCharType="end"/>
          </w:r>
        </w:p>
      </w:sdtContent>
    </w:sdt>
    <w:p>
      <w:pPr>
        <w:pStyle w:val="Normal"/>
        <w:rPr>
          <w:b/>
          <w:b/>
          <w:sz w:val="24"/>
          <w:szCs w:val="24"/>
          <w:lang w:val="en-US" w:eastAsia="en-US"/>
        </w:rPr>
      </w:pPr>
      <w:r>
        <w:rPr>
          <w:b/>
          <w:sz w:val="24"/>
          <w:szCs w:val="24"/>
          <w:lang w:val="en-US" w:eastAsia="en-US"/>
        </w:rPr>
      </w:r>
    </w:p>
    <w:p>
      <w:pPr>
        <w:pStyle w:val="Normal"/>
        <w:rPr/>
      </w:pPr>
      <w:r>
        <w:rPr/>
      </w:r>
    </w:p>
    <w:p>
      <w:pPr>
        <w:pStyle w:val="Normal"/>
        <w:rPr/>
      </w:pPr>
      <w:r>
        <w:rPr/>
      </w:r>
    </w:p>
    <w:p>
      <w:pPr>
        <w:pStyle w:val="Normal"/>
        <w:rPr/>
      </w:pPr>
      <w:r>
        <w:rPr/>
      </w:r>
      <w:r>
        <w:br w:type="page"/>
      </w:r>
    </w:p>
    <w:p>
      <w:pPr>
        <w:pStyle w:val="Heading1"/>
        <w:ind w:left="1134" w:hanging="1134"/>
        <w:rPr/>
      </w:pPr>
      <w:bookmarkStart w:id="8" w:name="__RefHeading___Toc33391642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333916427"/>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28.731</w:t>
        <w:tab/>
        <w:t>Transport Network (TN) interface Network Resource Model (NRM) Integration Reference Point (IRP); Requirements.</w:t>
      </w:r>
    </w:p>
    <w:p>
      <w:pPr>
        <w:pStyle w:val="B1"/>
        <w:rPr>
          <w:sz w:val="24"/>
          <w:szCs w:val="24"/>
        </w:rPr>
      </w:pPr>
      <w:r>
        <w:rPr/>
        <w:t>28.732</w:t>
        <w:tab/>
        <w:t>Transport Network (TN) interface Network Resource Model (NRM) Integration Reference Point (IRP); Information Service (IS).</w:t>
      </w:r>
    </w:p>
    <w:p>
      <w:pPr>
        <w:pStyle w:val="B1"/>
        <w:rPr>
          <w:sz w:val="24"/>
          <w:szCs w:val="24"/>
        </w:rPr>
      </w:pPr>
      <w:r>
        <w:rPr/>
        <w:t>28.733</w:t>
        <w:tab/>
        <w:t>Transport Network (TN) interface Network Resource Model (NRM) Integration Reference Point (IRP); Solution Set (SS) definitions.</w:t>
      </w:r>
      <w:r>
        <w:br w:type="page"/>
      </w:r>
    </w:p>
    <w:p>
      <w:pPr>
        <w:pStyle w:val="Heading1"/>
        <w:ind w:left="1134" w:hanging="1134"/>
        <w:rPr/>
      </w:pPr>
      <w:bookmarkStart w:id="10" w:name="__RefHeading___Toc333916428"/>
      <w:bookmarkEnd w:id="10"/>
      <w:r>
        <w:rPr/>
        <w:t>1</w:t>
        <w:tab/>
        <w:t>Scope</w:t>
      </w:r>
    </w:p>
    <w:p>
      <w:pPr>
        <w:pStyle w:val="Normal"/>
        <w:rPr/>
      </w:pPr>
      <w:r>
        <w:rPr/>
        <w:t>The present document defines, in addition to the requirements defined in [1], [2] and [3], the requirements for the present IRP: Transport Network (TN) interface Network Resource Model (NRM).</w:t>
      </w:r>
    </w:p>
    <w:p>
      <w:pPr>
        <w:pStyle w:val="Heading1"/>
        <w:ind w:left="1134" w:hanging="1134"/>
        <w:rPr/>
      </w:pPr>
      <w:bookmarkStart w:id="11" w:name="__RefHeading___Toc33391642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 xml:space="preserve">3GPP TS 32.102: "Telecommunication management; </w:t>
      </w:r>
      <w:r>
        <w:rPr>
          <w:lang w:eastAsia="zh-CN"/>
        </w:rPr>
        <w:t>A</w:t>
      </w:r>
      <w:r>
        <w:rPr/>
        <w:t>rchitecture".</w:t>
      </w:r>
    </w:p>
    <w:p>
      <w:pPr>
        <w:pStyle w:val="EX"/>
        <w:rPr/>
      </w:pPr>
      <w:r>
        <w:rPr/>
        <w:t>[3]</w:t>
        <w:tab/>
        <w:t>3GPP TS 32.600: "Telecommunication management; Configuration Management (CM); Concept and high-level requirements".</w:t>
      </w:r>
    </w:p>
    <w:p>
      <w:pPr>
        <w:pStyle w:val="EX"/>
        <w:rPr/>
      </w:pPr>
      <w:r>
        <w:rPr/>
        <w:t>[4]</w:t>
        <w:tab/>
        <w:t>3GPP TS 32.107: "Telecommunication management; Fixed Mobile Convergence (FMC) Federated Network Information Model (FNIM)".</w:t>
      </w:r>
    </w:p>
    <w:p>
      <w:pPr>
        <w:pStyle w:val="EX"/>
        <w:rPr/>
      </w:pPr>
      <w:r>
        <w:rPr/>
        <w:t>[5]</w:t>
        <w:tab/>
        <w:t>3GPP TS 28.620: "Telecommunication management; Fixed Mobile Convergence (FMC) Federated Network Information Model (FNIM) Umbrella Information Model (UIM)".</w:t>
      </w:r>
    </w:p>
    <w:p>
      <w:pPr>
        <w:pStyle w:val="EX"/>
        <w:rPr/>
      </w:pPr>
      <w:r>
        <w:rPr/>
        <w:t>[6]</w:t>
        <w:tab/>
        <w:t>3GPP TS.28.622: “Generic Network Resource Model (NRM) Integration Reference Point (IRP); Information Service (IS)”.</w:t>
      </w:r>
    </w:p>
    <w:p>
      <w:pPr>
        <w:pStyle w:val="Heading1"/>
        <w:ind w:left="1134" w:hanging="1134"/>
        <w:rPr/>
      </w:pPr>
      <w:bookmarkStart w:id="12" w:name="__RefHeading___Toc333916430"/>
      <w:bookmarkEnd w:id="12"/>
      <w:r>
        <w:rPr/>
        <w:t>3</w:t>
        <w:tab/>
        <w:t>Definitions and abbreviations</w:t>
      </w:r>
    </w:p>
    <w:p>
      <w:pPr>
        <w:pStyle w:val="Heading2"/>
        <w:rPr/>
      </w:pPr>
      <w:bookmarkStart w:id="13" w:name="__RefHeading___Toc333916431"/>
      <w:bookmarkEnd w:id="13"/>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32.101 [1]</w:t>
      </w:r>
    </w:p>
    <w:p>
      <w:pPr>
        <w:pStyle w:val="Normal"/>
        <w:rPr/>
      </w:pPr>
      <w:r>
        <w:rPr>
          <w:b/>
        </w:rPr>
        <w:t>Network Resource Model (NRM)</w:t>
      </w:r>
      <w:r>
        <w:rPr/>
        <w:t>: See definition in TS 32.622 [6].</w:t>
      </w:r>
    </w:p>
    <w:p>
      <w:pPr>
        <w:pStyle w:val="Heading2"/>
        <w:rPr/>
      </w:pPr>
      <w:bookmarkStart w:id="14" w:name="__RefHeading___Toc333916432"/>
      <w:bookmarkEnd w:id="14"/>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GSM</w:t>
        <w:tab/>
        <w:t>Global System for Mobile communication</w:t>
      </w:r>
    </w:p>
    <w:p>
      <w:pPr>
        <w:pStyle w:val="EW"/>
        <w:rPr/>
      </w:pPr>
      <w:r>
        <w:rPr/>
        <w:t>IRP</w:t>
        <w:tab/>
        <w:t>Integration Reference Point</w:t>
      </w:r>
    </w:p>
    <w:p>
      <w:pPr>
        <w:pStyle w:val="EW"/>
        <w:rPr/>
      </w:pPr>
      <w:r>
        <w:rPr/>
        <w:t>NRM</w:t>
        <w:tab/>
        <w:t>Network Resource Model</w:t>
      </w:r>
    </w:p>
    <w:p>
      <w:pPr>
        <w:pStyle w:val="Heading1"/>
        <w:numPr>
          <w:ilvl w:val="0"/>
          <w:numId w:val="3"/>
        </w:numPr>
        <w:overflowPunct w:val="false"/>
        <w:autoSpaceDE w:val="false"/>
        <w:textAlignment w:val="baseline"/>
        <w:rPr/>
      </w:pPr>
      <w:bookmarkStart w:id="15" w:name="__RefHeading___Toc333916439"/>
      <w:bookmarkEnd w:id="15"/>
      <w:r>
        <w:rPr/>
        <w:t>Requirements</w:t>
      </w:r>
    </w:p>
    <w:p>
      <w:pPr>
        <w:pStyle w:val="Normal"/>
        <w:keepNext w:val="true"/>
        <w:rPr/>
      </w:pPr>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B1"/>
        <w:rPr/>
      </w:pPr>
      <w:r>
        <w:rPr/>
        <w:t>The NRM defined by this IRP:</w:t>
      </w:r>
    </w:p>
    <w:p>
      <w:pPr>
        <w:pStyle w:val="B1"/>
        <w:rPr/>
      </w:pPr>
      <w:r>
        <w:rPr/>
        <w:t>d)</w:t>
        <w:tab/>
        <w:t xml:space="preserve">Shall support communications for </w:t>
      </w:r>
      <w:r>
        <w:rPr>
          <w:lang w:val="en-US"/>
        </w:rPr>
        <w:t xml:space="preserve">telecommunication network management purposes, including management of converged networks. </w:t>
      </w:r>
    </w:p>
    <w:p>
      <w:pPr>
        <w:pStyle w:val="B1"/>
        <w:rPr/>
      </w:pPr>
      <w:r>
        <w:rPr>
          <w:lang w:val="en-US"/>
        </w:rPr>
        <w:t>e)</w:t>
        <w:tab/>
        <w:t xml:space="preserve">Is a member of the Federated Network Information Model (FNIM) </w:t>
      </w:r>
      <w:r>
        <w:rPr/>
        <w:t xml:space="preserve">[4] and its information is derived from FNIM Umbrella Information Model (UIM) [5]  </w:t>
      </w:r>
    </w:p>
    <w:p>
      <w:pPr>
        <w:pStyle w:val="Normal"/>
        <w:rPr/>
      </w:pPr>
      <w:r>
        <w:rPr/>
        <w:t>In addition, the following more specific requirements apply:</w:t>
      </w:r>
    </w:p>
    <w:p>
      <w:pPr>
        <w:pStyle w:val="Normal"/>
        <w:overflowPunct w:val="false"/>
        <w:autoSpaceDE w:val="false"/>
        <w:ind w:left="284" w:hanging="0"/>
        <w:textAlignment w:val="baseline"/>
        <w:rPr/>
      </w:pPr>
      <w:r>
        <w:rPr>
          <w:b/>
          <w:bCs/>
        </w:rPr>
        <w:t xml:space="preserve">REQ-TN_NRM-CON-001: </w:t>
      </w:r>
      <w:r>
        <w:rPr/>
        <w:t>The NRM specified by this IRP shall allow for the configuration of the ATM Termination Points of the UTRAN inter element links (Iub-link, Iur-link, Iu-link), which are residing in a Node B or RNC. More specifically, the NRM:</w:t>
      </w:r>
    </w:p>
    <w:p>
      <w:pPr>
        <w:pStyle w:val="B1"/>
        <w:rPr/>
      </w:pPr>
      <w:r>
        <w:rPr/>
        <w:t>1)</w:t>
        <w:tab/>
        <w:t>shall allow for the viewing of the physical layer used by the ATM network (e. g. E1);</w:t>
      </w:r>
    </w:p>
    <w:p>
      <w:pPr>
        <w:pStyle w:val="B1"/>
        <w:rPr/>
      </w:pPr>
      <w:r>
        <w:rPr/>
        <w:t>2)</w:t>
        <w:tab/>
        <w:t>shall allow for the viewing of parameters of the virtual circuits associated with each link (e.g. VPI/VCI, ATM Service Category, AAL type, Peak Cell Rate, Sustainable Cell Rate, Maximum Burst Size);</w:t>
      </w:r>
    </w:p>
    <w:p>
      <w:pPr>
        <w:pStyle w:val="B1"/>
        <w:rPr/>
      </w:pPr>
      <w:r>
        <w:rPr/>
        <w:t>3)</w:t>
        <w:tab/>
        <w:t>shall allow the assigning of a UTRAN interface logical channel (e.g. Iub-NBAP) to a virtual circuit and configuration of parameters of the virtual circuit (e.g. VPI/VCI, ATM Service Category, AAL type, Peak Cell Rate, Sustainable Cell Rate, Maximum Burst Size);</w:t>
      </w:r>
    </w:p>
    <w:p>
      <w:pPr>
        <w:pStyle w:val="B1"/>
        <w:rPr/>
      </w:pPr>
      <w:r>
        <w:rPr/>
        <w:t>4)</w:t>
        <w:tab/>
        <w:t>shall allow to relate the ATM Termination Point easily to the associated link;</w:t>
      </w:r>
    </w:p>
    <w:p>
      <w:pPr>
        <w:pStyle w:val="B1"/>
        <w:rPr/>
      </w:pPr>
      <w:r>
        <w:rPr/>
        <w:t>5)</w:t>
        <w:tab/>
        <w:t>shall allow to relate the ATM Termination Point easily to the network element and the type of network element it is connected to.</w:t>
      </w:r>
    </w:p>
    <w:p>
      <w:pPr>
        <w:pStyle w:val="Normal"/>
        <w:overflowPunct w:val="false"/>
        <w:autoSpaceDE w:val="false"/>
        <w:ind w:left="284" w:hanging="0"/>
        <w:textAlignment w:val="baseline"/>
        <w:rPr/>
      </w:pPr>
      <w:r>
        <w:rPr>
          <w:b/>
          <w:bCs/>
        </w:rPr>
        <w:t xml:space="preserve">REQ-TN_NRM-CON-002: </w:t>
      </w:r>
      <w:r>
        <w:rPr/>
        <w:t>The NRM defined by this IRP shall be generic in the sense to allow support for multiple transport technologies (e.g. IP) in the future;</w:t>
      </w:r>
    </w:p>
    <w:p>
      <w:pPr>
        <w:pStyle w:val="Normal"/>
        <w:overflowPunct w:val="false"/>
        <w:autoSpaceDE w:val="false"/>
        <w:ind w:left="284" w:hanging="0"/>
        <w:textAlignment w:val="baseline"/>
        <w:rPr/>
      </w:pPr>
      <w:r>
        <w:rPr>
          <w:b/>
          <w:bCs/>
        </w:rPr>
        <w:t xml:space="preserve">REQ-TN_NRM-CON-003: </w:t>
      </w:r>
      <w:r>
        <w:rPr/>
        <w:t>The NRM defined by this IRP shall be generic in the sense to allow support for the management of termination points of other interface links (e. g. links between network elements of the CN) in the future.</w:t>
      </w:r>
      <w:r>
        <w:br w:type="page"/>
      </w:r>
    </w:p>
    <w:p>
      <w:pPr>
        <w:pStyle w:val="Normal"/>
        <w:rPr/>
      </w:pPr>
      <w:r>
        <w:rPr/>
      </w:r>
    </w:p>
    <w:p>
      <w:pPr>
        <w:pStyle w:val="Heading8"/>
        <w:ind w:left="0" w:hanging="0"/>
        <w:rPr/>
      </w:pPr>
      <w:bookmarkStart w:id="16" w:name="__RefHeading___Toc333916440"/>
      <w:bookmarkEnd w:id="16"/>
      <w:r>
        <w:rPr/>
        <w:t>Annex B (informative):</w:t>
        <w:br/>
        <w:t>Change history</w:t>
      </w:r>
    </w:p>
    <w:tbl>
      <w:tblPr>
        <w:tblW w:w="9721" w:type="dxa"/>
        <w:jc w:val="left"/>
        <w:tblInd w:w="-47" w:type="dxa"/>
        <w:tblLayout w:type="fixed"/>
        <w:tblCellMar>
          <w:top w:w="0" w:type="dxa"/>
          <w:left w:w="40" w:type="dxa"/>
          <w:bottom w:w="0" w:type="dxa"/>
          <w:right w:w="40" w:type="dxa"/>
        </w:tblCellMar>
      </w:tblPr>
      <w:tblGrid>
        <w:gridCol w:w="781"/>
        <w:gridCol w:w="677"/>
        <w:gridCol w:w="803"/>
        <w:gridCol w:w="434"/>
        <w:gridCol w:w="374"/>
        <w:gridCol w:w="5257"/>
        <w:gridCol w:w="341"/>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8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25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3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8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803"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SP-140358</w:t>
            </w:r>
          </w:p>
        </w:tc>
        <w:tc>
          <w:tcPr>
            <w:tcW w:w="43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34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34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Cs/>
                <w:color w:val="000000"/>
                <w:sz w:val="16"/>
                <w:szCs w:val="16"/>
              </w:rPr>
              <w:t>12.0.0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34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Cs/>
                <w:color w:val="000000"/>
                <w:sz w:val="16"/>
                <w:szCs w:val="16"/>
              </w:rPr>
            </w:pPr>
            <w:r>
              <w:rPr>
                <w:bCs/>
                <w:color w:val="000000"/>
                <w:sz w:val="16"/>
                <w:szCs w:val="16"/>
              </w:rPr>
              <w:t>13.0.0</w:t>
            </w:r>
          </w:p>
        </w:tc>
      </w:tr>
      <w:tr>
        <w:trPr/>
        <w:tc>
          <w:tcPr>
            <w:tcW w:w="78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3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5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341"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Cs/>
                <w:color w:val="000000"/>
                <w:sz w:val="16"/>
                <w:szCs w:val="16"/>
              </w:rPr>
            </w:pPr>
            <w:r>
              <w:rPr>
                <w:bCs/>
                <w:color w:val="000000"/>
                <w:sz w:val="16"/>
                <w:szCs w:val="16"/>
              </w:rPr>
              <w:t>14.0.0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4"/>
      <w:numFmt w:val="decimal"/>
      <w:lvlText w:val="%1"/>
      <w:lvlJc w:val="left"/>
      <w:pPr>
        <w:tabs>
          <w:tab w:val="num" w:pos="1140"/>
        </w:tabs>
        <w:ind w:left="1140" w:hanging="1140"/>
      </w:pPr>
      <w:rPr/>
    </w:lvl>
  </w:abstractNum>
  <w:abstractNum w:abstractNumId="4">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lvl w:ilvl="0">
      <w:start w:val="1"/>
      <w:numFmt w:val="bullet"/>
      <w:lvlText w:val=""/>
      <w:lvlJc w:val="left"/>
      <w:pPr>
        <w:tabs>
          <w:tab w:val="num" w:pos="0"/>
        </w:tabs>
        <w:ind w:left="644" w:hanging="360"/>
      </w:pPr>
      <w:rPr>
        <w:rFonts w:ascii="Symbol" w:hAnsi="Symbol" w:cs="Symbol" w:hint="default"/>
      </w:rPr>
    </w:lvl>
  </w:abstractNum>
  <w:abstractNum w:abstractNumId="6">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Times New Roman" w:hAnsi="Times New Roman" w:cs="Times New Roman"/>
      <w:b w:val="false"/>
      <w:i w:val="false"/>
      <w:sz w:val="20"/>
    </w:rPr>
  </w:style>
  <w:style w:type="character" w:styleId="WW8Num13z1">
    <w:name w:val="WW8Num13z1"/>
    <w:qFormat/>
    <w:rPr>
      <w:rFonts w:cs="Times New Roman"/>
    </w:rPr>
  </w:style>
  <w:style w:type="character" w:styleId="WW8Num13z2">
    <w:name w:val="WW8Num13z2"/>
    <w:qFormat/>
    <w:rPr>
      <w:rFonts w:cs="Times New Roman"/>
      <w:strike w:val="false"/>
      <w:dstrike w:val="false"/>
      <w:sz w:val="24"/>
      <w:szCs w:val="24"/>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Arial" w:hAnsi="Arial"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Arial" w:hAnsi="Arial" w:cs="Aria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Arial" w:hAnsi="Arial" w:eastAsia="Times New Roman" w:cs="Times New Roman"/>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cs="Times New Roman"/>
    </w:rPr>
  </w:style>
  <w:style w:type="character" w:styleId="WW8Num30z0">
    <w:name w:val="WW8Num30z0"/>
    <w:qFormat/>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Arial" w:hAnsi="Arial" w:eastAsia="Times New Roman" w:cs="Arial"/>
    </w:rPr>
  </w:style>
  <w:style w:type="character" w:styleId="WW8Num35z2">
    <w:name w:val="WW8Num35z2"/>
    <w:qFormat/>
    <w:rPr>
      <w:rFonts w:ascii="Wingdings" w:hAnsi="Wingdings" w:cs="Wingdings"/>
    </w:rPr>
  </w:style>
  <w:style w:type="character" w:styleId="WW8Num35z4">
    <w:name w:val="WW8Num35z4"/>
    <w:qFormat/>
    <w:rPr>
      <w:rFonts w:ascii="Courier New" w:hAnsi="Courier New" w:cs="Courier New"/>
    </w:rPr>
  </w:style>
  <w:style w:type="character" w:styleId="WW8Num36z0">
    <w:name w:val="WW8Num36z0"/>
    <w:qFormat/>
    <w:rPr/>
  </w:style>
  <w:style w:type="character" w:styleId="WW8Num37z0">
    <w:name w:val="WW8Num37z0"/>
    <w:qFormat/>
    <w:rPr>
      <w:rFonts w:cs="Times New Roman"/>
    </w:rPr>
  </w:style>
  <w:style w:type="character" w:styleId="WW8Num37z2">
    <w:name w:val="WW8Num37z2"/>
    <w:qFormat/>
    <w:rPr>
      <w:rFonts w:cs="Times New Roman"/>
      <w:strike w:val="false"/>
      <w:dstrike w:val="false"/>
      <w:sz w:val="24"/>
      <w:szCs w:val="24"/>
    </w:rPr>
  </w:style>
  <w:style w:type="character" w:styleId="WW8Num38z0">
    <w:name w:val="WW8Num38z0"/>
    <w:qFormat/>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5z0">
    <w:name w:val="WW8NumSt35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5"/>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6"/>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6"/>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4"/>
      </w:numPr>
    </w:pPr>
    <w:rPr/>
  </w:style>
  <w:style w:type="paragraph" w:styleId="Index1">
    <w:name w:val="Index 1"/>
    <w:basedOn w:val="Normal"/>
    <w:pPr>
      <w:keepLines/>
      <w:overflowPunct w:val="false"/>
      <w:autoSpaceDE w:val="false"/>
      <w:spacing w:before="120" w:after="0"/>
      <w:textAlignment w:val="baseline"/>
    </w:pPr>
    <w:rPr/>
  </w:style>
  <w:style w:type="paragraph" w:styleId="Code">
    <w:name w:val="code"/>
    <w:basedOn w:val="Normal"/>
    <w:qFormat/>
    <w:pPr>
      <w:overflowPunct w:val="false"/>
      <w:autoSpaceDE w:val="false"/>
      <w:spacing w:before="120" w:after="0"/>
      <w:textAlignment w:val="baseline"/>
    </w:pPr>
    <w:rPr>
      <w:rFonts w:ascii="Courier New" w:hAnsi="Courier New" w:cs="Courier New"/>
      <w:lang w:val="en-US" w:eastAsia="en-US"/>
    </w:rPr>
  </w:style>
  <w:style w:type="paragraph" w:styleId="StyleTACCourierNewLeft">
    <w:name w:val="Style TAC + Courier New Left"/>
    <w:basedOn w:val="TAC"/>
    <w:qFormat/>
    <w:pPr>
      <w:overflowPunct w:val="false"/>
      <w:autoSpaceDE w:val="false"/>
      <w:jc w:val="left"/>
      <w:textAlignment w:val="baseline"/>
    </w:pPr>
    <w:rPr>
      <w:rFonts w:ascii="Courier New" w:hAnsi="Courier New" w:cs="Courier New"/>
    </w:rPr>
  </w:style>
  <w:style w:type="paragraph" w:styleId="StyleTACLeft">
    <w:name w:val="Style TAC + Left"/>
    <w:basedOn w:val="TAC"/>
    <w:qFormat/>
    <w:pPr>
      <w:overflowPunct w:val="false"/>
      <w:autoSpaceDE w:val="false"/>
      <w:jc w:val="left"/>
      <w:textAlignment w:val="baseline"/>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NRM IRP Converged Management Transport Network</cp:keywords>
  <dc:language>en-US</dc:language>
  <cp:lastModifiedBy>28.622_CR0086R1_(Rel-16)_eNRM</cp:lastModifiedBy>
  <dcterms:modified xsi:type="dcterms:W3CDTF">2020-07-15T11:51:00Z</dcterms:modified>
  <cp:revision>4</cp:revision>
  <dc:subject>Telecommunication management; Transport Network (TN) interface Network Resource Model (NRM) Integration Reference Point (IRP); Requirements (Release 16)</dc:subject>
  <dc:title>3GPP TS 28.731</dc:title>
</cp:coreProperties>
</file>