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media/image6.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28.732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28.732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Transport Network (TN) interface</w:t>
                            </w:r>
                          </w:p>
                          <w:p>
                            <w:pPr>
                              <w:pStyle w:val="ZT"/>
                              <w:rPr/>
                            </w:pPr>
                            <w:r>
                              <w:rPr/>
                              <w:t>Network Resource Model (NRM)</w:t>
                            </w:r>
                          </w:p>
                          <w:p>
                            <w:pPr>
                              <w:pStyle w:val="ZT"/>
                              <w:rPr/>
                            </w:pPr>
                            <w:r>
                              <w:rPr/>
                              <w:t>Integration Reference Point (IRP);</w:t>
                            </w:r>
                          </w:p>
                          <w:p>
                            <w:pPr>
                              <w:pStyle w:val="ZT"/>
                              <w:rPr/>
                            </w:pPr>
                            <w:r>
                              <w:rPr/>
                              <w:t>Information Service (IS)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Transport Network (TN) interface</w:t>
                      </w:r>
                    </w:p>
                    <w:p>
                      <w:pPr>
                        <w:pStyle w:val="ZT"/>
                        <w:rPr/>
                      </w:pPr>
                      <w:r>
                        <w:rPr/>
                        <w:t>Network Resource Model (NRM)</w:t>
                      </w:r>
                    </w:p>
                    <w:p>
                      <w:pPr>
                        <w:pStyle w:val="ZT"/>
                        <w:rPr/>
                      </w:pPr>
                      <w:r>
                        <w:rPr/>
                        <w:t>Integration Reference Point (IRP);</w:t>
                      </w:r>
                    </w:p>
                    <w:p>
                      <w:pPr>
                        <w:pStyle w:val="ZT"/>
                        <w:rPr/>
                      </w:pPr>
                      <w:r>
                        <w:rPr/>
                        <w:t>Information Service (IS)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Management,Transport Network</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Management,Transport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128407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391284078">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1284079">
            <w:r>
              <w:rPr>
                <w:rStyle w:val="IndexLink"/>
              </w:rPr>
              <w:t>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128408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9128408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1284082">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9128408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Model</w:t>
            <w:tab/>
          </w:r>
          <w:hyperlink w:anchor="__RefHeading___Toc391284084">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Imported information entities and local labels</w:t>
            <w:tab/>
          </w:r>
          <w:hyperlink w:anchor="__RefHeading___Toc391284085">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Class diagram</w:t>
            <w:tab/>
          </w:r>
          <w:hyperlink w:anchor="__RefHeading___Toc391284086">
            <w:r>
              <w:rPr>
                <w:rStyle w:val="IndexLink"/>
              </w:rPr>
              <w:t>6</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Relationships</w:t>
            <w:tab/>
          </w:r>
          <w:hyperlink w:anchor="__RefHeading___Toc391284087">
            <w:r>
              <w:rPr>
                <w:rStyle w:val="IndexLink"/>
              </w:rPr>
              <w:t>6</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Inheritance</w:t>
            <w:tab/>
          </w:r>
          <w:hyperlink w:anchor="__RefHeading___Toc391284088">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Class definitions</w:t>
            <w:tab/>
          </w:r>
          <w:hyperlink w:anchor="__RefHeading___Toc391284089">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rFonts w:cs="Courier New" w:ascii="Courier New" w:hAnsi="Courier New"/>
            </w:rPr>
            <w:t>TransportNetworkInterface</w:t>
          </w:r>
          <w:r>
            <w:rPr/>
            <w:tab/>
          </w:r>
          <w:hyperlink w:anchor="__RefHeading___Toc391284090">
            <w:r>
              <w:rPr>
                <w:rStyle w:val="IndexLink"/>
              </w:rPr>
              <w:t>8</w:t>
            </w:r>
          </w:hyperlink>
        </w:p>
        <w:p>
          <w:pPr>
            <w:pStyle w:val="Contents4"/>
            <w:rPr>
              <w:rFonts w:ascii="Calibri" w:hAnsi="Calibri" w:cs="Calibri"/>
              <w:sz w:val="22"/>
              <w:szCs w:val="22"/>
              <w:lang w:val="en-US" w:eastAsia="en-US"/>
            </w:rPr>
          </w:pPr>
          <w:r>
            <w:rPr/>
            <w:t>4.3.1.1</w:t>
          </w:r>
          <w:r>
            <w:rPr>
              <w:rFonts w:cs="Calibri" w:ascii="Calibri" w:hAnsi="Calibri"/>
              <w:sz w:val="22"/>
              <w:szCs w:val="22"/>
              <w:lang w:val="en-US" w:eastAsia="en-US"/>
            </w:rPr>
            <w:tab/>
          </w:r>
          <w:r>
            <w:rPr/>
            <w:t>Definition</w:t>
            <w:tab/>
          </w:r>
          <w:hyperlink w:anchor="__RefHeading___Toc391284091">
            <w:r>
              <w:rPr>
                <w:rStyle w:val="IndexLink"/>
              </w:rPr>
              <w:t>8</w:t>
            </w:r>
          </w:hyperlink>
        </w:p>
        <w:p>
          <w:pPr>
            <w:pStyle w:val="Contents4"/>
            <w:rPr>
              <w:rFonts w:ascii="Calibri" w:hAnsi="Calibri" w:cs="Calibri"/>
              <w:sz w:val="22"/>
              <w:szCs w:val="22"/>
              <w:lang w:val="en-US" w:eastAsia="en-US"/>
            </w:rPr>
          </w:pPr>
          <w:r>
            <w:rPr/>
            <w:t>4.3.1.2</w:t>
          </w:r>
          <w:r>
            <w:rPr>
              <w:rFonts w:cs="Calibri" w:ascii="Calibri" w:hAnsi="Calibri"/>
              <w:sz w:val="22"/>
              <w:szCs w:val="22"/>
              <w:lang w:val="en-US" w:eastAsia="en-US"/>
            </w:rPr>
            <w:tab/>
          </w:r>
          <w:r>
            <w:rPr/>
            <w:t>Attributes</w:t>
            <w:tab/>
          </w:r>
          <w:hyperlink w:anchor="__RefHeading___Toc391284092">
            <w:r>
              <w:rPr>
                <w:rStyle w:val="IndexLink"/>
              </w:rPr>
              <w:t>8</w:t>
            </w:r>
          </w:hyperlink>
        </w:p>
        <w:p>
          <w:pPr>
            <w:pStyle w:val="Contents4"/>
            <w:rPr>
              <w:rFonts w:ascii="Calibri" w:hAnsi="Calibri" w:cs="Calibri"/>
              <w:sz w:val="22"/>
              <w:szCs w:val="22"/>
              <w:lang w:val="en-US" w:eastAsia="en-US"/>
            </w:rPr>
          </w:pPr>
          <w:r>
            <w:rPr/>
            <w:t>4.3.1.3</w:t>
          </w:r>
          <w:r>
            <w:rPr>
              <w:rFonts w:cs="Calibri" w:ascii="Calibri" w:hAnsi="Calibri"/>
              <w:sz w:val="22"/>
              <w:szCs w:val="22"/>
              <w:lang w:val="en-US" w:eastAsia="en-US"/>
            </w:rPr>
            <w:tab/>
          </w:r>
          <w:r>
            <w:rPr/>
            <w:t>Attribute constraints</w:t>
            <w:tab/>
          </w:r>
          <w:hyperlink w:anchor="__RefHeading___Toc391284093">
            <w:r>
              <w:rPr>
                <w:rStyle w:val="IndexLink"/>
              </w:rPr>
              <w:t>8</w:t>
            </w:r>
          </w:hyperlink>
        </w:p>
        <w:p>
          <w:pPr>
            <w:pStyle w:val="Contents4"/>
            <w:rPr>
              <w:rFonts w:ascii="Calibri" w:hAnsi="Calibri" w:cs="Calibri"/>
              <w:sz w:val="22"/>
              <w:szCs w:val="22"/>
              <w:lang w:val="en-US" w:eastAsia="en-US"/>
            </w:rPr>
          </w:pPr>
          <w:r>
            <w:rPr/>
            <w:t>4.3.1.4</w:t>
          </w:r>
          <w:r>
            <w:rPr>
              <w:rFonts w:cs="Calibri" w:ascii="Calibri" w:hAnsi="Calibri"/>
              <w:sz w:val="22"/>
              <w:szCs w:val="22"/>
              <w:lang w:val="en-US" w:eastAsia="en-US"/>
            </w:rPr>
            <w:tab/>
          </w:r>
          <w:r>
            <w:rPr/>
            <w:t>Notifications</w:t>
            <w:tab/>
          </w:r>
          <w:hyperlink w:anchor="__RefHeading___Toc391284094">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rFonts w:cs="Courier New" w:ascii="Courier New" w:hAnsi="Courier New"/>
            </w:rPr>
            <w:t>ATMChannelTerminationPoint</w:t>
          </w:r>
          <w:r>
            <w:rPr/>
            <w:tab/>
          </w:r>
          <w:hyperlink w:anchor="__RefHeading___Toc391284095">
            <w:r>
              <w:rPr>
                <w:rStyle w:val="IndexLink"/>
              </w:rPr>
              <w:t>8</w:t>
            </w:r>
          </w:hyperlink>
        </w:p>
        <w:p>
          <w:pPr>
            <w:pStyle w:val="Contents4"/>
            <w:rPr>
              <w:rFonts w:ascii="Calibri" w:hAnsi="Calibri" w:cs="Calibri"/>
              <w:sz w:val="22"/>
              <w:szCs w:val="22"/>
              <w:lang w:val="en-US" w:eastAsia="en-US"/>
            </w:rPr>
          </w:pPr>
          <w:r>
            <w:rPr/>
            <w:t>4.3.2.1</w:t>
          </w:r>
          <w:r>
            <w:rPr>
              <w:rFonts w:cs="Calibri" w:ascii="Calibri" w:hAnsi="Calibri"/>
              <w:sz w:val="22"/>
              <w:szCs w:val="22"/>
              <w:lang w:val="en-US" w:eastAsia="en-US"/>
            </w:rPr>
            <w:tab/>
          </w:r>
          <w:r>
            <w:rPr/>
            <w:t>Definition</w:t>
            <w:tab/>
          </w:r>
          <w:hyperlink w:anchor="__RefHeading___Toc391284096">
            <w:r>
              <w:rPr>
                <w:rStyle w:val="IndexLink"/>
              </w:rPr>
              <w:t>8</w:t>
            </w:r>
          </w:hyperlink>
        </w:p>
        <w:p>
          <w:pPr>
            <w:pStyle w:val="Contents4"/>
            <w:rPr>
              <w:rFonts w:ascii="Calibri" w:hAnsi="Calibri" w:cs="Calibri"/>
              <w:sz w:val="22"/>
              <w:szCs w:val="22"/>
              <w:lang w:val="en-US" w:eastAsia="en-US"/>
            </w:rPr>
          </w:pPr>
          <w:r>
            <w:rPr/>
            <w:t>4.3.2.2</w:t>
          </w:r>
          <w:r>
            <w:rPr>
              <w:rFonts w:cs="Calibri" w:ascii="Calibri" w:hAnsi="Calibri"/>
              <w:sz w:val="22"/>
              <w:szCs w:val="22"/>
              <w:lang w:val="en-US" w:eastAsia="en-US"/>
            </w:rPr>
            <w:tab/>
          </w:r>
          <w:r>
            <w:rPr/>
            <w:t>Attributes</w:t>
            <w:tab/>
          </w:r>
          <w:hyperlink w:anchor="__RefHeading___Toc391284097">
            <w:r>
              <w:rPr>
                <w:rStyle w:val="IndexLink"/>
              </w:rPr>
              <w:t>9</w:t>
            </w:r>
          </w:hyperlink>
        </w:p>
        <w:p>
          <w:pPr>
            <w:pStyle w:val="Contents4"/>
            <w:rPr>
              <w:rFonts w:ascii="Calibri" w:hAnsi="Calibri" w:cs="Calibri"/>
              <w:sz w:val="22"/>
              <w:szCs w:val="22"/>
              <w:lang w:val="en-US" w:eastAsia="en-US"/>
            </w:rPr>
          </w:pPr>
          <w:r>
            <w:rPr/>
            <w:t>4.3.2.3</w:t>
          </w:r>
          <w:r>
            <w:rPr>
              <w:rFonts w:cs="Calibri" w:ascii="Calibri" w:hAnsi="Calibri"/>
              <w:sz w:val="22"/>
              <w:szCs w:val="22"/>
              <w:lang w:val="en-US" w:eastAsia="en-US"/>
            </w:rPr>
            <w:tab/>
          </w:r>
          <w:r>
            <w:rPr/>
            <w:t>Attribute constraints</w:t>
            <w:tab/>
          </w:r>
          <w:hyperlink w:anchor="__RefHeading___Toc391284098">
            <w:r>
              <w:rPr>
                <w:rStyle w:val="IndexLink"/>
              </w:rPr>
              <w:t>9</w:t>
            </w:r>
          </w:hyperlink>
        </w:p>
        <w:p>
          <w:pPr>
            <w:pStyle w:val="Contents4"/>
            <w:rPr>
              <w:rFonts w:ascii="Calibri" w:hAnsi="Calibri" w:cs="Calibri"/>
              <w:sz w:val="22"/>
              <w:szCs w:val="22"/>
              <w:lang w:val="en-US" w:eastAsia="en-US"/>
            </w:rPr>
          </w:pPr>
          <w:r>
            <w:rPr/>
            <w:t>4.3.2.4</w:t>
          </w:r>
          <w:r>
            <w:rPr>
              <w:rFonts w:cs="Calibri" w:ascii="Calibri" w:hAnsi="Calibri"/>
              <w:sz w:val="22"/>
              <w:szCs w:val="22"/>
              <w:lang w:val="en-US" w:eastAsia="en-US"/>
            </w:rPr>
            <w:tab/>
          </w:r>
          <w:r>
            <w:rPr/>
            <w:t>Notifications</w:t>
            <w:tab/>
          </w:r>
          <w:hyperlink w:anchor="__RefHeading___Toc391284099">
            <w:r>
              <w:rPr>
                <w:rStyle w:val="IndexLink"/>
              </w:rPr>
              <w:t>9</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rFonts w:cs="Courier New" w:ascii="Courier New" w:hAnsi="Courier New"/>
            </w:rPr>
            <w:t>ATMPathTerminationPoint</w:t>
          </w:r>
          <w:r>
            <w:rPr/>
            <w:tab/>
          </w:r>
          <w:hyperlink w:anchor="__RefHeading___Toc391284100">
            <w:r>
              <w:rPr>
                <w:rStyle w:val="IndexLink"/>
              </w:rPr>
              <w:t>9</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Definition</w:t>
            <w:tab/>
          </w:r>
          <w:hyperlink w:anchor="__RefHeading___Toc391284101">
            <w:r>
              <w:rPr>
                <w:rStyle w:val="IndexLink"/>
              </w:rPr>
              <w:t>9</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Attributes</w:t>
            <w:tab/>
          </w:r>
          <w:hyperlink w:anchor="__RefHeading___Toc391284102">
            <w:r>
              <w:rPr>
                <w:rStyle w:val="IndexLink"/>
              </w:rPr>
              <w:t>9</w:t>
            </w:r>
          </w:hyperlink>
        </w:p>
        <w:p>
          <w:pPr>
            <w:pStyle w:val="Contents4"/>
            <w:rPr>
              <w:rFonts w:ascii="Calibri" w:hAnsi="Calibri" w:cs="Calibri"/>
              <w:sz w:val="22"/>
              <w:szCs w:val="22"/>
              <w:lang w:val="en-US" w:eastAsia="en-US"/>
            </w:rPr>
          </w:pPr>
          <w:r>
            <w:rPr/>
            <w:t>4.3.3.3</w:t>
          </w:r>
          <w:r>
            <w:rPr>
              <w:rFonts w:cs="Calibri" w:ascii="Calibri" w:hAnsi="Calibri"/>
              <w:sz w:val="22"/>
              <w:szCs w:val="22"/>
              <w:lang w:val="en-US" w:eastAsia="en-US"/>
            </w:rPr>
            <w:tab/>
          </w:r>
          <w:r>
            <w:rPr/>
            <w:t>Attribute constraints</w:t>
            <w:tab/>
          </w:r>
          <w:hyperlink w:anchor="__RefHeading___Toc391284103">
            <w:r>
              <w:rPr>
                <w:rStyle w:val="IndexLink"/>
              </w:rPr>
              <w:t>10</w:t>
            </w:r>
          </w:hyperlink>
        </w:p>
        <w:p>
          <w:pPr>
            <w:pStyle w:val="Contents4"/>
            <w:rPr>
              <w:rFonts w:ascii="Calibri" w:hAnsi="Calibri" w:cs="Calibri"/>
              <w:sz w:val="22"/>
              <w:szCs w:val="22"/>
              <w:lang w:val="en-US" w:eastAsia="en-US"/>
            </w:rPr>
          </w:pPr>
          <w:r>
            <w:rPr/>
            <w:t>4.3.3.4</w:t>
          </w:r>
          <w:r>
            <w:rPr>
              <w:rFonts w:cs="Calibri" w:ascii="Calibri" w:hAnsi="Calibri"/>
              <w:sz w:val="22"/>
              <w:szCs w:val="22"/>
              <w:lang w:val="en-US" w:eastAsia="en-US"/>
            </w:rPr>
            <w:tab/>
          </w:r>
          <w:r>
            <w:rPr/>
            <w:t>Notifications</w:t>
            <w:tab/>
          </w:r>
          <w:hyperlink w:anchor="__RefHeading___Toc391284104">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Attribute definitions</w:t>
            <w:tab/>
          </w:r>
          <w:hyperlink w:anchor="__RefHeading___Toc391284105">
            <w:r>
              <w:rPr>
                <w:rStyle w:val="IndexLink"/>
              </w:rPr>
              <w:t>10</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Attribute properties</w:t>
            <w:tab/>
          </w:r>
          <w:hyperlink w:anchor="__RefHeading___Toc391284106">
            <w:r>
              <w:rPr>
                <w:rStyle w:val="IndexLink"/>
              </w:rPr>
              <w:t>10</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Constraints</w:t>
            <w:tab/>
          </w:r>
          <w:hyperlink w:anchor="__RefHeading___Toc391284107">
            <w:r>
              <w:rPr>
                <w:rStyle w:val="IndexLink"/>
              </w:rPr>
              <w:t>12</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Common notifications</w:t>
            <w:tab/>
          </w:r>
          <w:hyperlink w:anchor="__RefHeading___Toc391284108">
            <w:r>
              <w:rPr>
                <w:rStyle w:val="IndexLink"/>
              </w:rPr>
              <w:t>13</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Alarm notifications</w:t>
            <w:tab/>
          </w:r>
          <w:hyperlink w:anchor="__RefHeading___Toc391284109">
            <w:r>
              <w:rPr>
                <w:rStyle w:val="IndexLink"/>
              </w:rPr>
              <w:t>13</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Configuration notifications</w:t>
            <w:tab/>
          </w:r>
          <w:hyperlink w:anchor="__RefHeading___Toc391284110">
            <w:r>
              <w:rPr>
                <w:rStyle w:val="IndexLink"/>
              </w:rPr>
              <w:t>13</w:t>
            </w:r>
          </w:hyperlink>
        </w:p>
        <w:p>
          <w:pPr>
            <w:pStyle w:val="Contents8"/>
            <w:rPr>
              <w:rFonts w:ascii="Calibri" w:hAnsi="Calibri" w:cs="Calibri"/>
              <w:b w:val="false"/>
              <w:b w:val="false"/>
              <w:szCs w:val="22"/>
              <w:lang w:val="en-US" w:eastAsia="en-US"/>
            </w:rPr>
          </w:pPr>
          <w:r>
            <w:rPr/>
            <w:t>Annex A (informative):</w:t>
            <w:tab/>
            <w:t xml:space="preserve"> Example Configuration of ATM Transport Network in UTRAN</w:t>
            <w:tab/>
          </w:r>
          <w:hyperlink w:anchor="__RefHeading___Toc391284111">
            <w:r>
              <w:rPr>
                <w:rStyle w:val="IndexLink"/>
              </w:rPr>
              <w:t>14</w:t>
            </w:r>
          </w:hyperlink>
        </w:p>
        <w:p>
          <w:pPr>
            <w:pStyle w:val="Contents8"/>
            <w:rPr>
              <w:rFonts w:ascii="Calibri" w:hAnsi="Calibri" w:cs="Calibri"/>
              <w:szCs w:val="22"/>
              <w:lang w:val="en-US" w:eastAsia="en-US"/>
            </w:rPr>
          </w:pPr>
          <w:r>
            <w:rPr>
              <w:b w:val="false"/>
            </w:rPr>
            <w:t>Annex B (informative):</w:t>
            <w:tab/>
            <w:t>Change history</w:t>
            <w:tab/>
          </w:r>
          <w:hyperlink w:anchor="__RefHeading___Toc391284112">
            <w:r>
              <w:rPr>
                <w:rStyle w:val="IndexLink"/>
                <w:b w:val="false"/>
              </w:rPr>
              <w:t>15</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p>
    <w:p>
      <w:pPr>
        <w:pStyle w:val="Normal"/>
        <w:rPr/>
      </w:pPr>
      <w:r>
        <w:rPr/>
      </w:r>
      <w:r>
        <w:br w:type="page"/>
      </w:r>
    </w:p>
    <w:p>
      <w:pPr>
        <w:pStyle w:val="Heading1"/>
        <w:ind w:left="1134" w:hanging="1134"/>
        <w:rPr/>
      </w:pPr>
      <w:bookmarkStart w:id="8" w:name="__RefHeading___Toc39128407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391284078"/>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28.731:</w:t>
        <w:tab/>
        <w:t>Transport Network (TN) interface Network Resource Model (NRM) Integration Reference Point (IRP); Requirements.</w:t>
      </w:r>
    </w:p>
    <w:p>
      <w:pPr>
        <w:pStyle w:val="B1"/>
        <w:rPr>
          <w:b/>
          <w:b/>
          <w:sz w:val="24"/>
          <w:szCs w:val="24"/>
        </w:rPr>
      </w:pPr>
      <w:r>
        <w:rPr>
          <w:b/>
        </w:rPr>
        <w:t>28.732:</w:t>
        <w:tab/>
        <w:t>Transport Network (TN) interface Network Resource Model (NRM) Integration Reference Point (IRP); Information Service (IS).</w:t>
      </w:r>
    </w:p>
    <w:p>
      <w:pPr>
        <w:pStyle w:val="B1"/>
        <w:rPr>
          <w:sz w:val="24"/>
          <w:szCs w:val="24"/>
        </w:rPr>
      </w:pPr>
      <w:r>
        <w:rPr/>
        <w:t>28.733:</w:t>
        <w:tab/>
        <w:t>Transport Network (TN) interface Network Resource Model (NRM) Integration Reference Point (IRP); Solution Set (SS) definitions.</w:t>
      </w:r>
    </w:p>
    <w:p>
      <w:pPr>
        <w:pStyle w:val="Normal"/>
        <w:rPr>
          <w:sz w:val="24"/>
          <w:szCs w:val="24"/>
        </w:rPr>
      </w:pPr>
      <w:r>
        <w:rPr>
          <w:sz w:val="24"/>
          <w:szCs w:val="24"/>
        </w:rPr>
      </w:r>
    </w:p>
    <w:p>
      <w:pPr>
        <w:pStyle w:val="Heading1"/>
        <w:ind w:left="1134" w:hanging="1134"/>
        <w:rPr/>
      </w:pPr>
      <w:bookmarkStart w:id="10" w:name="__RefHeading___Toc391284079"/>
      <w:bookmarkEnd w:id="10"/>
      <w:r>
        <w:rPr/>
        <w:t>1</w:t>
        <w:tab/>
        <w:t>Scope</w:t>
      </w:r>
    </w:p>
    <w:p>
      <w:pPr>
        <w:pStyle w:val="Normal"/>
        <w:rPr/>
      </w:pPr>
      <w:r>
        <w:rPr/>
        <w:t xml:space="preserve">The present document specifies the Transport Network (TN) interface Network Resource Model (NRM) that can be communicated between an IRPAgent and an IRPManager for </w:t>
      </w:r>
      <w:r>
        <w:rPr>
          <w:lang w:val="en-US"/>
        </w:rPr>
        <w:t xml:space="preserve">telecommunication network management purposes, including management of </w:t>
      </w:r>
      <w:r>
        <w:rPr/>
        <w:t xml:space="preserve">converged </w:t>
      </w:r>
      <w:r>
        <w:rPr>
          <w:lang w:val="en-US"/>
        </w:rPr>
        <w:t>networks</w:t>
      </w:r>
      <w:r>
        <w:rPr/>
        <w:t>.</w:t>
      </w:r>
    </w:p>
    <w:p>
      <w:pPr>
        <w:pStyle w:val="Normal"/>
        <w:rPr/>
      </w:pPr>
      <w:r>
        <w:rPr/>
        <w:t>This document specifies the semantics and behaviour of information object class attributes and relations visible across the reference point in a protocol and technology neutral way.  It does not define their syntax and encoding.</w:t>
      </w:r>
    </w:p>
    <w:p>
      <w:pPr>
        <w:pStyle w:val="Normal"/>
        <w:rPr/>
      </w:pPr>
      <w:r>
        <w:rPr/>
        <w:t>The "Transport Network (TN) Interface Network Resource Model (NRM) IRP" comprises a set of specifications defining Requirements, a protocol neutral Network Resource Model (NRM) and corresponding Solution Set(s).</w:t>
      </w:r>
    </w:p>
    <w:p>
      <w:pPr>
        <w:pStyle w:val="Normal"/>
        <w:rPr/>
      </w:pPr>
      <w:r>
        <w:rPr/>
        <w:t>The present document:</w:t>
      </w:r>
    </w:p>
    <w:p>
      <w:pPr>
        <w:pStyle w:val="B1"/>
        <w:rPr/>
      </w:pPr>
      <w:r>
        <w:rPr/>
        <w:t>-</w:t>
        <w:tab/>
        <w:t>Specifies the protocol neutral Transport Network (TN) interface Network Resource Model (NRM) Integration Reference Point (IRP); Information Service (IS). It reuses relevant parts of the generic NRM in TS 28.622 [6], either by direct reuse or sub-classing, and in addition to that defines Transport specific Managed Object Classes.</w:t>
      </w:r>
    </w:p>
    <w:p>
      <w:pPr>
        <w:pStyle w:val="Normal"/>
        <w:rPr/>
      </w:pPr>
      <w:r>
        <w:rPr/>
        <w:t xml:space="preserve">The Configuration Management (CM) area is very large. The intention is to split the specification of the related interfaces in several IRPs - as described in the Introduction clause above. An important aspect of such a split is that the Network Resource Models (NRMs) defined in different IRPs containing NRMs are consistent, and that NRMs supported by an IRPAgent implementation can be accessed as one coherent model through one IRP Information Service. </w:t>
      </w:r>
    </w:p>
    <w:p>
      <w:pPr>
        <w:pStyle w:val="Normal"/>
        <w:rPr/>
      </w:pPr>
      <w:r>
        <w:rPr/>
        <w:t>In order to access the information defined by this NRM, an IRP Information Service (IS) is needed, such as the Basic CM IRP: IS (TS 32.602 [7]) or the Bulk CM IRP: IS (TS 32.612 [8]). However, which Information Service that is applicable is outside the scope of this document.</w:t>
      </w:r>
    </w:p>
    <w:p>
      <w:pPr>
        <w:pStyle w:val="Normal"/>
        <w:rPr/>
      </w:pPr>
      <w:r>
        <w:rPr/>
        <w:t xml:space="preserve">Finally, regarding the support of the State Management IRP: IS (TS 28.625 [16]), all NRM's of one release shall support the same State Management IRP version. </w:t>
      </w:r>
    </w:p>
    <w:p>
      <w:pPr>
        <w:pStyle w:val="Normal"/>
        <w:rPr/>
      </w:pPr>
      <w:r>
        <w:rPr/>
        <w:t>This specification is related to 3GPP TS 28.625 [16].</w:t>
      </w:r>
    </w:p>
    <w:p>
      <w:pPr>
        <w:pStyle w:val="Heading1"/>
        <w:ind w:left="1134" w:hanging="1134"/>
        <w:rPr/>
      </w:pPr>
      <w:bookmarkStart w:id="11" w:name="__RefHeading___Toc39128408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ListBullet"/>
        <w:numPr>
          <w:ilvl w:val="0"/>
          <w:numId w:val="0"/>
        </w:numPr>
        <w:spacing w:before="120" w:after="0"/>
        <w:ind w:left="284" w:hanging="0"/>
        <w:rPr/>
      </w:pPr>
      <w:r>
        <w:rPr/>
      </w:r>
    </w:p>
    <w:p>
      <w:pPr>
        <w:pStyle w:val="EX"/>
        <w:rPr/>
      </w:pPr>
      <w:r>
        <w:rPr/>
        <w:t>[1]</w:t>
        <w:tab/>
        <w:t>3GPP TS 32.101: "Telecommunication Management, Principles and high level requirements".</w:t>
      </w:r>
    </w:p>
    <w:p>
      <w:pPr>
        <w:pStyle w:val="EX"/>
        <w:rPr/>
      </w:pPr>
      <w:r>
        <w:rPr/>
        <w:t>[2]</w:t>
        <w:tab/>
        <w:t xml:space="preserve">3GPP TS 32.102: "Telecommunication management; </w:t>
      </w:r>
      <w:r>
        <w:rPr>
          <w:lang w:eastAsia="zh-CN"/>
        </w:rPr>
        <w:t>A</w:t>
      </w:r>
      <w:r>
        <w:rPr/>
        <w:t>rchitecture".</w:t>
      </w:r>
    </w:p>
    <w:p>
      <w:pPr>
        <w:pStyle w:val="EX"/>
        <w:rPr/>
      </w:pPr>
      <w:r>
        <w:rPr/>
        <w:t>[3]</w:t>
        <w:tab/>
        <w:t xml:space="preserve"> Void.</w:t>
      </w:r>
    </w:p>
    <w:p>
      <w:pPr>
        <w:pStyle w:val="EX"/>
        <w:rPr/>
      </w:pPr>
      <w:r>
        <w:rPr/>
        <w:t>[4]</w:t>
        <w:tab/>
        <w:t>3GPP TS 32.300: "Telecommunication management; Configuration Management (CM); Name convention for Managed Objects".</w:t>
      </w:r>
    </w:p>
    <w:p>
      <w:pPr>
        <w:pStyle w:val="EX"/>
        <w:rPr/>
      </w:pPr>
      <w:r>
        <w:rPr/>
        <w:t>[5]</w:t>
        <w:tab/>
        <w:t>ITU-T Recommendation I.361 (11/95):"B-ISDN ATM Layer Specification".</w:t>
      </w:r>
    </w:p>
    <w:p>
      <w:pPr>
        <w:pStyle w:val="EX"/>
        <w:rPr/>
      </w:pPr>
      <w:r>
        <w:rPr/>
        <w:t>[6]</w:t>
        <w:tab/>
        <w:t>3GPP TS 28.622: "Telecommunication management; Generic Network Resource Model (NRM) Integration Reference Point (IRP); Information Service (IS)".</w:t>
      </w:r>
    </w:p>
    <w:p>
      <w:pPr>
        <w:pStyle w:val="EX"/>
        <w:rPr/>
      </w:pPr>
      <w:r>
        <w:rPr/>
        <w:t>[7]</w:t>
        <w:tab/>
        <w:t>3GPP TS 32.602: "Telecommunication management; Configuration Management (CM); Basic CM Integration Reference Point (IRP) Information Service (IS)".</w:t>
      </w:r>
    </w:p>
    <w:p>
      <w:pPr>
        <w:pStyle w:val="EX"/>
        <w:rPr/>
      </w:pPr>
      <w:r>
        <w:rPr/>
        <w:t>[8]</w:t>
        <w:tab/>
        <w:t>3GPP TS 32.612: "Telecommunication management; Configuration Management (CM); Bulk CM Integration Reference Point (IRP): Information Service (IS)".</w:t>
      </w:r>
    </w:p>
    <w:p>
      <w:pPr>
        <w:pStyle w:val="EX"/>
        <w:rPr/>
      </w:pPr>
      <w:r>
        <w:rPr/>
        <w:t>[9]</w:t>
        <w:tab/>
        <w:t>3GPP TS 25.430: "UTRAN Iub interface:general aspects and principles".</w:t>
      </w:r>
    </w:p>
    <w:p>
      <w:pPr>
        <w:pStyle w:val="EX"/>
        <w:rPr>
          <w:highlight w:val="yellow"/>
        </w:rPr>
      </w:pPr>
      <w:r>
        <w:rPr/>
        <w:t>[10]</w:t>
        <w:tab/>
        <w:t>3GPP TS 25.431:  "UTRAN Iub interface Layer 1".</w:t>
      </w:r>
    </w:p>
    <w:p>
      <w:pPr>
        <w:pStyle w:val="EX"/>
        <w:rPr/>
      </w:pPr>
      <w:r>
        <w:rPr/>
        <w:t>[11]</w:t>
        <w:tab/>
        <w:t>3GPP TS 25.411: "UTRAN Iu interface Layer 1".</w:t>
      </w:r>
    </w:p>
    <w:p>
      <w:pPr>
        <w:pStyle w:val="EX"/>
        <w:rPr/>
      </w:pPr>
      <w:r>
        <w:rPr/>
        <w:t>[12]</w:t>
        <w:tab/>
        <w:t xml:space="preserve">3GPP TS </w:t>
      </w:r>
      <w:r>
        <w:rPr>
          <w:bCs/>
        </w:rPr>
        <w:t>28.652:</w:t>
        <w:tab/>
      </w:r>
      <w:r>
        <w:rPr/>
        <w:t>"</w:t>
      </w:r>
      <w:r>
        <w:rPr>
          <w:bCs/>
        </w:rPr>
        <w:t xml:space="preserve"> UTRAN Network Resource Model (NRM) Integration Reference Point (IRP): Information Service (IS)</w:t>
      </w:r>
      <w:r>
        <w:rPr/>
        <w:t xml:space="preserve"> "</w:t>
      </w:r>
      <w:r>
        <w:rPr>
          <w:bCs/>
        </w:rPr>
        <w:t>.</w:t>
      </w:r>
    </w:p>
    <w:p>
      <w:pPr>
        <w:pStyle w:val="EX"/>
        <w:rPr/>
      </w:pPr>
      <w:r>
        <w:rPr/>
        <w:t>[13]</w:t>
        <w:tab/>
        <w:t>3GPP TS 32.111-2: "Telecommunication management; Fault Management; Part 2: Alarm Integration Reference Point (IRP): Information Service (IS)".</w:t>
      </w:r>
    </w:p>
    <w:p>
      <w:pPr>
        <w:pStyle w:val="EX"/>
        <w:rPr/>
      </w:pPr>
      <w:r>
        <w:rPr/>
        <w:t>[14]</w:t>
        <w:tab/>
        <w:t>3GPP TS 32.302: "Telecommunication management; Configuration Management (CM); Notification Integration Reference Point (IRP): Information Service (IS)".</w:t>
      </w:r>
    </w:p>
    <w:p>
      <w:pPr>
        <w:pStyle w:val="EX"/>
        <w:rPr/>
      </w:pPr>
      <w:r>
        <w:rPr/>
        <w:t>[15]</w:t>
        <w:tab/>
        <w:t xml:space="preserve">3GPP TS 32.662: "Telecommunication management; Configuration Management (CM); Kernel CM Information Service (IS)". </w:t>
      </w:r>
    </w:p>
    <w:p>
      <w:pPr>
        <w:pStyle w:val="EX"/>
        <w:rPr/>
      </w:pPr>
      <w:r>
        <w:rPr/>
        <w:t>[16]</w:t>
        <w:tab/>
        <w:t>3GPP TS 28.625: "Telecommunication management; State Management Integration Reference Point (IRP): Information Service (IS)".</w:t>
      </w:r>
    </w:p>
    <w:p>
      <w:pPr>
        <w:pStyle w:val="EX"/>
        <w:rPr/>
      </w:pPr>
      <w:r>
        <w:rPr/>
        <w:t>[17]</w:t>
        <w:tab/>
        <w:t>3GPP TS 32.150: "Telecommunication management; Integration Reference Point (IRP) concept and definitions".</w:t>
      </w:r>
    </w:p>
    <w:p>
      <w:pPr>
        <w:pStyle w:val="Heading1"/>
        <w:ind w:left="1134" w:hanging="1134"/>
        <w:rPr/>
      </w:pPr>
      <w:bookmarkStart w:id="12" w:name="__RefHeading___Toc391284081"/>
      <w:bookmarkEnd w:id="12"/>
      <w:r>
        <w:rPr/>
        <w:t>3</w:t>
        <w:tab/>
        <w:t>Definitions and abbreviations</w:t>
      </w:r>
    </w:p>
    <w:p>
      <w:pPr>
        <w:pStyle w:val="Heading2"/>
        <w:rPr/>
      </w:pPr>
      <w:bookmarkStart w:id="13" w:name="__RefHeading___Toc391284082"/>
      <w:bookmarkEnd w:id="13"/>
      <w:r>
        <w:rPr/>
        <w:t>3.1</w:t>
        <w:tab/>
        <w:t>Definitions</w:t>
      </w:r>
    </w:p>
    <w:p>
      <w:pPr>
        <w:pStyle w:val="Normal"/>
        <w:keepNext w:val="true"/>
        <w:numPr>
          <w:ilvl w:val="0"/>
          <w:numId w:val="0"/>
        </w:numPr>
        <w:ind w:left="0" w:hanging="0"/>
        <w:rPr/>
      </w:pPr>
      <w:r>
        <w:rPr/>
        <w:t>For the purposes of the present document, the following definitions and abbreviations apply. For definitions and abbreviations not found here, please refer to 3GPP TS 32.101 [</w:t>
      </w:r>
      <w:r>
        <w:fldChar w:fldCharType="begin"/>
      </w:r>
      <w:r>
        <w:rPr>
          <w:lang w:val="en-US" w:eastAsia="en-US"/>
        </w:rPr>
        <w:instrText xml:space="preserve"> REF_TS32101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 3GPP TS 32.102 [</w:t>
      </w:r>
      <w:r>
        <w:fldChar w:fldCharType="begin"/>
      </w:r>
      <w:r>
        <w:rPr>
          <w:lang w:val="en-US" w:eastAsia="en-US"/>
        </w:rPr>
        <w:instrText xml:space="preserve"> REF_TS32102 </w:instrText>
      </w:r>
      <w:r>
        <w:rPr>
          <w:lang w:val="en-US" w:eastAsia="en-US"/>
        </w:rPr>
      </w:r>
      <w:r>
        <w:rPr>
          <w:lang w:val="en-US" w:eastAsia="en-US"/>
        </w:rPr>
        <w:fldChar w:fldCharType="separate"/>
      </w:r>
      <w:r>
        <w:rPr>
          <w:lang w:val="en-US" w:eastAsia="en-US"/>
        </w:rPr>
        <w:t>2</w:t>
      </w:r>
      <w:r>
        <w:rPr>
          <w:lang w:val="en-US" w:eastAsia="en-US"/>
        </w:rPr>
      </w:r>
      <w:r>
        <w:rPr>
          <w:lang w:val="en-US" w:eastAsia="en-US"/>
        </w:rPr>
        <w:fldChar w:fldCharType="end"/>
      </w:r>
      <w:r>
        <w:rPr/>
        <w:t>], 3GPP TS 32.150 [</w:t>
      </w:r>
      <w:r>
        <w:fldChar w:fldCharType="begin"/>
      </w:r>
      <w:r>
        <w:rPr/>
        <w:instrText xml:space="preserve"> REF_TS32150 </w:instrText>
      </w:r>
      <w:r>
        <w:rPr/>
      </w:r>
      <w:r>
        <w:rPr/>
        <w:fldChar w:fldCharType="separate"/>
      </w:r>
      <w:r>
        <w:rPr/>
      </w:r>
      <w:r>
        <w:rPr/>
      </w:r>
      <w:r>
        <w:rPr/>
        <w:fldChar w:fldCharType="end"/>
      </w:r>
      <w:r>
        <w:rPr/>
        <w:t xml:space="preserve">17] and 3GPP TS 28.622 [6]. </w:t>
      </w:r>
    </w:p>
    <w:p>
      <w:pPr>
        <w:pStyle w:val="Normal"/>
        <w:rPr/>
      </w:pPr>
      <w:r>
        <w:rPr>
          <w:b/>
        </w:rPr>
        <w:t>Association:</w:t>
      </w:r>
      <w:r>
        <w:rPr/>
        <w:t xml:space="preserve"> See definition in TS 28.622 [6].</w:t>
      </w:r>
    </w:p>
    <w:p>
      <w:pPr>
        <w:pStyle w:val="Normal"/>
        <w:rPr/>
      </w:pPr>
      <w:r>
        <w:rPr>
          <w:b/>
        </w:rPr>
        <w:t>Network Resource Model (NRM):</w:t>
      </w:r>
      <w:r>
        <w:rPr/>
        <w:t xml:space="preserve"> See definition in TS 28.622 [6].</w:t>
      </w:r>
    </w:p>
    <w:p>
      <w:pPr>
        <w:pStyle w:val="Heading2"/>
        <w:rPr/>
      </w:pPr>
      <w:bookmarkStart w:id="14" w:name="__RefHeading___Toc391284083"/>
      <w:bookmarkEnd w:id="14"/>
      <w:r>
        <w:rPr/>
        <w:t>3.2</w:t>
        <w:tab/>
        <w:t>Abbreviations</w:t>
      </w:r>
    </w:p>
    <w:p>
      <w:pPr>
        <w:pStyle w:val="Normal"/>
        <w:keepNext w:val="true"/>
        <w:rPr/>
      </w:pPr>
      <w:r>
        <w:rPr/>
        <w:t>For the purposes of the present document, the abbreviations given in 3GPP TS 32.101 [</w:t>
      </w:r>
      <w:r>
        <w:fldChar w:fldCharType="begin"/>
      </w:r>
      <w:r>
        <w:rPr>
          <w:lang w:val="en-US" w:eastAsia="en-US"/>
        </w:rPr>
        <w:instrText xml:space="preserve"> REF_TS32101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 3GPP TS 32.102 [</w:t>
      </w:r>
      <w:r>
        <w:fldChar w:fldCharType="begin"/>
      </w:r>
      <w:r>
        <w:rPr>
          <w:lang w:val="en-US" w:eastAsia="en-US"/>
        </w:rPr>
        <w:instrText xml:space="preserve"> REF_TS32102 </w:instrText>
      </w:r>
      <w:r>
        <w:rPr>
          <w:lang w:val="en-US" w:eastAsia="en-US"/>
        </w:rPr>
      </w:r>
      <w:r>
        <w:rPr>
          <w:lang w:val="en-US" w:eastAsia="en-US"/>
        </w:rPr>
        <w:fldChar w:fldCharType="separate"/>
      </w:r>
      <w:r>
        <w:rPr>
          <w:lang w:val="en-US" w:eastAsia="en-US"/>
        </w:rPr>
        <w:t>2</w:t>
      </w:r>
      <w:r>
        <w:rPr>
          <w:lang w:val="en-US" w:eastAsia="en-US"/>
        </w:rPr>
      </w:r>
      <w:r>
        <w:rPr>
          <w:lang w:val="en-US" w:eastAsia="en-US"/>
        </w:rPr>
        <w:fldChar w:fldCharType="end"/>
      </w:r>
      <w:r>
        <w:rPr/>
        <w:t>], 3GPP TS 32.150 [17] and the following apply:</w:t>
      </w:r>
    </w:p>
    <w:p>
      <w:pPr>
        <w:pStyle w:val="EW"/>
        <w:rPr/>
      </w:pPr>
      <w:r>
        <w:rPr/>
        <w:t>DN</w:t>
        <w:tab/>
        <w:t>Distinguished Name (see 3GPP TS 32.300 [4])</w:t>
      </w:r>
    </w:p>
    <w:p>
      <w:pPr>
        <w:pStyle w:val="EW"/>
        <w:rPr/>
      </w:pPr>
      <w:r>
        <w:rPr/>
        <w:t>IOC</w:t>
        <w:tab/>
        <w:t>Information Object Class</w:t>
      </w:r>
    </w:p>
    <w:p>
      <w:pPr>
        <w:pStyle w:val="EW"/>
        <w:rPr/>
      </w:pPr>
      <w:r>
        <w:rPr/>
        <w:t>IRP</w:t>
        <w:tab/>
        <w:t>Integration Reference Point</w:t>
      </w:r>
    </w:p>
    <w:p>
      <w:pPr>
        <w:pStyle w:val="EW"/>
        <w:rPr/>
      </w:pPr>
      <w:r>
        <w:rPr/>
        <w:t>ITU-T</w:t>
        <w:tab/>
        <w:t xml:space="preserve">International Telecommunication Union, Telecommunication Sector </w:t>
      </w:r>
    </w:p>
    <w:p>
      <w:pPr>
        <w:pStyle w:val="EW"/>
        <w:rPr/>
      </w:pPr>
      <w:r>
        <w:rPr/>
        <w:t>Iub</w:t>
        <w:tab/>
        <w:t>Interface between RNC and Node B</w:t>
      </w:r>
    </w:p>
    <w:p>
      <w:pPr>
        <w:pStyle w:val="EW"/>
        <w:rPr/>
      </w:pPr>
      <w:r>
        <w:rPr/>
        <w:t>NRM</w:t>
        <w:tab/>
        <w:t>Network Resource Model</w:t>
      </w:r>
    </w:p>
    <w:p>
      <w:pPr>
        <w:pStyle w:val="EW"/>
        <w:rPr/>
      </w:pPr>
      <w:r>
        <w:rPr/>
        <w:t>RDN</w:t>
        <w:tab/>
        <w:t>Relative Distinguished Name (see 3GPP TS 32.300 [4])</w:t>
      </w:r>
    </w:p>
    <w:p>
      <w:pPr>
        <w:pStyle w:val="EW"/>
        <w:rPr/>
      </w:pPr>
      <w:r>
        <w:rPr/>
        <w:t>RNC</w:t>
        <w:tab/>
        <w:t>Radio Network Controller</w:t>
      </w:r>
    </w:p>
    <w:p>
      <w:pPr>
        <w:pStyle w:val="EW"/>
        <w:rPr/>
      </w:pPr>
      <w:r>
        <w:rPr/>
        <w:t>UML</w:t>
        <w:tab/>
        <w:t>Unified Modelling Language</w:t>
      </w:r>
    </w:p>
    <w:p>
      <w:pPr>
        <w:pStyle w:val="Heading1"/>
        <w:ind w:left="1134" w:hanging="1134"/>
        <w:rPr/>
      </w:pPr>
      <w:bookmarkStart w:id="15" w:name="__RefHeading___Toc391284084"/>
      <w:bookmarkEnd w:id="15"/>
      <w:r>
        <w:rPr/>
        <w:t>4</w:t>
        <w:tab/>
        <w:t>Model</w:t>
      </w:r>
    </w:p>
    <w:p>
      <w:pPr>
        <w:pStyle w:val="Heading2"/>
        <w:rPr/>
      </w:pPr>
      <w:bookmarkStart w:id="16" w:name="__RefHeading___Toc391284085"/>
      <w:bookmarkEnd w:id="16"/>
      <w:r>
        <w:rPr/>
        <w:t>4.1</w:t>
        <w:tab/>
        <w:t>Imported information entities and local labels</w:t>
      </w:r>
    </w:p>
    <w:tbl>
      <w:tblPr>
        <w:tblW w:w="8453" w:type="dxa"/>
        <w:jc w:val="center"/>
        <w:tblInd w:w="0" w:type="dxa"/>
        <w:tblLayout w:type="fixed"/>
        <w:tblCellMar>
          <w:top w:w="0" w:type="dxa"/>
          <w:left w:w="28" w:type="dxa"/>
          <w:bottom w:w="0" w:type="dxa"/>
          <w:right w:w="70" w:type="dxa"/>
        </w:tblCellMar>
      </w:tblPr>
      <w:tblGrid>
        <w:gridCol w:w="5927"/>
        <w:gridCol w:w="2526"/>
      </w:tblGrid>
      <w:tr>
        <w:trPr/>
        <w:tc>
          <w:tcPr>
            <w:tcW w:w="59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25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Local label </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t xml:space="preserve">3GPP TS 28.622 [6], IOC, </w:t>
            </w:r>
            <w:r>
              <w:rPr>
                <w:rFonts w:cs="Courier New" w:ascii="Courier New" w:hAnsi="Courier New"/>
              </w:rPr>
              <w:t>ManagedElement</w:t>
            </w:r>
          </w:p>
        </w:tc>
        <w:tc>
          <w:tcPr>
            <w:tcW w:w="2526" w:type="dxa"/>
            <w:tcBorders>
              <w:top w:val="single" w:sz="4" w:space="0" w:color="000000"/>
              <w:left w:val="single" w:sz="4" w:space="0" w:color="000000"/>
              <w:bottom w:val="single" w:sz="4" w:space="0" w:color="000000"/>
              <w:right w:val="single" w:sz="4" w:space="0" w:color="000000"/>
            </w:tcBorders>
          </w:tcPr>
          <w:p>
            <w:pPr>
              <w:pStyle w:val="NF"/>
              <w:ind w:left="851" w:hanging="851"/>
              <w:rPr>
                <w:rFonts w:ascii="Courier New" w:hAnsi="Courier New" w:cs="Courier New"/>
              </w:rPr>
            </w:pPr>
            <w:r>
              <w:rPr>
                <w:rFonts w:cs="Courier New" w:ascii="Courier New" w:hAnsi="Courier New"/>
              </w:rPr>
              <w:t>ManagedElement</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28.652 [12], </w:t>
            </w:r>
            <w:r>
              <w:rPr>
                <w:rFonts w:cs="Arial"/>
              </w:rPr>
              <w:t>IOC</w:t>
            </w:r>
            <w:r>
              <w:rPr/>
              <w:t xml:space="preserve">, </w:t>
            </w:r>
            <w:r>
              <w:rPr>
                <w:rFonts w:cs="Courier New" w:ascii="Courier New" w:hAnsi="Courier New"/>
                <w:lang w:val="en-US"/>
              </w:rPr>
              <w:t>IubLink</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IubLink</w:t>
            </w:r>
          </w:p>
        </w:tc>
      </w:tr>
      <w:tr>
        <w:trPr/>
        <w:tc>
          <w:tcPr>
            <w:tcW w:w="59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28.622 [6], IOC, </w:t>
            </w:r>
            <w:r>
              <w:rPr>
                <w:rFonts w:cs="Courier New" w:ascii="Courier New" w:hAnsi="Courier New"/>
                <w:lang w:val="en-US"/>
              </w:rPr>
              <w:t>VsDataContainer</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VsDataContainer</w:t>
            </w:r>
          </w:p>
        </w:tc>
      </w:tr>
    </w:tbl>
    <w:p>
      <w:pPr>
        <w:pStyle w:val="Normal"/>
        <w:rPr/>
      </w:pPr>
      <w:r>
        <w:rPr/>
      </w:r>
    </w:p>
    <w:p>
      <w:pPr>
        <w:pStyle w:val="Heading2"/>
        <w:rPr/>
      </w:pPr>
      <w:bookmarkStart w:id="17" w:name="__RefHeading___Toc391284086"/>
      <w:bookmarkEnd w:id="17"/>
      <w:r>
        <w:rPr/>
        <w:t>4.2</w:t>
        <w:tab/>
        <w:t>Class diagram</w:t>
      </w:r>
    </w:p>
    <w:p>
      <w:pPr>
        <w:pStyle w:val="Heading3"/>
        <w:rPr/>
      </w:pPr>
      <w:bookmarkStart w:id="18" w:name="__RefHeading___Toc391284087"/>
      <w:r>
        <w:rPr/>
        <w:t>4.2.1</w:t>
        <w:tab/>
        <w:t>Relationships</w:t>
      </w:r>
      <w:bookmarkEnd w:id="18"/>
      <w:r>
        <w:rPr/>
        <w:t xml:space="preserve"> </w:t>
      </w:r>
    </w:p>
    <w:p>
      <w:pPr>
        <w:pStyle w:val="Normal"/>
        <w:rPr/>
      </w:pPr>
      <w:r>
        <w:rPr/>
        <w:t>This clause depicts the set of classes (e.g. IOCs) that encapsulates information relevant for this IRP. This subclause provides the overview of the relationships of relevant classes in UML. Subsequent subclasses provide more detailed specification of various aspects of these classes.</w:t>
      </w:r>
    </w:p>
    <w:p>
      <w:pPr>
        <w:pStyle w:val="Normal"/>
        <w:rPr/>
      </w:pPr>
      <w:r>
        <w:rPr/>
        <w:t xml:space="preserve">Figure 4.2.1.1 shows the name-containment relation and other types of relations of the Transport Network NRM. </w:t>
      </w:r>
    </w:p>
    <w:p>
      <w:pPr>
        <w:pStyle w:val="TH"/>
        <w:rPr/>
      </w:pPr>
      <w:r>
        <w:rPr/>
        <w:drawing>
          <wp:inline distT="0" distB="0" distL="0" distR="0">
            <wp:extent cx="5782310" cy="15748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4" t="-14" r="-4" b="-14"/>
                    <a:stretch>
                      <a:fillRect/>
                    </a:stretch>
                  </pic:blipFill>
                  <pic:spPr bwMode="auto">
                    <a:xfrm>
                      <a:off x="0" y="0"/>
                      <a:ext cx="5782310" cy="1574800"/>
                    </a:xfrm>
                    <a:prstGeom prst="rect">
                      <a:avLst/>
                    </a:prstGeom>
                  </pic:spPr>
                </pic:pic>
              </a:graphicData>
            </a:graphic>
          </wp:inline>
        </w:drawing>
      </w:r>
    </w:p>
    <w:p>
      <w:pPr>
        <w:pStyle w:val="NF"/>
        <w:rPr/>
      </w:pPr>
      <w:r>
        <w:rPr/>
      </w:r>
    </w:p>
    <w:p>
      <w:pPr>
        <w:pStyle w:val="TF"/>
        <w:rPr/>
      </w:pPr>
      <w:r>
        <w:rPr/>
        <w:t>Figure 4.2.1.1: Transport Network NRM Containment/Naming and Association diagram</w:t>
      </w:r>
    </w:p>
    <w:p>
      <w:pPr>
        <w:pStyle w:val="Normal"/>
        <w:rPr/>
      </w:pPr>
      <w:r>
        <w:rPr/>
        <w:t>Each IOC is identified with a Distinguished Name (DN) according to 3GPP TS 32.300 [4] that expresses its containment hierarchy. As an example, the DN of a IOC representing a ATMPathTerminationPoint could have a format like:</w:t>
      </w:r>
    </w:p>
    <w:p>
      <w:pPr>
        <w:pStyle w:val="Normal"/>
        <w:rPr/>
      </w:pPr>
      <w:r>
        <w:rPr/>
        <w:t>SubNetwork=Sweden,meContext=MEC-Gbg-1,ManagedElement=RNC-Gbg-1, TransportNetworkInterface=ATM-1, ATMPathTerminationPoint=Gbg-1.</w:t>
      </w:r>
    </w:p>
    <w:p>
      <w:pPr>
        <w:pStyle w:val="TH"/>
        <w:rPr/>
      </w:pPr>
      <w:r>
        <w:rPr/>
        <w:drawing>
          <wp:inline distT="0" distB="0" distL="0" distR="0">
            <wp:extent cx="5547360" cy="152336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3" t="-11" r="-3" b="-11"/>
                    <a:stretch>
                      <a:fillRect/>
                    </a:stretch>
                  </pic:blipFill>
                  <pic:spPr bwMode="auto">
                    <a:xfrm>
                      <a:off x="0" y="0"/>
                      <a:ext cx="5547360" cy="1523365"/>
                    </a:xfrm>
                    <a:prstGeom prst="rect">
                      <a:avLst/>
                    </a:prstGeom>
                  </pic:spPr>
                </pic:pic>
              </a:graphicData>
            </a:graphic>
          </wp:inline>
        </w:drawing>
      </w:r>
    </w:p>
    <w:p>
      <w:pPr>
        <w:pStyle w:val="NF"/>
        <w:rPr/>
      </w:pPr>
      <w:r>
        <w:rPr/>
        <w:t>NOTE 1:</w:t>
        <w:tab/>
        <w:t>The listed cardinality numbers represent transient as well as steady-state numbers, and reflect all managed object creation and deletion scenarios.</w:t>
      </w:r>
    </w:p>
    <w:p>
      <w:pPr>
        <w:pStyle w:val="NF"/>
        <w:rPr/>
      </w:pPr>
      <w:r>
        <w:rPr/>
      </w:r>
    </w:p>
    <w:p>
      <w:pPr>
        <w:pStyle w:val="TF"/>
        <w:rPr/>
      </w:pPr>
      <w:r>
        <w:rPr/>
        <w:t xml:space="preserve">Figure 4.2.1.2: </w:t>
      </w:r>
      <w:r>
        <w:rPr>
          <w:rFonts w:cs="Courier New" w:ascii="Courier New" w:hAnsi="Courier New"/>
        </w:rPr>
        <w:t>vsDataContainer</w:t>
      </w:r>
      <w:r>
        <w:rPr/>
        <w:t xml:space="preserve"> in name-containment diagram</w:t>
      </w:r>
    </w:p>
    <w:p>
      <w:pPr>
        <w:pStyle w:val="Normal"/>
        <w:rPr/>
      </w:pPr>
      <w:r>
        <w:rPr/>
      </w:r>
    </w:p>
    <w:p>
      <w:pPr>
        <w:pStyle w:val="Heading3"/>
        <w:rPr/>
      </w:pPr>
      <w:bookmarkStart w:id="19" w:name="__RefHeading___Toc391284088"/>
      <w:bookmarkEnd w:id="19"/>
      <w:r>
        <w:rPr/>
        <w:t>4.2.2</w:t>
        <w:tab/>
        <w:t>Inheritance</w:t>
      </w:r>
    </w:p>
    <w:p>
      <w:pPr>
        <w:pStyle w:val="Normal"/>
        <w:rPr/>
      </w:pPr>
      <w:r>
        <w:rPr/>
        <w:t>This subclause depicts the inheritance relationships that exist between IOCs.</w:t>
      </w:r>
    </w:p>
    <w:p>
      <w:pPr>
        <w:pStyle w:val="Normal"/>
        <w:rPr/>
      </w:pPr>
      <w:r>
        <w:rPr/>
        <w:t xml:space="preserve">Figure 4.2.2.1 shows the inheritance hierarchy for the Transport Network NRM. </w:t>
      </w:r>
    </w:p>
    <w:p>
      <w:pPr>
        <w:pStyle w:val="TH"/>
        <w:rPr/>
      </w:pPr>
      <w:r>
        <w:rPr/>
        <w:drawing>
          <wp:inline distT="0" distB="0" distL="0" distR="0">
            <wp:extent cx="5208905" cy="129603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4" t="-18" r="-4" b="-18"/>
                    <a:stretch>
                      <a:fillRect/>
                    </a:stretch>
                  </pic:blipFill>
                  <pic:spPr bwMode="auto">
                    <a:xfrm>
                      <a:off x="0" y="0"/>
                      <a:ext cx="5208905" cy="1296035"/>
                    </a:xfrm>
                    <a:prstGeom prst="rect">
                      <a:avLst/>
                    </a:prstGeom>
                  </pic:spPr>
                </pic:pic>
              </a:graphicData>
            </a:graphic>
          </wp:inline>
        </w:drawing>
      </w:r>
    </w:p>
    <w:p>
      <w:pPr>
        <w:pStyle w:val="TH"/>
        <w:rPr>
          <w:rFonts w:ascii="Times New Roman" w:hAnsi="Times New Roman" w:cs="Times New Roman"/>
        </w:rPr>
      </w:pPr>
      <w:r>
        <w:rPr/>
        <w:t>Figure 4.2.2.1: Transport Network NRM Inheritance Hierarchy</w:t>
      </w:r>
    </w:p>
    <w:p>
      <w:pPr>
        <w:pStyle w:val="Heading2"/>
        <w:rPr/>
      </w:pPr>
      <w:bookmarkStart w:id="20" w:name="__RefHeading___Toc391284089"/>
      <w:bookmarkEnd w:id="20"/>
      <w:r>
        <w:rPr/>
        <w:t>4.3</w:t>
        <w:tab/>
        <w:t>Class definitions</w:t>
      </w:r>
    </w:p>
    <w:p>
      <w:pPr>
        <w:pStyle w:val="Heading3"/>
        <w:rPr/>
      </w:pPr>
      <w:bookmarkStart w:id="21" w:name="__RefHeading___Toc391284090"/>
      <w:bookmarkEnd w:id="21"/>
      <w:r>
        <w:rPr/>
        <w:t>4.3.1</w:t>
        <w:tab/>
      </w:r>
      <w:r>
        <w:rPr>
          <w:rFonts w:cs="Courier New" w:ascii="Courier New" w:hAnsi="Courier New"/>
        </w:rPr>
        <w:t>TransportNetworkInterface</w:t>
      </w:r>
    </w:p>
    <w:p>
      <w:pPr>
        <w:pStyle w:val="Heading4"/>
        <w:ind w:left="1418" w:hanging="1418"/>
        <w:rPr/>
      </w:pPr>
      <w:bookmarkStart w:id="22" w:name="__RefHeading___Toc391284091"/>
      <w:bookmarkEnd w:id="22"/>
      <w:r>
        <w:rPr/>
        <w:t>4.3.1.1</w:t>
        <w:tab/>
        <w:t>Definition</w:t>
      </w:r>
    </w:p>
    <w:p>
      <w:pPr>
        <w:pStyle w:val="Normal"/>
        <w:rPr/>
      </w:pPr>
      <w:r>
        <w:rPr/>
        <w:t>This IOC represents the Transport Network Interface technology (e.g. ATM, IP).</w:t>
      </w:r>
    </w:p>
    <w:p>
      <w:pPr>
        <w:pStyle w:val="Heading4"/>
        <w:ind w:left="1418" w:hanging="1418"/>
        <w:rPr/>
      </w:pPr>
      <w:bookmarkStart w:id="23" w:name="__RefHeading___Toc391284092"/>
      <w:bookmarkEnd w:id="23"/>
      <w:r>
        <w:rPr/>
        <w:t>4.3.1.2</w:t>
        <w:tab/>
        <w:t>Attributes</w:t>
      </w:r>
    </w:p>
    <w:tbl>
      <w:tblPr>
        <w:tblW w:w="9960" w:type="dxa"/>
        <w:jc w:val="center"/>
        <w:tblInd w:w="0" w:type="dxa"/>
        <w:tblLayout w:type="fixed"/>
        <w:tblCellMar>
          <w:top w:w="0" w:type="dxa"/>
          <w:left w:w="108" w:type="dxa"/>
          <w:bottom w:w="0" w:type="dxa"/>
          <w:right w:w="108" w:type="dxa"/>
        </w:tblCellMar>
      </w:tblPr>
      <w:tblGrid>
        <w:gridCol w:w="3675"/>
        <w:gridCol w:w="1687"/>
        <w:gridCol w:w="1167"/>
        <w:gridCol w:w="1077"/>
        <w:gridCol w:w="1117"/>
        <w:gridCol w:w="1237"/>
      </w:tblGrid>
      <w:tr>
        <w:trPr>
          <w:cantSplit w:val="true"/>
        </w:trPr>
        <w:tc>
          <w:tcPr>
            <w:tcW w:w="367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isNotifyable</w:t>
            </w:r>
          </w:p>
        </w:tc>
      </w:tr>
      <w:tr>
        <w:trPr>
          <w:cantSplit w:val="true"/>
        </w:trPr>
        <w:tc>
          <w:tcPr>
            <w:tcW w:w="367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Courier New" w:hAnsi="Courier New" w:cs="Courier New"/>
                <w:sz w:val="18"/>
              </w:rPr>
            </w:pPr>
            <w:r>
              <w:rPr>
                <w:rFonts w:cs="Courier New" w:ascii="Courier New" w:hAnsi="Courier New"/>
                <w:sz w:val="18"/>
              </w:rPr>
            </w:r>
          </w:p>
        </w:tc>
        <w:tc>
          <w:tcPr>
            <w:tcW w:w="1687" w:type="dxa"/>
            <w:tcBorders>
              <w:top w:val="single" w:sz="4" w:space="0" w:color="000000"/>
              <w:left w:val="single" w:sz="4" w:space="0" w:color="000000"/>
              <w:bottom w:val="single" w:sz="4" w:space="0" w:color="000000"/>
              <w:right w:val="single" w:sz="4" w:space="0" w:color="000000"/>
            </w:tcBorders>
          </w:tcPr>
          <w:p>
            <w:pPr>
              <w:pStyle w:val="TAC"/>
              <w:snapToGrid w:val="false"/>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1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23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367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 New" w:ascii="Courier New" w:hAnsi="Courier New"/>
              </w:rPr>
              <w:t>transportNetworkType</w:t>
            </w:r>
          </w:p>
        </w:tc>
        <w:tc>
          <w:tcPr>
            <w:tcW w:w="16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Heading4"/>
        <w:ind w:left="1418" w:hanging="1418"/>
        <w:rPr/>
      </w:pPr>
      <w:bookmarkStart w:id="24" w:name="__RefHeading___Toc391284093"/>
      <w:bookmarkEnd w:id="24"/>
      <w:r>
        <w:rPr/>
        <w:t>4.3.1.3</w:t>
        <w:tab/>
        <w:t>Attribute constraints</w:t>
      </w:r>
    </w:p>
    <w:p>
      <w:pPr>
        <w:pStyle w:val="Normal"/>
        <w:rPr/>
      </w:pPr>
      <w:r>
        <w:rPr/>
        <w:t>None.</w:t>
      </w:r>
    </w:p>
    <w:p>
      <w:pPr>
        <w:pStyle w:val="Heading4"/>
        <w:ind w:left="1418" w:hanging="1418"/>
        <w:rPr/>
      </w:pPr>
      <w:bookmarkStart w:id="25" w:name="__RefHeading___Toc391284094"/>
      <w:bookmarkEnd w:id="25"/>
      <w:r>
        <w:rPr/>
        <w:t>4.3.1.4</w:t>
        <w:tab/>
        <w:t>Notifications</w:t>
      </w:r>
    </w:p>
    <w:p>
      <w:pPr>
        <w:pStyle w:val="Normal"/>
        <w:rPr/>
      </w:pPr>
      <w:r>
        <w:rPr/>
        <w:t>The common notifications defined in subclause 4.5 are valid for this IOC, without exceptions or additions.</w:t>
      </w:r>
    </w:p>
    <w:p>
      <w:pPr>
        <w:pStyle w:val="Heading3"/>
        <w:rPr/>
      </w:pPr>
      <w:bookmarkStart w:id="26" w:name="__RefHeading___Toc391284095"/>
      <w:bookmarkEnd w:id="26"/>
      <w:r>
        <w:rPr/>
        <w:t>4.3.2</w:t>
        <w:tab/>
      </w:r>
      <w:r>
        <w:rPr>
          <w:rFonts w:cs="Courier New" w:ascii="Courier New" w:hAnsi="Courier New"/>
        </w:rPr>
        <w:t>ATMChannelTerminationPoint</w:t>
      </w:r>
    </w:p>
    <w:p>
      <w:pPr>
        <w:pStyle w:val="Heading4"/>
        <w:ind w:left="1418" w:hanging="1418"/>
        <w:rPr/>
      </w:pPr>
      <w:bookmarkStart w:id="27" w:name="__RefHeading___Toc391284096"/>
      <w:bookmarkEnd w:id="27"/>
      <w:r>
        <w:rPr/>
        <w:t>4.3.2.1</w:t>
        <w:tab/>
        <w:t>Definition</w:t>
      </w:r>
    </w:p>
    <w:p>
      <w:pPr>
        <w:pStyle w:val="Normal"/>
        <w:rPr/>
      </w:pPr>
      <w:r>
        <w:rPr/>
        <w:t>This IOC represents a bi-directional ATM Virtual Channel Connection Termination Point.</w:t>
      </w:r>
    </w:p>
    <w:p>
      <w:pPr>
        <w:pStyle w:val="Heading4"/>
        <w:ind w:left="1418" w:hanging="1418"/>
        <w:rPr/>
      </w:pPr>
      <w:bookmarkStart w:id="28" w:name="__RefHeading___Toc391284097"/>
      <w:bookmarkEnd w:id="28"/>
      <w:r>
        <w:rPr/>
        <w:t>4.3.2.2</w:t>
        <w:tab/>
        <w:t>Attributes</w:t>
      </w:r>
    </w:p>
    <w:tbl>
      <w:tblPr>
        <w:tblW w:w="9538" w:type="dxa"/>
        <w:jc w:val="center"/>
        <w:tblInd w:w="0" w:type="dxa"/>
        <w:tblLayout w:type="fixed"/>
        <w:tblCellMar>
          <w:top w:w="0" w:type="dxa"/>
          <w:left w:w="108" w:type="dxa"/>
          <w:bottom w:w="0" w:type="dxa"/>
          <w:right w:w="108" w:type="dxa"/>
        </w:tblCellMar>
      </w:tblPr>
      <w:tblGrid>
        <w:gridCol w:w="3241"/>
        <w:gridCol w:w="1699"/>
        <w:gridCol w:w="1167"/>
        <w:gridCol w:w="1077"/>
        <w:gridCol w:w="1117"/>
        <w:gridCol w:w="1237"/>
      </w:tblGrid>
      <w:tr>
        <w:trPr>
          <w:cantSplit w:val="true"/>
        </w:trPr>
        <w:tc>
          <w:tcPr>
            <w:tcW w:w="3241" w:type="dxa"/>
            <w:tcBorders>
              <w:top w:val="single" w:sz="4" w:space="0" w:color="000000"/>
              <w:left w:val="single" w:sz="4" w:space="0" w:color="000000"/>
              <w:bottom w:val="single" w:sz="4" w:space="0" w:color="000000"/>
              <w:right w:val="single" w:sz="4" w:space="0" w:color="000000"/>
            </w:tcBorders>
            <w:shd w:fill="E5E5E5" w:val="clear"/>
          </w:tcPr>
          <w:p>
            <w:pPr>
              <w:pStyle w:val="TAH"/>
              <w:ind w:left="125" w:hanging="125"/>
              <w:rPr/>
            </w:pPr>
            <w:r>
              <w:rPr/>
              <w:t>Attribute name</w:t>
            </w:r>
          </w:p>
        </w:tc>
        <w:tc>
          <w:tcPr>
            <w:tcW w:w="169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 xml:space="preserve">isReadable </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isNotifyable</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usageChannel</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virtualPathId</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virtualChannelId</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pPr>
            <w:r>
              <w:rPr>
                <w:rFonts w:cs="Courier New" w:ascii="Courier New" w:hAnsi="Courier New"/>
              </w:rPr>
              <w:t>physicalPortId</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physicalInterfaceType</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serviceCategoryIn</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ServiceCategoryEg</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usedAAL</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peakCellRateIn</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pPr>
            <w:r>
              <w:rPr>
                <w:rFonts w:cs="Courier New" w:ascii="Courier New" w:hAnsi="Courier New"/>
              </w:rPr>
              <w:t>peakCellRateEg</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sustainableCellRateIn</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sustainableCellRateEg</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pPr>
            <w:r>
              <w:rPr>
                <w:rFonts w:cs="Courier New" w:ascii="Courier New" w:hAnsi="Courier New"/>
              </w:rPr>
              <w:t>maximumBurstSizeIn</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maximumBurstSizeEg</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minimumDesiredCellRateIn</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minimumDesiredCellRateEg</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minimumCellRateIn</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pPr>
            <w:r>
              <w:rPr>
                <w:rFonts w:cs="Courier New" w:ascii="Courier New" w:hAnsi="Courier New"/>
              </w:rPr>
              <w:t>minimumCellRateEg</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241" w:type="dxa"/>
            <w:tcBorders>
              <w:top w:val="single" w:sz="4" w:space="0" w:color="000000"/>
              <w:left w:val="single" w:sz="4" w:space="0" w:color="000000"/>
              <w:bottom w:val="single" w:sz="4" w:space="0" w:color="000000"/>
              <w:right w:val="single" w:sz="4" w:space="0" w:color="000000"/>
            </w:tcBorders>
            <w:shd w:fill="D9D9D9" w:val="clear"/>
          </w:tcPr>
          <w:p>
            <w:pPr>
              <w:pStyle w:val="TAL"/>
              <w:ind w:left="125" w:hanging="125"/>
              <w:jc w:val="center"/>
              <w:rPr>
                <w:rFonts w:ascii="Courier New" w:hAnsi="Courier New" w:cs="Courier New"/>
              </w:rPr>
            </w:pPr>
            <w:r>
              <w:rPr>
                <w:b/>
              </w:rPr>
              <w:t>Attribute related to role</w:t>
            </w:r>
          </w:p>
        </w:tc>
        <w:tc>
          <w:tcPr>
            <w:tcW w:w="1699"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07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1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theATMPathTerminationPoint</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3241" w:type="dxa"/>
            <w:tcBorders>
              <w:top w:val="single" w:sz="4" w:space="0" w:color="000000"/>
              <w:left w:val="single" w:sz="4" w:space="0" w:color="000000"/>
              <w:bottom w:val="single" w:sz="4" w:space="0" w:color="000000"/>
              <w:right w:val="single" w:sz="4" w:space="0" w:color="000000"/>
            </w:tcBorders>
          </w:tcPr>
          <w:p>
            <w:pPr>
              <w:pStyle w:val="TAL"/>
              <w:ind w:left="125" w:hanging="125"/>
              <w:jc w:val="both"/>
              <w:rPr>
                <w:rFonts w:ascii="Courier New" w:hAnsi="Courier New" w:cs="Courier New"/>
              </w:rPr>
            </w:pPr>
            <w:r>
              <w:rPr>
                <w:rFonts w:cs="Courier New" w:ascii="Courier New" w:hAnsi="Courier New"/>
              </w:rPr>
              <w:t>theIubLink</w:t>
            </w:r>
          </w:p>
        </w:tc>
        <w:tc>
          <w:tcPr>
            <w:tcW w:w="169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23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Heading4"/>
        <w:ind w:left="1418" w:hanging="1418"/>
        <w:rPr/>
      </w:pPr>
      <w:bookmarkStart w:id="29" w:name="__RefHeading___Toc391284098"/>
      <w:bookmarkEnd w:id="29"/>
      <w:r>
        <w:rPr/>
        <w:t>4.3.2.3</w:t>
        <w:tab/>
        <w:t>Attribute constraints</w:t>
      </w:r>
    </w:p>
    <w:tbl>
      <w:tblPr>
        <w:tblW w:w="8773" w:type="dxa"/>
        <w:jc w:val="center"/>
        <w:tblInd w:w="0" w:type="dxa"/>
        <w:tblLayout w:type="fixed"/>
        <w:tblCellMar>
          <w:top w:w="0" w:type="dxa"/>
          <w:left w:w="108" w:type="dxa"/>
          <w:bottom w:w="0" w:type="dxa"/>
          <w:right w:w="108" w:type="dxa"/>
        </w:tblCellMar>
      </w:tblPr>
      <w:tblGrid>
        <w:gridCol w:w="3757"/>
        <w:gridCol w:w="5016"/>
      </w:tblGrid>
      <w:tr>
        <w:trPr/>
        <w:tc>
          <w:tcPr>
            <w:tcW w:w="3757" w:type="dxa"/>
            <w:tcBorders>
              <w:top w:val="single" w:sz="4" w:space="0" w:color="000000"/>
              <w:left w:val="single" w:sz="4" w:space="0" w:color="000000"/>
              <w:bottom w:val="single" w:sz="4" w:space="0" w:color="000000"/>
              <w:right w:val="single" w:sz="4" w:space="0" w:color="000000"/>
            </w:tcBorders>
            <w:shd w:fill="D9D9D9" w:val="clear"/>
          </w:tcPr>
          <w:p>
            <w:pPr>
              <w:pStyle w:val="TAH"/>
              <w:ind w:left="1440" w:firstLine="266"/>
              <w:rPr>
                <w:spacing w:val="-5"/>
              </w:rPr>
            </w:pPr>
            <w:r>
              <w:rPr>
                <w:spacing w:val="-5"/>
              </w:rPr>
              <w:t>Name</w:t>
            </w:r>
          </w:p>
        </w:tc>
        <w:tc>
          <w:tcPr>
            <w:tcW w:w="5016" w:type="dxa"/>
            <w:tcBorders>
              <w:top w:val="single" w:sz="4" w:space="0" w:color="000000"/>
              <w:left w:val="single" w:sz="4" w:space="0" w:color="000000"/>
              <w:bottom w:val="single" w:sz="4" w:space="0" w:color="000000"/>
              <w:right w:val="single" w:sz="4" w:space="0" w:color="000000"/>
            </w:tcBorders>
            <w:shd w:fill="D9D9D9" w:val="clear"/>
          </w:tcPr>
          <w:p>
            <w:pPr>
              <w:pStyle w:val="TAH"/>
              <w:ind w:left="1440" w:hanging="0"/>
              <w:rPr>
                <w:spacing w:val="-5"/>
              </w:rPr>
            </w:pPr>
            <w:r>
              <w:rPr>
                <w:spacing w:val="-5"/>
              </w:rPr>
              <w:t>Definition</w:t>
            </w:r>
          </w:p>
        </w:tc>
      </w:tr>
      <w:tr>
        <w:trPr/>
        <w:tc>
          <w:tcPr>
            <w:tcW w:w="37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pacing w:val="-5"/>
              </w:rPr>
              <w:t>virtualPathId, virtualChannelId, physicalPortId, physicalInterfaceType, serviceCategoryIn/Eg, usedAAL, peakCellRateIn/Eg, sustainableCellRateIn/Eg, and maximumBurstSizeIn/Eg</w:t>
            </w:r>
            <w:r>
              <w:rPr>
                <w:spacing w:val="-5"/>
              </w:rPr>
              <w:t xml:space="preserve"> </w:t>
            </w:r>
          </w:p>
          <w:p>
            <w:pPr>
              <w:pStyle w:val="TAL"/>
              <w:ind w:firstLine="266"/>
              <w:rPr/>
            </w:pPr>
            <w:r>
              <w:rPr>
                <w:spacing w:val="-5"/>
                <w:lang w:eastAsia="zh-CN"/>
              </w:rPr>
              <w:t>O</w:t>
            </w:r>
            <w:r>
              <w:rPr>
                <w:spacing w:val="-5"/>
              </w:rPr>
              <w:t xml:space="preserve"> Write qualifier</w:t>
            </w:r>
          </w:p>
        </w:tc>
        <w:tc>
          <w:tcPr>
            <w:tcW w:w="501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pPr>
            <w:r>
              <w:rPr>
                <w:rFonts w:cs="Arial" w:ascii="Arial" w:hAnsi="Arial"/>
                <w:spacing w:val="-5"/>
                <w:sz w:val="18"/>
                <w:szCs w:val="18"/>
              </w:rPr>
              <w:t>The Write Qualifier shall be supported if these attributes can be set over Itf-N.</w:t>
            </w:r>
          </w:p>
          <w:p>
            <w:pPr>
              <w:pStyle w:val="Normal"/>
              <w:spacing w:before="0" w:after="0"/>
              <w:jc w:val="both"/>
              <w:rPr>
                <w:rFonts w:ascii="Arial" w:hAnsi="Arial" w:cs="Arial"/>
                <w:spacing w:val="-5"/>
                <w:sz w:val="18"/>
                <w:szCs w:val="18"/>
              </w:rPr>
            </w:pPr>
            <w:r>
              <w:rPr>
                <w:rFonts w:cs="Arial" w:ascii="Arial" w:hAnsi="Arial"/>
                <w:spacing w:val="-5"/>
                <w:sz w:val="18"/>
                <w:szCs w:val="18"/>
              </w:rPr>
            </w:r>
          </w:p>
        </w:tc>
      </w:tr>
      <w:tr>
        <w:trPr/>
        <w:tc>
          <w:tcPr>
            <w:tcW w:w="37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pacing w:val="-5"/>
              </w:rPr>
            </w:pPr>
            <w:r>
              <w:rPr>
                <w:rFonts w:cs="Courier New" w:ascii="Courier New" w:hAnsi="Courier New"/>
                <w:spacing w:val="-5"/>
              </w:rPr>
              <w:t>sustainableCellRateIn/Eg, maximumBurstSizeIn/Eg</w:t>
            </w:r>
          </w:p>
        </w:tc>
        <w:tc>
          <w:tcPr>
            <w:tcW w:w="501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pPr>
            <w:r>
              <w:rPr>
                <w:rFonts w:cs="Arial" w:ascii="Arial" w:hAnsi="Arial"/>
                <w:spacing w:val="-5"/>
                <w:sz w:val="18"/>
                <w:szCs w:val="18"/>
              </w:rPr>
              <w:t>Only applicable for ServiceCategory values RT-VBR, NRT-VBR.</w:t>
            </w:r>
          </w:p>
        </w:tc>
      </w:tr>
      <w:tr>
        <w:trPr/>
        <w:tc>
          <w:tcPr>
            <w:tcW w:w="37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pacing w:val="-5"/>
              </w:rPr>
            </w:pPr>
            <w:r>
              <w:rPr>
                <w:rFonts w:cs="Courier New" w:ascii="Courier New" w:hAnsi="Courier New"/>
                <w:spacing w:val="-5"/>
              </w:rPr>
              <w:t>minimumCellRateIn/Eg</w:t>
            </w:r>
          </w:p>
        </w:tc>
        <w:tc>
          <w:tcPr>
            <w:tcW w:w="5016"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pPr>
            <w:r>
              <w:rPr>
                <w:rFonts w:cs="Arial" w:ascii="Arial" w:hAnsi="Arial"/>
                <w:spacing w:val="-5"/>
                <w:sz w:val="18"/>
                <w:szCs w:val="18"/>
              </w:rPr>
              <w:t>Only applicable for Service Category values ABR, GFR.</w:t>
            </w:r>
          </w:p>
        </w:tc>
      </w:tr>
    </w:tbl>
    <w:p>
      <w:pPr>
        <w:pStyle w:val="Heading4"/>
        <w:ind w:left="1418" w:hanging="1418"/>
        <w:rPr/>
      </w:pPr>
      <w:bookmarkStart w:id="30" w:name="__RefHeading___Toc391284099"/>
      <w:bookmarkEnd w:id="30"/>
      <w:r>
        <w:rPr/>
        <w:t>4.3.2.4</w:t>
        <w:tab/>
        <w:t>Notifications</w:t>
      </w:r>
    </w:p>
    <w:p>
      <w:pPr>
        <w:pStyle w:val="Normal"/>
        <w:rPr/>
      </w:pPr>
      <w:r>
        <w:rPr/>
        <w:t>The common notifications defined in subclause 4.5 are valid for this IOC, without exceptions or additions.</w:t>
      </w:r>
    </w:p>
    <w:p>
      <w:pPr>
        <w:pStyle w:val="Heading3"/>
        <w:rPr/>
      </w:pPr>
      <w:bookmarkStart w:id="31" w:name="__RefHeading___Toc391284100"/>
      <w:bookmarkEnd w:id="31"/>
      <w:r>
        <w:rPr/>
        <w:t>4.3.3</w:t>
        <w:tab/>
      </w:r>
      <w:r>
        <w:rPr>
          <w:rFonts w:cs="Courier New" w:ascii="Courier New" w:hAnsi="Courier New"/>
        </w:rPr>
        <w:t>ATMPathTerminationPoint</w:t>
      </w:r>
    </w:p>
    <w:p>
      <w:pPr>
        <w:pStyle w:val="Heading4"/>
        <w:ind w:left="1418" w:hanging="1418"/>
        <w:rPr/>
      </w:pPr>
      <w:bookmarkStart w:id="32" w:name="__RefHeading___Toc391284101"/>
      <w:bookmarkEnd w:id="32"/>
      <w:r>
        <w:rPr/>
        <w:t>4.3.3.1</w:t>
        <w:tab/>
        <w:t>Definition</w:t>
      </w:r>
    </w:p>
    <w:p>
      <w:pPr>
        <w:pStyle w:val="Normal"/>
        <w:rPr/>
      </w:pPr>
      <w:r>
        <w:rPr/>
        <w:t>This IOC represents a bi-directional ATM Virtual Path Connection Termination Point.</w:t>
      </w:r>
    </w:p>
    <w:p>
      <w:pPr>
        <w:pStyle w:val="Heading4"/>
        <w:ind w:left="1418" w:hanging="1418"/>
        <w:rPr/>
      </w:pPr>
      <w:bookmarkStart w:id="33" w:name="__RefHeading___Toc391284102"/>
      <w:bookmarkEnd w:id="33"/>
      <w:r>
        <w:rPr/>
        <w:t>4.3.3.2</w:t>
        <w:tab/>
        <w:t>Attributes</w:t>
      </w:r>
    </w:p>
    <w:tbl>
      <w:tblPr>
        <w:tblW w:w="9572" w:type="dxa"/>
        <w:jc w:val="center"/>
        <w:tblInd w:w="0" w:type="dxa"/>
        <w:tblLayout w:type="fixed"/>
        <w:tblCellMar>
          <w:top w:w="0" w:type="dxa"/>
          <w:left w:w="108" w:type="dxa"/>
          <w:bottom w:w="0" w:type="dxa"/>
          <w:right w:w="108" w:type="dxa"/>
        </w:tblCellMar>
      </w:tblPr>
      <w:tblGrid>
        <w:gridCol w:w="3053"/>
        <w:gridCol w:w="1701"/>
        <w:gridCol w:w="1237"/>
        <w:gridCol w:w="1275"/>
        <w:gridCol w:w="1134"/>
        <w:gridCol w:w="1172"/>
      </w:tblGrid>
      <w:tr>
        <w:trPr>
          <w:cantSplit w:val="true"/>
        </w:trPr>
        <w:tc>
          <w:tcPr>
            <w:tcW w:w="305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Attribute name</w:t>
            </w:r>
          </w:p>
        </w:tc>
        <w:tc>
          <w:tcPr>
            <w:tcW w:w="1701" w:type="dxa"/>
            <w:tcBorders>
              <w:top w:val="single" w:sz="4" w:space="0" w:color="000000"/>
              <w:left w:val="single" w:sz="4" w:space="0" w:color="000000"/>
              <w:bottom w:val="single" w:sz="4" w:space="0" w:color="000000"/>
              <w:right w:val="single" w:sz="4" w:space="0" w:color="000000"/>
            </w:tcBorders>
            <w:shd w:fill="E5E5E5" w:val="clear"/>
          </w:tcPr>
          <w:p>
            <w:pPr>
              <w:pStyle w:val="TAH"/>
              <w:ind w:left="-147" w:right="-69" w:hanging="0"/>
              <w:rPr/>
            </w:pPr>
            <w:r>
              <w:rPr/>
              <w:t>Support Qualifier</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isReadable</w:t>
            </w:r>
          </w:p>
        </w:tc>
        <w:tc>
          <w:tcPr>
            <w:tcW w:w="1275" w:type="dxa"/>
            <w:tcBorders>
              <w:top w:val="single" w:sz="4" w:space="0" w:color="000000"/>
              <w:left w:val="single" w:sz="4" w:space="0" w:color="000000"/>
              <w:bottom w:val="single" w:sz="4" w:space="0" w:color="000000"/>
              <w:right w:val="single" w:sz="4" w:space="0" w:color="000000"/>
            </w:tcBorders>
            <w:shd w:fill="E5E5E5" w:val="clear"/>
          </w:tcPr>
          <w:p>
            <w:pPr>
              <w:pStyle w:val="TAH"/>
              <w:ind w:right="-108" w:hanging="0"/>
              <w:rPr/>
            </w:pPr>
            <w:r>
              <w:rPr/>
              <w:t>isWritetable</w:t>
            </w:r>
          </w:p>
        </w:tc>
        <w:tc>
          <w:tcPr>
            <w:tcW w:w="1134" w:type="dxa"/>
            <w:tcBorders>
              <w:top w:val="single" w:sz="4" w:space="0" w:color="000000"/>
              <w:left w:val="single" w:sz="4" w:space="0" w:color="000000"/>
              <w:bottom w:val="single" w:sz="4" w:space="0" w:color="000000"/>
              <w:right w:val="single" w:sz="4" w:space="0" w:color="000000"/>
            </w:tcBorders>
            <w:shd w:fill="E5E5E5" w:val="clear"/>
          </w:tcPr>
          <w:p>
            <w:pPr>
              <w:pStyle w:val="TAH"/>
              <w:ind w:left="-37" w:hanging="0"/>
              <w:rPr/>
            </w:pPr>
            <w:r>
              <w:rPr/>
              <w:t>isInvariant</w:t>
            </w:r>
          </w:p>
        </w:tc>
        <w:tc>
          <w:tcPr>
            <w:tcW w:w="1172" w:type="dxa"/>
            <w:tcBorders>
              <w:top w:val="single" w:sz="4" w:space="0" w:color="000000"/>
              <w:left w:val="single" w:sz="4" w:space="0" w:color="000000"/>
              <w:bottom w:val="single" w:sz="4" w:space="0" w:color="000000"/>
              <w:right w:val="single" w:sz="4" w:space="0" w:color="000000"/>
            </w:tcBorders>
            <w:shd w:fill="E5E5E5" w:val="clear"/>
          </w:tcPr>
          <w:p>
            <w:pPr>
              <w:pStyle w:val="TAH"/>
              <w:ind w:right="-70" w:hanging="0"/>
              <w:rPr/>
            </w:pPr>
            <w:r>
              <w:rPr/>
              <w:t>isNotifyable</w:t>
            </w:r>
          </w:p>
        </w:tc>
      </w:tr>
      <w:tr>
        <w:trPr>
          <w:cantSplit w:val="true"/>
        </w:trPr>
        <w:tc>
          <w:tcPr>
            <w:tcW w:w="3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virtualPathId</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ind w:right="-108" w:hanging="0"/>
              <w:jc w:val="center"/>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physicalPortIdList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ind w:right="-108" w:hanging="0"/>
              <w:jc w:val="center"/>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peakCellRateIn</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ind w:right="-108" w:hanging="0"/>
              <w:jc w:val="center"/>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peakCellRateEg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ind w:right="-108" w:hanging="0"/>
              <w:jc w:val="center"/>
              <w:rPr/>
            </w:pPr>
            <w:r>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7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cantSplit w:val="true"/>
        </w:trPr>
        <w:tc>
          <w:tcPr>
            <w:tcW w:w="3053" w:type="dxa"/>
            <w:tcBorders>
              <w:top w:val="single" w:sz="4" w:space="0" w:color="000000"/>
              <w:left w:val="single" w:sz="4" w:space="0" w:color="000000"/>
              <w:bottom w:val="single" w:sz="4" w:space="0" w:color="000000"/>
              <w:right w:val="single" w:sz="4" w:space="0" w:color="000000"/>
            </w:tcBorders>
            <w:shd w:fill="D9D9D9" w:val="clear"/>
          </w:tcPr>
          <w:p>
            <w:pPr>
              <w:pStyle w:val="TAL"/>
              <w:ind w:left="71" w:hanging="0"/>
              <w:jc w:val="center"/>
              <w:rPr>
                <w:rFonts w:ascii="Courier New" w:hAnsi="Courier New" w:cs="Courier New"/>
              </w:rPr>
            </w:pPr>
            <w:r>
              <w:rPr>
                <w:b/>
              </w:rPr>
              <w:t>Attribute related to role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75"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right="-108" w:hanging="0"/>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72"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cantSplit w:val="true"/>
        </w:trPr>
        <w:tc>
          <w:tcPr>
            <w:tcW w:w="3053" w:type="dxa"/>
            <w:tcBorders>
              <w:top w:val="single" w:sz="4" w:space="0" w:color="000000"/>
              <w:left w:val="single" w:sz="4" w:space="0" w:color="000000"/>
              <w:bottom w:val="single" w:sz="4" w:space="0" w:color="000000"/>
              <w:right w:val="single" w:sz="4" w:space="0" w:color="000000"/>
            </w:tcBorders>
          </w:tcPr>
          <w:p>
            <w:pPr>
              <w:pStyle w:val="TAL"/>
              <w:ind w:left="71" w:hanging="0"/>
              <w:rPr/>
            </w:pPr>
            <w:r>
              <w:rPr>
                <w:rFonts w:cs="Courier New" w:ascii="Courier New" w:hAnsi="Courier New"/>
              </w:rPr>
              <w:t>theATMChannelTerminationPoint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ind w:right="-108" w:hanging="0"/>
              <w:jc w:val="center"/>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17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Normal"/>
        <w:rPr/>
      </w:pPr>
      <w:r>
        <w:rPr/>
      </w:r>
    </w:p>
    <w:p>
      <w:pPr>
        <w:pStyle w:val="NO"/>
        <w:rPr/>
      </w:pPr>
      <w:r>
        <w:rPr/>
        <w:t>NOTE:</w:t>
        <w:tab/>
        <w:t>The attribute peakCellRateIn, peakCellRateEg of ATM Path is the maximum Peak Cell Rate of its channels.</w:t>
      </w:r>
    </w:p>
    <w:p>
      <w:pPr>
        <w:pStyle w:val="Heading4"/>
        <w:numPr>
          <w:ilvl w:val="3"/>
          <w:numId w:val="5"/>
        </w:numPr>
        <w:overflowPunct w:val="false"/>
        <w:autoSpaceDE w:val="false"/>
        <w:spacing w:before="240" w:after="120"/>
        <w:textAlignment w:val="baseline"/>
        <w:rPr/>
      </w:pPr>
      <w:bookmarkStart w:id="34" w:name="__RefHeading___Toc391284103"/>
      <w:bookmarkEnd w:id="34"/>
      <w:r>
        <w:rPr/>
        <w:t>Attribute constraints</w:t>
      </w:r>
    </w:p>
    <w:tbl>
      <w:tblPr>
        <w:tblW w:w="9057" w:type="dxa"/>
        <w:jc w:val="center"/>
        <w:tblInd w:w="0" w:type="dxa"/>
        <w:tblLayout w:type="fixed"/>
        <w:tblCellMar>
          <w:top w:w="0" w:type="dxa"/>
          <w:left w:w="108" w:type="dxa"/>
          <w:bottom w:w="0" w:type="dxa"/>
          <w:right w:w="108" w:type="dxa"/>
        </w:tblCellMar>
      </w:tblPr>
      <w:tblGrid>
        <w:gridCol w:w="4670"/>
        <w:gridCol w:w="4387"/>
      </w:tblGrid>
      <w:tr>
        <w:trPr/>
        <w:tc>
          <w:tcPr>
            <w:tcW w:w="4670" w:type="dxa"/>
            <w:tcBorders>
              <w:top w:val="single" w:sz="4" w:space="0" w:color="000000"/>
              <w:left w:val="single" w:sz="4" w:space="0" w:color="000000"/>
              <w:bottom w:val="single" w:sz="4" w:space="0" w:color="000000"/>
              <w:right w:val="single" w:sz="4" w:space="0" w:color="000000"/>
            </w:tcBorders>
            <w:shd w:fill="D9D9D9" w:val="clear"/>
          </w:tcPr>
          <w:p>
            <w:pPr>
              <w:pStyle w:val="TAH"/>
              <w:ind w:left="1440" w:hanging="0"/>
              <w:rPr>
                <w:spacing w:val="-5"/>
              </w:rPr>
            </w:pPr>
            <w:r>
              <w:rPr>
                <w:spacing w:val="-5"/>
              </w:rPr>
              <w:t>Name</w:t>
            </w:r>
          </w:p>
        </w:tc>
        <w:tc>
          <w:tcPr>
            <w:tcW w:w="4387" w:type="dxa"/>
            <w:tcBorders>
              <w:top w:val="single" w:sz="4" w:space="0" w:color="000000"/>
              <w:left w:val="single" w:sz="4" w:space="0" w:color="000000"/>
              <w:bottom w:val="single" w:sz="4" w:space="0" w:color="000000"/>
              <w:right w:val="single" w:sz="4" w:space="0" w:color="000000"/>
            </w:tcBorders>
            <w:shd w:fill="D9D9D9" w:val="clear"/>
          </w:tcPr>
          <w:p>
            <w:pPr>
              <w:pStyle w:val="TAH"/>
              <w:ind w:left="1440" w:hanging="0"/>
              <w:rPr>
                <w:spacing w:val="-5"/>
              </w:rPr>
            </w:pPr>
            <w:r>
              <w:rPr>
                <w:spacing w:val="-5"/>
              </w:rPr>
              <w:t>Definition</w:t>
            </w:r>
          </w:p>
        </w:tc>
      </w:tr>
      <w:tr>
        <w:trPr/>
        <w:tc>
          <w:tcPr>
            <w:tcW w:w="4670" w:type="dxa"/>
            <w:tcBorders>
              <w:top w:val="single" w:sz="4" w:space="0" w:color="000000"/>
              <w:left w:val="single" w:sz="4" w:space="0" w:color="000000"/>
              <w:bottom w:val="single" w:sz="4" w:space="0" w:color="000000"/>
              <w:right w:val="single" w:sz="4" w:space="0" w:color="000000"/>
            </w:tcBorders>
          </w:tcPr>
          <w:p>
            <w:pPr>
              <w:pStyle w:val="TAL"/>
              <w:rPr/>
            </w:pPr>
            <w:r>
              <w:rPr>
                <w:spacing w:val="-5"/>
              </w:rPr>
              <w:t xml:space="preserve">for attributes </w:t>
            </w:r>
            <w:r>
              <w:rPr>
                <w:rFonts w:cs="Courier New" w:ascii="Courier New" w:hAnsi="Courier New"/>
                <w:spacing w:val="-5"/>
              </w:rPr>
              <w:t>virtualPathId</w:t>
            </w:r>
            <w:r>
              <w:rPr>
                <w:spacing w:val="-5"/>
              </w:rPr>
              <w:t xml:space="preserve">, </w:t>
            </w:r>
            <w:r>
              <w:rPr>
                <w:rFonts w:cs="Courier New" w:ascii="Courier New" w:hAnsi="Courier New"/>
                <w:spacing w:val="-5"/>
              </w:rPr>
              <w:t>physicalPortIdList</w:t>
            </w:r>
            <w:r>
              <w:rPr>
                <w:spacing w:val="-5"/>
              </w:rPr>
              <w:t xml:space="preserve">, </w:t>
            </w:r>
            <w:r>
              <w:rPr>
                <w:rFonts w:cs="Courier New" w:ascii="Courier New" w:hAnsi="Courier New"/>
                <w:spacing w:val="-5"/>
              </w:rPr>
              <w:t>peakCellRateIn</w:t>
            </w:r>
            <w:r>
              <w:rPr>
                <w:spacing w:val="-5"/>
              </w:rPr>
              <w:t xml:space="preserve">, </w:t>
            </w:r>
            <w:r>
              <w:rPr>
                <w:rFonts w:cs="Courier New" w:ascii="Courier New" w:hAnsi="Courier New"/>
                <w:spacing w:val="-5"/>
              </w:rPr>
              <w:t>peakCellRateEg</w:t>
            </w:r>
            <w:r>
              <w:rPr>
                <w:spacing w:val="-5"/>
              </w:rPr>
              <w:t xml:space="preserve">  O Write qualifier</w:t>
            </w:r>
          </w:p>
        </w:tc>
        <w:tc>
          <w:tcPr>
            <w:tcW w:w="438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pacing w:val="-5"/>
                <w:sz w:val="18"/>
                <w:szCs w:val="18"/>
              </w:rPr>
            </w:pPr>
            <w:r>
              <w:rPr>
                <w:rFonts w:cs="Arial" w:ascii="Arial" w:hAnsi="Arial"/>
                <w:spacing w:val="-5"/>
                <w:sz w:val="18"/>
                <w:szCs w:val="18"/>
              </w:rPr>
              <w:t>The Write Qualifier shall be supported if these attributes can be written/set over Itf-N.</w:t>
            </w:r>
          </w:p>
        </w:tc>
      </w:tr>
    </w:tbl>
    <w:p>
      <w:pPr>
        <w:pStyle w:val="Heading4"/>
        <w:ind w:left="1418" w:hanging="1418"/>
        <w:rPr/>
      </w:pPr>
      <w:bookmarkStart w:id="35" w:name="__RefHeading___Toc391284104"/>
      <w:bookmarkEnd w:id="35"/>
      <w:r>
        <w:rPr/>
        <w:t>4.3.3.4</w:t>
        <w:tab/>
        <w:t>Notifications</w:t>
      </w:r>
    </w:p>
    <w:p>
      <w:pPr>
        <w:pStyle w:val="Normal"/>
        <w:rPr/>
      </w:pPr>
      <w:r>
        <w:rPr/>
        <w:t>The common notifications defined in subclause 4.5 are valid for this IOC, without exceptions or additions.</w:t>
      </w:r>
    </w:p>
    <w:p>
      <w:pPr>
        <w:pStyle w:val="Heading2"/>
        <w:rPr/>
      </w:pPr>
      <w:bookmarkStart w:id="36" w:name="__RefHeading___Toc391284105"/>
      <w:bookmarkEnd w:id="36"/>
      <w:r>
        <w:rPr/>
        <w:t>4.4</w:t>
        <w:tab/>
        <w:t>Attribute definitions</w:t>
      </w:r>
    </w:p>
    <w:p>
      <w:pPr>
        <w:pStyle w:val="Heading3"/>
        <w:rPr/>
      </w:pPr>
      <w:bookmarkStart w:id="37" w:name="__RefHeading___Toc391284106"/>
      <w:bookmarkEnd w:id="37"/>
      <w:r>
        <w:rPr/>
        <w:t>4.4.1</w:t>
        <w:tab/>
        <w:t>Attribute properties</w:t>
      </w:r>
    </w:p>
    <w:p>
      <w:pPr>
        <w:pStyle w:val="Normal"/>
        <w:keepNext w:val="true"/>
        <w:rPr/>
      </w:pPr>
      <w:r>
        <w:rPr/>
        <w:t>The following table defines the attributes that are present in several IOCs of the present document.</w:t>
      </w:r>
    </w:p>
    <w:tbl>
      <w:tblPr>
        <w:tblW w:w="9809" w:type="dxa"/>
        <w:jc w:val="center"/>
        <w:tblInd w:w="0" w:type="dxa"/>
        <w:tblLayout w:type="fixed"/>
        <w:tblCellMar>
          <w:top w:w="0" w:type="dxa"/>
          <w:left w:w="28" w:type="dxa"/>
          <w:bottom w:w="0" w:type="dxa"/>
          <w:right w:w="28" w:type="dxa"/>
        </w:tblCellMar>
      </w:tblPr>
      <w:tblGrid>
        <w:gridCol w:w="2636"/>
        <w:gridCol w:w="4819"/>
        <w:gridCol w:w="2354"/>
      </w:tblGrid>
      <w:tr>
        <w:trPr>
          <w:tblHeader w:val="true"/>
        </w:trPr>
        <w:tc>
          <w:tcPr>
            <w:tcW w:w="263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Attribute Name</w:t>
            </w:r>
          </w:p>
        </w:tc>
        <w:tc>
          <w:tcPr>
            <w:tcW w:w="481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Documentation and Allowed Values</w:t>
            </w:r>
          </w:p>
        </w:tc>
        <w:tc>
          <w:tcPr>
            <w:tcW w:w="235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Properties</w:t>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transportNetworkType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type of underlying transport network, i.e. ATM, IP.</w:t>
            </w:r>
          </w:p>
          <w:p>
            <w:pPr>
              <w:pStyle w:val="TAL"/>
              <w:rPr>
                <w:rFonts w:cs="Arial"/>
              </w:rPr>
            </w:pPr>
            <w:r>
              <w:rPr>
                <w:rFonts w:cs="Arial"/>
              </w:rPr>
              <w:t>allowedValues: ATM, IP</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False</w:t>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rFonts w:ascii="Courier New" w:hAnsi="Courier New" w:cs="Courier New"/>
                <w:sz w:val="18"/>
                <w:szCs w:val="18"/>
              </w:rPr>
            </w:pPr>
            <w:r>
              <w:rPr>
                <w:rFonts w:cs="Courier New" w:ascii="Courier New" w:hAnsi="Courier New"/>
                <w:sz w:val="18"/>
                <w:szCs w:val="18"/>
              </w:rPr>
              <w:t>usageChannel</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The logical channel using the transport network connection. </w:t>
            </w:r>
          </w:p>
          <w:p>
            <w:pPr>
              <w:pStyle w:val="TAL"/>
              <w:rPr/>
            </w:pPr>
            <w:r>
              <w:rPr/>
              <w:t>Ref. 3GPP TS 25.430 [9].</w:t>
            </w:r>
          </w:p>
          <w:p>
            <w:pPr>
              <w:pStyle w:val="TAL"/>
              <w:rPr/>
            </w:pPr>
            <w:r>
              <w:rPr/>
            </w:r>
          </w:p>
          <w:p>
            <w:pPr>
              <w:pStyle w:val="TAL"/>
              <w:rPr>
                <w:rFonts w:cs="Arial"/>
              </w:rPr>
            </w:pPr>
            <w:r>
              <w:rPr>
                <w:rFonts w:cs="Arial"/>
              </w:rPr>
              <w:t>allowedValues: examples are “Iub-NBAP”, “Iub-ALCAP”.</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Courier New" w:ascii="Courier New" w:hAnsi="Courier New"/>
                <w:sz w:val="18"/>
                <w:szCs w:val="18"/>
              </w:rPr>
              <w:t>virtualPathId</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The ATM Virtual Path Identifier (VPI). </w:t>
            </w:r>
          </w:p>
          <w:p>
            <w:pPr>
              <w:pStyle w:val="TAL"/>
              <w:rPr/>
            </w:pPr>
            <w:r>
              <w:rPr/>
            </w:r>
          </w:p>
          <w:p>
            <w:pPr>
              <w:pStyle w:val="TAL"/>
              <w:rPr>
                <w:lang w:val="fr-FR"/>
              </w:rPr>
            </w:pPr>
            <w:r>
              <w:rPr>
                <w:lang w:val="fr-FR"/>
              </w:rPr>
              <w:t>Ref. ITU-T Recommendation I.361[5].</w:t>
            </w:r>
          </w:p>
          <w:p>
            <w:pPr>
              <w:pStyle w:val="TAL"/>
              <w:rPr>
                <w:lang w:val="fr-FR"/>
              </w:rPr>
            </w:pPr>
            <w:r>
              <w:rPr>
                <w:lang w:val="fr-FR"/>
              </w:rPr>
            </w:r>
          </w:p>
          <w:p>
            <w:pPr>
              <w:pStyle w:val="TAL"/>
              <w:rPr/>
            </w:pPr>
            <w:r>
              <w:rPr>
                <w:rFonts w:cs="Arial"/>
              </w:rPr>
              <w:t>allowedValues: N/A</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False</w:t>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virtualChannelId</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The ATM Virtual Channel Identifier (VCI). </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rFonts w:cs="Arial"/>
              </w:rPr>
            </w:pPr>
            <w:r>
              <w:rPr>
                <w:rFonts w:cs="Arial"/>
              </w:rPr>
              <w:t>allowedValues: N/A</w:t>
            </w:r>
          </w:p>
          <w:p>
            <w:pPr>
              <w:pStyle w:val="TAL"/>
              <w:rPr>
                <w:rFonts w:cs="Arial"/>
              </w:rPr>
            </w:pPr>
            <w:r>
              <w:rPr>
                <w:rFonts w:cs="Arial"/>
              </w:rPr>
            </w:r>
          </w:p>
          <w:p>
            <w:pPr>
              <w:pStyle w:val="TAL"/>
              <w:rPr/>
            </w:pPr>
            <w:r>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False</w:t>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physicalPortIdList</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list of identifiers of the ATM physical port containing termination points.</w:t>
            </w:r>
          </w:p>
          <w:p>
            <w:pPr>
              <w:pStyle w:val="TAL"/>
              <w:rPr/>
            </w:pPr>
            <w:r>
              <w:rPr/>
            </w:r>
          </w:p>
          <w:p>
            <w:pPr>
              <w:pStyle w:val="TAL"/>
              <w:rPr>
                <w:rFonts w:cs="Arial"/>
              </w:rPr>
            </w:pPr>
            <w:r>
              <w:rPr>
                <w:rFonts w:cs="Arial"/>
              </w:rPr>
              <w:t>allowedValues: N/A</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False</w:t>
            </w:r>
          </w:p>
          <w:p>
            <w:pPr>
              <w:pStyle w:val="TAL"/>
              <w:rPr/>
            </w:pPr>
            <w:r>
              <w:rPr/>
              <w:t>isUnique: True</w:t>
            </w:r>
          </w:p>
          <w:p>
            <w:pPr>
              <w:pStyle w:val="TAL"/>
              <w:rPr/>
            </w:pPr>
            <w:r>
              <w:rPr/>
              <w:t>defaultValue: None</w:t>
            </w:r>
          </w:p>
          <w:p>
            <w:pPr>
              <w:pStyle w:val="TAL"/>
              <w:rPr/>
            </w:pPr>
            <w:r>
              <w:rPr/>
              <w:t>isNullable: false</w:t>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physicalPortid</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identifier of the ATM physical port containing termination points.</w:t>
            </w:r>
          </w:p>
          <w:p>
            <w:pPr>
              <w:pStyle w:val="TAL"/>
              <w:rPr/>
            </w:pPr>
            <w:r>
              <w:rPr/>
            </w:r>
          </w:p>
          <w:p>
            <w:pPr>
              <w:pStyle w:val="TAL"/>
              <w:rPr>
                <w:rFonts w:cs="Arial"/>
              </w:rPr>
            </w:pPr>
            <w:r>
              <w:rPr>
                <w:rFonts w:cs="Arial"/>
              </w:rPr>
              <w:t>allowedValues: N/A</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False </w:t>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Courier New" w:ascii="Courier New" w:hAnsi="Courier New"/>
                <w:sz w:val="18"/>
                <w:szCs w:val="18"/>
              </w:rPr>
              <w:t>physicalInterfaceType</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The ATM physical interface type. </w:t>
            </w:r>
          </w:p>
          <w:p>
            <w:pPr>
              <w:pStyle w:val="TAL"/>
              <w:rPr/>
            </w:pPr>
            <w:r>
              <w:rPr/>
            </w:r>
          </w:p>
          <w:p>
            <w:pPr>
              <w:pStyle w:val="TAL"/>
              <w:rPr>
                <w:lang w:val="nb-NO"/>
              </w:rPr>
            </w:pPr>
            <w:r>
              <w:rPr>
                <w:lang w:val="nb-NO"/>
              </w:rPr>
              <w:t>Ref. 3GPP TS 25.431[10], 3GPP TS 25.411[11].</w:t>
            </w:r>
          </w:p>
          <w:p>
            <w:pPr>
              <w:pStyle w:val="TAL"/>
              <w:rPr>
                <w:lang w:val="nb-NO"/>
              </w:rPr>
            </w:pPr>
            <w:r>
              <w:rPr>
                <w:lang w:val="nb-NO"/>
              </w:rPr>
            </w:r>
          </w:p>
          <w:p>
            <w:pPr>
              <w:pStyle w:val="TAL"/>
              <w:rPr>
                <w:rFonts w:cs="Arial"/>
              </w:rPr>
            </w:pPr>
            <w:r>
              <w:rPr>
                <w:rFonts w:cs="Arial"/>
              </w:rPr>
              <w:t>allowedValues: Examples are ‘E1’, ‘STM1’.</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String</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serviceCategoryIn</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ATM Service Category used for the virtual connection Ingress (incoming) traffic.</w:t>
            </w:r>
          </w:p>
          <w:p>
            <w:pPr>
              <w:pStyle w:val="TAL"/>
              <w:rPr>
                <w:lang w:val="fr-FR"/>
              </w:rPr>
            </w:pPr>
            <w:r>
              <w:rPr>
                <w:lang w:val="fr-FR"/>
              </w:rPr>
              <w:br/>
              <w:t>Ref. ITU-T Recommendation I.361[5].</w:t>
            </w:r>
          </w:p>
          <w:p>
            <w:pPr>
              <w:pStyle w:val="TAL"/>
              <w:rPr>
                <w:lang w:val="fr-FR"/>
              </w:rPr>
            </w:pPr>
            <w:r>
              <w:rPr>
                <w:lang w:val="fr-FR"/>
              </w:rPr>
            </w:r>
          </w:p>
          <w:p>
            <w:pPr>
              <w:pStyle w:val="TAL"/>
              <w:rPr>
                <w:rFonts w:cs="Arial"/>
              </w:rPr>
            </w:pPr>
            <w:r>
              <w:rPr>
                <w:rFonts w:cs="Arial"/>
              </w:rPr>
              <w:t>allowedValues: CBR, RT-VBR, NRT-VBR, ABR, UBR, GFR</w:t>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lang w:val="pt-BR"/>
              </w:rPr>
            </w:pPr>
            <w:r>
              <w:rPr>
                <w:lang w:val="pt-BR"/>
              </w:rPr>
              <w:t>isUnique: N/A</w:t>
            </w:r>
          </w:p>
          <w:p>
            <w:pPr>
              <w:pStyle w:val="TAL"/>
              <w:rPr>
                <w:lang w:val="pt-BR"/>
              </w:rPr>
            </w:pPr>
            <w:r>
              <w:rPr>
                <w:lang w:val="pt-BR"/>
              </w:rPr>
              <w:t>defaultValue: N/A</w:t>
            </w:r>
          </w:p>
          <w:p>
            <w:pPr>
              <w:pStyle w:val="TAL"/>
              <w:rPr/>
            </w:pPr>
            <w:r>
              <w:rPr/>
              <w:t>isNullable: False</w:t>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serviceCategoryEg</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The ATM Service Category used for the virtual connection  Egress (outgoing) traffic.</w:t>
              <w:br/>
              <w:t xml:space="preserve">Ref. ITU-T Recommendation I.361[5] </w:t>
            </w:r>
          </w:p>
          <w:p>
            <w:pPr>
              <w:pStyle w:val="TAL"/>
              <w:rPr/>
            </w:pPr>
            <w:r>
              <w:rPr/>
            </w:r>
          </w:p>
          <w:p>
            <w:pPr>
              <w:pStyle w:val="TAL"/>
              <w:rPr>
                <w:rFonts w:cs="Arial"/>
              </w:rPr>
            </w:pPr>
            <w:r>
              <w:rPr/>
              <w:t>allowedValues: CBR, RT-VBR, NRT-VBR, ABR, UBR, GFR</w:t>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lang w:val="pt-BR"/>
              </w:rPr>
              <w:t>isUnique: N/A</w:t>
            </w:r>
          </w:p>
          <w:p>
            <w:pPr>
              <w:pStyle w:val="TAL"/>
              <w:rPr>
                <w:lang w:val="pt-BR"/>
              </w:rPr>
            </w:pPr>
            <w:r>
              <w:rPr>
                <w:lang w:val="pt-BR"/>
              </w:rPr>
              <w:t>defaultValue: N/A</w:t>
            </w:r>
          </w:p>
          <w:p>
            <w:pPr>
              <w:pStyle w:val="TAL"/>
              <w:rPr/>
            </w:pPr>
            <w:r>
              <w:rPr/>
              <w:t>isNullable: False</w:t>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usedAAL</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The ATM Adaptation Layer (AAL) used for the virtual connection. </w:t>
            </w:r>
          </w:p>
          <w:p>
            <w:pPr>
              <w:pStyle w:val="TAL"/>
              <w:rPr/>
            </w:pPr>
            <w:r>
              <w:rPr/>
              <w:br/>
              <w:t xml:space="preserve"> Ref. ITU-T Recommendation I.361[5].</w:t>
            </w:r>
          </w:p>
          <w:p>
            <w:pPr>
              <w:pStyle w:val="TAL"/>
              <w:rPr/>
            </w:pPr>
            <w:r>
              <w:rPr/>
            </w:r>
          </w:p>
          <w:p>
            <w:pPr>
              <w:pStyle w:val="TAL"/>
              <w:rPr/>
            </w:pPr>
            <w:r>
              <w:rPr>
                <w:rFonts w:cs="Arial"/>
              </w:rPr>
              <w:t xml:space="preserve">allowedValues: </w:t>
            </w:r>
            <w:r>
              <w:rPr/>
              <w:t xml:space="preserve">Null, AAL1,..... </w:t>
            </w:r>
          </w:p>
          <w:p>
            <w:pPr>
              <w:pStyle w:val="TAL"/>
              <w:rPr/>
            </w:pPr>
            <w:r>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&lt;&lt;enumeration&gt;&gt;</w:t>
            </w:r>
          </w:p>
          <w:p>
            <w:pPr>
              <w:pStyle w:val="TAL"/>
              <w:rPr/>
            </w:pPr>
            <w:r>
              <w:rPr/>
              <w:t>multiplicity: 1</w:t>
            </w:r>
          </w:p>
          <w:p>
            <w:pPr>
              <w:pStyle w:val="TAL"/>
              <w:rPr/>
            </w:pPr>
            <w:r>
              <w:rPr/>
              <w:t>isOrdered: N/A</w:t>
            </w:r>
          </w:p>
          <w:p>
            <w:pPr>
              <w:pStyle w:val="TAL"/>
              <w:rPr/>
            </w:pPr>
            <w:r>
              <w:rPr>
                <w:lang w:val="pt-BR"/>
              </w:rPr>
              <w:t>isUnique: N/A</w:t>
            </w:r>
          </w:p>
          <w:p>
            <w:pPr>
              <w:pStyle w:val="TAL"/>
              <w:rPr>
                <w:lang w:val="pt-BR"/>
              </w:rPr>
            </w:pPr>
            <w:r>
              <w:rPr>
                <w:lang w:val="pt-BR"/>
              </w:rPr>
              <w:t>defaultValue: N/A</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peakCellRateIn</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Peak Cell Rate (PCR) in kbits/sec for Ingress traffic. </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pPr>
            <w:r>
              <w:rPr>
                <w:rFonts w:cs="Arial"/>
              </w:rPr>
              <w:t>allowedValues: N/A</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False </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peakCellRateEg</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Peak Cell Rate (PCR) in kbits/sec for Egress traffic. </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rFonts w:cs="Arial"/>
              </w:rPr>
            </w:pPr>
            <w:r>
              <w:rPr>
                <w:rFonts w:cs="Arial"/>
              </w:rPr>
              <w:t>allowedValues: N/A</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pPr>
            <w:r>
              <w:rPr/>
              <w:t xml:space="preserve">isNullable: False </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rFonts w:cs="Courier New" w:ascii="Courier New" w:hAnsi="Courier New"/>
                <w:sz w:val="18"/>
                <w:szCs w:val="18"/>
              </w:rPr>
              <w:t>sustainableCellRateIn</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Sustainable Cell Rate (SCR) in kbits/sec for Ingress traffic.</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rFonts w:cs="Arial"/>
              </w:rPr>
            </w:pPr>
            <w:r>
              <w:rPr>
                <w:rFonts w:cs="Arial"/>
              </w:rPr>
              <w:t>allowedValues: 1…n</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lang w:val="pt-BR"/>
              </w:rPr>
            </w:pPr>
            <w:r>
              <w:rPr>
                <w:lang w:val="pt-BR"/>
              </w:rPr>
              <w:t>isUnique: N/A</w:t>
            </w:r>
          </w:p>
          <w:p>
            <w:pPr>
              <w:pStyle w:val="TAL"/>
              <w:rPr>
                <w:lang w:val="pt-BR"/>
              </w:rPr>
            </w:pPr>
            <w:r>
              <w:rPr>
                <w:lang w:val="pt-BR"/>
              </w:rPr>
              <w:t>defaultValue: N/A</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sustainableCellRateEg</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Sustainable Cell Rate (SCR) in kbits/sec for Egress traffic.</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rFonts w:cs="Arial"/>
              </w:rPr>
            </w:pPr>
            <w:r>
              <w:rPr>
                <w:rFonts w:cs="Arial"/>
              </w:rPr>
              <w:t>allowedValues: 1…n</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lang w:val="pt-BR"/>
              </w:rPr>
              <w:t>isUnique: N/A</w:t>
            </w:r>
          </w:p>
          <w:p>
            <w:pPr>
              <w:pStyle w:val="TAL"/>
              <w:rPr>
                <w:lang w:val="pt-BR"/>
              </w:rPr>
            </w:pPr>
            <w:r>
              <w:rPr>
                <w:lang w:val="pt-BR"/>
              </w:rPr>
              <w:t>defaultValue: N/A</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maximumBurstSizeIn</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Maximum Burst Size (MBS) for VBR Service Categories for Ingress traffic.</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rFonts w:cs="Arial"/>
              </w:rPr>
            </w:pPr>
            <w:r>
              <w:rPr>
                <w:rFonts w:cs="Arial"/>
              </w:rPr>
              <w:t>allowedValues: 1…n</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pPr>
            <w:r>
              <w:rPr>
                <w:lang w:val="pt-BR"/>
              </w:rPr>
              <w:t>isUnique: N/A</w:t>
            </w:r>
          </w:p>
          <w:p>
            <w:pPr>
              <w:pStyle w:val="TAL"/>
              <w:rPr>
                <w:lang w:val="pt-BR"/>
              </w:rPr>
            </w:pPr>
            <w:r>
              <w:rPr>
                <w:lang w:val="pt-BR"/>
              </w:rPr>
              <w:t>defaultValue: N/A</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maximumBurstSizeEg</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Maximum Burst Size (MBS) for VBR Service Categories for Egress traffic.</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rFonts w:cs="Arial"/>
              </w:rPr>
            </w:pPr>
            <w:r>
              <w:rPr>
                <w:rFonts w:cs="Arial"/>
              </w:rPr>
              <w:t>allowedValues: 1…n</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lang w:val="pt-BR"/>
              </w:rPr>
            </w:pPr>
            <w:r>
              <w:rPr>
                <w:lang w:val="pt-BR"/>
              </w:rPr>
              <w:t>isUnique: N/A</w:t>
            </w:r>
          </w:p>
          <w:p>
            <w:pPr>
              <w:pStyle w:val="TAL"/>
              <w:rPr/>
            </w:pPr>
            <w:r>
              <w:rPr>
                <w:lang w:val="pt-BR"/>
              </w:rPr>
              <w:t>defaultValue: N/A</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minimumCellRateIn</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Cell Rate (MCR) in kbits/sec for ABR, GFR Service Categories for Ingress traffic. </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rFonts w:cs="Arial"/>
              </w:rPr>
            </w:pPr>
            <w:r>
              <w:rPr>
                <w:rFonts w:cs="Arial"/>
              </w:rPr>
              <w:t>allowedValues: 1…n</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caps/>
              </w:rPr>
            </w:pPr>
            <w:r>
              <w:rPr/>
              <w:t>isOrdered: N/A</w:t>
            </w:r>
          </w:p>
          <w:p>
            <w:pPr>
              <w:pStyle w:val="TAL"/>
              <w:rPr/>
            </w:pPr>
            <w:r>
              <w:rPr>
                <w:lang w:val="pt-BR"/>
              </w:rPr>
              <w:t>isUnique: N/A</w:t>
            </w:r>
          </w:p>
          <w:p>
            <w:pPr>
              <w:pStyle w:val="TAL"/>
              <w:rPr>
                <w:lang w:val="pt-BR"/>
              </w:rPr>
            </w:pPr>
            <w:r>
              <w:rPr>
                <w:lang w:val="pt-BR"/>
              </w:rPr>
              <w:t>defaultValue: N/A</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minimumCellRateEg</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Cell Rate (MCR) in kbits/sec for ABR, GFR Service Categories for Egress traffic. </w:t>
            </w:r>
          </w:p>
          <w:p>
            <w:pPr>
              <w:pStyle w:val="TAL"/>
              <w:rPr/>
            </w:pPr>
            <w:r>
              <w:rPr/>
            </w:r>
          </w:p>
          <w:p>
            <w:pPr>
              <w:pStyle w:val="TAL"/>
              <w:rPr>
                <w:lang w:val="fr-FR"/>
              </w:rPr>
            </w:pPr>
            <w:r>
              <w:rPr>
                <w:lang w:val="fr-FR"/>
              </w:rPr>
              <w:t>Ref. ITU-T Recommendation I.361 [5].</w:t>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lang w:val="pt-BR"/>
              </w:rPr>
            </w:pPr>
            <w:r>
              <w:rPr>
                <w:lang w:val="pt-BR"/>
              </w:rPr>
              <w:t>isUnique: N/A</w:t>
            </w:r>
          </w:p>
          <w:p>
            <w:pPr>
              <w:pStyle w:val="TAL"/>
              <w:rPr/>
            </w:pPr>
            <w:r>
              <w:rPr>
                <w:lang w:val="pt-BR"/>
              </w:rPr>
              <w:t>defaultValue: N/A</w:t>
            </w:r>
          </w:p>
          <w:p>
            <w:pPr>
              <w:pStyle w:val="TAL"/>
              <w:rPr/>
            </w:pPr>
            <w:r>
              <w:rPr/>
              <w:t>allowedValues: 1…n</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minimumDesiredCellRateIn</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Desired Cell Rate (MDCR) in kbits/sec for UBR Service Category for Ingress traffic. </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rFonts w:cs="Arial"/>
              </w:rPr>
            </w:pPr>
            <w:r>
              <w:rPr>
                <w:rFonts w:cs="Arial"/>
              </w:rPr>
              <w:t>allowedValues: 1..n</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lang w:val="pt-BR"/>
              </w:rPr>
            </w:pPr>
            <w:r>
              <w:rPr>
                <w:lang w:val="pt-BR"/>
              </w:rPr>
              <w:t>isUnique: N/A</w:t>
            </w:r>
          </w:p>
          <w:p>
            <w:pPr>
              <w:pStyle w:val="TAL"/>
              <w:rPr>
                <w:lang w:val="pt-BR"/>
              </w:rPr>
            </w:pPr>
            <w:r>
              <w:rPr>
                <w:lang w:val="pt-BR"/>
              </w:rPr>
              <w:t>defaultValue: N/A</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szCs w:val="18"/>
              </w:rPr>
            </w:pPr>
            <w:r>
              <w:rPr>
                <w:rFonts w:cs="Courier New" w:ascii="Courier New" w:hAnsi="Courier New"/>
                <w:sz w:val="18"/>
                <w:szCs w:val="18"/>
              </w:rPr>
              <w:t>minimumDesiredCellRateEg</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Minimum Desired Cell Rate (MDCR) in kbits/sec for UBR Service Category for Egress traffic. </w:t>
            </w:r>
          </w:p>
          <w:p>
            <w:pPr>
              <w:pStyle w:val="TAL"/>
              <w:rPr/>
            </w:pPr>
            <w:r>
              <w:rPr/>
            </w:r>
          </w:p>
          <w:p>
            <w:pPr>
              <w:pStyle w:val="TAL"/>
              <w:rPr>
                <w:lang w:val="fr-FR"/>
              </w:rPr>
            </w:pPr>
            <w:r>
              <w:rPr>
                <w:lang w:val="fr-FR"/>
              </w:rPr>
              <w:t>Ref. ITU-T Recommendation I.361 [5].</w:t>
            </w:r>
          </w:p>
          <w:p>
            <w:pPr>
              <w:pStyle w:val="TAL"/>
              <w:rPr>
                <w:lang w:val="fr-FR"/>
              </w:rPr>
            </w:pPr>
            <w:r>
              <w:rPr>
                <w:lang w:val="fr-FR"/>
              </w:rPr>
            </w:r>
          </w:p>
          <w:p>
            <w:pPr>
              <w:pStyle w:val="TAL"/>
              <w:rPr>
                <w:rFonts w:cs="Arial"/>
              </w:rPr>
            </w:pPr>
            <w:r>
              <w:rPr>
                <w:rFonts w:cs="Arial"/>
              </w:rPr>
              <w:t>allowedValues: 1..n</w:t>
            </w:r>
          </w:p>
          <w:p>
            <w:pPr>
              <w:pStyle w:val="TAL"/>
              <w:rPr>
                <w:rFonts w:cs="Arial"/>
              </w:rPr>
            </w:pPr>
            <w:r>
              <w:rPr>
                <w:rFonts w:cs="Arial"/>
              </w:rPr>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Integer</w:t>
            </w:r>
          </w:p>
          <w:p>
            <w:pPr>
              <w:pStyle w:val="TAL"/>
              <w:rPr/>
            </w:pPr>
            <w:r>
              <w:rPr/>
              <w:t>multiplicity: 1</w:t>
            </w:r>
          </w:p>
          <w:p>
            <w:pPr>
              <w:pStyle w:val="TAL"/>
              <w:rPr/>
            </w:pPr>
            <w:r>
              <w:rPr/>
              <w:t>isOrdered: N/A</w:t>
            </w:r>
          </w:p>
          <w:p>
            <w:pPr>
              <w:pStyle w:val="TAL"/>
              <w:rPr>
                <w:lang w:val="pt-BR"/>
              </w:rPr>
            </w:pPr>
            <w:r>
              <w:rPr>
                <w:lang w:val="pt-BR"/>
              </w:rPr>
              <w:t>isUnique: N/A</w:t>
            </w:r>
          </w:p>
          <w:p>
            <w:pPr>
              <w:pStyle w:val="TAL"/>
              <w:rPr>
                <w:lang w:val="pt-BR"/>
              </w:rPr>
            </w:pPr>
            <w:r>
              <w:rPr>
                <w:lang w:val="pt-BR"/>
              </w:rPr>
              <w:t>defaultValue: N/A</w:t>
            </w:r>
          </w:p>
          <w:p>
            <w:pPr>
              <w:pStyle w:val="TAL"/>
              <w:rPr/>
            </w:pPr>
            <w:r>
              <w:rPr/>
              <w:t>isNullable: False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Courier New" w:hAnsi="Courier New" w:cs="Courier New"/>
                <w:sz w:val="18"/>
                <w:szCs w:val="18"/>
              </w:rPr>
            </w:pPr>
            <w:r>
              <w:rPr>
                <w:rFonts w:cs="Courier New" w:ascii="Courier New" w:hAnsi="Courier New"/>
                <w:sz w:val="18"/>
                <w:szCs w:val="18"/>
              </w:rPr>
            </w:r>
          </w:p>
        </w:tc>
        <w:tc>
          <w:tcPr>
            <w:tcW w:w="4819"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8"/>
                <w:szCs w:val="18"/>
              </w:rPr>
            </w:pPr>
            <w:r>
              <w:rPr>
                <w:rFonts w:cs="Courier New" w:ascii="Courier New" w:hAnsi="Courier New"/>
                <w:sz w:val="18"/>
                <w:szCs w:val="18"/>
              </w:rPr>
            </w:r>
          </w:p>
        </w:tc>
        <w:tc>
          <w:tcPr>
            <w:tcW w:w="23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3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szCs w:val="18"/>
              </w:rPr>
              <w:t>Role-Attribute Name</w:t>
            </w:r>
          </w:p>
        </w:tc>
        <w:tc>
          <w:tcPr>
            <w:tcW w:w="4819" w:type="dxa"/>
            <w:tcBorders>
              <w:top w:val="single" w:sz="4" w:space="0" w:color="000000"/>
              <w:left w:val="single" w:sz="4" w:space="0" w:color="000000"/>
              <w:bottom w:val="single" w:sz="4" w:space="0" w:color="000000"/>
              <w:right w:val="single" w:sz="4" w:space="0" w:color="000000"/>
            </w:tcBorders>
            <w:shd w:fill="E0E0E0" w:val="clear"/>
          </w:tcPr>
          <w:p>
            <w:pPr>
              <w:pStyle w:val="TAL"/>
              <w:snapToGrid w:val="false"/>
              <w:rPr>
                <w:szCs w:val="18"/>
              </w:rPr>
            </w:pPr>
            <w:r>
              <w:rPr>
                <w:szCs w:val="18"/>
              </w:rPr>
            </w:r>
          </w:p>
        </w:tc>
        <w:tc>
          <w:tcPr>
            <w:tcW w:w="2354" w:type="dxa"/>
            <w:tcBorders>
              <w:top w:val="single" w:sz="4" w:space="0" w:color="000000"/>
              <w:left w:val="single" w:sz="4" w:space="0" w:color="000000"/>
              <w:bottom w:val="single" w:sz="4" w:space="0" w:color="000000"/>
              <w:right w:val="single" w:sz="4" w:space="0" w:color="000000"/>
            </w:tcBorders>
            <w:shd w:fill="E0E0E0" w:val="clear"/>
          </w:tcPr>
          <w:p>
            <w:pPr>
              <w:pStyle w:val="TAL"/>
              <w:snapToGrid w:val="false"/>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StyleTACCourierNewLeft"/>
              <w:rPr>
                <w:szCs w:val="18"/>
              </w:rPr>
            </w:pPr>
            <w:r>
              <w:rPr>
                <w:szCs w:val="18"/>
              </w:rPr>
              <w:t>theATMChannelTerminationPoint</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It carries zero or more DNs of </w:t>
            </w:r>
            <w:r>
              <w:rPr>
                <w:rFonts w:cs="Courier New" w:ascii="Courier New" w:hAnsi="Courier New"/>
              </w:rPr>
              <w:t>ATMChannelTerminationPoint</w:t>
            </w:r>
            <w:r>
              <w:rPr/>
              <w:t>.</w:t>
            </w:r>
          </w:p>
          <w:p>
            <w:pPr>
              <w:pStyle w:val="TAL"/>
              <w:rPr/>
            </w:pPr>
            <w:r>
              <w:rPr/>
            </w:r>
          </w:p>
          <w:p>
            <w:pPr>
              <w:pStyle w:val="TAL"/>
              <w:rPr>
                <w:rFonts w:cs="Arial"/>
              </w:rPr>
            </w:pPr>
            <w:r>
              <w:rPr>
                <w:rFonts w:cs="Arial"/>
              </w:rPr>
              <w:t>allowedValues: N/A</w:t>
            </w:r>
          </w:p>
          <w:p>
            <w:pPr>
              <w:pStyle w:val="StyleTACLeft"/>
              <w:rPr>
                <w:rFonts w:cs="Arial"/>
                <w:szCs w:val="18"/>
              </w:rPr>
            </w:pPr>
            <w:r>
              <w:rPr>
                <w:rFonts w:cs="Arial"/>
                <w:szCs w:val="18"/>
              </w:rPr>
            </w:r>
          </w:p>
          <w:p>
            <w:pPr>
              <w:pStyle w:val="TAL"/>
              <w:rPr/>
            </w:pPr>
            <w:r>
              <w:rPr>
                <w:lang w:val="en-US"/>
              </w:rPr>
              <w:t>Null</w:t>
            </w:r>
            <w:r>
              <w:rPr>
                <w:szCs w:val="18"/>
              </w:rPr>
              <w:t xml:space="preserve"> value means no DN is carried.</w:t>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DN</w:t>
            </w:r>
          </w:p>
          <w:p>
            <w:pPr>
              <w:pStyle w:val="TAL"/>
              <w:rPr/>
            </w:pPr>
            <w:r>
              <w:rPr/>
              <w:t xml:space="preserve">multiplicity: </w:t>
            </w:r>
            <w:r>
              <w:rPr>
                <w:rFonts w:cs="Arial"/>
                <w:szCs w:val="18"/>
              </w:rPr>
              <w:t>0..*</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StyleTACCourierNewLeft"/>
              <w:rPr>
                <w:szCs w:val="18"/>
              </w:rPr>
            </w:pPr>
            <w:r>
              <w:rPr>
                <w:szCs w:val="18"/>
              </w:rPr>
              <w:t>theATMPathTerminationPoint</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It carries zero or one DN of </w:t>
            </w:r>
            <w:r>
              <w:rPr>
                <w:rFonts w:cs="Courier New" w:ascii="Courier New" w:hAnsi="Courier New"/>
              </w:rPr>
              <w:t>ATMPathTerminationPoint</w:t>
            </w:r>
            <w:r>
              <w:rPr/>
              <w:t>.</w:t>
            </w:r>
          </w:p>
          <w:p>
            <w:pPr>
              <w:pStyle w:val="TAL"/>
              <w:rPr/>
            </w:pPr>
            <w:r>
              <w:rPr/>
            </w:r>
          </w:p>
          <w:p>
            <w:pPr>
              <w:pStyle w:val="TAL"/>
              <w:rPr>
                <w:rFonts w:cs="Arial"/>
              </w:rPr>
            </w:pPr>
            <w:r>
              <w:rPr>
                <w:rFonts w:cs="Arial"/>
              </w:rPr>
              <w:t>allowedValues: N/A</w:t>
            </w:r>
          </w:p>
          <w:p>
            <w:pPr>
              <w:pStyle w:val="StyleTACLeft"/>
              <w:rPr>
                <w:rFonts w:cs="Arial"/>
                <w:szCs w:val="18"/>
              </w:rPr>
            </w:pPr>
            <w:r>
              <w:rPr>
                <w:rFonts w:cs="Arial"/>
                <w:szCs w:val="18"/>
              </w:rPr>
            </w:r>
          </w:p>
          <w:p>
            <w:pPr>
              <w:pStyle w:val="TAL"/>
              <w:rPr/>
            </w:pPr>
            <w:r>
              <w:rPr>
                <w:lang w:val="en-US"/>
              </w:rPr>
              <w:t>Null</w:t>
            </w:r>
            <w:r>
              <w:rPr>
                <w:szCs w:val="18"/>
              </w:rPr>
              <w:t xml:space="preserve"> value means no DN is carried.</w:t>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DN</w:t>
            </w:r>
          </w:p>
          <w:p>
            <w:pPr>
              <w:pStyle w:val="TAL"/>
              <w:rPr/>
            </w:pPr>
            <w:r>
              <w:rPr/>
              <w:t>multiplicity:</w:t>
            </w:r>
            <w:r>
              <w:rPr>
                <w:rFonts w:cs="Arial"/>
                <w:szCs w:val="18"/>
              </w:rPr>
              <w:t xml:space="preserve"> 0..</w:t>
            </w:r>
            <w:r>
              <w:rPr/>
              <w:t>1</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r>
        <w:trPr/>
        <w:tc>
          <w:tcPr>
            <w:tcW w:w="2636" w:type="dxa"/>
            <w:tcBorders>
              <w:top w:val="single" w:sz="4" w:space="0" w:color="000000"/>
              <w:left w:val="single" w:sz="4" w:space="0" w:color="000000"/>
              <w:bottom w:val="single" w:sz="4" w:space="0" w:color="000000"/>
              <w:right w:val="single" w:sz="4" w:space="0" w:color="000000"/>
            </w:tcBorders>
          </w:tcPr>
          <w:p>
            <w:pPr>
              <w:pStyle w:val="StyleTACCourierNewLeft"/>
              <w:rPr>
                <w:szCs w:val="18"/>
              </w:rPr>
            </w:pPr>
            <w:r>
              <w:rPr>
                <w:szCs w:val="18"/>
              </w:rPr>
              <w:t>theIubLink</w:t>
            </w:r>
          </w:p>
        </w:tc>
        <w:tc>
          <w:tcPr>
            <w:tcW w:w="4819" w:type="dxa"/>
            <w:tcBorders>
              <w:top w:val="single" w:sz="4" w:space="0" w:color="000000"/>
              <w:left w:val="single" w:sz="4" w:space="0" w:color="000000"/>
              <w:bottom w:val="single" w:sz="4" w:space="0" w:color="000000"/>
              <w:right w:val="single" w:sz="4" w:space="0" w:color="000000"/>
            </w:tcBorders>
          </w:tcPr>
          <w:p>
            <w:pPr>
              <w:pStyle w:val="TAL"/>
              <w:rPr/>
            </w:pPr>
            <w:r>
              <w:rPr/>
              <w:t xml:space="preserve">It carries zero or more DNs of </w:t>
            </w:r>
            <w:r>
              <w:rPr>
                <w:rFonts w:cs="Courier New" w:ascii="Courier New" w:hAnsi="Courier New"/>
              </w:rPr>
              <w:t>IubLink</w:t>
            </w:r>
            <w:r>
              <w:rPr/>
              <w:t>.</w:t>
            </w:r>
          </w:p>
          <w:p>
            <w:pPr>
              <w:pStyle w:val="TAL"/>
              <w:rPr/>
            </w:pPr>
            <w:r>
              <w:rPr/>
            </w:r>
          </w:p>
          <w:p>
            <w:pPr>
              <w:pStyle w:val="TAL"/>
              <w:rPr>
                <w:rFonts w:cs="Arial"/>
              </w:rPr>
            </w:pPr>
            <w:r>
              <w:rPr>
                <w:rFonts w:cs="Arial"/>
              </w:rPr>
              <w:t>allowedValues: N/A</w:t>
            </w:r>
          </w:p>
          <w:p>
            <w:pPr>
              <w:pStyle w:val="TAL"/>
              <w:rPr>
                <w:rFonts w:cs="Arial"/>
                <w:szCs w:val="18"/>
              </w:rPr>
            </w:pPr>
            <w:r>
              <w:rPr>
                <w:rFonts w:cs="Arial"/>
                <w:szCs w:val="18"/>
              </w:rPr>
            </w:r>
          </w:p>
          <w:p>
            <w:pPr>
              <w:pStyle w:val="TAL"/>
              <w:rPr/>
            </w:pPr>
            <w:r>
              <w:rPr>
                <w:szCs w:val="18"/>
              </w:rPr>
              <w:t xml:space="preserve">Null </w:t>
            </w:r>
            <w:r>
              <w:rPr>
                <w:lang w:val="en-US"/>
              </w:rPr>
              <w:t>value</w:t>
            </w:r>
            <w:r>
              <w:rPr>
                <w:szCs w:val="18"/>
              </w:rPr>
              <w:t xml:space="preserve"> means no DN is carried.</w:t>
            </w:r>
          </w:p>
        </w:tc>
        <w:tc>
          <w:tcPr>
            <w:tcW w:w="2354" w:type="dxa"/>
            <w:tcBorders>
              <w:top w:val="single" w:sz="4" w:space="0" w:color="000000"/>
              <w:left w:val="single" w:sz="4" w:space="0" w:color="000000"/>
              <w:bottom w:val="single" w:sz="4" w:space="0" w:color="000000"/>
              <w:right w:val="single" w:sz="4" w:space="0" w:color="000000"/>
            </w:tcBorders>
          </w:tcPr>
          <w:p>
            <w:pPr>
              <w:pStyle w:val="TAL"/>
              <w:rPr/>
            </w:pPr>
            <w:r>
              <w:rPr/>
              <w:t>type: DN</w:t>
            </w:r>
          </w:p>
          <w:p>
            <w:pPr>
              <w:pStyle w:val="TAL"/>
              <w:rPr/>
            </w:pPr>
            <w:r>
              <w:rPr/>
              <w:t>multiplicity: 0..*</w:t>
            </w:r>
          </w:p>
          <w:p>
            <w:pPr>
              <w:pStyle w:val="TAL"/>
              <w:rPr/>
            </w:pPr>
            <w:r>
              <w:rPr/>
              <w:t>isOrdered: N/A</w:t>
            </w:r>
          </w:p>
          <w:p>
            <w:pPr>
              <w:pStyle w:val="TAL"/>
              <w:rPr/>
            </w:pPr>
            <w:r>
              <w:rPr/>
              <w:t>isUnique: N/A</w:t>
            </w:r>
          </w:p>
          <w:p>
            <w:pPr>
              <w:pStyle w:val="TAL"/>
              <w:rPr/>
            </w:pPr>
            <w:r>
              <w:rPr/>
              <w:t>defaultValue: None</w:t>
            </w:r>
          </w:p>
          <w:p>
            <w:pPr>
              <w:pStyle w:val="TAL"/>
              <w:rPr/>
            </w:pPr>
            <w:r>
              <w:rPr/>
              <w:t>isNullable: True</w:t>
            </w:r>
          </w:p>
          <w:p>
            <w:pPr>
              <w:pStyle w:val="TAL"/>
              <w:rPr/>
            </w:pPr>
            <w:r>
              <w:rPr/>
            </w:r>
          </w:p>
        </w:tc>
      </w:tr>
    </w:tbl>
    <w:p>
      <w:pPr>
        <w:pStyle w:val="Normal"/>
        <w:rPr/>
      </w:pPr>
      <w:r>
        <w:rPr/>
      </w:r>
    </w:p>
    <w:p>
      <w:pPr>
        <w:pStyle w:val="Heading3"/>
        <w:rPr/>
      </w:pPr>
      <w:bookmarkStart w:id="38" w:name="__RefHeading___Toc391284107"/>
      <w:bookmarkEnd w:id="38"/>
      <w:r>
        <w:rPr/>
        <w:t>4.4.2</w:t>
        <w:tab/>
        <w:t>Constraints</w:t>
      </w:r>
    </w:p>
    <w:p>
      <w:pPr>
        <w:pStyle w:val="Normal"/>
        <w:rPr/>
      </w:pPr>
      <w:r>
        <w:rPr/>
        <w:t>None.</w:t>
      </w:r>
    </w:p>
    <w:p>
      <w:pPr>
        <w:pStyle w:val="Heading2"/>
        <w:rPr/>
      </w:pPr>
      <w:bookmarkStart w:id="39" w:name="__RefHeading___Toc391284108"/>
      <w:bookmarkEnd w:id="39"/>
      <w:r>
        <w:rPr/>
        <w:t>4.5</w:t>
        <w:tab/>
        <w:t>Common notifications</w:t>
      </w:r>
    </w:p>
    <w:p>
      <w:pPr>
        <w:pStyle w:val="Heading3"/>
        <w:rPr/>
      </w:pPr>
      <w:bookmarkStart w:id="40" w:name="__RefHeading___Toc391284109"/>
      <w:bookmarkEnd w:id="40"/>
      <w:r>
        <w:rPr/>
        <w:t>4.5.1</w:t>
        <w:tab/>
        <w:t>Alarm notifications</w:t>
      </w:r>
    </w:p>
    <w:p>
      <w:pPr>
        <w:pStyle w:val="Normal"/>
        <w:rPr/>
      </w:pPr>
      <w:r>
        <w:rPr/>
        <w:t xml:space="preserve">This subclause presents a list of notifications, defined in [13], that IRPManager can receive. The notification header attribute </w:t>
      </w:r>
      <w:r>
        <w:rPr>
          <w:rFonts w:cs="Courier New" w:ascii="Courier New" w:hAnsi="Courier New"/>
        </w:rPr>
        <w:t>objectClass/objectInstance</w:t>
      </w:r>
      <w:r>
        <w:rPr/>
        <w:t>, defined in [14], would capture the DN of an instance of an IOC defined in this IRP specification.</w:t>
      </w:r>
    </w:p>
    <w:tbl>
      <w:tblPr>
        <w:tblW w:w="7622" w:type="dxa"/>
        <w:jc w:val="center"/>
        <w:tblInd w:w="0" w:type="dxa"/>
        <w:tblLayout w:type="fixed"/>
        <w:tblCellMar>
          <w:top w:w="0" w:type="dxa"/>
          <w:left w:w="108" w:type="dxa"/>
          <w:bottom w:w="0" w:type="dxa"/>
          <w:right w:w="108" w:type="dxa"/>
        </w:tblCellMar>
      </w:tblPr>
      <w:tblGrid>
        <w:gridCol w:w="3457"/>
        <w:gridCol w:w="3448"/>
        <w:gridCol w:w="717"/>
      </w:tblGrid>
      <w:tr>
        <w:trPr>
          <w:tblHeader w:val="true"/>
        </w:trPr>
        <w:tc>
          <w:tcPr>
            <w:tcW w:w="34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notifyComments</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notifyAlarmListRebuilt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5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notifyPotentialFaultyAlarmList</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[13])</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Heading3"/>
        <w:rPr/>
      </w:pPr>
      <w:bookmarkStart w:id="41" w:name="__RefHeading___Toc391284110"/>
      <w:bookmarkEnd w:id="41"/>
      <w:r>
        <w:rPr/>
        <w:t>4.5.2</w:t>
        <w:tab/>
        <w:t>Configuration notifications</w:t>
      </w:r>
    </w:p>
    <w:p>
      <w:pPr>
        <w:pStyle w:val="Normal"/>
        <w:rPr/>
      </w:pPr>
      <w:bookmarkStart w:id="42" w:name="historyclause"/>
      <w:bookmarkEnd w:id="42"/>
      <w:r>
        <w:rPr/>
        <w:t xml:space="preserve">This subclause presents a list of notifications, defined in [15], that IRPManager can receive. The notification header attribute </w:t>
      </w:r>
      <w:r>
        <w:rPr>
          <w:rFonts w:cs="Courier New" w:ascii="Courier New" w:hAnsi="Courier New"/>
        </w:rPr>
        <w:t>objectClass/objectInstance</w:t>
      </w:r>
      <w:r>
        <w:rPr/>
        <w:t>, defined in [14], would capture the DN of an instance of an IOC defined in this IRP specification.</w:t>
      </w:r>
    </w:p>
    <w:tbl>
      <w:tblPr>
        <w:tblW w:w="4689" w:type="dxa"/>
        <w:jc w:val="center"/>
        <w:tblInd w:w="0" w:type="dxa"/>
        <w:tblLayout w:type="fixed"/>
        <w:tblCellMar>
          <w:top w:w="0" w:type="dxa"/>
          <w:left w:w="108" w:type="dxa"/>
          <w:bottom w:w="0" w:type="dxa"/>
          <w:right w:w="108" w:type="dxa"/>
        </w:tblCellMar>
      </w:tblPr>
      <w:tblGrid>
        <w:gridCol w:w="3025"/>
        <w:gridCol w:w="947"/>
        <w:gridCol w:w="717"/>
      </w:tblGrid>
      <w:tr>
        <w:trPr>
          <w:tblHeader w:val="true"/>
        </w:trPr>
        <w:tc>
          <w:tcPr>
            <w:tcW w:w="30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notifyAttributeValueChange</w:t>
            </w:r>
          </w:p>
        </w:tc>
        <w:tc>
          <w:tcPr>
            <w:tcW w:w="94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notifyObjectCreation</w:t>
            </w:r>
          </w:p>
        </w:tc>
        <w:tc>
          <w:tcPr>
            <w:tcW w:w="94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notifyObjectDeletion</w:t>
            </w:r>
          </w:p>
        </w:tc>
        <w:tc>
          <w:tcPr>
            <w:tcW w:w="947"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br w:type="page"/>
      </w:r>
      <w:r>
        <w:rPr/>
      </w:r>
      <w:bookmarkStart w:id="43" w:name="historyclause"/>
      <w:bookmarkStart w:id="44" w:name="historyclause"/>
      <w:bookmarkEnd w:id="44"/>
    </w:p>
    <w:p>
      <w:pPr>
        <w:pStyle w:val="Heading8"/>
        <w:ind w:left="0" w:hanging="0"/>
        <w:rPr/>
      </w:pPr>
      <w:bookmarkStart w:id="45" w:name="__RefHeading___Toc391284111"/>
      <w:bookmarkEnd w:id="45"/>
      <w:r>
        <w:rPr/>
        <w:t xml:space="preserve">Annex A (informative): </w:t>
        <w:br/>
        <w:t>Example Configuration of ATM Transport Network in UTRAN</w:t>
      </w:r>
    </w:p>
    <w:p>
      <w:pPr>
        <w:pStyle w:val="Normal"/>
        <w:rPr/>
      </w:pPr>
      <w:r>
        <w:rPr/>
      </w:r>
    </w:p>
    <w:p>
      <w:pPr>
        <w:pStyle w:val="TH"/>
        <w:rPr>
          <w:lang w:val="en-US" w:eastAsia="en-US"/>
        </w:rPr>
      </w:pPr>
      <w:bookmarkStart w:id="46" w:name="_1395129654"/>
      <w:bookmarkStart w:id="47" w:name="_1129634992"/>
      <w:bookmarkStart w:id="48" w:name="_1129634725"/>
      <w:bookmarkStart w:id="49" w:name="_1129620953"/>
      <w:bookmarkStart w:id="50" w:name="_1129620906"/>
      <w:bookmarkStart w:id="51" w:name="_1129620381"/>
      <w:bookmarkStart w:id="52" w:name="_1129619822"/>
      <w:bookmarkStart w:id="53" w:name="_1129618099"/>
      <w:bookmarkStart w:id="54" w:name="_1129448988"/>
      <w:bookmarkStart w:id="55" w:name="_1128941886"/>
      <w:bookmarkStart w:id="56" w:name="_1128941253"/>
      <w:bookmarkStart w:id="57" w:name="_1128932286"/>
      <w:bookmarkStart w:id="58" w:name="_1128932139"/>
      <w:bookmarkStart w:id="59" w:name="_1128932031"/>
      <w:bookmarkStart w:id="60" w:name="_1128931973"/>
      <w:bookmarkStart w:id="61" w:name="_1128926126"/>
      <w:bookmarkStart w:id="62" w:name="_1117349480"/>
      <w:bookmarkStart w:id="63" w:name="_1116936210"/>
      <w:bookmarkStart w:id="64" w:name="_1116932591"/>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Pr>
          <w:lang w:val="en-US" w:eastAsia="en-US"/>
        </w:rPr>
        <w:object w:dxaOrig="11700" w:dyaOrig="768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2pt;height:316.6pt" filled="f" o:ole="">
            <v:imagedata r:id="rId10" o:title=""/>
          </v:shape>
          <o:OLEObject Type="Embed" ProgID="" ShapeID="ole_rId9" DrawAspect="Content" ObjectID="_507063441" r:id="rId9"/>
        </w:object>
      </w:r>
    </w:p>
    <w:p>
      <w:pPr>
        <w:pStyle w:val="TF"/>
        <w:rPr/>
      </w:pPr>
      <w:r>
        <w:rPr/>
        <w:t>Figure A.1:  Virtual connection of a logical Iub interface channel over ATM network</w:t>
      </w:r>
    </w:p>
    <w:p>
      <w:pPr>
        <w:pStyle w:val="Normal"/>
        <w:rPr/>
      </w:pPr>
      <w:r>
        <w:rPr/>
      </w:r>
      <w:r>
        <w:br w:type="page"/>
      </w:r>
    </w:p>
    <w:p>
      <w:pPr>
        <w:pStyle w:val="Heading8"/>
        <w:ind w:left="0" w:hanging="0"/>
        <w:rPr/>
      </w:pPr>
      <w:bookmarkStart w:id="65" w:name="__RefHeading___Toc391284112"/>
      <w:bookmarkEnd w:id="65"/>
      <w:r>
        <w:rPr/>
        <w:t>Annex B (informative):</w:t>
        <w:br/>
        <w:t>Change history</w:t>
      </w:r>
    </w:p>
    <w:tbl>
      <w:tblPr>
        <w:tblW w:w="9721" w:type="dxa"/>
        <w:jc w:val="left"/>
        <w:tblInd w:w="-47" w:type="dxa"/>
        <w:tblLayout w:type="fixed"/>
        <w:tblCellMar>
          <w:top w:w="0" w:type="dxa"/>
          <w:left w:w="40" w:type="dxa"/>
          <w:bottom w:w="0" w:type="dxa"/>
          <w:right w:w="40" w:type="dxa"/>
        </w:tblCellMar>
      </w:tblPr>
      <w:tblGrid>
        <w:gridCol w:w="765"/>
        <w:gridCol w:w="670"/>
        <w:gridCol w:w="792"/>
        <w:gridCol w:w="429"/>
        <w:gridCol w:w="374"/>
        <w:gridCol w:w="5041"/>
        <w:gridCol w:w="596"/>
        <w:gridCol w:w="525"/>
        <w:gridCol w:w="529"/>
      </w:tblGrid>
      <w:tr>
        <w:trPr>
          <w:cantSplit w:val="true"/>
        </w:trPr>
        <w:tc>
          <w:tcPr>
            <w:tcW w:w="97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6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70"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79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4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37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504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2013-09</w:t>
            </w:r>
          </w:p>
        </w:tc>
        <w:tc>
          <w:tcPr>
            <w:tcW w:w="67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SA#61</w:t>
            </w:r>
          </w:p>
        </w:tc>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SP-130433</w:t>
            </w:r>
          </w:p>
        </w:tc>
        <w:tc>
          <w:tcPr>
            <w:tcW w:w="4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37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50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Removal of wrong and redundant modelling statements</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6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7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792"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SP-140358</w:t>
            </w:r>
          </w:p>
        </w:tc>
        <w:tc>
          <w:tcPr>
            <w:tcW w:w="4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002</w:t>
            </w:r>
          </w:p>
        </w:tc>
        <w:tc>
          <w:tcPr>
            <w:tcW w:w="37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596"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11.2.0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2014-10</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Rel-12 version (MCC)</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11.2.0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12.0.0</w:t>
            </w:r>
          </w:p>
        </w:tc>
      </w:tr>
      <w:tr>
        <w:trPr/>
        <w:tc>
          <w:tcPr>
            <w:tcW w:w="765"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7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color w:val="000000"/>
                <w:sz w:val="16"/>
                <w:szCs w:val="16"/>
              </w:rPr>
              <w:t>Update to Rel-13 version (MCC)</w:t>
            </w:r>
          </w:p>
        </w:tc>
        <w:tc>
          <w:tcPr>
            <w:tcW w:w="596"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12.0.0</w:t>
            </w:r>
          </w:p>
        </w:tc>
        <w:tc>
          <w:tcPr>
            <w:tcW w:w="529" w:type="dxa"/>
            <w:tcBorders>
              <w:top w:val="single" w:sz="12" w:space="0" w:color="000000"/>
              <w:left w:val="single" w:sz="6" w:space="0" w:color="000000"/>
              <w:bottom w:val="single" w:sz="6" w:space="0" w:color="000000"/>
              <w:right w:val="single" w:sz="6" w:space="0" w:color="000000"/>
            </w:tcBorders>
            <w:shd w:fill="FFFFFF" w:val="clear"/>
          </w:tcPr>
          <w:p>
            <w:pPr>
              <w:pStyle w:val="TAL"/>
              <w:rPr>
                <w:b/>
                <w:b/>
                <w:color w:val="000000"/>
                <w:sz w:val="16"/>
                <w:szCs w:val="16"/>
              </w:rPr>
            </w:pPr>
            <w:r>
              <w:rPr>
                <w:b/>
                <w:color w:val="000000"/>
                <w:sz w:val="16"/>
                <w:szCs w:val="16"/>
              </w:rPr>
              <w:t>13.0.0</w:t>
            </w:r>
          </w:p>
        </w:tc>
      </w:tr>
    </w:tbl>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SP-160854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lang w:val="en-US" w:eastAsia="en-US"/>
              </w:rPr>
              <w:t>Correct the usage of isNullable and multiplicity property</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lang w:val="en-US" w:eastAsia="en-US"/>
              </w:rPr>
            </w:pPr>
            <w:r>
              <w:rPr>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US" w:eastAsia="en-US"/>
              </w:rPr>
            </w:pPr>
            <w:r>
              <w:rPr>
                <w:lang w:val="en-US" w:eastAsia="en-US"/>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SA#78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SP-170962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lang w:val="en-US" w:eastAsia="en-US"/>
              </w:rPr>
            </w:pPr>
            <w:r>
              <w:rPr>
                <w:lang w:val="en-US" w:eastAsia="en-US"/>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erroneous references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lang w:val="en-US" w:eastAsia="en-US"/>
              </w:rPr>
            </w:pPr>
            <w:r>
              <w:rPr>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US" w:eastAsia="en-US"/>
              </w:rPr>
            </w:pPr>
            <w:r>
              <w:rPr>
                <w:lang w:val="en-US"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lang w:val="en-US" w:eastAsia="en-US"/>
              </w:rPr>
            </w:pPr>
            <w:r>
              <w:rPr>
                <w:bCs/>
                <w:lang w:val="en-US"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lang w:val="en-US" w:eastAsia="en-US"/>
              </w:rPr>
            </w:pPr>
            <w:r>
              <w:rPr>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US" w:eastAsia="en-US"/>
              </w:rPr>
            </w:pPr>
            <w:r>
              <w:rPr>
                <w:lang w:val="en-US" w:eastAsia="en-US"/>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lang w:val="en-US" w:eastAsia="en-US"/>
              </w:rPr>
            </w:pPr>
            <w:r>
              <w:rPr>
                <w:bCs/>
                <w:lang w:val="en-US" w:eastAsia="en-US"/>
              </w:rPr>
              <w:t>16.0.0</w:t>
            </w:r>
          </w:p>
        </w:tc>
      </w:tr>
    </w:tbl>
    <w:p>
      <w:pPr>
        <w:pStyle w:val="Normal"/>
        <w:rPr>
          <w:rFonts w:ascii="Arial" w:hAnsi="Arial" w:cs="Arial"/>
          <w:sz w:val="18"/>
          <w:lang w:val="en-US" w:eastAsia="en-US"/>
        </w:rPr>
      </w:pPr>
      <w:r>
        <w:rPr>
          <w:rFonts w:cs="Arial" w:ascii="Arial" w:hAnsi="Arial"/>
          <w:sz w:val="18"/>
          <w:lang w:val="en-US" w:eastAsia="en-US"/>
        </w:rPr>
      </w:r>
    </w:p>
    <w:p>
      <w:pPr>
        <w:pStyle w:val="Normal"/>
        <w:spacing w:before="0" w:after="180"/>
        <w:rPr>
          <w:rFonts w:ascii="Arial" w:hAnsi="Arial" w:cs="Arial"/>
          <w:sz w:val="18"/>
          <w:lang w:val="en-US" w:eastAsia="en-US"/>
        </w:rPr>
      </w:pPr>
      <w:r>
        <w:rPr>
          <w:rFonts w:cs="Arial" w:ascii="Arial" w:hAnsi="Arial"/>
          <w:sz w:val="18"/>
          <w:lang w:val="en-US" w:eastAsia="en-US"/>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78689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28.732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28.732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lvl w:ilvl="0">
      <w:start w:val="1"/>
      <w:numFmt w:val="bullet"/>
      <w:lvlText w:val=""/>
      <w:lvlJc w:val="left"/>
      <w:pPr>
        <w:tabs>
          <w:tab w:val="num" w:pos="0"/>
        </w:tabs>
        <w:ind w:left="644" w:hanging="360"/>
      </w:pPr>
      <w:rPr>
        <w:rFonts w:ascii="Symbol" w:hAnsi="Symbol" w:cs="Symbol" w:hint="default"/>
      </w:rPr>
    </w:lvl>
  </w:abstractNum>
  <w:abstractNum w:abstractNumId="5">
    <w:lvl w:ilvl="0">
      <w:start w:val="4"/>
      <w:numFmt w:val="decimal"/>
      <w:lvlText w:val="%1"/>
      <w:lvlJc w:val="left"/>
      <w:pPr>
        <w:tabs>
          <w:tab w:val="num" w:pos="1425"/>
        </w:tabs>
        <w:ind w:left="1425" w:hanging="1425"/>
      </w:pPr>
      <w:rPr/>
    </w:lvl>
    <w:lvl w:ilvl="1">
      <w:start w:val="3"/>
      <w:numFmt w:val="decimal"/>
      <w:lvlText w:val="%1.%2"/>
      <w:lvlJc w:val="left"/>
      <w:pPr>
        <w:tabs>
          <w:tab w:val="num" w:pos="1425"/>
        </w:tabs>
        <w:ind w:left="1425" w:hanging="1425"/>
      </w:pPr>
      <w:rPr/>
    </w:lvl>
    <w:lvl w:ilvl="2">
      <w:start w:val="3"/>
      <w:numFmt w:val="decimal"/>
      <w:lvlText w:val="%1.%2.%3"/>
      <w:lvlJc w:val="left"/>
      <w:pPr>
        <w:tabs>
          <w:tab w:val="num" w:pos="1425"/>
        </w:tabs>
        <w:ind w:left="1425" w:hanging="1425"/>
      </w:pPr>
      <w:rPr/>
    </w:lvl>
    <w:lvl w:ilvl="3">
      <w:start w:val="3"/>
      <w:numFmt w:val="decimal"/>
      <w:lvlText w:val="%1.%2.%3.%4"/>
      <w:lvlJc w:val="left"/>
      <w:pPr>
        <w:tabs>
          <w:tab w:val="num" w:pos="1425"/>
        </w:tabs>
        <w:ind w:left="1425" w:hanging="1425"/>
      </w:pPr>
      <w:rPr/>
    </w:lvl>
    <w:lvl w:ilvl="4">
      <w:start w:val="1"/>
      <w:numFmt w:val="decimal"/>
      <w:lvlText w:val="%1.%2.%3.%4.%5"/>
      <w:lvlJc w:val="left"/>
      <w:pPr>
        <w:tabs>
          <w:tab w:val="num" w:pos="1425"/>
        </w:tabs>
        <w:ind w:left="1425" w:hanging="1425"/>
      </w:pPr>
      <w:rPr/>
    </w:lvl>
    <w:lvl w:ilvl="5">
      <w:start w:val="1"/>
      <w:numFmt w:val="decimal"/>
      <w:lvlText w:val="%1.%2.%3.%4.%5.%6"/>
      <w:lvlJc w:val="left"/>
      <w:pPr>
        <w:tabs>
          <w:tab w:val="num" w:pos="1425"/>
        </w:tabs>
        <w:ind w:left="1425" w:hanging="1425"/>
      </w:pPr>
      <w:rPr/>
    </w:lvl>
    <w:lvl w:ilvl="6">
      <w:start w:val="1"/>
      <w:numFmt w:val="decimal"/>
      <w:lvlText w:val="%1.%2.%3.%4.%5.%6.%7"/>
      <w:lvlJc w:val="left"/>
      <w:pPr>
        <w:tabs>
          <w:tab w:val="num" w:pos="1425"/>
        </w:tabs>
        <w:ind w:left="1425" w:hanging="1425"/>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6">
    <w:lvl w:ilvl="0">
      <w:numFmt w:val="bullet"/>
      <w:lvlText w:val=""/>
      <w:lvlJc w:val="left"/>
      <w:pPr>
        <w:tabs>
          <w:tab w:val="num" w:pos="283"/>
        </w:tabs>
        <w:ind w:left="567"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cs="Times New Roman"/>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20"/>
    </w:rPr>
  </w:style>
  <w:style w:type="character" w:styleId="WW8Num9z1">
    <w:name w:val="WW8Num9z1"/>
    <w:qFormat/>
    <w:rPr>
      <w:rFonts w:cs="Times New Roman"/>
    </w:rPr>
  </w:style>
  <w:style w:type="character" w:styleId="WW8Num9z2">
    <w:name w:val="WW8Num9z2"/>
    <w:qFormat/>
    <w:rPr>
      <w:rFonts w:cs="Times New Roman"/>
      <w:strike w:val="false"/>
      <w:dstrike w:val="false"/>
      <w:sz w:val="24"/>
      <w:szCs w:val="24"/>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Arial" w:hAnsi="Arial"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cs="Arial"/>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Arial" w:hAnsi="Arial" w:eastAsia="Times New Roman" w:cs="Times New Roman"/>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cs="Times New Roman"/>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Arial" w:hAnsi="Arial" w:eastAsia="Times New Roman" w:cs="Arial"/>
    </w:rPr>
  </w:style>
  <w:style w:type="character" w:styleId="WW8Num30z2">
    <w:name w:val="WW8Num30z2"/>
    <w:qFormat/>
    <w:rPr>
      <w:rFonts w:ascii="Wingdings" w:hAnsi="Wingdings" w:cs="Wingdings"/>
    </w:rPr>
  </w:style>
  <w:style w:type="character" w:styleId="WW8Num30z4">
    <w:name w:val="WW8Num30z4"/>
    <w:qFormat/>
    <w:rPr>
      <w:rFonts w:ascii="Courier New" w:hAnsi="Courier New" w:cs="Courier New"/>
    </w:rPr>
  </w:style>
  <w:style w:type="character" w:styleId="WW8Num31z0">
    <w:name w:val="WW8Num31z0"/>
    <w:qFormat/>
    <w:rPr>
      <w:rFonts w:cs="Times New Roman"/>
    </w:rPr>
  </w:style>
  <w:style w:type="character" w:styleId="WW8Num31z2">
    <w:name w:val="WW8Num31z2"/>
    <w:qFormat/>
    <w:rPr>
      <w:rFonts w:cs="Times New Roman"/>
      <w:strike w:val="false"/>
      <w:dstrike w:val="false"/>
      <w:sz w:val="24"/>
      <w:szCs w:val="24"/>
    </w:rPr>
  </w:style>
  <w:style w:type="character" w:styleId="WW8Num32z0">
    <w:name w:val="WW8Num32z0"/>
    <w:qFormat/>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4"/>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2"/>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6"/>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6"/>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3"/>
      </w:numPr>
    </w:pPr>
    <w:rPr/>
  </w:style>
  <w:style w:type="paragraph" w:styleId="Index1">
    <w:name w:val="Index 1"/>
    <w:basedOn w:val="Normal"/>
    <w:pPr>
      <w:keepLines/>
      <w:overflowPunct w:val="false"/>
      <w:autoSpaceDE w:val="false"/>
      <w:spacing w:before="120" w:after="0"/>
      <w:textAlignment w:val="baseline"/>
    </w:pPr>
    <w:rPr/>
  </w:style>
  <w:style w:type="paragraph" w:styleId="Code">
    <w:name w:val="code"/>
    <w:basedOn w:val="Normal"/>
    <w:qFormat/>
    <w:pPr>
      <w:overflowPunct w:val="false"/>
      <w:autoSpaceDE w:val="false"/>
      <w:spacing w:before="120" w:after="0"/>
      <w:textAlignment w:val="baseline"/>
    </w:pPr>
    <w:rPr>
      <w:rFonts w:ascii="Courier New" w:hAnsi="Courier New" w:cs="Courier New"/>
      <w:lang w:val="en-US" w:eastAsia="en-US"/>
    </w:rPr>
  </w:style>
  <w:style w:type="paragraph" w:styleId="StyleTACCourierNewLeft">
    <w:name w:val="Style TAC + Courier New Left"/>
    <w:basedOn w:val="TAC"/>
    <w:qFormat/>
    <w:pPr>
      <w:overflowPunct w:val="false"/>
      <w:autoSpaceDE w:val="false"/>
      <w:jc w:val="left"/>
      <w:textAlignment w:val="baseline"/>
    </w:pPr>
    <w:rPr>
      <w:rFonts w:ascii="Courier New" w:hAnsi="Courier New" w:cs="Courier New"/>
    </w:rPr>
  </w:style>
  <w:style w:type="paragraph" w:styleId="StyleTACLeft">
    <w:name w:val="Style TAC + Left"/>
    <w:basedOn w:val="TAC"/>
    <w:qFormat/>
    <w:pPr>
      <w:overflowPunct w:val="false"/>
      <w:autoSpaceDE w:val="false"/>
      <w:jc w:val="left"/>
      <w:textAlignment w:val="baseline"/>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oleObject" Target="embeddings/oleObject1.bin"/><Relationship Id="rId10" Type="http://schemas.openxmlformats.org/officeDocument/2006/relationships/image" Target="media/image6.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NRM IRP Converged Management Transport Network</cp:keywords>
  <dc:language>en-US</dc:language>
  <cp:lastModifiedBy>28.622_CR0086R1_(Rel-16)_eNRM</cp:lastModifiedBy>
  <dcterms:modified xsi:type="dcterms:W3CDTF">2020-07-15T11:51:00Z</dcterms:modified>
  <cp:revision>3</cp:revision>
  <dc:subject>Telecommunication management; Transport Network (TN) interface Network Resource Model (NRM) Integration Reference Point (IRP); Information Service (IS) (Release 16)</dc:subject>
  <dc:title>3GPP TS 28.732</dc:title>
</cp:coreProperties>
</file>