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28.751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28.751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pPr>
                            <w:r>
                              <w:rPr>
                                <w:color w:val="000000"/>
                                <w:lang w:val="fr-FR"/>
                              </w:rPr>
                              <w:t>Subscription Management (SuM</w:t>
                            </w:r>
                            <w:r>
                              <w:rPr>
                                <w:lang w:val="fr-FR"/>
                              </w:rPr>
                              <w:t xml:space="preserve">) </w:t>
                            </w:r>
                          </w:p>
                          <w:p>
                            <w:pPr>
                              <w:pStyle w:val="ZT"/>
                              <w:rPr/>
                            </w:pPr>
                            <w:r>
                              <w:rPr/>
                              <w:t xml:space="preserve">Network Resource Model (NRM) </w:t>
                            </w:r>
                          </w:p>
                          <w:p>
                            <w:pPr>
                              <w:pStyle w:val="ZT"/>
                              <w:rPr/>
                            </w:pPr>
                            <w:r>
                              <w:rPr/>
                              <w:t xml:space="preserve">Integration Reference Point (IRP); </w:t>
                            </w:r>
                          </w:p>
                          <w:p>
                            <w:pPr>
                              <w:pStyle w:val="ZT"/>
                              <w:rPr>
                                <w:color w:val="000000"/>
                              </w:rPr>
                            </w:pPr>
                            <w:r>
                              <w:rPr>
                                <w:color w:val="000000"/>
                              </w:rPr>
                              <w:t>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fr-FR"/>
                        </w:rPr>
                      </w:pPr>
                      <w:r>
                        <w:rPr>
                          <w:lang w:val="fr-FR"/>
                        </w:rPr>
                        <w:t>Telecommunication management;</w:t>
                      </w:r>
                    </w:p>
                    <w:p>
                      <w:pPr>
                        <w:pStyle w:val="ZT"/>
                        <w:rPr/>
                      </w:pPr>
                      <w:r>
                        <w:rPr>
                          <w:color w:val="000000"/>
                          <w:lang w:val="fr-FR"/>
                        </w:rPr>
                        <w:t>Subscription Management (SuM</w:t>
                      </w:r>
                      <w:r>
                        <w:rPr>
                          <w:lang w:val="fr-FR"/>
                        </w:rPr>
                        <w:t xml:space="preserve">) </w:t>
                      </w:r>
                    </w:p>
                    <w:p>
                      <w:pPr>
                        <w:pStyle w:val="ZT"/>
                        <w:rPr/>
                      </w:pPr>
                      <w:r>
                        <w:rPr/>
                        <w:t xml:space="preserve">Network Resource Model (NRM) </w:t>
                      </w:r>
                    </w:p>
                    <w:p>
                      <w:pPr>
                        <w:pStyle w:val="ZT"/>
                        <w:rPr/>
                      </w:pPr>
                      <w:r>
                        <w:rPr/>
                        <w:t xml:space="preserve">Integration Reference Point (IRP); </w:t>
                      </w:r>
                    </w:p>
                    <w:p>
                      <w:pPr>
                        <w:pStyle w:val="ZT"/>
                        <w:rPr>
                          <w:color w:val="000000"/>
                        </w:rPr>
                      </w:pPr>
                      <w:r>
                        <w:rPr>
                          <w:color w:val="000000"/>
                        </w:rPr>
                        <w:t>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715645"/>
                <wp:effectExtent l="0" t="0" r="0" b="0"/>
                <wp:wrapTopAndBottom/>
                <wp:docPr id="11" name="Frame7"/>
                <a:graphic xmlns:a="http://schemas.openxmlformats.org/drawingml/2006/main">
                  <a:graphicData uri="http://schemas.microsoft.com/office/word/2010/wordprocessingShape">
                    <wps:wsp>
                      <wps:cNvSpPr txBox="1"/>
                      <wps:spPr>
                        <a:xfrm>
                          <a:off x="0" y="0"/>
                          <a:ext cx="6121400" cy="71564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Subscription Management, NRM, IRP, Converged Management</w:t>
                            </w:r>
                          </w:p>
                          <w:p>
                            <w:pPr>
                              <w:pStyle w:val="FP"/>
                              <w:ind w:left="2835" w:right="2835" w:hanging="0"/>
                              <w:jc w:val="center"/>
                              <w:rPr>
                                <w:rFonts w:ascii="Arial" w:hAnsi="Arial" w:cs="Arial"/>
                                <w:sz w:val="18"/>
                              </w:rPr>
                            </w:pPr>
                            <w:r>
                              <w:rPr>
                                <w:rFonts w:cs="Arial" w:ascii="Arial" w:hAnsi="Arial"/>
                                <w:sz w:val="18"/>
                              </w:rPr>
                            </w:r>
                          </w:p>
                        </w:txbxContent>
                      </wps:txbx>
                      <wps:bodyPr anchor="t" lIns="0" tIns="0" rIns="0" bIns="12700">
                        <a:noAutofit/>
                      </wps:bodyPr>
                    </wps:wsp>
                  </a:graphicData>
                </a:graphic>
              </wp:anchor>
            </w:drawing>
          </mc:Choice>
          <mc:Fallback>
            <w:pict>
              <v:rect fillcolor="#FFFFFF" style="position:absolute;rotation:-0;width:482pt;height:56.3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Subscription Management, NRM, IRP, Converged Management</w:t>
                      </w:r>
                    </w:p>
                    <w:p>
                      <w:pPr>
                        <w:pStyle w:val="FP"/>
                        <w:ind w:left="2835" w:right="2835" w:hanging="0"/>
                        <w:jc w:val="center"/>
                        <w:rPr>
                          <w:rFonts w:ascii="Arial" w:hAnsi="Arial" w:cs="Arial"/>
                          <w:sz w:val="18"/>
                        </w:rPr>
                      </w:pPr>
                      <w:r>
                        <w:rPr>
                          <w:rFonts w:cs="Arial" w:ascii="Arial" w:hAnsi="Arial"/>
                          <w:sz w:val="18"/>
                        </w:rPr>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1285725">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391285726">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1285727">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1285728">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91285729">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1285730">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91285731">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Requirements</w:t>
            <w:tab/>
          </w:r>
          <w:hyperlink w:anchor="__RefHeading___Toc391285732">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391285733">
            <w:r>
              <w:rPr>
                <w:rStyle w:val="IndexLink"/>
                <w:b w:val="false"/>
              </w:rPr>
              <w:t>7</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391285725"/>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B2"/>
        <w:rPr/>
      </w:pPr>
      <w:r>
        <w:rPr/>
      </w:r>
    </w:p>
    <w:p>
      <w:pPr>
        <w:pStyle w:val="Heading1"/>
        <w:ind w:left="1134" w:hanging="1134"/>
        <w:rPr/>
      </w:pPr>
      <w:bookmarkStart w:id="9" w:name="__RefHeading___Toc391285726"/>
      <w:bookmarkEnd w:id="9"/>
      <w:r>
        <w:rPr/>
        <w:t>Introduction</w:t>
      </w:r>
    </w:p>
    <w:p>
      <w:pPr>
        <w:pStyle w:val="Normal"/>
        <w:rPr/>
      </w:pPr>
      <w:r>
        <w:rPr/>
        <w:t>Subscription Management is a feature that permits Service Providers, Value Added Service Providers and Mobile Operators to provision services for a specific subscriber.  Subscription Management is an area of Service Operation Management that sets a complex challenge for Service Providers and Operators in their support of new or existing subscribers during their every day network operation.</w:t>
      </w:r>
    </w:p>
    <w:p>
      <w:pPr>
        <w:pStyle w:val="Normal"/>
        <w:rPr/>
      </w:pPr>
      <w:r>
        <w:rPr/>
        <w:t>The present document is part a TS-family covering the 3</w:t>
      </w:r>
      <w:r>
        <w:rPr>
          <w:vertAlign w:val="superscript"/>
        </w:rPr>
        <w:t>rd</w:t>
      </w:r>
      <w:r>
        <w:rPr/>
        <w:t xml:space="preserve"> Generation Partnership Project; Technical Specification Group Services and System Aspects; Telecommunication management, as identified below:</w:t>
      </w:r>
    </w:p>
    <w:p>
      <w:pPr>
        <w:pStyle w:val="B1"/>
        <w:rPr/>
      </w:pPr>
      <w:r>
        <w:rPr/>
        <w:t>TS 32.140:</w:t>
        <w:tab/>
        <w:t>Subscription Management (SuM) requirements.</w:t>
      </w:r>
    </w:p>
    <w:p>
      <w:pPr>
        <w:pStyle w:val="B1"/>
        <w:rPr/>
      </w:pPr>
      <w:r>
        <w:rPr/>
        <w:t>TS 32.141:</w:t>
        <w:tab/>
        <w:t>Subscription Management (SuM) architecture.</w:t>
      </w:r>
    </w:p>
    <w:p>
      <w:pPr>
        <w:pStyle w:val="B1"/>
        <w:rPr>
          <w:b/>
          <w:b/>
          <w:bCs/>
        </w:rPr>
      </w:pPr>
      <w:r>
        <w:rPr>
          <w:b/>
          <w:bCs/>
          <w:color w:val="000000"/>
        </w:rPr>
        <w:t>TS 28.751:</w:t>
        <w:tab/>
        <w:t>Subscription Management (SuM</w:t>
      </w:r>
      <w:r>
        <w:rPr>
          <w:b/>
          <w:bCs/>
        </w:rPr>
        <w:t xml:space="preserve">) Network Resource Model (NRM) Integration Reference Point (IRP); </w:t>
      </w:r>
      <w:r>
        <w:rPr>
          <w:b/>
          <w:bCs/>
          <w:color w:val="000000"/>
        </w:rPr>
        <w:t>Requirements.</w:t>
      </w:r>
    </w:p>
    <w:p>
      <w:pPr>
        <w:pStyle w:val="B1"/>
        <w:rPr/>
      </w:pPr>
      <w:r>
        <w:rPr>
          <w:color w:val="000000"/>
        </w:rPr>
        <w:t>TS 28.752:</w:t>
        <w:tab/>
        <w:t>Subscription Management (SuM</w:t>
      </w:r>
      <w:r>
        <w:rPr/>
        <w:t>) Network Resource Model (NRM) Integration Reference Point (IRP); Information Service (IS)</w:t>
      </w:r>
      <w:r>
        <w:rPr>
          <w:color w:val="000000"/>
        </w:rPr>
        <w:t>.</w:t>
      </w:r>
    </w:p>
    <w:p>
      <w:pPr>
        <w:pStyle w:val="B1"/>
        <w:rPr>
          <w:bCs/>
        </w:rPr>
      </w:pPr>
      <w:r>
        <w:rPr>
          <w:bCs/>
        </w:rPr>
        <w:t>TS 28.753:</w:t>
        <w:tab/>
        <w:t>Subscription Management (SuM) Network Resource Model (NRM) Integration Reference Point (IRP); Solution Set (SS) definitions.</w:t>
      </w:r>
      <w:r>
        <w:br w:type="page"/>
      </w:r>
    </w:p>
    <w:p>
      <w:pPr>
        <w:pStyle w:val="Heading1"/>
        <w:ind w:left="1134" w:hanging="1134"/>
        <w:rPr/>
      </w:pPr>
      <w:bookmarkStart w:id="10" w:name="__RefHeading___Toc391285727"/>
      <w:bookmarkEnd w:id="10"/>
      <w:r>
        <w:rPr/>
        <w:t>1</w:t>
        <w:tab/>
        <w:t>Scope</w:t>
      </w:r>
    </w:p>
    <w:p>
      <w:pPr>
        <w:pStyle w:val="Normal"/>
        <w:rPr/>
      </w:pPr>
      <w:r>
        <w:rPr/>
        <w:t>The present document defines, in addition to the requirements defined in [1], [2], [3] and [4], requirements for the present IRP: SuM NRM IRP.</w:t>
      </w:r>
    </w:p>
    <w:p>
      <w:pPr>
        <w:pStyle w:val="Heading1"/>
        <w:ind w:left="1134" w:hanging="1134"/>
        <w:rPr/>
      </w:pPr>
      <w:bookmarkStart w:id="11" w:name="__RefHeading___Toc391285728"/>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TS 32.101: "Telecommunication management; Principles and high level requirements".</w:t>
      </w:r>
    </w:p>
    <w:p>
      <w:pPr>
        <w:pStyle w:val="EX"/>
        <w:rPr/>
      </w:pPr>
      <w:r>
        <w:rPr/>
        <w:t>[2]</w:t>
        <w:tab/>
        <w:t>3GPP TS 32.102: "Telecommunication management; Architecture".</w:t>
      </w:r>
    </w:p>
    <w:p>
      <w:pPr>
        <w:pStyle w:val="EX"/>
        <w:rPr/>
      </w:pPr>
      <w:r>
        <w:rPr/>
        <w:t>[3]</w:t>
        <w:tab/>
        <w:t>3GPP TS 32.140: "Telecommunication management; Subscription Management (SuM) requirements".</w:t>
      </w:r>
    </w:p>
    <w:p>
      <w:pPr>
        <w:pStyle w:val="EX"/>
        <w:rPr/>
      </w:pPr>
      <w:r>
        <w:rPr/>
        <w:t>[4]</w:t>
        <w:tab/>
        <w:t>3GPP TS 32.141: "Telecommunication management; Subscription Management (SuM) architecture".</w:t>
      </w:r>
    </w:p>
    <w:p>
      <w:pPr>
        <w:pStyle w:val="EX"/>
        <w:rPr/>
      </w:pPr>
      <w:r>
        <w:rPr/>
        <w:t>[5]</w:t>
        <w:tab/>
        <w:t>3GPP TS 32.600: "Telecommunication management; Configuration Management (CM); Concept and high-level requirements".</w:t>
      </w:r>
    </w:p>
    <w:p>
      <w:pPr>
        <w:pStyle w:val="EX"/>
        <w:rPr/>
      </w:pPr>
      <w:r>
        <w:rPr/>
        <w:t>[6]</w:t>
        <w:tab/>
        <w:t>3GPP TS 32.107: "Telecommunication management; Fixed Mobile Convergence (FMC) Federated Network Information Model (FNIM)".</w:t>
      </w:r>
    </w:p>
    <w:p>
      <w:pPr>
        <w:pStyle w:val="EX"/>
        <w:rPr/>
      </w:pPr>
      <w:r>
        <w:rPr/>
        <w:t>[7]</w:t>
        <w:tab/>
        <w:t>3GPP TS 28.620: "Telecommunication management; Fixed Mobile Convergence (FMC) Federated Network Information Model (FNIM) Umbrella Information Model (UIM)".</w:t>
      </w:r>
    </w:p>
    <w:p>
      <w:pPr>
        <w:pStyle w:val="Heading1"/>
        <w:ind w:left="1134" w:hanging="1134"/>
        <w:rPr/>
      </w:pPr>
      <w:bookmarkStart w:id="12" w:name="__RefHeading___Toc391285729"/>
      <w:bookmarkEnd w:id="12"/>
      <w:r>
        <w:rPr/>
        <w:t>3</w:t>
        <w:tab/>
        <w:t>Definitions and abbreviations</w:t>
      </w:r>
    </w:p>
    <w:p>
      <w:pPr>
        <w:pStyle w:val="Heading2"/>
        <w:rPr/>
      </w:pPr>
      <w:bookmarkStart w:id="13" w:name="__RefHeading___Toc391285730"/>
      <w:bookmarkEnd w:id="13"/>
      <w:r>
        <w:rPr/>
        <w:t>3.1</w:t>
        <w:tab/>
        <w:t>Definitions</w:t>
      </w:r>
    </w:p>
    <w:p>
      <w:pPr>
        <w:pStyle w:val="Normal"/>
        <w:rPr/>
      </w:pPr>
      <w:r>
        <w:rPr/>
        <w:t>For the purposes of the present document, the following terms and definitions apply. For terms and definitions not found here, please refer to 3GPP TS 32.101 [1], 3GPP TS 32.102 [2], 3GPP TS 32.140 [3], 3GPP TS 32.141 [4] and 3GPP TS 32.600 [5].</w:t>
      </w:r>
    </w:p>
    <w:p>
      <w:pPr>
        <w:pStyle w:val="Heading2"/>
        <w:rPr/>
      </w:pPr>
      <w:bookmarkStart w:id="14" w:name="__RefHeading___Toc391285731"/>
      <w:bookmarkEnd w:id="14"/>
      <w:r>
        <w:rPr/>
        <w:t>3.2</w:t>
        <w:tab/>
        <w:t>Abbreviations</w:t>
      </w:r>
    </w:p>
    <w:p>
      <w:pPr>
        <w:pStyle w:val="Normal"/>
        <w:keepNext w:val="true"/>
        <w:rPr/>
      </w:pPr>
      <w:r>
        <w:rPr/>
        <w:t>For the purposes of the present document, the following abbreviations apply:</w:t>
      </w:r>
    </w:p>
    <w:p>
      <w:pPr>
        <w:pStyle w:val="EW"/>
        <w:rPr/>
      </w:pPr>
      <w:r>
        <w:rPr/>
        <w:t>IRP</w:t>
        <w:tab/>
      </w:r>
      <w:r>
        <w:rPr>
          <w:color w:val="000000"/>
        </w:rPr>
        <w:t>Integration Reference Point</w:t>
      </w:r>
    </w:p>
    <w:p>
      <w:pPr>
        <w:pStyle w:val="EW"/>
        <w:rPr/>
      </w:pPr>
      <w:r>
        <w:rPr/>
        <w:t>NRM</w:t>
        <w:tab/>
      </w:r>
      <w:r>
        <w:rPr>
          <w:color w:val="000000"/>
        </w:rPr>
        <w:t>Network Resource Model</w:t>
      </w:r>
    </w:p>
    <w:p>
      <w:pPr>
        <w:pStyle w:val="EW"/>
        <w:rPr/>
      </w:pPr>
      <w:r>
        <w:rPr/>
        <w:t>SuM</w:t>
        <w:tab/>
      </w:r>
      <w:r>
        <w:rPr>
          <w:color w:val="000000"/>
        </w:rPr>
        <w:t>Subscription Management</w:t>
      </w:r>
    </w:p>
    <w:p>
      <w:pPr>
        <w:pStyle w:val="Heading1"/>
        <w:ind w:left="1134" w:hanging="1134"/>
        <w:rPr/>
      </w:pPr>
      <w:bookmarkStart w:id="15" w:name="__RefHeading___Toc391285732"/>
      <w:bookmarkEnd w:id="15"/>
      <w:r>
        <w:rPr/>
        <w:t>4</w:t>
        <w:tab/>
        <w:t>Requirements</w:t>
      </w:r>
    </w:p>
    <w:p>
      <w:pPr>
        <w:pStyle w:val="Normal"/>
        <w:rPr/>
      </w:pPr>
      <w:r>
        <w:rPr/>
        <w:t>The following general and high-level requirements apply for the present IRP:</w:t>
      </w:r>
    </w:p>
    <w:p>
      <w:pPr>
        <w:pStyle w:val="B1"/>
        <w:rPr/>
      </w:pPr>
      <w:r>
        <w:rPr/>
        <w:t>a)</w:t>
        <w:tab/>
        <w:t>IRP-related requirements in 3GPP TS 32.101 [1].</w:t>
      </w:r>
    </w:p>
    <w:p>
      <w:pPr>
        <w:pStyle w:val="B1"/>
        <w:rPr/>
      </w:pPr>
      <w:r>
        <w:rPr/>
        <w:t>b)</w:t>
        <w:tab/>
        <w:t>IRP-related requirements in 3GPP TS 32.102 [2].</w:t>
      </w:r>
    </w:p>
    <w:p>
      <w:pPr>
        <w:pStyle w:val="B1"/>
        <w:rPr/>
      </w:pPr>
      <w:r>
        <w:rPr/>
        <w:t>c)</w:t>
        <w:tab/>
        <w:t>IRP-related requirements in 3GPP TS 32.140 [3].</w:t>
      </w:r>
    </w:p>
    <w:p>
      <w:pPr>
        <w:pStyle w:val="B1"/>
        <w:rPr/>
      </w:pPr>
      <w:r>
        <w:rPr/>
        <w:t>d)</w:t>
        <w:tab/>
        <w:t>IRP-related requirements in 3GPP TS 32.141 [4].</w:t>
      </w:r>
    </w:p>
    <w:p>
      <w:pPr>
        <w:pStyle w:val="Normal"/>
        <w:rPr/>
      </w:pPr>
      <w:r>
        <w:rPr/>
        <w:t>The NRM defined by this IRP:</w:t>
      </w:r>
    </w:p>
    <w:p>
      <w:pPr>
        <w:pStyle w:val="B1"/>
        <w:rPr/>
      </w:pPr>
      <w:r>
        <w:rPr/>
        <w:t>a)</w:t>
        <w:tab/>
        <w:t xml:space="preserve">Shall support communications for </w:t>
      </w:r>
      <w:r>
        <w:rPr>
          <w:lang w:val="en-US"/>
        </w:rPr>
        <w:t xml:space="preserve">telecommunication network management purposes, including management of converged networks. </w:t>
      </w:r>
    </w:p>
    <w:p>
      <w:pPr>
        <w:pStyle w:val="B1"/>
        <w:rPr/>
      </w:pPr>
      <w:r>
        <w:rPr>
          <w:lang w:val="en-US"/>
        </w:rPr>
        <w:t>b)</w:t>
        <w:tab/>
        <w:t xml:space="preserve">Is a member of the Federated Network Information Model (FNIM) </w:t>
      </w:r>
      <w:r>
        <w:rPr/>
        <w:t>[6] and its information is derived from the FNIM Umbrella Information Model (UIM) [7].</w:t>
      </w:r>
      <w:r>
        <w:br w:type="page"/>
      </w:r>
    </w:p>
    <w:p>
      <w:pPr>
        <w:pStyle w:val="Heading8"/>
        <w:ind w:left="0" w:hanging="0"/>
        <w:rPr/>
      </w:pPr>
      <w:bookmarkStart w:id="16" w:name="__RefHeading___Toc391285733"/>
      <w:bookmarkStart w:id="17" w:name="historyclause"/>
      <w:bookmarkEnd w:id="16"/>
      <w:bookmarkEnd w:id="17"/>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583"/>
        <w:gridCol w:w="709"/>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5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r>
          </w:p>
        </w:tc>
        <w:tc>
          <w:tcPr>
            <w:tcW w:w="458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Editorial changes (MCC): removal of blank page in page 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11.0.1</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2014-06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SA#64</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SP-140359</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001</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583"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remove the feature support statements</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11.0.1</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 to Rel-12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11.1.0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b/>
                <w:b/>
                <w:color w:val="000000"/>
                <w:sz w:val="16"/>
                <w:szCs w:val="16"/>
                <w:lang w:eastAsia="ko-KR"/>
              </w:rPr>
            </w:pPr>
            <w:r>
              <w:rPr>
                <w:rFonts w:eastAsia="Batang;바탕" w:cs="Arial" w:ascii="Arial" w:hAnsi="Arial"/>
                <w:b/>
                <w:color w:val="000000"/>
                <w:sz w:val="16"/>
                <w:szCs w:val="16"/>
                <w:lang w:eastAsia="ko-KR"/>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 to Rel-13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12.0.0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b/>
                <w:b/>
                <w:color w:val="000000"/>
                <w:sz w:val="16"/>
                <w:szCs w:val="16"/>
                <w:lang w:eastAsia="ko-KR"/>
              </w:rPr>
            </w:pPr>
            <w:r>
              <w:rPr>
                <w:rFonts w:eastAsia="Batang;바탕" w:cs="Arial" w:ascii="Arial" w:hAnsi="Arial"/>
                <w:b/>
                <w:color w:val="000000"/>
                <w:sz w:val="16"/>
                <w:szCs w:val="16"/>
                <w:lang w:eastAsia="ko-KR"/>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 to Rel-14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13.0.0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b/>
                <w:b/>
                <w:color w:val="000000"/>
                <w:sz w:val="16"/>
                <w:szCs w:val="16"/>
                <w:lang w:eastAsia="ko-KR"/>
              </w:rPr>
            </w:pPr>
            <w:r>
              <w:rPr>
                <w:rFonts w:eastAsia="Batang;바탕" w:cs="Arial" w:ascii="Arial" w:hAnsi="Arial"/>
                <w:b/>
                <w:color w:val="000000"/>
                <w:sz w:val="16"/>
                <w:szCs w:val="16"/>
                <w:lang w:eastAsia="ko-KR"/>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583"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 to Rel-15 version (MCC)</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14.0.0</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eastAsia="Batang;바탕" w:cs="Arial"/>
                <w:b/>
                <w:b/>
                <w:color w:val="000000"/>
                <w:sz w:val="16"/>
                <w:szCs w:val="16"/>
                <w:lang w:eastAsia="ko-KR"/>
              </w:rPr>
            </w:pPr>
            <w:r>
              <w:rPr>
                <w:rFonts w:eastAsia="Batang;바탕" w:cs="Arial" w:ascii="Arial" w:hAnsi="Arial"/>
                <w:b/>
                <w:color w:val="000000"/>
                <w:sz w:val="16"/>
                <w:szCs w:val="16"/>
                <w:lang w:eastAsia="ko-KR"/>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w:t>
            </w:r>
          </w:p>
        </w:tc>
        <w:tc>
          <w:tcPr>
            <w:tcW w:w="4583"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color w:val="000000"/>
                <w:sz w:val="16"/>
                <w:szCs w:val="16"/>
                <w:lang w:eastAsia="ko-KR"/>
              </w:rPr>
            </w:pPr>
            <w:r>
              <w:rPr>
                <w:rFonts w:eastAsia="Batang;바탕" w:cs="Arial" w:ascii="Arial" w:hAnsi="Arial"/>
                <w:color w:val="000000"/>
                <w:sz w:val="16"/>
                <w:szCs w:val="16"/>
                <w:lang w:eastAsia="ko-KR"/>
              </w:rPr>
              <w:t>15.0.0</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eastAsia="Batang;바탕" w:cs="Arial"/>
                <w:b/>
                <w:b/>
                <w:color w:val="000000"/>
                <w:sz w:val="16"/>
                <w:szCs w:val="16"/>
                <w:lang w:eastAsia="ko-KR"/>
              </w:rPr>
            </w:pPr>
            <w:r>
              <w:rPr>
                <w:rFonts w:eastAsia="Batang;바탕" w:cs="Arial" w:ascii="Arial" w:hAnsi="Arial"/>
                <w:b/>
                <w:color w:val="000000"/>
                <w:sz w:val="16"/>
                <w:szCs w:val="16"/>
                <w:lang w:eastAsia="ko-KR"/>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28.751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28.751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2020-07-09T15:55:00Z</dcterms:created>
  <dc:creator>MCC Support</dc:creator>
  <dc:description/>
  <cp:keywords>Subscription Management NRM IRP Converged Management</cp:keywords>
  <dc:language>en-US</dc:language>
  <cp:lastModifiedBy>23.401_CR3602R2_(Rel-16)_5GS_Ph1, LTE_feMob-Core, </cp:lastModifiedBy>
  <dcterms:modified xsi:type="dcterms:W3CDTF">2020-07-09T15:55:00Z</dcterms:modified>
  <cp:revision>2</cp:revision>
  <dc:subject>Telecommunication management; Subscription Management (SuM)  Network Resource Model (NRM)  Integration Reference Point (IRP);  Requirements (Release 16)</dc:subject>
  <dc:title>3GPP TS 28.751</dc:title>
</cp:coreProperties>
</file>