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3.png" ContentType="image/png"/>
  <Override PartName="/word/media/image4.png" ContentType="image/png"/>
  <Override PartName="/word/media/image5.wmf" ContentType="image/x-wmf"/>
  <Override PartName="/word/embeddings/oleObject1.bin" ContentType="application/vnd.openxmlformats-officedocument.oleObject"/>
  <Override PartName="/word/embeddings/oleObject2.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28.804 </w:t>
                            </w:r>
                            <w:r>
                              <w:rPr>
                                <w:lang w:val="en-GB" w:eastAsia="en-US"/>
                              </w:rPr>
                              <w:t xml:space="preserve">V16.0.1 </w:t>
                            </w:r>
                            <w:r>
                              <w:rPr>
                                <w:sz w:val="32"/>
                                <w:lang w:val="en-GB" w:eastAsia="en-US"/>
                              </w:rPr>
                              <w:t>(2019-</w:t>
                            </w:r>
                            <w:r>
                              <w:rPr>
                                <w:sz w:val="32"/>
                                <w:lang w:val="en-GB" w:eastAsia="zh-CN"/>
                              </w:rPr>
                              <w:t>10</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28.804 </w:t>
                      </w:r>
                      <w:r>
                        <w:rPr>
                          <w:lang w:val="en-GB" w:eastAsia="en-US"/>
                        </w:rPr>
                        <w:t xml:space="preserve">V16.0.1 </w:t>
                      </w:r>
                      <w:r>
                        <w:rPr>
                          <w:sz w:val="32"/>
                          <w:lang w:val="en-GB" w:eastAsia="en-US"/>
                        </w:rPr>
                        <w:t>(2019-</w:t>
                      </w:r>
                      <w:r>
                        <w:rPr>
                          <w:sz w:val="32"/>
                          <w:lang w:val="en-GB" w:eastAsia="zh-CN"/>
                        </w:rPr>
                        <w:t>10</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tenancy concept in 5G networks and network slicing management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tenancy concept in 5G networks and network slicing management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341755" cy="926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41755" cy="92646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i/>
                          <w:lang w:val="en-GB" w:eastAsia="en-US"/>
                        </w:rPr>
                        <w:drawing>
                          <wp:inline distT="0" distB="0" distL="0" distR="0">
                            <wp:extent cx="1341755" cy="9264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41755" cy="92646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sz w:val="18"/>
                              </w:rPr>
                            </w:pPr>
                            <w:r>
                              <w:rPr>
                                <w:sz w:val="18"/>
                              </w:rPr>
                              <w:t>N</w:t>
                            </w:r>
                            <w:r>
                              <w:rPr/>
                              <w:t>etwork slicing management,</w:t>
                            </w:r>
                            <w:r>
                              <w:rPr>
                                <w:sz w:val="18"/>
                              </w:rPr>
                              <w:t xml:space="preserve"> </w:t>
                            </w:r>
                            <w:r>
                              <w:rPr/>
                              <w:t>Tenancy</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sz w:val="18"/>
                        </w:rPr>
                      </w:pPr>
                      <w:r>
                        <w:rPr>
                          <w:sz w:val="18"/>
                        </w:rPr>
                        <w:t>N</w:t>
                      </w:r>
                      <w:r>
                        <w:rPr/>
                        <w:t>etwork slicing management,</w:t>
                      </w:r>
                      <w:r>
                        <w:rPr>
                          <w:sz w:val="18"/>
                        </w:rPr>
                        <w:t xml:space="preserve"> </w:t>
                      </w:r>
                      <w:r>
                        <w:rPr/>
                        <w:t>Tenancy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3" w:name="copyrightaddon"/>
                            <w:bookmarkEnd w:id="3"/>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41831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tab/>
            <w:t>Scope</w:t>
            <w:tab/>
          </w:r>
          <w:hyperlink w:anchor="__RefHeading___Toc21418314">
            <w:r>
              <w:rPr>
                <w:rStyle w:val="IndexLink"/>
              </w:rPr>
              <w:t>6</w:t>
            </w:r>
          </w:hyperlink>
        </w:p>
        <w:p>
          <w:pPr>
            <w:pStyle w:val="Contents1"/>
            <w:rPr>
              <w:rFonts w:ascii="Calibri" w:hAnsi="Calibri" w:cs="Calibri"/>
              <w:szCs w:val="22"/>
              <w:lang w:val="en-US" w:eastAsia="en-US"/>
            </w:rPr>
          </w:pPr>
          <w:r>
            <w:rPr/>
            <w:t>2</w:t>
            <w:tab/>
            <w:t>References</w:t>
            <w:tab/>
          </w:r>
          <w:hyperlink w:anchor="__RefHeading___Toc21418315">
            <w:r>
              <w:rPr>
                <w:rStyle w:val="IndexLink"/>
              </w:rPr>
              <w:t>6</w:t>
            </w:r>
          </w:hyperlink>
        </w:p>
        <w:p>
          <w:pPr>
            <w:pStyle w:val="Contents1"/>
            <w:rPr>
              <w:rFonts w:ascii="Calibri" w:hAnsi="Calibri" w:cs="Calibri"/>
              <w:szCs w:val="22"/>
              <w:lang w:val="en-US" w:eastAsia="en-US"/>
            </w:rPr>
          </w:pPr>
          <w:r>
            <w:rPr/>
            <w:t>3</w:t>
            <w:tab/>
            <w:t>Definitions of terms, symbols and abbreviations</w:t>
            <w:tab/>
          </w:r>
          <w:hyperlink w:anchor="__RefHeading___Toc21418316">
            <w:r>
              <w:rPr>
                <w:rStyle w:val="IndexLink"/>
              </w:rPr>
              <w:t>6</w:t>
            </w:r>
          </w:hyperlink>
        </w:p>
        <w:p>
          <w:pPr>
            <w:pStyle w:val="Contents2"/>
            <w:rPr>
              <w:rFonts w:ascii="Calibri" w:hAnsi="Calibri" w:cs="Calibri"/>
              <w:sz w:val="22"/>
              <w:szCs w:val="22"/>
              <w:lang w:val="en-US" w:eastAsia="en-US"/>
            </w:rPr>
          </w:pPr>
          <w:r>
            <w:rPr/>
            <w:t>3.1</w:t>
            <w:tab/>
            <w:t>Terms</w:t>
            <w:tab/>
          </w:r>
          <w:hyperlink w:anchor="__RefHeading___Toc21418317">
            <w:r>
              <w:rPr>
                <w:rStyle w:val="IndexLink"/>
              </w:rPr>
              <w:t>6</w:t>
            </w:r>
          </w:hyperlink>
        </w:p>
        <w:p>
          <w:pPr>
            <w:pStyle w:val="Contents2"/>
            <w:rPr>
              <w:rFonts w:ascii="Calibri" w:hAnsi="Calibri" w:cs="Calibri"/>
              <w:sz w:val="22"/>
              <w:szCs w:val="22"/>
              <w:lang w:val="en-US" w:eastAsia="en-US"/>
            </w:rPr>
          </w:pPr>
          <w:r>
            <w:rPr/>
            <w:t>3.2</w:t>
            <w:tab/>
            <w:t>Symbols</w:t>
            <w:tab/>
          </w:r>
          <w:hyperlink w:anchor="__RefHeading___Toc21418318">
            <w:r>
              <w:rPr>
                <w:rStyle w:val="IndexLink"/>
              </w:rPr>
              <w:t>7</w:t>
            </w:r>
          </w:hyperlink>
        </w:p>
        <w:p>
          <w:pPr>
            <w:pStyle w:val="Contents2"/>
            <w:rPr>
              <w:rFonts w:ascii="Calibri" w:hAnsi="Calibri" w:cs="Calibri"/>
              <w:sz w:val="22"/>
              <w:szCs w:val="22"/>
              <w:lang w:val="en-US" w:eastAsia="en-US"/>
            </w:rPr>
          </w:pPr>
          <w:r>
            <w:rPr/>
            <w:t>3.3</w:t>
            <w:tab/>
            <w:t>Abbreviations</w:t>
            <w:tab/>
          </w:r>
          <w:hyperlink w:anchor="__RefHeading___Toc21418319">
            <w:r>
              <w:rPr>
                <w:rStyle w:val="IndexLink"/>
              </w:rPr>
              <w:t>7</w:t>
            </w:r>
          </w:hyperlink>
        </w:p>
        <w:p>
          <w:pPr>
            <w:pStyle w:val="Contents1"/>
            <w:rPr>
              <w:rFonts w:ascii="Calibri" w:hAnsi="Calibri" w:cs="Calibri"/>
              <w:szCs w:val="22"/>
              <w:lang w:val="en-US" w:eastAsia="en-US"/>
            </w:rPr>
          </w:pPr>
          <w:r>
            <w:rPr/>
            <w:t>4</w:t>
            <w:tab/>
            <w:t>Concepts and background</w:t>
            <w:tab/>
          </w:r>
          <w:hyperlink w:anchor="__RefHeading___Toc21418320">
            <w:r>
              <w:rPr>
                <w:rStyle w:val="IndexLink"/>
              </w:rPr>
              <w:t>7</w:t>
            </w:r>
          </w:hyperlink>
        </w:p>
        <w:p>
          <w:pPr>
            <w:pStyle w:val="Contents2"/>
            <w:rPr>
              <w:rFonts w:ascii="Calibri" w:hAnsi="Calibri" w:cs="Calibri"/>
              <w:sz w:val="22"/>
              <w:szCs w:val="22"/>
              <w:lang w:val="en-US" w:eastAsia="en-US"/>
            </w:rPr>
          </w:pPr>
          <w:r>
            <w:rPr>
              <w:lang w:val="en-US" w:eastAsia="en-US"/>
            </w:rPr>
            <w:t>4.1</w:t>
            <w:tab/>
            <w:t>Sharing of same MnS</w:t>
          </w:r>
          <w:r>
            <w:rPr/>
            <w:tab/>
          </w:r>
          <w:hyperlink w:anchor="__RefHeading___Toc21418321">
            <w:r>
              <w:rPr>
                <w:rStyle w:val="IndexLink"/>
              </w:rPr>
              <w:t>7</w:t>
            </w:r>
          </w:hyperlink>
        </w:p>
        <w:p>
          <w:pPr>
            <w:pStyle w:val="Contents2"/>
            <w:rPr>
              <w:rFonts w:ascii="Calibri" w:hAnsi="Calibri" w:cs="Calibri"/>
              <w:sz w:val="22"/>
              <w:szCs w:val="22"/>
              <w:lang w:val="en-US" w:eastAsia="en-US"/>
            </w:rPr>
          </w:pPr>
          <w:r>
            <w:rPr>
              <w:lang w:val="en-US" w:eastAsia="en-US"/>
            </w:rPr>
            <w:t>4.2</w:t>
            <w:tab/>
            <w:t>Key issues for tenant management</w:t>
          </w:r>
          <w:r>
            <w:rPr/>
            <w:tab/>
          </w:r>
          <w:hyperlink w:anchor="__RefHeading___Toc21418322">
            <w:r>
              <w:rPr>
                <w:rStyle w:val="IndexLink"/>
              </w:rPr>
              <w:t>8</w:t>
            </w:r>
          </w:hyperlink>
        </w:p>
        <w:p>
          <w:pPr>
            <w:pStyle w:val="Contents2"/>
            <w:rPr>
              <w:rFonts w:ascii="Calibri" w:hAnsi="Calibri" w:cs="Calibri"/>
              <w:sz w:val="22"/>
              <w:szCs w:val="22"/>
              <w:lang w:val="en-US" w:eastAsia="en-US"/>
            </w:rPr>
          </w:pPr>
          <w:r>
            <w:rPr>
              <w:lang w:val="en-US" w:eastAsia="en-US"/>
            </w:rPr>
            <w:t>4.3</w:t>
            <w:tab/>
            <w:t>Management service consumed by tenant</w:t>
          </w:r>
          <w:r>
            <w:rPr/>
            <w:tab/>
          </w:r>
          <w:hyperlink w:anchor="__RefHeading___Toc21418323">
            <w:r>
              <w:rPr>
                <w:rStyle w:val="IndexLink"/>
              </w:rPr>
              <w:t>8</w:t>
            </w:r>
          </w:hyperlink>
        </w:p>
        <w:p>
          <w:pPr>
            <w:pStyle w:val="Contents2"/>
            <w:rPr>
              <w:rFonts w:ascii="Calibri" w:hAnsi="Calibri" w:cs="Calibri"/>
              <w:sz w:val="22"/>
              <w:szCs w:val="22"/>
              <w:lang w:val="en-US" w:eastAsia="en-US"/>
            </w:rPr>
          </w:pPr>
          <w:r>
            <w:rPr>
              <w:lang w:val="en-US" w:eastAsia="en-US"/>
            </w:rPr>
            <w:t>4.4</w:t>
            <w:tab/>
            <w:t>Tenant categorization based on its management capability</w:t>
          </w:r>
          <w:r>
            <w:rPr/>
            <w:tab/>
          </w:r>
          <w:hyperlink w:anchor="__RefHeading___Toc21418324">
            <w:r>
              <w:rPr>
                <w:rStyle w:val="IndexLink"/>
              </w:rPr>
              <w:t>9</w:t>
            </w:r>
          </w:hyperlink>
        </w:p>
        <w:p>
          <w:pPr>
            <w:pStyle w:val="Contents2"/>
            <w:rPr>
              <w:rFonts w:ascii="Calibri" w:hAnsi="Calibri" w:cs="Calibri"/>
              <w:sz w:val="22"/>
              <w:szCs w:val="22"/>
              <w:lang w:val="en-US" w:eastAsia="en-US"/>
            </w:rPr>
          </w:pPr>
          <w:r>
            <w:rPr>
              <w:lang w:val="en-US" w:eastAsia="en-US"/>
            </w:rPr>
            <w:t>4.5</w:t>
            <w:tab/>
            <w:t>Managed resource representation for a tenant</w:t>
          </w:r>
          <w:r>
            <w:rPr/>
            <w:tab/>
          </w:r>
          <w:hyperlink w:anchor="__RefHeading___Toc21418325">
            <w:r>
              <w:rPr>
                <w:rStyle w:val="IndexLink"/>
              </w:rPr>
              <w:t>9</w:t>
            </w:r>
          </w:hyperlink>
        </w:p>
        <w:p>
          <w:pPr>
            <w:pStyle w:val="Contents2"/>
            <w:rPr>
              <w:rFonts w:ascii="Calibri" w:hAnsi="Calibri" w:cs="Calibri"/>
              <w:sz w:val="22"/>
              <w:szCs w:val="22"/>
              <w:lang w:val="en-US" w:eastAsia="en-US"/>
            </w:rPr>
          </w:pPr>
          <w:r>
            <w:rPr>
              <w:lang w:val="en-US" w:eastAsia="en-US"/>
            </w:rPr>
            <w:t>4.6</w:t>
            <w:tab/>
            <w:t>Management capabilities provided to a tenant in 3GPP management system</w:t>
          </w:r>
          <w:r>
            <w:rPr/>
            <w:tab/>
          </w:r>
          <w:hyperlink w:anchor="__RefHeading___Toc21418326">
            <w:r>
              <w:rPr>
                <w:rStyle w:val="IndexLink"/>
              </w:rPr>
              <w:t>9</w:t>
            </w:r>
          </w:hyperlink>
        </w:p>
        <w:p>
          <w:pPr>
            <w:pStyle w:val="Contents2"/>
            <w:rPr>
              <w:rFonts w:ascii="Calibri" w:hAnsi="Calibri" w:cs="Calibri"/>
              <w:sz w:val="22"/>
              <w:szCs w:val="22"/>
              <w:lang w:val="en-US" w:eastAsia="en-US"/>
            </w:rPr>
          </w:pPr>
          <w:r>
            <w:rPr>
              <w:lang w:val="en-US" w:eastAsia="en-US"/>
            </w:rPr>
            <w:t>4.7</w:t>
            <w:tab/>
            <w:t>Management function providing management capabilities for multiple tenants</w:t>
          </w:r>
          <w:r>
            <w:rPr/>
            <w:tab/>
          </w:r>
          <w:hyperlink w:anchor="__RefHeading___Toc21418327">
            <w:r>
              <w:rPr>
                <w:rStyle w:val="IndexLink"/>
              </w:rPr>
              <w:t>10</w:t>
            </w:r>
          </w:hyperlink>
        </w:p>
        <w:p>
          <w:pPr>
            <w:pStyle w:val="Contents2"/>
            <w:rPr>
              <w:rFonts w:ascii="Calibri" w:hAnsi="Calibri" w:cs="Calibri"/>
              <w:sz w:val="22"/>
              <w:szCs w:val="22"/>
              <w:lang w:val="en-US" w:eastAsia="en-US"/>
            </w:rPr>
          </w:pPr>
          <w:r>
            <w:rPr>
              <w:lang w:val="en-US" w:eastAsia="en-US"/>
            </w:rPr>
            <w:t>4.8</w:t>
            <w:tab/>
            <w:t>Relation to communication service instance</w:t>
          </w:r>
          <w:r>
            <w:rPr/>
            <w:tab/>
          </w:r>
          <w:hyperlink w:anchor="__RefHeading___Toc21418328">
            <w:r>
              <w:rPr>
                <w:rStyle w:val="IndexLink"/>
              </w:rPr>
              <w:t>10</w:t>
            </w:r>
          </w:hyperlink>
        </w:p>
        <w:p>
          <w:pPr>
            <w:pStyle w:val="Contents2"/>
            <w:rPr>
              <w:rFonts w:ascii="Calibri" w:hAnsi="Calibri" w:cs="Calibri"/>
              <w:sz w:val="22"/>
              <w:szCs w:val="22"/>
              <w:lang w:val="en-US" w:eastAsia="en-US"/>
            </w:rPr>
          </w:pPr>
          <w:r>
            <w:rPr>
              <w:lang w:val="en-US" w:eastAsia="en-US"/>
            </w:rPr>
            <w:t>4.9</w:t>
            <w:tab/>
            <w:t>Fault supervision management for a tenant</w:t>
          </w:r>
          <w:r>
            <w:rPr/>
            <w:tab/>
          </w:r>
          <w:hyperlink w:anchor="__RefHeading___Toc21418329">
            <w:r>
              <w:rPr>
                <w:rStyle w:val="IndexLink"/>
              </w:rPr>
              <w:t>11</w:t>
            </w:r>
          </w:hyperlink>
        </w:p>
        <w:p>
          <w:pPr>
            <w:pStyle w:val="Contents2"/>
            <w:rPr>
              <w:rFonts w:ascii="Calibri" w:hAnsi="Calibri" w:cs="Calibri"/>
              <w:sz w:val="22"/>
              <w:szCs w:val="22"/>
              <w:lang w:val="en-US" w:eastAsia="en-US"/>
            </w:rPr>
          </w:pPr>
          <w:r>
            <w:rPr>
              <w:lang w:val="en-US" w:eastAsia="en-US"/>
            </w:rPr>
            <w:t>4.10</w:t>
            <w:tab/>
            <w:t>Performance measurement for a tenant</w:t>
          </w:r>
          <w:r>
            <w:rPr/>
            <w:tab/>
          </w:r>
          <w:hyperlink w:anchor="__RefHeading___Toc21418330">
            <w:r>
              <w:rPr>
                <w:rStyle w:val="IndexLink"/>
              </w:rPr>
              <w:t>11</w:t>
            </w:r>
          </w:hyperlink>
        </w:p>
        <w:p>
          <w:pPr>
            <w:pStyle w:val="Contents1"/>
            <w:rPr>
              <w:rFonts w:ascii="Calibri" w:hAnsi="Calibri" w:cs="Calibri"/>
              <w:szCs w:val="22"/>
              <w:lang w:val="en-US" w:eastAsia="en-US"/>
            </w:rPr>
          </w:pPr>
          <w:r>
            <w:rPr>
              <w:lang w:val="en-US" w:eastAsia="en-US"/>
            </w:rPr>
            <w:t>5</w:t>
            <w:tab/>
            <w:t>Use cases and potential requirements</w:t>
          </w:r>
          <w:r>
            <w:rPr/>
            <w:tab/>
          </w:r>
          <w:hyperlink w:anchor="__RefHeading___Toc21418331">
            <w:r>
              <w:rPr>
                <w:rStyle w:val="IndexLink"/>
              </w:rPr>
              <w:t>11</w:t>
            </w:r>
          </w:hyperlink>
        </w:p>
        <w:p>
          <w:pPr>
            <w:pStyle w:val="Contents2"/>
            <w:rPr>
              <w:rFonts w:ascii="Calibri" w:hAnsi="Calibri" w:cs="Calibri"/>
              <w:sz w:val="22"/>
              <w:szCs w:val="22"/>
              <w:lang w:val="en-US" w:eastAsia="en-US"/>
            </w:rPr>
          </w:pPr>
          <w:r>
            <w:rPr>
              <w:lang w:val="en-US" w:eastAsia="en-US"/>
            </w:rPr>
            <w:t>5.1</w:t>
            <w:tab/>
            <w:t>Management capabilities provided to tenant by network slice management</w:t>
          </w:r>
          <w:r>
            <w:rPr/>
            <w:tab/>
          </w:r>
          <w:hyperlink w:anchor="__RefHeading___Toc21418332">
            <w:r>
              <w:rPr>
                <w:rStyle w:val="IndexLink"/>
              </w:rPr>
              <w:t>11</w:t>
            </w:r>
          </w:hyperlink>
        </w:p>
        <w:p>
          <w:pPr>
            <w:pStyle w:val="Contents3"/>
            <w:rPr>
              <w:rFonts w:ascii="Calibri" w:hAnsi="Calibri" w:cs="Calibri"/>
              <w:sz w:val="22"/>
              <w:szCs w:val="22"/>
              <w:lang w:val="en-US" w:eastAsia="en-US"/>
            </w:rPr>
          </w:pPr>
          <w:r>
            <w:rPr>
              <w:lang w:val="en-US" w:eastAsia="en-US"/>
            </w:rPr>
            <w:t>5.1.1</w:t>
            <w:tab/>
            <w:t>Description</w:t>
          </w:r>
          <w:r>
            <w:rPr/>
            <w:tab/>
          </w:r>
          <w:hyperlink w:anchor="__RefHeading___Toc21418333">
            <w:r>
              <w:rPr>
                <w:rStyle w:val="IndexLink"/>
              </w:rPr>
              <w:t>11</w:t>
            </w:r>
          </w:hyperlink>
        </w:p>
        <w:p>
          <w:pPr>
            <w:pStyle w:val="Contents3"/>
            <w:rPr>
              <w:rFonts w:ascii="Calibri" w:hAnsi="Calibri" w:cs="Calibri"/>
              <w:sz w:val="22"/>
              <w:szCs w:val="22"/>
              <w:lang w:val="en-US" w:eastAsia="en-US"/>
            </w:rPr>
          </w:pPr>
          <w:r>
            <w:rPr>
              <w:lang w:val="en-US" w:eastAsia="en-US"/>
            </w:rPr>
            <w:t>5.1.2</w:t>
            <w:tab/>
            <w:t>Potential requirements</w:t>
          </w:r>
          <w:r>
            <w:rPr/>
            <w:tab/>
          </w:r>
          <w:hyperlink w:anchor="__RefHeading___Toc21418334">
            <w:r>
              <w:rPr>
                <w:rStyle w:val="IndexLink"/>
              </w:rPr>
              <w:t>12</w:t>
            </w:r>
          </w:hyperlink>
        </w:p>
        <w:p>
          <w:pPr>
            <w:pStyle w:val="Contents2"/>
            <w:rPr>
              <w:rFonts w:ascii="Calibri" w:hAnsi="Calibri" w:cs="Calibri"/>
              <w:sz w:val="22"/>
              <w:szCs w:val="22"/>
              <w:lang w:val="en-US" w:eastAsia="en-US"/>
            </w:rPr>
          </w:pPr>
          <w:r>
            <w:rPr>
              <w:lang w:val="en-US" w:eastAsia="en-US"/>
            </w:rPr>
            <w:t>5.2</w:t>
            <w:tab/>
            <w:t>Management capabilities provided to tenant by network function management service</w:t>
          </w:r>
          <w:r>
            <w:rPr/>
            <w:tab/>
          </w:r>
          <w:hyperlink w:anchor="__RefHeading___Toc21418335">
            <w:r>
              <w:rPr>
                <w:rStyle w:val="IndexLink"/>
              </w:rPr>
              <w:t>12</w:t>
            </w:r>
          </w:hyperlink>
        </w:p>
        <w:p>
          <w:pPr>
            <w:pStyle w:val="Contents3"/>
            <w:rPr>
              <w:rFonts w:ascii="Calibri" w:hAnsi="Calibri" w:cs="Calibri"/>
              <w:sz w:val="22"/>
              <w:szCs w:val="22"/>
              <w:lang w:val="en-US" w:eastAsia="en-US"/>
            </w:rPr>
          </w:pPr>
          <w:r>
            <w:rPr>
              <w:lang w:val="en-US" w:eastAsia="en-US"/>
            </w:rPr>
            <w:t>5.2.1</w:t>
            <w:tab/>
            <w:t>Description</w:t>
          </w:r>
          <w:r>
            <w:rPr/>
            <w:tab/>
          </w:r>
          <w:hyperlink w:anchor="__RefHeading___Toc21418336">
            <w:r>
              <w:rPr>
                <w:rStyle w:val="IndexLink"/>
              </w:rPr>
              <w:t>12</w:t>
            </w:r>
          </w:hyperlink>
        </w:p>
        <w:p>
          <w:pPr>
            <w:pStyle w:val="Contents3"/>
            <w:rPr>
              <w:rFonts w:ascii="Calibri" w:hAnsi="Calibri" w:cs="Calibri"/>
              <w:sz w:val="22"/>
              <w:szCs w:val="22"/>
              <w:lang w:val="en-US" w:eastAsia="en-US"/>
            </w:rPr>
          </w:pPr>
          <w:r>
            <w:rPr>
              <w:lang w:val="en-US" w:eastAsia="en-US"/>
            </w:rPr>
            <w:t>5.2.2</w:t>
            <w:tab/>
            <w:t>Potential requirements</w:t>
          </w:r>
          <w:r>
            <w:rPr/>
            <w:tab/>
          </w:r>
          <w:hyperlink w:anchor="__RefHeading___Toc21418337">
            <w:r>
              <w:rPr>
                <w:rStyle w:val="IndexLink"/>
              </w:rPr>
              <w:t>12</w:t>
            </w:r>
          </w:hyperlink>
        </w:p>
        <w:p>
          <w:pPr>
            <w:pStyle w:val="Contents1"/>
            <w:rPr>
              <w:rFonts w:ascii="Calibri" w:hAnsi="Calibri" w:cs="Calibri"/>
              <w:szCs w:val="22"/>
              <w:lang w:val="en-US" w:eastAsia="en-US"/>
            </w:rPr>
          </w:pPr>
          <w:r>
            <w:rPr/>
            <w:t>6</w:t>
            <w:tab/>
            <w:t>Potential management enhancements to support multiple tenants environment</w:t>
            <w:tab/>
          </w:r>
          <w:hyperlink w:anchor="__RefHeading___Toc21418338">
            <w:r>
              <w:rPr>
                <w:rStyle w:val="IndexLink"/>
              </w:rPr>
              <w:t>12</w:t>
            </w:r>
          </w:hyperlink>
        </w:p>
        <w:p>
          <w:pPr>
            <w:pStyle w:val="Contents2"/>
            <w:rPr>
              <w:rFonts w:ascii="Calibri" w:hAnsi="Calibri" w:cs="Calibri"/>
              <w:sz w:val="22"/>
              <w:szCs w:val="22"/>
              <w:lang w:val="en-US" w:eastAsia="en-US"/>
            </w:rPr>
          </w:pPr>
          <w:r>
            <w:rPr>
              <w:lang w:val="en-US" w:eastAsia="en-US"/>
            </w:rPr>
            <w:t>6.1</w:t>
            <w:tab/>
            <w:t>Potential management enhancements for performance measurement of network slice management</w:t>
          </w:r>
          <w:r>
            <w:rPr/>
            <w:tab/>
          </w:r>
          <w:hyperlink w:anchor="__RefHeading___Toc21418339">
            <w:r>
              <w:rPr>
                <w:rStyle w:val="IndexLink"/>
              </w:rPr>
              <w:t>12</w:t>
            </w:r>
          </w:hyperlink>
        </w:p>
        <w:p>
          <w:pPr>
            <w:pStyle w:val="Contents2"/>
            <w:rPr>
              <w:rFonts w:ascii="Calibri" w:hAnsi="Calibri" w:cs="Calibri"/>
              <w:sz w:val="22"/>
              <w:szCs w:val="22"/>
              <w:lang w:val="en-US" w:eastAsia="en-US"/>
            </w:rPr>
          </w:pPr>
          <w:r>
            <w:rPr>
              <w:lang w:val="en-US" w:eastAsia="en-US"/>
            </w:rPr>
            <w:t>6.2</w:t>
            <w:tab/>
            <w:t>Potential management enhancements for fault supervision</w:t>
          </w:r>
          <w:r>
            <w:rPr/>
            <w:tab/>
          </w:r>
          <w:hyperlink w:anchor="__RefHeading___Toc21418340">
            <w:r>
              <w:rPr>
                <w:rStyle w:val="IndexLink"/>
              </w:rPr>
              <w:t>12</w:t>
            </w:r>
          </w:hyperlink>
        </w:p>
        <w:p>
          <w:pPr>
            <w:pStyle w:val="Contents2"/>
            <w:rPr>
              <w:rFonts w:ascii="Calibri" w:hAnsi="Calibri" w:cs="Calibri"/>
              <w:sz w:val="22"/>
              <w:szCs w:val="22"/>
              <w:lang w:val="en-US" w:eastAsia="en-US"/>
            </w:rPr>
          </w:pPr>
          <w:r>
            <w:rPr>
              <w:lang w:val="en-US" w:eastAsia="en-US"/>
            </w:rPr>
            <w:t>6.3</w:t>
            <w:tab/>
            <w:t>Potential management enhancements for performance measurement of network function</w:t>
          </w:r>
          <w:r>
            <w:rPr/>
            <w:tab/>
          </w:r>
          <w:hyperlink w:anchor="__RefHeading___Toc21418341">
            <w:r>
              <w:rPr>
                <w:rStyle w:val="IndexLink"/>
              </w:rPr>
              <w:t>12</w:t>
            </w:r>
          </w:hyperlink>
        </w:p>
        <w:p>
          <w:pPr>
            <w:pStyle w:val="Contents1"/>
            <w:rPr>
              <w:rFonts w:ascii="Calibri" w:hAnsi="Calibri" w:cs="Calibri"/>
              <w:szCs w:val="22"/>
              <w:lang w:val="en-US" w:eastAsia="en-US"/>
            </w:rPr>
          </w:pPr>
          <w:r>
            <w:rPr/>
            <w:t>7</w:t>
            <w:tab/>
            <w:t>Conclusion and recommendations</w:t>
            <w:tab/>
          </w:r>
          <w:hyperlink w:anchor="__RefHeading___Toc21418342">
            <w:r>
              <w:rPr>
                <w:rStyle w:val="IndexLink"/>
              </w:rPr>
              <w:t>12</w:t>
            </w:r>
          </w:hyperlink>
        </w:p>
        <w:p>
          <w:pPr>
            <w:pStyle w:val="Contents9"/>
            <w:rPr>
              <w:rFonts w:ascii="Calibri" w:hAnsi="Calibri" w:cs="Calibri"/>
              <w:szCs w:val="22"/>
              <w:lang w:val="en-US" w:eastAsia="en-US"/>
            </w:rPr>
          </w:pPr>
          <w:r>
            <w:rPr/>
            <w:t>Annex A:</w:t>
            <w:tab/>
            <w:t xml:space="preserve"> </w:t>
          </w:r>
          <w:r>
            <w:rPr>
              <w:lang w:val="en-US" w:eastAsia="en-US"/>
            </w:rPr>
            <w:t>Change history</w:t>
          </w:r>
          <w:r>
            <w:rPr/>
            <w:tab/>
          </w:r>
          <w:hyperlink w:anchor="__RefHeading___Toc21418343">
            <w:r>
              <w:rPr>
                <w:rStyle w:val="IndexLink"/>
              </w:rPr>
              <w:t>14</w:t>
            </w:r>
          </w:hyperlink>
          <w:r>
            <w:rPr>
              <w:rStyle w:val="IndexLink"/>
            </w:rPr>
            <w:fldChar w:fldCharType="end"/>
          </w:r>
        </w:p>
      </w:sdtContent>
    </w:sdt>
    <w:p>
      <w:pPr>
        <w:pStyle w:val="Normal"/>
        <w:rPr>
          <w:rFonts w:ascii="Calibri" w:hAnsi="Calibri" w:cs="Calibri"/>
          <w:szCs w:val="22"/>
          <w:lang w:val="en-US" w:eastAsia="en-US"/>
        </w:rPr>
      </w:pPr>
      <w:r>
        <w:rPr>
          <w:rFonts w:cs="Calibri" w:ascii="Calibri" w:hAnsi="Calibri"/>
          <w:szCs w:val="22"/>
          <w:lang w:val="en-US" w:eastAsia="en-US"/>
        </w:rPr>
      </w:r>
      <w:r>
        <w:br w:type="page"/>
      </w:r>
    </w:p>
    <w:p>
      <w:pPr>
        <w:pStyle w:val="Heading1"/>
        <w:ind w:left="1134" w:hanging="1134"/>
        <w:rPr/>
      </w:pPr>
      <w:bookmarkStart w:id="6" w:name="__RefHeading___Toc21418313"/>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B1"/>
        <w:ind w:left="284" w:hanging="0"/>
        <w:rPr/>
      </w:pPr>
      <w:r>
        <w:rPr/>
        <w:t>The constructions "shall" and "shall not" are confined to the context of normative provisions, and do not appear in Technical Reports.</w:t>
      </w:r>
    </w:p>
    <w:p>
      <w:pPr>
        <w:pStyle w:val="NO"/>
        <w:ind w:left="284" w:hanging="0"/>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ind w:left="284" w:hanging="0"/>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EX"/>
        <w:rPr/>
      </w:pPr>
      <w:r>
        <w:rPr/>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EX"/>
        <w:rPr/>
      </w:pPr>
      <w:r>
        <w:rPr/>
        <w:t>The constructions "is" and "is not" do not indicate requirements.</w:t>
      </w:r>
    </w:p>
    <w:p>
      <w:pPr>
        <w:pStyle w:val="B2"/>
        <w:rPr/>
      </w:pPr>
      <w:r>
        <w:rPr/>
      </w:r>
      <w:r>
        <w:br w:type="page"/>
      </w:r>
    </w:p>
    <w:p>
      <w:pPr>
        <w:pStyle w:val="Heading1"/>
        <w:ind w:left="1134" w:hanging="1134"/>
        <w:rPr/>
      </w:pPr>
      <w:bookmarkStart w:id="7" w:name="__RefHeading___Toc21418314"/>
      <w:bookmarkEnd w:id="7"/>
      <w:r>
        <w:rPr/>
        <w:t>1</w:t>
        <w:tab/>
        <w:t>Scope</w:t>
      </w:r>
    </w:p>
    <w:p>
      <w:pPr>
        <w:pStyle w:val="Normal"/>
        <w:rPr/>
      </w:pPr>
      <w:r>
        <w:rPr>
          <w:lang w:eastAsia="zh-CN"/>
        </w:rPr>
        <w:t xml:space="preserve">The present document explores how 3GPP management system can provide management capabilities for fulfilling requirements derived from tenancy concepts and use cases, and it also explores how to those management capabilities are exposed to individual tenancy concepts consumers. </w:t>
      </w:r>
    </w:p>
    <w:p>
      <w:pPr>
        <w:pStyle w:val="Normal"/>
        <w:rPr/>
      </w:pPr>
      <w:r>
        <w:rPr>
          <w:lang w:eastAsia="zh-CN"/>
        </w:rPr>
        <w:t xml:space="preserve">The present document investigates the evolution of management features and capabilities </w:t>
      </w:r>
      <w:r>
        <w:rPr>
          <w:lang w:eastAsia="zh-CN"/>
        </w:rPr>
        <w:t>due</w:t>
      </w:r>
      <w:r>
        <w:rPr>
          <w:lang w:eastAsia="zh-CN"/>
        </w:rPr>
        <w:t xml:space="preserve"> to the identified potential requirements and solutions for tenancy concept.</w:t>
      </w:r>
    </w:p>
    <w:p>
      <w:pPr>
        <w:pStyle w:val="Heading1"/>
        <w:ind w:left="1134" w:hanging="1134"/>
        <w:rPr/>
      </w:pPr>
      <w:bookmarkStart w:id="8" w:name="__RefHeading___Toc2141831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zh-CN"/>
        </w:rPr>
      </w:pPr>
      <w:r>
        <w:rPr>
          <w:lang w:eastAsia="zh-CN"/>
        </w:rPr>
        <w:t>[</w:t>
      </w:r>
      <w:r>
        <w:rPr>
          <w:lang w:eastAsia="zh-CN"/>
        </w:rPr>
        <w:t>2</w:t>
      </w:r>
      <w:r>
        <w:rPr>
          <w:lang w:eastAsia="zh-CN"/>
        </w:rPr>
        <w:t>]</w:t>
      </w:r>
      <w:r>
        <w:rPr>
          <w:lang w:eastAsia="zh-CN"/>
        </w:rPr>
        <w:tab/>
        <w:t>3GPP TS 28.</w:t>
      </w:r>
      <w:r>
        <w:rPr/>
        <w:t>530: "Management and orchestration; Concepts, use cases and requirements".</w:t>
      </w:r>
    </w:p>
    <w:p>
      <w:pPr>
        <w:pStyle w:val="EX"/>
        <w:rPr/>
      </w:pPr>
      <w:r>
        <w:rPr>
          <w:lang w:eastAsia="zh-CN"/>
        </w:rPr>
        <w:t>[3]</w:t>
        <w:tab/>
        <w:t>3GPP TS 28</w:t>
      </w:r>
      <w:r>
        <w:rPr/>
        <w:t>.531: "Management and orchestration; Provisioning".</w:t>
      </w:r>
    </w:p>
    <w:p>
      <w:pPr>
        <w:pStyle w:val="EX"/>
        <w:rPr/>
      </w:pPr>
      <w:r>
        <w:rPr/>
        <w:t>[4]</w:t>
        <w:tab/>
        <w:t>3GPP TS 28.532: "Management and orchestration; Generic management services".</w:t>
      </w:r>
    </w:p>
    <w:p>
      <w:pPr>
        <w:pStyle w:val="EX"/>
        <w:rPr/>
      </w:pPr>
      <w:r>
        <w:rPr/>
        <w:t>[5]</w:t>
        <w:tab/>
        <w:t>3GPP TS 28.533: "Management and orchestration; Architecture framework".</w:t>
      </w:r>
    </w:p>
    <w:p>
      <w:pPr>
        <w:pStyle w:val="EX"/>
        <w:rPr/>
      </w:pPr>
      <w:r>
        <w:rPr/>
        <w:t>[6]</w:t>
        <w:tab/>
        <w:t>3GPP TS 28.541: "Management and orchestration; Network Resource Model (NRM); Stage 2 and stage 3".</w:t>
      </w:r>
    </w:p>
    <w:p>
      <w:pPr>
        <w:pStyle w:val="EX"/>
        <w:rPr/>
      </w:pPr>
      <w:r>
        <w:rPr/>
        <w:t>[7]</w:t>
        <w:tab/>
        <w:t>3GPP TS 28.552: "Management and orchestration; Performance measurements".</w:t>
      </w:r>
    </w:p>
    <w:p>
      <w:pPr>
        <w:pStyle w:val="EX"/>
        <w:rPr/>
      </w:pPr>
      <w:r>
        <w:rPr/>
        <w:t>[8]</w:t>
        <w:tab/>
        <w:t>3GPP TS 28.554: "Management and orchestration; 5G end to end key performance indicators (KPI)".</w:t>
      </w:r>
    </w:p>
    <w:p>
      <w:pPr>
        <w:pStyle w:val="EX"/>
        <w:rPr/>
      </w:pPr>
      <w:r>
        <w:rPr/>
        <w:t>[9]</w:t>
        <w:tab/>
        <w:t>3GPP TR 28.805: "Telecommunication management; Study on management aspects of communication services".</w:t>
      </w:r>
    </w:p>
    <w:p>
      <w:pPr>
        <w:pStyle w:val="Heading1"/>
        <w:ind w:left="1134" w:hanging="1134"/>
        <w:rPr/>
      </w:pPr>
      <w:bookmarkStart w:id="9" w:name="__RefHeading___Toc21418316"/>
      <w:bookmarkEnd w:id="9"/>
      <w:r>
        <w:rPr/>
        <w:t>3</w:t>
        <w:tab/>
        <w:t>Definitions of terms, symbols and abbreviations</w:t>
      </w:r>
    </w:p>
    <w:p>
      <w:pPr>
        <w:pStyle w:val="Heading2"/>
        <w:rPr/>
      </w:pPr>
      <w:bookmarkStart w:id="10" w:name="__RefHeading___Toc21418317"/>
      <w:bookmarkEnd w:id="10"/>
      <w:r>
        <w:rPr/>
        <w:t>3.1</w:t>
        <w:tab/>
        <w:t>Terms</w:t>
      </w:r>
    </w:p>
    <w:p>
      <w:pPr>
        <w:pStyle w:val="Normal"/>
        <w:rPr/>
      </w:pPr>
      <w:r>
        <w:rPr/>
        <w:t xml:space="preserve">For the purposes of the present document, the terms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 xml:space="preserve">TR 21.905 [1] and the following apply. A term defined in the present document takes precedence over the definition of the same term, if any, in 3GPP </w:t>
      </w:r>
    </w:p>
    <w:p>
      <w:pPr>
        <w:pStyle w:val="Normal"/>
        <w:rPr/>
      </w:pPr>
      <w:r>
        <w:rPr>
          <w:b/>
        </w:rPr>
        <w:t xml:space="preserve">Tenant in 3GPP management system: </w:t>
      </w:r>
      <w:r>
        <w:rPr/>
        <w:t>A group of 3GPP management system users associated with the management capabilities they are allowed to access and consume.</w:t>
      </w:r>
    </w:p>
    <w:p>
      <w:pPr>
        <w:pStyle w:val="Heading2"/>
        <w:rPr/>
      </w:pPr>
      <w:bookmarkStart w:id="16" w:name="__RefHeading___Toc21418318"/>
      <w:bookmarkEnd w:id="16"/>
      <w:r>
        <w:rPr/>
        <w:t>3.2</w:t>
        <w:tab/>
        <w:t>Symbols</w:t>
      </w:r>
    </w:p>
    <w:p>
      <w:pPr>
        <w:pStyle w:val="Normal"/>
        <w:rPr/>
      </w:pPr>
      <w:r>
        <w:rPr/>
        <w:t>Void.</w:t>
      </w:r>
    </w:p>
    <w:p>
      <w:pPr>
        <w:pStyle w:val="Heading2"/>
        <w:rPr/>
      </w:pPr>
      <w:bookmarkStart w:id="17" w:name="__RefHeading___Toc21418319"/>
      <w:bookmarkEnd w:id="17"/>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18" w:name="__RefHeading___Toc21418320"/>
      <w:bookmarkEnd w:id="18"/>
      <w:r>
        <w:rPr/>
        <w:t>4</w:t>
        <w:tab/>
        <w:t>Concepts and background</w:t>
      </w:r>
    </w:p>
    <w:p>
      <w:pPr>
        <w:pStyle w:val="Heading2"/>
        <w:rPr>
          <w:lang w:eastAsia="zh-CN"/>
        </w:rPr>
      </w:pPr>
      <w:bookmarkStart w:id="19" w:name="__RefHeading___Toc21418321"/>
      <w:r>
        <w:rPr>
          <w:lang w:eastAsia="zh-CN"/>
        </w:rPr>
        <w:t>4.1</w:t>
        <w:tab/>
        <w:t>Sharing of same MnS</w:t>
      </w:r>
      <w:bookmarkEnd w:id="19"/>
      <w:r>
        <w:rPr>
          <w:lang w:eastAsia="zh-CN"/>
        </w:rPr>
        <w:t xml:space="preserve"> </w:t>
      </w:r>
    </w:p>
    <w:p>
      <w:pPr>
        <w:pStyle w:val="Normal"/>
        <w:rPr/>
      </w:pPr>
      <w:r>
        <w:rPr/>
        <w:t xml:space="preserve">As described in Figure 4.1-1 and Figure 4.1-2, for fulfilling the tenancy concept, operators' can have different options to share their management resources between </w:t>
      </w:r>
      <w:r>
        <w:rPr>
          <w:lang w:eastAsia="zh-CN"/>
        </w:rPr>
        <w:t xml:space="preserve">multiple tenants (e.g. operator's business customers): </w:t>
      </w:r>
    </w:p>
    <w:p>
      <w:pPr>
        <w:pStyle w:val="Normal"/>
        <w:rPr>
          <w:lang w:eastAsia="zh-CN"/>
        </w:rPr>
      </w:pPr>
      <w:r>
        <w:rPr>
          <w:lang w:eastAsia="zh-CN"/>
        </w:rPr>
        <w:t>Option 1 (Figure 4.1-1)</w:t>
      </w:r>
    </w:p>
    <w:p>
      <w:pPr>
        <w:pStyle w:val="B1"/>
        <w:rPr>
          <w:lang w:eastAsia="zh-CN"/>
        </w:rPr>
      </w:pPr>
      <w:r>
        <w:rPr>
          <w:lang w:eastAsia="zh-CN"/>
        </w:rPr>
        <w:t>-</w:t>
        <w:tab/>
        <w:t>Multiple tenants represented by single MnS Consumer instance</w:t>
      </w:r>
    </w:p>
    <w:p>
      <w:pPr>
        <w:pStyle w:val="B1"/>
        <w:rPr/>
      </w:pPr>
      <w:r>
        <w:rPr>
          <w:lang w:eastAsia="zh-CN"/>
        </w:rPr>
        <w:t>-</w:t>
        <w:tab/>
        <w:t>Same management service is consumed by 3 different tenants (e.g. performance management service), from a single MnS Producer instance</w:t>
      </w:r>
    </w:p>
    <w:p>
      <w:pPr>
        <w:pStyle w:val="B1"/>
        <w:rPr/>
      </w:pPr>
      <w:r>
        <w:rPr>
          <w:lang w:eastAsia="zh-CN"/>
        </w:rPr>
        <w:t>-</w:t>
        <w:tab/>
        <w:t>Tenancy related management data isolation is not currently provided by 3GPP management system</w:t>
      </w:r>
    </w:p>
    <w:p>
      <w:pPr>
        <w:pStyle w:val="NO"/>
        <w:rPr/>
      </w:pPr>
      <w:r>
        <w:rPr>
          <w:caps/>
          <w:lang w:eastAsia="zh-CN"/>
        </w:rPr>
        <w:t>N</w:t>
      </w:r>
      <w:r>
        <w:rPr>
          <w:caps/>
        </w:rPr>
        <w:t>ote</w:t>
      </w:r>
      <w:r>
        <w:rPr/>
        <w:t xml:space="preserve"> 1:</w:t>
        <w:tab/>
        <w:t>MnS Consumer behaviour related to tenancy related management data isolation is operator BSS scope.</w:t>
      </w:r>
    </w:p>
    <w:p>
      <w:pPr>
        <w:pStyle w:val="NO"/>
        <w:rPr>
          <w:lang w:eastAsia="zh-CN"/>
        </w:rPr>
      </w:pPr>
      <w:r>
        <w:rPr>
          <w:caps/>
        </w:rPr>
        <w:t>Note</w:t>
      </w:r>
      <w:r>
        <w:rPr/>
        <w:t xml:space="preserve"> 2: </w:t>
        <w:tab/>
        <w:t>MnS Producer behaviour related to tenancy management data isolation is 3GPP management system scope and it is FFS.</w:t>
      </w:r>
    </w:p>
    <w:p>
      <w:pPr>
        <w:pStyle w:val="TH"/>
        <w:rPr/>
      </w:pPr>
      <w:r>
        <w:rPr/>
        <w:drawing>
          <wp:inline distT="0" distB="0" distL="0" distR="0">
            <wp:extent cx="3617595" cy="27787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8" r="-6" b="-8"/>
                    <a:stretch>
                      <a:fillRect/>
                    </a:stretch>
                  </pic:blipFill>
                  <pic:spPr bwMode="auto">
                    <a:xfrm>
                      <a:off x="0" y="0"/>
                      <a:ext cx="3617595" cy="2778760"/>
                    </a:xfrm>
                    <a:prstGeom prst="rect">
                      <a:avLst/>
                    </a:prstGeom>
                  </pic:spPr>
                </pic:pic>
              </a:graphicData>
            </a:graphic>
          </wp:inline>
        </w:drawing>
      </w:r>
    </w:p>
    <w:p>
      <w:pPr>
        <w:pStyle w:val="TF"/>
        <w:rPr>
          <w:lang w:eastAsia="zh-CN"/>
        </w:rPr>
      </w:pPr>
      <w:r>
        <w:rPr/>
        <w:t xml:space="preserve">Figure 4.1-1: </w:t>
      </w:r>
      <w:r>
        <w:rPr>
          <w:lang w:eastAsia="zh-CN"/>
        </w:rPr>
        <w:t>Multiple tenants represented by single MnS Consumer, while consuming the same MnS</w:t>
      </w:r>
    </w:p>
    <w:p>
      <w:pPr>
        <w:pStyle w:val="Normal"/>
        <w:rPr>
          <w:lang w:eastAsia="zh-CN"/>
        </w:rPr>
      </w:pPr>
      <w:r>
        <w:rPr>
          <w:lang w:eastAsia="zh-CN"/>
        </w:rPr>
        <w:t>Option 2 (Figure 4.1-2)</w:t>
      </w:r>
    </w:p>
    <w:p>
      <w:pPr>
        <w:pStyle w:val="B1"/>
        <w:rPr>
          <w:lang w:eastAsia="zh-CN"/>
        </w:rPr>
      </w:pPr>
      <w:r>
        <w:rPr>
          <w:lang w:eastAsia="zh-CN"/>
        </w:rPr>
        <w:t>-</w:t>
        <w:tab/>
        <w:t xml:space="preserve">Each tenant represented by dedicated MnS Consumer </w:t>
      </w:r>
    </w:p>
    <w:p>
      <w:pPr>
        <w:pStyle w:val="B1"/>
        <w:rPr/>
      </w:pPr>
      <w:r>
        <w:rPr>
          <w:lang w:eastAsia="zh-CN"/>
        </w:rPr>
        <w:t>-</w:t>
        <w:tab/>
        <w:t xml:space="preserve">Same management service is consumed by 3 different tenants (e.g. performance management service), from a single MnS Producer </w:t>
      </w:r>
    </w:p>
    <w:p>
      <w:pPr>
        <w:pStyle w:val="B1"/>
        <w:rPr/>
      </w:pPr>
      <w:r>
        <w:rPr>
          <w:lang w:eastAsia="zh-CN"/>
        </w:rPr>
        <w:t>-</w:t>
        <w:tab/>
        <w:t>Tenancy related management data isolation is partially provided by 3GPP management system (e.g. by dedicated MnS Consumer)</w:t>
      </w:r>
    </w:p>
    <w:p>
      <w:pPr>
        <w:pStyle w:val="TH"/>
        <w:rPr>
          <w:lang w:eastAsia="zh-CN"/>
        </w:rPr>
      </w:pPr>
      <w:r>
        <w:rPr>
          <w:lang w:eastAsia="zh-CN"/>
        </w:rPr>
        <w:drawing>
          <wp:inline distT="0" distB="0" distL="0" distR="0">
            <wp:extent cx="3618865" cy="27844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7" r="-6" b="-7"/>
                    <a:stretch>
                      <a:fillRect/>
                    </a:stretch>
                  </pic:blipFill>
                  <pic:spPr bwMode="auto">
                    <a:xfrm>
                      <a:off x="0" y="0"/>
                      <a:ext cx="3618865" cy="2784475"/>
                    </a:xfrm>
                    <a:prstGeom prst="rect">
                      <a:avLst/>
                    </a:prstGeom>
                  </pic:spPr>
                </pic:pic>
              </a:graphicData>
            </a:graphic>
          </wp:inline>
        </w:drawing>
      </w:r>
    </w:p>
    <w:p>
      <w:pPr>
        <w:pStyle w:val="TF"/>
        <w:rPr>
          <w:lang w:eastAsia="zh-CN"/>
        </w:rPr>
      </w:pPr>
      <w:r>
        <w:rPr/>
        <w:t xml:space="preserve">Figure 4.1-2: </w:t>
      </w:r>
      <w:r>
        <w:rPr>
          <w:lang w:eastAsia="zh-CN"/>
        </w:rPr>
        <w:t>Each tenant represented by dedicated MnS Consumer, while consuming the same MnS</w:t>
      </w:r>
    </w:p>
    <w:p>
      <w:pPr>
        <w:pStyle w:val="Normal"/>
        <w:jc w:val="both"/>
        <w:rPr>
          <w:color w:val="FF0000"/>
        </w:rPr>
      </w:pPr>
      <w:r>
        <w:rPr>
          <w:color w:val="FF0000"/>
        </w:rPr>
        <w:t>Editor's note: How utilize business roles defined in TS 28.530 into tenancy concepts is FFS.</w:t>
      </w:r>
    </w:p>
    <w:p>
      <w:pPr>
        <w:pStyle w:val="NO"/>
        <w:rPr/>
      </w:pPr>
      <w:r>
        <w:rPr>
          <w:caps/>
        </w:rPr>
        <w:t>Note</w:t>
      </w:r>
      <w:r>
        <w:rPr/>
        <w:t xml:space="preserve"> 3: </w:t>
        <w:tab/>
        <w:t>Same tenant can be represented by option 1, by option 2 or by combination of option 1 and option 2.</w:t>
      </w:r>
    </w:p>
    <w:p>
      <w:pPr>
        <w:pStyle w:val="Heading2"/>
        <w:rPr>
          <w:lang w:eastAsia="zh-CN"/>
        </w:rPr>
      </w:pPr>
      <w:bookmarkStart w:id="20" w:name="__RefHeading___Toc21418322"/>
      <w:bookmarkEnd w:id="20"/>
      <w:r>
        <w:rPr>
          <w:lang w:eastAsia="zh-CN"/>
        </w:rPr>
        <w:t>4.2</w:t>
        <w:tab/>
        <w:t>Key issues for tenant management</w:t>
      </w:r>
    </w:p>
    <w:p>
      <w:pPr>
        <w:pStyle w:val="Normal"/>
        <w:rPr>
          <w:lang w:eastAsia="zh-CN"/>
        </w:rPr>
      </w:pPr>
      <w:r>
        <w:rPr>
          <w:lang w:eastAsia="zh-CN"/>
        </w:rPr>
        <w:t>The non-exhaustive key issues for tenant management to be addressed in the present document</w:t>
      </w:r>
      <w:r>
        <w:rPr>
          <w:lang w:eastAsia="zh-CN"/>
        </w:rPr>
        <w:t xml:space="preserve"> are as following:</w:t>
      </w:r>
    </w:p>
    <w:p>
      <w:pPr>
        <w:pStyle w:val="Normal"/>
        <w:rPr/>
      </w:pPr>
      <w:r>
        <w:rPr>
          <w:b/>
          <w:lang w:eastAsia="zh-CN"/>
        </w:rPr>
        <w:t>Issue 1. Tenancy, tenant and tenant management key concepts</w:t>
      </w:r>
    </w:p>
    <w:p>
      <w:pPr>
        <w:pStyle w:val="Normal"/>
        <w:rPr>
          <w:lang w:eastAsia="zh-CN"/>
        </w:rPr>
      </w:pPr>
      <w:r>
        <w:rPr>
          <w:lang w:eastAsia="zh-CN"/>
        </w:rPr>
        <w:t>Study the key concepts of tenancy, tenant and tenant related management.</w:t>
      </w:r>
    </w:p>
    <w:p>
      <w:pPr>
        <w:pStyle w:val="Normal"/>
        <w:rPr/>
      </w:pPr>
      <w:r>
        <w:rPr>
          <w:b/>
          <w:lang w:eastAsia="zh-CN"/>
        </w:rPr>
        <w:t>Issue 2. Different exposure of network management capabilities for different tenants</w:t>
      </w:r>
    </w:p>
    <w:p>
      <w:pPr>
        <w:pStyle w:val="Normal"/>
        <w:rPr>
          <w:lang w:eastAsia="zh-CN"/>
        </w:rPr>
      </w:pPr>
      <w:r>
        <w:rPr>
          <w:lang w:eastAsia="zh-CN"/>
        </w:rPr>
        <w:t>Study scenarios, contents and behaviours of management capabilities exposure for different tenants.</w:t>
      </w:r>
    </w:p>
    <w:p>
      <w:pPr>
        <w:pStyle w:val="Normal"/>
        <w:rPr/>
      </w:pPr>
      <w:r>
        <w:rPr>
          <w:b/>
          <w:lang w:eastAsia="zh-CN"/>
        </w:rPr>
        <w:t>Issue 3. Relation of tenant management, communication service management and network management, including network slicing management</w:t>
      </w:r>
    </w:p>
    <w:p>
      <w:pPr>
        <w:pStyle w:val="Normal"/>
        <w:rPr>
          <w:lang w:eastAsia="zh-CN"/>
        </w:rPr>
      </w:pPr>
      <w:r>
        <w:rPr>
          <w:lang w:eastAsia="zh-CN"/>
        </w:rPr>
        <w:t>Study the relation of tenant management, communication service management and network management, including network slicing management.</w:t>
      </w:r>
    </w:p>
    <w:p>
      <w:pPr>
        <w:pStyle w:val="Heading2"/>
        <w:rPr/>
      </w:pPr>
      <w:bookmarkStart w:id="21" w:name="__RefHeading___Toc21418323"/>
      <w:bookmarkEnd w:id="21"/>
      <w:r>
        <w:rPr>
          <w:lang w:eastAsia="zh-CN"/>
        </w:rPr>
        <w:t>4.3</w:t>
        <w:tab/>
        <w:t>Management service consumed by tenant</w:t>
      </w:r>
    </w:p>
    <w:p>
      <w:pPr>
        <w:pStyle w:val="Normal"/>
        <w:rPr/>
      </w:pPr>
      <w:r>
        <w:rPr>
          <w:lang w:eastAsia="zh-CN"/>
        </w:rPr>
        <w:t xml:space="preserve">Tenant concept can be considered as a group of user in software and </w:t>
      </w:r>
      <w:bookmarkStart w:id="22" w:name="EDM_Bookmark_"/>
      <w:r>
        <w:rPr>
          <w:lang w:eastAsia="zh-CN"/>
        </w:rPr>
        <w:t>virtualization</w:t>
      </w:r>
      <w:bookmarkEnd w:id="22"/>
      <w:r>
        <w:rPr>
          <w:lang w:eastAsia="zh-CN"/>
        </w:rPr>
        <w:t xml:space="preserve"> context. The 3</w:t>
      </w:r>
      <w:r>
        <w:rPr>
          <w:vertAlign w:val="superscript"/>
          <w:lang w:eastAsia="zh-CN"/>
        </w:rPr>
        <w:t>rd</w:t>
      </w:r>
      <w:r>
        <w:rPr>
          <w:lang w:eastAsia="zh-CN"/>
        </w:rPr>
        <w:t xml:space="preserve"> party consumer using 3GPP management capability can represent a tenant that use communication service (e.g. an enterprise user).</w:t>
      </w:r>
    </w:p>
    <w:p>
      <w:pPr>
        <w:pStyle w:val="Normal"/>
        <w:rPr>
          <w:lang w:eastAsia="zh-CN"/>
        </w:rPr>
      </w:pPr>
      <w:r>
        <w:rPr>
          <w:lang w:eastAsia="zh-CN"/>
        </w:rPr>
        <w:t>I</w:t>
      </w:r>
      <w:r>
        <w:rPr>
          <w:lang w:eastAsia="zh-CN"/>
        </w:rPr>
        <w:t xml:space="preserve">n </w:t>
      </w:r>
      <w:r>
        <w:rPr>
          <w:lang w:eastAsia="zh-CN"/>
        </w:rPr>
        <w:t>3GPP management system, management services are produced to offer management capabilities that provide management operation and management data access for specific management purposes. The management services are supported by 3GPP management system are as following:</w:t>
      </w:r>
    </w:p>
    <w:p>
      <w:pPr>
        <w:pStyle w:val="B1"/>
        <w:rPr>
          <w:lang w:eastAsia="zh-CN"/>
        </w:rPr>
      </w:pPr>
      <w:r>
        <w:rPr>
          <w:lang w:eastAsia="zh-CN"/>
        </w:rPr>
        <w:t>-</w:t>
        <w:tab/>
        <w:t>provisioning service;</w:t>
      </w:r>
    </w:p>
    <w:p>
      <w:pPr>
        <w:pStyle w:val="B1"/>
        <w:rPr>
          <w:lang w:eastAsia="zh-CN"/>
        </w:rPr>
      </w:pPr>
      <w:r>
        <w:rPr>
          <w:lang w:eastAsia="zh-CN"/>
        </w:rPr>
        <w:t>-</w:t>
        <w:tab/>
        <w:t>performance management service; and</w:t>
      </w:r>
    </w:p>
    <w:p>
      <w:pPr>
        <w:pStyle w:val="B1"/>
        <w:rPr/>
      </w:pPr>
      <w:r>
        <w:rPr>
          <w:lang w:eastAsia="zh-CN"/>
        </w:rPr>
        <w:t>-</w:t>
        <w:tab/>
        <w:t>fault management service.</w:t>
      </w:r>
    </w:p>
    <w:p>
      <w:pPr>
        <w:pStyle w:val="Normal"/>
        <w:rPr/>
      </w:pPr>
      <w:r>
        <w:rPr>
          <w:lang w:eastAsia="zh-CN"/>
        </w:rPr>
        <w:t>When the 3</w:t>
      </w:r>
      <w:r>
        <w:rPr>
          <w:vertAlign w:val="superscript"/>
          <w:lang w:eastAsia="zh-CN"/>
        </w:rPr>
        <w:t>rd</w:t>
      </w:r>
      <w:r>
        <w:rPr>
          <w:lang w:eastAsia="zh-CN"/>
        </w:rPr>
        <w:t xml:space="preserve"> party consumer is represented as group of users, identified as tenants (e.g. enterprises that consume V2X service), tenants should be able to consume management services that are exposed to them. </w:t>
      </w:r>
    </w:p>
    <w:p>
      <w:pPr>
        <w:pStyle w:val="Normal"/>
        <w:rPr>
          <w:lang w:eastAsia="zh-CN"/>
        </w:rPr>
      </w:pPr>
      <w:r>
        <w:rPr>
          <w:lang w:eastAsia="zh-CN"/>
        </w:rPr>
        <w:t>The typ</w:t>
      </w:r>
      <w:r>
        <w:rPr>
          <w:lang w:eastAsia="zh-CN"/>
        </w:rPr>
        <w:t>ical management data exposed to tenants are performance measurement KPIs and fault alarms. W</w:t>
      </w:r>
      <w:r>
        <w:rPr>
          <w:lang w:eastAsia="zh-CN"/>
        </w:rPr>
        <w:t>hen 3G</w:t>
      </w:r>
      <w:r>
        <w:rPr>
          <w:lang w:eastAsia="zh-CN"/>
        </w:rPr>
        <w:t xml:space="preserve">PP management system exposes management data to tenants, the management data should be provided by performance management service or fault management service. </w:t>
      </w:r>
    </w:p>
    <w:p>
      <w:pPr>
        <w:pStyle w:val="NO"/>
        <w:rPr>
          <w:lang w:eastAsia="zh-CN"/>
        </w:rPr>
      </w:pPr>
      <w:r>
        <w:rPr>
          <w:lang w:eastAsia="zh-CN"/>
        </w:rPr>
        <w:t xml:space="preserve">NOTE: </w:t>
        <w:tab/>
        <w:t>Only a subset of management service specified by 3GPP specification will be exposed to 3</w:t>
      </w:r>
      <w:r>
        <w:rPr>
          <w:vertAlign w:val="superscript"/>
          <w:lang w:eastAsia="zh-CN"/>
        </w:rPr>
        <w:t>rd</w:t>
      </w:r>
      <w:r>
        <w:rPr>
          <w:lang w:eastAsia="zh-CN"/>
        </w:rPr>
        <w:t xml:space="preserve"> party management service consumer representing the tenant.</w:t>
      </w:r>
    </w:p>
    <w:p>
      <w:pPr>
        <w:pStyle w:val="Heading2"/>
        <w:rPr/>
      </w:pPr>
      <w:bookmarkStart w:id="23" w:name="__RefHeading___Toc21418324"/>
      <w:bookmarkEnd w:id="23"/>
      <w:r>
        <w:rPr>
          <w:lang w:eastAsia="zh-CN"/>
        </w:rPr>
        <w:t>4.4</w:t>
        <w:tab/>
        <w:t>Tenant categorization based on its management capability</w:t>
      </w:r>
    </w:p>
    <w:p>
      <w:pPr>
        <w:pStyle w:val="Normal"/>
        <w:rPr/>
      </w:pPr>
      <w:r>
        <w:rPr/>
        <w:t xml:space="preserve">The following tenant types may exist in order to provide 5G communication services, the management capability for different tenant types may be different depending on the services the tenant obtains from the provider. </w:t>
      </w:r>
    </w:p>
    <w:p>
      <w:pPr>
        <w:pStyle w:val="B1"/>
        <w:rPr/>
      </w:pPr>
      <w:r>
        <w:rPr/>
        <w:t>-</w:t>
        <w:tab/>
        <w:t xml:space="preserve">Tenant type A: an entity uses its logical network (i.e. </w:t>
      </w:r>
      <w:r>
        <w:rPr>
          <w:lang w:eastAsia="zh-CN"/>
        </w:rPr>
        <w:t>an instance of a network</w:t>
      </w:r>
      <w:r>
        <w:rPr>
          <w:lang w:eastAsia="zh-CN"/>
        </w:rPr>
        <w:t>)</w:t>
      </w:r>
      <w:r>
        <w:rPr>
          <w:lang w:eastAsia="zh-CN"/>
        </w:rPr>
        <w:t xml:space="preserve"> </w:t>
      </w:r>
      <w:r>
        <w:rPr>
          <w:lang w:eastAsia="zh-CN"/>
        </w:rPr>
        <w:t>prov</w:t>
      </w:r>
      <w:r>
        <w:rPr>
          <w:lang w:eastAsia="zh-CN"/>
        </w:rPr>
        <w:t>ided by NOP, and</w:t>
      </w:r>
      <w:r>
        <w:rPr/>
        <w:t xml:space="preserve"> performs lifecycle management of its logical network. </w:t>
      </w:r>
    </w:p>
    <w:p>
      <w:pPr>
        <w:pStyle w:val="B1"/>
        <w:rPr/>
      </w:pPr>
      <w:r>
        <w:rPr/>
        <w:tab/>
        <w:t>Tenant type A is categorized as below:</w:t>
      </w:r>
    </w:p>
    <w:p>
      <w:pPr>
        <w:pStyle w:val="B2"/>
        <w:rPr/>
      </w:pPr>
      <w:r>
        <w:rPr/>
        <w:t>-</w:t>
        <w:tab/>
        <w:t xml:space="preserve">Tenant type A1: an entity uses its logical network </w:t>
      </w:r>
      <w:r>
        <w:rPr>
          <w:lang w:eastAsia="zh-CN"/>
        </w:rPr>
        <w:t>prov</w:t>
      </w:r>
      <w:r>
        <w:rPr>
          <w:lang w:eastAsia="zh-CN"/>
        </w:rPr>
        <w:t xml:space="preserve">ided by NOP </w:t>
      </w:r>
      <w:r>
        <w:rPr>
          <w:lang w:eastAsia="zh-CN"/>
        </w:rPr>
        <w:t>t</w:t>
      </w:r>
      <w:r>
        <w:rPr>
          <w:lang w:eastAsia="zh-CN"/>
        </w:rPr>
        <w:t xml:space="preserve">o provide </w:t>
      </w:r>
      <w:r>
        <w:rPr/>
        <w:t>CSIs to its customers (e.g., verticals)</w:t>
      </w:r>
      <w:r>
        <w:rPr>
          <w:lang w:eastAsia="zh-CN"/>
        </w:rPr>
        <w:t>, and</w:t>
      </w:r>
      <w:r>
        <w:rPr/>
        <w:t xml:space="preserve"> performs lifecycle management of its logical network.</w:t>
      </w:r>
    </w:p>
    <w:p>
      <w:pPr>
        <w:pStyle w:val="B2"/>
        <w:rPr/>
      </w:pPr>
      <w:r>
        <w:rPr/>
        <w:t>-</w:t>
        <w:tab/>
        <w:t xml:space="preserve">Tenant type A2: an entity uses its logical network </w:t>
      </w:r>
      <w:r>
        <w:rPr>
          <w:lang w:eastAsia="zh-CN"/>
        </w:rPr>
        <w:t>prov</w:t>
      </w:r>
      <w:r>
        <w:rPr>
          <w:lang w:eastAsia="zh-CN"/>
        </w:rPr>
        <w:t xml:space="preserve">ided by NOP </w:t>
      </w:r>
      <w:r>
        <w:rPr>
          <w:lang w:eastAsia="zh-CN"/>
        </w:rPr>
        <w:t>t</w:t>
      </w:r>
      <w:r>
        <w:rPr>
          <w:lang w:eastAsia="zh-CN"/>
        </w:rPr>
        <w:t xml:space="preserve">o provide </w:t>
      </w:r>
      <w:r>
        <w:rPr/>
        <w:t>CSIs to end users</w:t>
      </w:r>
      <w:r>
        <w:rPr>
          <w:lang w:eastAsia="zh-CN"/>
        </w:rPr>
        <w:t>, and</w:t>
      </w:r>
      <w:r>
        <w:rPr/>
        <w:t xml:space="preserve"> performs lifecycle management of its logical network.</w:t>
      </w:r>
    </w:p>
    <w:p>
      <w:pPr>
        <w:pStyle w:val="B1"/>
        <w:rPr/>
      </w:pPr>
      <w:r>
        <w:rPr/>
        <w:t>-</w:t>
        <w:tab/>
        <w:t xml:space="preserve">Tenant type B: an entity uses its logical network </w:t>
      </w:r>
      <w:r>
        <w:rPr>
          <w:lang w:eastAsia="zh-CN"/>
        </w:rPr>
        <w:t>prov</w:t>
      </w:r>
      <w:r>
        <w:rPr>
          <w:lang w:eastAsia="zh-CN"/>
        </w:rPr>
        <w:t>ided by NOP</w:t>
      </w:r>
      <w:r>
        <w:rPr/>
        <w:t>, and does not performs lifecycle management of its logical network. Any associated management capabilities are accessed and consumed by the NOP.</w:t>
      </w:r>
    </w:p>
    <w:p>
      <w:pPr>
        <w:pStyle w:val="B1"/>
        <w:rPr/>
      </w:pPr>
      <w:r>
        <w:rPr/>
        <w:tab/>
        <w:t>Tenant type B is categorized as below:</w:t>
      </w:r>
    </w:p>
    <w:p>
      <w:pPr>
        <w:pStyle w:val="B2"/>
        <w:rPr/>
      </w:pPr>
      <w:r>
        <w:rPr/>
        <w:t>-</w:t>
        <w:tab/>
        <w:t xml:space="preserve">Tenant type B1: an entity uses its logical network </w:t>
      </w:r>
      <w:r>
        <w:rPr>
          <w:lang w:eastAsia="zh-CN"/>
        </w:rPr>
        <w:t>prov</w:t>
      </w:r>
      <w:r>
        <w:rPr>
          <w:lang w:eastAsia="zh-CN"/>
        </w:rPr>
        <w:t xml:space="preserve">ided by NOP </w:t>
      </w:r>
      <w:r>
        <w:rPr>
          <w:lang w:eastAsia="zh-CN"/>
        </w:rPr>
        <w:t>t</w:t>
      </w:r>
      <w:r>
        <w:rPr>
          <w:lang w:eastAsia="zh-CN"/>
        </w:rPr>
        <w:t xml:space="preserve">o provide </w:t>
      </w:r>
      <w:r>
        <w:rPr/>
        <w:t>CSIs to its customers (e.g., verticals)</w:t>
      </w:r>
      <w:r>
        <w:rPr>
          <w:lang w:eastAsia="zh-CN"/>
        </w:rPr>
        <w:t>, and</w:t>
      </w:r>
      <w:r>
        <w:rPr/>
        <w:t xml:space="preserve"> does not performs lifecycle management of its logical network.</w:t>
      </w:r>
    </w:p>
    <w:p>
      <w:pPr>
        <w:pStyle w:val="B2"/>
        <w:rPr/>
      </w:pPr>
      <w:r>
        <w:rPr/>
        <w:t>-</w:t>
        <w:tab/>
        <w:t xml:space="preserve">Tenant type B2: an entity uses its logical network </w:t>
      </w:r>
      <w:r>
        <w:rPr>
          <w:lang w:eastAsia="zh-CN"/>
        </w:rPr>
        <w:t>prov</w:t>
      </w:r>
      <w:r>
        <w:rPr>
          <w:lang w:eastAsia="zh-CN"/>
        </w:rPr>
        <w:t xml:space="preserve">ided by NOP </w:t>
      </w:r>
      <w:r>
        <w:rPr>
          <w:lang w:eastAsia="zh-CN"/>
        </w:rPr>
        <w:t>t</w:t>
      </w:r>
      <w:r>
        <w:rPr>
          <w:lang w:eastAsia="zh-CN"/>
        </w:rPr>
        <w:t xml:space="preserve">o provide </w:t>
      </w:r>
      <w:r>
        <w:rPr/>
        <w:t>CSIs to end users</w:t>
      </w:r>
      <w:r>
        <w:rPr>
          <w:lang w:eastAsia="zh-CN"/>
        </w:rPr>
        <w:t>, and</w:t>
      </w:r>
      <w:r>
        <w:rPr/>
        <w:t xml:space="preserve"> does not performs lifecycle management of its logical network.</w:t>
      </w:r>
    </w:p>
    <w:p>
      <w:pPr>
        <w:pStyle w:val="Heading2"/>
        <w:rPr>
          <w:lang w:eastAsia="zh-CN"/>
        </w:rPr>
      </w:pPr>
      <w:bookmarkStart w:id="24" w:name="__RefHeading___Toc21418325"/>
      <w:bookmarkEnd w:id="24"/>
      <w:r>
        <w:rPr>
          <w:lang w:eastAsia="zh-CN"/>
        </w:rPr>
        <w:t>4.</w:t>
      </w:r>
      <w:r>
        <w:rPr>
          <w:lang w:eastAsia="zh-CN"/>
        </w:rPr>
        <w:t>5</w:t>
        <w:tab/>
        <w:t>Managed resource representation for a tenant</w:t>
      </w:r>
    </w:p>
    <w:p>
      <w:pPr>
        <w:pStyle w:val="Normal"/>
        <w:rPr/>
      </w:pPr>
      <w:r>
        <w:rPr/>
        <w:t xml:space="preserve">3GPP management system may provide management </w:t>
      </w:r>
      <w:r>
        <w:rPr/>
        <w:t>capabilities</w:t>
      </w:r>
      <w:r>
        <w:rPr/>
        <w:t xml:space="preserve"> based on agreed requirements</w:t>
      </w:r>
      <w:r>
        <w:rPr/>
        <w:t xml:space="preserve"> between a</w:t>
      </w:r>
      <w:r>
        <w:rPr/>
        <w:t xml:space="preserve"> </w:t>
      </w:r>
      <w:r>
        <w:rPr/>
        <w:t>tenant and the network operator (e.g. performance report, alarm notification, provisioning service, etc.)</w:t>
      </w:r>
      <w:r>
        <w:rPr/>
        <w:t>.</w:t>
      </w:r>
      <w:r>
        <w:rPr/>
        <w:t xml:space="preserve"> </w:t>
      </w:r>
    </w:p>
    <w:p>
      <w:pPr>
        <w:pStyle w:val="Normal"/>
        <w:rPr/>
      </w:pPr>
      <w:r>
        <w:rPr/>
        <w:t xml:space="preserve">NRM IOC represents managed resource that can be created or deleted for multiple tenants in multiple tenant environment. For example, if NOP exposes NSI provisioning services to external MnS consumer, the IOC of </w:t>
      </w:r>
      <w:r>
        <w:rPr>
          <w:rFonts w:cs="Courier New" w:ascii="Courier New" w:hAnsi="Courier New"/>
          <w:sz w:val="18"/>
          <w:lang w:eastAsia="zh-CN"/>
        </w:rPr>
        <w:t>NetworkSlice</w:t>
      </w:r>
      <w:r>
        <w:rPr/>
        <w:t xml:space="preserve"> can be </w:t>
      </w:r>
      <w:r>
        <w:rPr>
          <w:lang w:eastAsia="zh-CN"/>
        </w:rPr>
        <w:t>associated with authorized this external MnS consumer</w:t>
      </w:r>
      <w:r>
        <w:rPr/>
        <w:t xml:space="preserve">. </w:t>
      </w:r>
    </w:p>
    <w:p>
      <w:pPr>
        <w:pStyle w:val="EditorsNote"/>
        <w:rPr/>
      </w:pPr>
      <w:r>
        <w:rPr>
          <w:lang w:eastAsia="zh-CN"/>
        </w:rPr>
        <w:t>Editor's note: How to associate tenant information with NRM IOC is FFS.</w:t>
      </w:r>
    </w:p>
    <w:p>
      <w:pPr>
        <w:pStyle w:val="Normal"/>
        <w:rPr/>
      </w:pPr>
      <w:r>
        <w:rPr/>
        <w:t xml:space="preserve">MOI represents the managed resource that can be </w:t>
      </w:r>
      <w:r>
        <w:rPr>
          <w:lang w:eastAsia="zh-CN"/>
        </w:rPr>
        <w:t>used</w:t>
      </w:r>
      <w:r>
        <w:rPr/>
        <w:t xml:space="preserve"> by multiple tenants in multiple tenant environment. In one of the scenario, 5G Core AMF may support AMF measurement KPI reporting related to network slice instance supporting multiple tenants. In another scenario when a network slice instance supports multiple tenants, 3GPP management system may use an MOI to represent the management resource for multiple tenants. </w:t>
      </w:r>
    </w:p>
    <w:p>
      <w:pPr>
        <w:pStyle w:val="NO"/>
        <w:rPr>
          <w:lang w:eastAsia="zh-CN"/>
        </w:rPr>
      </w:pPr>
      <w:r>
        <w:rPr/>
        <w:t>NOTE</w:t>
      </w:r>
      <w:r>
        <w:rPr>
          <w:lang w:eastAsia="zh-CN"/>
        </w:rPr>
        <w:t xml:space="preserve">: </w:t>
      </w:r>
      <w:r>
        <w:rPr>
          <w:lang w:eastAsia="zh-CN"/>
        </w:rPr>
        <w:tab/>
      </w:r>
      <w:r>
        <w:rPr>
          <w:lang w:eastAsia="zh-CN"/>
        </w:rPr>
        <w:t>Tenant information may be part of a MOI</w:t>
      </w:r>
      <w:r>
        <w:rPr>
          <w:lang w:eastAsia="zh-CN"/>
        </w:rPr>
        <w:t xml:space="preserve"> </w:t>
      </w:r>
      <w:r>
        <w:rPr>
          <w:lang w:eastAsia="zh-CN"/>
        </w:rPr>
        <w:t xml:space="preserve">to further </w:t>
      </w:r>
      <w:r>
        <w:rPr>
          <w:lang w:eastAsia="zh-CN"/>
        </w:rPr>
        <w:t>identify management resource for a single tenant.</w:t>
      </w:r>
    </w:p>
    <w:p>
      <w:pPr>
        <w:pStyle w:val="Heading2"/>
        <w:rPr/>
      </w:pPr>
      <w:bookmarkStart w:id="25" w:name="__RefHeading___Toc21418326"/>
      <w:bookmarkEnd w:id="25"/>
      <w:r>
        <w:rPr>
          <w:lang w:eastAsia="zh-CN"/>
        </w:rPr>
        <w:t>4.</w:t>
      </w:r>
      <w:r>
        <w:rPr>
          <w:lang w:eastAsia="zh-CN"/>
        </w:rPr>
        <w:t>6</w:t>
      </w:r>
      <w:r>
        <w:rPr>
          <w:lang w:eastAsia="zh-CN"/>
        </w:rPr>
        <w:tab/>
        <w:t xml:space="preserve">Management </w:t>
      </w:r>
      <w:r>
        <w:rPr>
          <w:lang w:eastAsia="zh-CN"/>
        </w:rPr>
        <w:t>capabilities</w:t>
      </w:r>
      <w:r>
        <w:rPr>
          <w:lang w:eastAsia="zh-CN"/>
        </w:rPr>
        <w:t xml:space="preserve"> provided to a tenant in 3GPP management system</w:t>
      </w:r>
    </w:p>
    <w:p>
      <w:pPr>
        <w:pStyle w:val="Normal"/>
        <w:rPr>
          <w:lang w:eastAsia="zh-CN"/>
        </w:rPr>
      </w:pPr>
      <w:r>
        <w:rPr>
          <w:lang w:eastAsia="zh-CN"/>
        </w:rPr>
        <w:t xml:space="preserve">The tenant should be capable to consume MnS that provides management capabilities. </w:t>
      </w:r>
      <w:r>
        <w:rPr>
          <w:lang w:eastAsia="zh-CN"/>
        </w:rPr>
        <w:t>I</w:t>
      </w:r>
      <w:r>
        <w:rPr>
          <w:lang w:eastAsia="zh-CN"/>
        </w:rPr>
        <w:t>t is proposed to use MOI (</w:t>
      </w:r>
      <w:r>
        <w:rPr>
          <w:lang w:eastAsia="zh-CN"/>
        </w:rPr>
        <w:t>component type B</w:t>
      </w:r>
      <w:r>
        <w:rPr>
          <w:lang w:eastAsia="zh-CN"/>
        </w:rPr>
        <w:t xml:space="preserve">) to </w:t>
      </w:r>
      <w:r>
        <w:rPr>
          <w:lang w:eastAsia="zh-CN"/>
        </w:rPr>
        <w:t>identif</w:t>
      </w:r>
      <w:r>
        <w:rPr>
          <w:lang w:eastAsia="zh-CN"/>
        </w:rPr>
        <w:t xml:space="preserve">y the </w:t>
      </w:r>
      <w:r>
        <w:rPr>
          <w:lang w:eastAsia="zh-CN"/>
        </w:rPr>
        <w:t>managed</w:t>
      </w:r>
      <w:r>
        <w:rPr>
          <w:lang w:eastAsia="zh-CN"/>
        </w:rPr>
        <w:t xml:space="preserve"> resource of the tenant. The </w:t>
      </w:r>
      <w:r>
        <w:rPr>
          <w:lang w:eastAsia="zh-CN"/>
        </w:rPr>
        <w:t>3GPP management system</w:t>
      </w:r>
      <w:r>
        <w:rPr>
          <w:lang w:eastAsia="zh-CN"/>
        </w:rPr>
        <w:t xml:space="preserve"> should be capable to authorize, identify and </w:t>
      </w:r>
      <w:r>
        <w:rPr>
          <w:lang w:eastAsia="zh-CN"/>
        </w:rPr>
        <w:t>enforce</w:t>
      </w:r>
      <w:r>
        <w:rPr>
          <w:lang w:eastAsia="zh-CN"/>
        </w:rPr>
        <w:t xml:space="preserve"> </w:t>
      </w:r>
      <w:r>
        <w:rPr>
          <w:lang w:eastAsia="zh-CN"/>
        </w:rPr>
        <w:t>exposure of specified</w:t>
      </w:r>
      <w:r>
        <w:rPr>
          <w:lang w:eastAsia="zh-CN"/>
        </w:rPr>
        <w:t xml:space="preserve"> management capabilities</w:t>
      </w:r>
      <w:r>
        <w:rPr>
          <w:lang w:eastAsia="zh-CN"/>
        </w:rPr>
        <w:t xml:space="preserve"> related to managed resource of a tenant</w:t>
      </w:r>
      <w:r>
        <w:rPr>
          <w:lang w:eastAsia="zh-CN"/>
        </w:rPr>
        <w:t>.</w:t>
      </w:r>
    </w:p>
    <w:p>
      <w:pPr>
        <w:pStyle w:val="Heading2"/>
        <w:rPr/>
      </w:pPr>
      <w:bookmarkStart w:id="26" w:name="__RefHeading___Toc21418327"/>
      <w:bookmarkEnd w:id="26"/>
      <w:r>
        <w:rPr>
          <w:lang w:eastAsia="zh-CN"/>
        </w:rPr>
        <w:t>4.</w:t>
      </w:r>
      <w:r>
        <w:rPr>
          <w:lang w:eastAsia="zh-CN"/>
        </w:rPr>
        <w:t>7</w:t>
        <w:tab/>
        <w:t>M</w:t>
      </w:r>
      <w:r>
        <w:rPr>
          <w:lang w:eastAsia="zh-CN"/>
        </w:rPr>
        <w:t xml:space="preserve">anagement </w:t>
      </w:r>
      <w:r>
        <w:rPr>
          <w:lang w:eastAsia="zh-CN"/>
        </w:rPr>
        <w:t>function providing management capabilities for multiple tenants</w:t>
      </w:r>
    </w:p>
    <w:p>
      <w:pPr>
        <w:pStyle w:val="Normal"/>
        <w:rPr>
          <w:lang w:eastAsia="zh-CN"/>
        </w:rPr>
      </w:pPr>
      <w:r>
        <w:rPr>
          <w:lang w:eastAsia="zh-CN"/>
        </w:rPr>
        <w:t>The n</w:t>
      </w:r>
      <w:r>
        <w:rPr>
          <w:lang w:eastAsia="zh-CN"/>
        </w:rPr>
        <w:t xml:space="preserve">etwork slice </w:t>
      </w:r>
      <w:r>
        <w:rPr>
          <w:lang w:eastAsia="zh-CN"/>
        </w:rPr>
        <w:t xml:space="preserve">subnet </w:t>
      </w:r>
      <w:r>
        <w:rPr>
          <w:lang w:eastAsia="zh-CN"/>
        </w:rPr>
        <w:t xml:space="preserve">management function can </w:t>
      </w:r>
      <w:r>
        <w:rPr>
          <w:lang w:eastAsia="zh-CN"/>
        </w:rPr>
        <w:t xml:space="preserve">provide </w:t>
      </w:r>
      <w:r>
        <w:rPr>
          <w:lang w:eastAsia="zh-CN"/>
        </w:rPr>
        <w:t xml:space="preserve">management services that provide management </w:t>
      </w:r>
      <w:r>
        <w:rPr>
          <w:lang w:eastAsia="zh-CN"/>
        </w:rPr>
        <w:t>capabilities</w:t>
      </w:r>
      <w:r>
        <w:rPr>
          <w:lang w:eastAsia="zh-CN"/>
        </w:rPr>
        <w:t xml:space="preserve"> </w:t>
      </w:r>
      <w:r>
        <w:rPr>
          <w:lang w:eastAsia="zh-CN"/>
        </w:rPr>
        <w:t>in multiple tenant environment</w:t>
      </w:r>
      <w:r>
        <w:rPr>
          <w:lang w:eastAsia="zh-CN"/>
        </w:rPr>
        <w:t xml:space="preserve">. </w:t>
      </w:r>
      <w:r>
        <w:rPr>
          <w:lang w:eastAsia="zh-CN"/>
        </w:rPr>
        <w:t>For example, t</w:t>
      </w:r>
      <w:r>
        <w:rPr>
          <w:lang w:eastAsia="zh-CN"/>
        </w:rPr>
        <w:t xml:space="preserve">he network management function is optionally capable </w:t>
      </w:r>
      <w:r>
        <w:rPr>
          <w:lang w:eastAsia="zh-CN"/>
        </w:rPr>
        <w:t>of</w:t>
      </w:r>
      <w:r>
        <w:rPr>
          <w:lang w:eastAsia="zh-CN"/>
        </w:rPr>
        <w:t xml:space="preserve"> </w:t>
      </w:r>
      <w:r>
        <w:rPr>
          <w:lang w:eastAsia="zh-CN"/>
        </w:rPr>
        <w:t xml:space="preserve">handling a </w:t>
      </w:r>
      <w:r>
        <w:rPr>
          <w:lang w:eastAsia="zh-CN"/>
        </w:rPr>
        <w:t>management data and monit</w:t>
      </w:r>
      <w:r>
        <w:rPr>
          <w:lang w:eastAsia="zh-CN"/>
        </w:rPr>
        <w:t>o</w:t>
      </w:r>
      <w:r>
        <w:rPr>
          <w:lang w:eastAsia="zh-CN"/>
        </w:rPr>
        <w:t xml:space="preserve">r </w:t>
      </w:r>
      <w:r>
        <w:rPr>
          <w:lang w:eastAsia="zh-CN"/>
        </w:rPr>
        <w:t xml:space="preserve">network </w:t>
      </w:r>
      <w:r>
        <w:rPr>
          <w:lang w:eastAsia="zh-CN"/>
        </w:rPr>
        <w:t xml:space="preserve">measurement KPIs for </w:t>
      </w:r>
      <w:r>
        <w:rPr>
          <w:lang w:eastAsia="zh-CN"/>
        </w:rPr>
        <w:t>multiple</w:t>
      </w:r>
      <w:r>
        <w:rPr>
          <w:lang w:eastAsia="zh-CN"/>
        </w:rPr>
        <w:t xml:space="preserve"> tenant. The management function </w:t>
      </w:r>
      <w:r>
        <w:rPr>
          <w:lang w:eastAsia="zh-CN"/>
        </w:rPr>
        <w:t>supporting multiple tenant environment</w:t>
      </w:r>
      <w:r>
        <w:rPr>
          <w:lang w:eastAsia="zh-CN"/>
        </w:rPr>
        <w:t xml:space="preserve"> may </w:t>
      </w:r>
      <w:r>
        <w:rPr>
          <w:lang w:eastAsia="zh-CN"/>
        </w:rPr>
        <w:t>act</w:t>
      </w:r>
      <w:r>
        <w:rPr>
          <w:lang w:eastAsia="zh-CN"/>
        </w:rPr>
        <w:t xml:space="preserve"> as MnS consumer </w:t>
      </w:r>
      <w:r>
        <w:rPr>
          <w:lang w:eastAsia="zh-CN"/>
        </w:rPr>
        <w:t xml:space="preserve">and </w:t>
      </w:r>
      <w:r>
        <w:rPr>
          <w:lang w:eastAsia="zh-CN"/>
        </w:rPr>
        <w:t>as MnS provider for tenant</w:t>
      </w:r>
      <w:r>
        <w:rPr>
          <w:lang w:eastAsia="zh-CN"/>
        </w:rPr>
        <w:t>s</w:t>
      </w:r>
      <w:r>
        <w:rPr>
          <w:lang w:eastAsia="zh-CN"/>
        </w:rPr>
        <w:t xml:space="preserve"> as shown in Figure 4.</w:t>
      </w:r>
      <w:r>
        <w:rPr>
          <w:lang w:eastAsia="zh-CN"/>
        </w:rPr>
        <w:t>7-</w:t>
      </w:r>
      <w:r>
        <w:rPr>
          <w:lang w:eastAsia="zh-CN"/>
        </w:rPr>
        <w:t>1.</w:t>
      </w:r>
    </w:p>
    <w:p>
      <w:pPr>
        <w:pStyle w:val="TH"/>
        <w:rPr/>
      </w:pPr>
      <w:r>
        <w:rPr/>
        <w:object w:dxaOrig="6985" w:dyaOrig="524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6.55pt;height:184.5pt" filled="f" o:ole="">
            <v:imagedata r:id="rId9" o:title=""/>
          </v:shape>
          <o:OLEObject Type="Embed" ProgID="" ShapeID="ole_rId8" DrawAspect="Content" ObjectID="_954773069" r:id="rId8"/>
        </w:object>
      </w:r>
    </w:p>
    <w:p>
      <w:pPr>
        <w:pStyle w:val="TF"/>
        <w:rPr/>
      </w:pPr>
      <w:r>
        <w:rPr>
          <w:lang w:eastAsia="zh-CN"/>
        </w:rPr>
        <w:t>Figure 4.7-1: Example of Management Function in multiple tenant environment</w:t>
      </w:r>
    </w:p>
    <w:p>
      <w:pPr>
        <w:pStyle w:val="Normal"/>
        <w:rPr>
          <w:lang w:eastAsia="zh-CN"/>
        </w:rPr>
      </w:pPr>
      <w:bookmarkStart w:id="27" w:name="historyclause"/>
      <w:bookmarkEnd w:id="27"/>
      <w:r>
        <w:rPr>
          <w:lang w:eastAsia="zh-CN"/>
        </w:rPr>
        <w:t xml:space="preserve">When tenant represents a group of CSI consumers in 3GPP management system, the tenant may consume a set of management capabilities. The exposure governance management function defined in TS 28.533 [5] may authorize the MnS consumer representing the tenant and apply </w:t>
      </w:r>
      <w:r>
        <w:rPr/>
        <w:t>exposure governance</w:t>
      </w:r>
      <w:r>
        <w:rPr>
          <w:lang w:eastAsia="zh-CN"/>
        </w:rPr>
        <w:t xml:space="preserve"> on management services. </w:t>
      </w:r>
    </w:p>
    <w:p>
      <w:pPr>
        <w:pStyle w:val="TH"/>
        <w:rPr/>
      </w:pPr>
      <w:r>
        <w:rPr/>
        <w:object w:dxaOrig="19200" w:dyaOrig="10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12.2pt;height:175.3pt" filled="f" o:ole="">
            <v:imagedata r:id="rId11" o:title=""/>
          </v:shape>
          <o:OLEObject Type="Embed" ProgID="PowerPoint.Show.12" ShapeID="ole_rId10" DrawAspect="Content" ObjectID="_1156095371" r:id="rId10"/>
        </w:object>
      </w:r>
    </w:p>
    <w:p>
      <w:pPr>
        <w:pStyle w:val="TF"/>
        <w:rPr/>
      </w:pPr>
      <w:r>
        <w:rPr>
          <w:lang w:eastAsia="zh-CN"/>
        </w:rPr>
        <w:t>Figure 4.7-2: Exposure governance in multiple tenant environment</w:t>
      </w:r>
    </w:p>
    <w:p>
      <w:pPr>
        <w:pStyle w:val="Normal"/>
        <w:rPr>
          <w:lang w:eastAsia="zh-CN"/>
        </w:rPr>
      </w:pPr>
      <w:r>
        <w:rPr>
          <w:color w:val="000000"/>
          <w:lang w:eastAsia="zh-CN"/>
        </w:rPr>
        <w:t xml:space="preserve">It is illustrated in Figure 4.7-2 that exposed management services </w:t>
      </w:r>
      <w:r>
        <w:rPr>
          <w:color w:val="000000"/>
          <w:lang w:eastAsia="zh-CN"/>
        </w:rPr>
        <w:t xml:space="preserve">can be </w:t>
      </w:r>
      <w:r>
        <w:rPr>
          <w:color w:val="000000"/>
          <w:lang w:eastAsia="zh-CN"/>
        </w:rPr>
        <w:t>consumed by</w:t>
      </w:r>
      <w:r>
        <w:rPr>
          <w:color w:val="000000"/>
          <w:lang w:eastAsia="zh-CN"/>
        </w:rPr>
        <w:t xml:space="preserve"> </w:t>
      </w:r>
      <w:r>
        <w:rPr>
          <w:color w:val="000000"/>
          <w:lang w:eastAsia="zh-CN"/>
        </w:rPr>
        <w:t xml:space="preserve">MnS consumers representing tenants. The MnS consumer should provide the identity information of the tenant when it consumes services provide by MnS producer. The EGMF should authenticate the identity information of the tenant and authorize the MnS consumer representing the tenant to access MnS and consume a specified set of management capabilities. </w:t>
      </w:r>
    </w:p>
    <w:p>
      <w:pPr>
        <w:pStyle w:val="Heading2"/>
        <w:rPr>
          <w:lang w:eastAsia="zh-CN"/>
        </w:rPr>
      </w:pPr>
      <w:bookmarkStart w:id="28" w:name="__RefHeading___Toc21418328"/>
      <w:bookmarkEnd w:id="28"/>
      <w:r>
        <w:rPr>
          <w:lang w:eastAsia="zh-CN"/>
        </w:rPr>
        <w:t>4.8</w:t>
        <w:tab/>
        <w:t>Relation to communication service instance</w:t>
      </w:r>
    </w:p>
    <w:p>
      <w:pPr>
        <w:pStyle w:val="Normal"/>
        <w:keepNext w:val="true"/>
        <w:keepLines/>
        <w:rPr/>
      </w:pPr>
      <w:r>
        <w:rPr>
          <w:lang w:eastAsia="zh-CN"/>
        </w:rPr>
        <w:t>According to TR 28.805 [9], t</w:t>
      </w:r>
      <w:r>
        <w:rPr/>
        <w:t>he vertical customer is authorized to obtain the allowed management capability from CSI service provider according to the pre-defined agreements between the CSI service provider and the CSI service consumer. As described in Figure 4.8-1, CSI Consumer in CSMF can be mapped into a MnS consumer associated with tenant information in 3GPP management system. The MnS provider can provide management capabilities for this tenant by using tenant information as following:</w:t>
      </w:r>
    </w:p>
    <w:p>
      <w:pPr>
        <w:pStyle w:val="B1"/>
        <w:rPr/>
      </w:pPr>
      <w:r>
        <w:rPr/>
        <w:t>-</w:t>
        <w:tab/>
        <w:t>5G network slice NRM IOC attribute with tenant information, used to identify managed resource for the tenant</w:t>
      </w:r>
    </w:p>
    <w:p>
      <w:pPr>
        <w:pStyle w:val="B1"/>
        <w:rPr/>
      </w:pPr>
      <w:r>
        <w:rPr/>
        <w:t>-</w:t>
        <w:tab/>
        <w:t>S-NSSAI value, additionally used by 3GPP management system to associate NF performance measurement with a tenant</w:t>
      </w:r>
    </w:p>
    <w:p>
      <w:pPr>
        <w:pStyle w:val="TH"/>
        <w:rPr>
          <w:lang w:eastAsia="zh-CN"/>
        </w:rPr>
      </w:pPr>
      <w:r>
        <w:rPr>
          <w:lang w:eastAsia="zh-CN"/>
        </w:rPr>
        <w:drawing>
          <wp:inline distT="0" distB="0" distL="0" distR="0">
            <wp:extent cx="4514850" cy="142049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4" t="-13" r="-4" b="-13"/>
                    <a:stretch>
                      <a:fillRect/>
                    </a:stretch>
                  </pic:blipFill>
                  <pic:spPr bwMode="auto">
                    <a:xfrm>
                      <a:off x="0" y="0"/>
                      <a:ext cx="4514850" cy="1420495"/>
                    </a:xfrm>
                    <a:prstGeom prst="rect">
                      <a:avLst/>
                    </a:prstGeom>
                  </pic:spPr>
                </pic:pic>
              </a:graphicData>
            </a:graphic>
          </wp:inline>
        </w:drawing>
      </w:r>
    </w:p>
    <w:p>
      <w:pPr>
        <w:pStyle w:val="TF"/>
        <w:rPr/>
      </w:pPr>
      <w:r>
        <w:rPr>
          <w:lang w:eastAsia="zh-CN"/>
        </w:rPr>
        <w:t>Figure 4.8-1: NSMF/NSSMF tenant information relation with CSI Consumer in CSMF</w:t>
      </w:r>
    </w:p>
    <w:p>
      <w:pPr>
        <w:pStyle w:val="Heading2"/>
        <w:rPr>
          <w:lang w:eastAsia="zh-CN"/>
        </w:rPr>
      </w:pPr>
      <w:bookmarkStart w:id="29" w:name="__RefHeading___Toc21418329"/>
      <w:bookmarkEnd w:id="29"/>
      <w:r>
        <w:rPr>
          <w:lang w:eastAsia="zh-CN"/>
        </w:rPr>
        <w:t>4</w:t>
      </w:r>
      <w:r>
        <w:rPr>
          <w:lang w:eastAsia="zh-CN"/>
        </w:rPr>
        <w:t>.9</w:t>
        <w:tab/>
        <w:t>Fault supervision management for a tenant</w:t>
      </w:r>
    </w:p>
    <w:p>
      <w:pPr>
        <w:pStyle w:val="Normal"/>
        <w:rPr>
          <w:lang w:eastAsia="zh-CN"/>
        </w:rPr>
      </w:pPr>
      <w:r>
        <w:rPr>
          <w:lang w:eastAsia="zh-CN"/>
        </w:rPr>
        <w:t xml:space="preserve">When the MnS consumer subscribes or queries alarm information of managed resources, the alarm information of managed resource related to the tenant may be provided to the MnS consumer. The tenant information in Serviceprofile IOC is associated with S-NSSAI in </w:t>
      </w:r>
      <w:r>
        <w:rPr>
          <w:rFonts w:cs="Courier New" w:ascii="Courier New" w:hAnsi="Courier New"/>
          <w:lang w:eastAsia="zh-CN"/>
        </w:rPr>
        <w:t>sN</w:t>
      </w:r>
      <w:r>
        <w:rPr>
          <w:rFonts w:cs="Courier New" w:ascii="Courier New" w:hAnsi="Courier New"/>
          <w:lang w:eastAsia="zh-CN"/>
        </w:rPr>
        <w:t>SSAI</w:t>
      </w:r>
      <w:r>
        <w:rPr>
          <w:rFonts w:cs="Courier New" w:ascii="Courier New" w:hAnsi="Courier New"/>
          <w:lang w:eastAsia="zh-CN"/>
        </w:rPr>
        <w:t>List</w:t>
      </w:r>
      <w:r>
        <w:rPr>
          <w:lang w:eastAsia="zh-CN"/>
        </w:rPr>
        <w:t xml:space="preserve"> attributes or sub-attributes as defined in TS 28.541 [6]. S-NSSAI may be used for filtering the alarm information in </w:t>
      </w:r>
      <w:r>
        <w:rPr>
          <w:rFonts w:cs="Courier New" w:ascii="Courier New" w:hAnsi="Courier New"/>
        </w:rPr>
        <w:t>subscribe</w:t>
      </w:r>
      <w:r>
        <w:rPr>
          <w:lang w:eastAsia="zh-CN"/>
        </w:rPr>
        <w:t xml:space="preserve"> or </w:t>
      </w:r>
      <w:r>
        <w:rPr>
          <w:rFonts w:cs="Courier New" w:ascii="Courier New" w:hAnsi="Courier New"/>
        </w:rPr>
        <w:t>getAlarmList</w:t>
      </w:r>
      <w:r>
        <w:rPr>
          <w:lang w:eastAsia="zh-CN"/>
        </w:rPr>
        <w:t xml:space="preserve"> operation defined in TS 28.532 [4]. </w:t>
      </w:r>
    </w:p>
    <w:p>
      <w:pPr>
        <w:pStyle w:val="Heading2"/>
        <w:rPr>
          <w:lang w:eastAsia="zh-CN"/>
        </w:rPr>
      </w:pPr>
      <w:bookmarkStart w:id="30" w:name="__RefHeading___Toc21418330"/>
      <w:bookmarkEnd w:id="30"/>
      <w:r>
        <w:rPr>
          <w:lang w:eastAsia="zh-CN"/>
        </w:rPr>
        <w:t>4</w:t>
      </w:r>
      <w:r>
        <w:rPr>
          <w:lang w:eastAsia="zh-CN"/>
        </w:rPr>
        <w:t>.10</w:t>
        <w:tab/>
        <w:t>Performance measurement for a tenant</w:t>
      </w:r>
    </w:p>
    <w:p>
      <w:pPr>
        <w:pStyle w:val="Normal"/>
        <w:rPr>
          <w:lang w:eastAsia="zh-CN"/>
        </w:rPr>
      </w:pPr>
      <w:r>
        <w:rPr>
          <w:lang w:eastAsia="zh-CN"/>
        </w:rPr>
        <w:t>T</w:t>
      </w:r>
      <w:r>
        <w:rPr>
          <w:lang w:eastAsia="zh-CN"/>
        </w:rPr>
        <w:t xml:space="preserve">enant information </w:t>
      </w:r>
      <w:r>
        <w:rPr>
          <w:lang w:eastAsia="zh-CN"/>
        </w:rPr>
        <w:t xml:space="preserve">in NRM IOCs may be used to distinguish performance measurement for different tenants. The MnS consumer representing the tenant may get the performance measurements of the network function. If the tenant information in Network Slice IOC </w:t>
      </w:r>
      <w:r>
        <w:rPr>
          <w:lang w:eastAsia="zh-CN"/>
        </w:rPr>
        <w:t>Service</w:t>
      </w:r>
      <w:r>
        <w:rPr>
          <w:lang w:eastAsia="zh-CN"/>
        </w:rPr>
        <w:t xml:space="preserve">Profile is associated with S-NSSAI in </w:t>
      </w:r>
      <w:r>
        <w:rPr>
          <w:rFonts w:cs="Courier New" w:ascii="Courier New" w:hAnsi="Courier New"/>
          <w:lang w:eastAsia="zh-CN"/>
        </w:rPr>
        <w:t>sN</w:t>
      </w:r>
      <w:r>
        <w:rPr>
          <w:rFonts w:cs="Courier New" w:ascii="Courier New" w:hAnsi="Courier New"/>
          <w:lang w:eastAsia="zh-CN"/>
        </w:rPr>
        <w:t>SSAI</w:t>
      </w:r>
      <w:r>
        <w:rPr>
          <w:rFonts w:cs="Courier New" w:ascii="Courier New" w:hAnsi="Courier New"/>
          <w:lang w:eastAsia="zh-CN"/>
        </w:rPr>
        <w:t>List</w:t>
      </w:r>
      <w:r>
        <w:rPr>
          <w:lang w:eastAsia="zh-CN"/>
        </w:rPr>
        <w:t xml:space="preserve"> attributes of MOI, the </w:t>
      </w:r>
      <w:r>
        <w:rPr/>
        <w:t xml:space="preserve">counter per S-NSSAI defined in TS 28.552 [7] </w:t>
      </w:r>
      <w:r>
        <w:rPr>
          <w:lang w:eastAsia="zh-CN"/>
        </w:rPr>
        <w:t>may be set for the network function performance measurements.</w:t>
      </w:r>
    </w:p>
    <w:p>
      <w:pPr>
        <w:pStyle w:val="Heading1"/>
        <w:ind w:left="1134" w:hanging="1134"/>
        <w:rPr>
          <w:lang w:eastAsia="zh-CN"/>
        </w:rPr>
      </w:pPr>
      <w:bookmarkStart w:id="31" w:name="__RefHeading___Toc21418331"/>
      <w:bookmarkStart w:id="32" w:name="OLE_LINK10"/>
      <w:r>
        <w:rPr>
          <w:lang w:eastAsia="zh-CN"/>
        </w:rPr>
        <w:t>5</w:t>
        <w:tab/>
        <w:t>Use cases and potential requirements</w:t>
      </w:r>
      <w:bookmarkEnd w:id="31"/>
      <w:r>
        <w:rPr>
          <w:lang w:eastAsia="zh-CN"/>
        </w:rPr>
        <w:t xml:space="preserve"> </w:t>
      </w:r>
    </w:p>
    <w:p>
      <w:pPr>
        <w:pStyle w:val="Heading2"/>
        <w:rPr>
          <w:lang w:eastAsia="zh-CN"/>
        </w:rPr>
      </w:pPr>
      <w:bookmarkStart w:id="33" w:name="__RefHeading___Toc21418332"/>
      <w:r>
        <w:rPr>
          <w:lang w:eastAsia="zh-CN"/>
        </w:rPr>
        <w:t>5.1</w:t>
        <w:tab/>
        <w:t>Management capabilities provided to tenant by network slice management</w:t>
      </w:r>
      <w:bookmarkEnd w:id="33"/>
      <w:r>
        <w:rPr>
          <w:lang w:eastAsia="zh-CN"/>
        </w:rPr>
        <w:t xml:space="preserve"> </w:t>
      </w:r>
    </w:p>
    <w:p>
      <w:pPr>
        <w:pStyle w:val="Heading3"/>
        <w:rPr>
          <w:lang w:eastAsia="zh-CN"/>
        </w:rPr>
      </w:pPr>
      <w:bookmarkStart w:id="34" w:name="__RefHeading___Toc21418333"/>
      <w:bookmarkEnd w:id="34"/>
      <w:r>
        <w:rPr>
          <w:lang w:eastAsia="zh-CN"/>
        </w:rPr>
        <w:t>5.1.1</w:t>
        <w:tab/>
        <w:t>Description</w:t>
      </w:r>
    </w:p>
    <w:p>
      <w:pPr>
        <w:pStyle w:val="Normal"/>
        <w:rPr/>
      </w:pPr>
      <w:r>
        <w:rPr>
          <w:lang w:eastAsia="zh-CN"/>
        </w:rPr>
        <w:t>3GPP management system supports network slice and network slice subnet management for 5G network according to TS 28.530 [2] and TS 38.531 [3]. 3GPP management system should support network slice and network slice subnet management for a tenant in multiple tenant environment.</w:t>
      </w:r>
    </w:p>
    <w:p>
      <w:pPr>
        <w:pStyle w:val="Normal"/>
        <w:rPr/>
      </w:pPr>
      <w:r>
        <w:rPr>
          <w:lang w:eastAsia="zh-CN"/>
        </w:rPr>
        <w:t>According to TS 28.805 [9], w</w:t>
      </w:r>
      <w:r>
        <w:rPr>
          <w:lang w:eastAsia="zh-CN"/>
        </w:rPr>
        <w:t>hen 3GPP management creates a CSI</w:t>
      </w:r>
      <w:r>
        <w:rPr>
          <w:lang w:eastAsia="zh-CN"/>
        </w:rPr>
        <w:t xml:space="preserve">, 3GPP system may create MOI and corresponding managed resource to provide management capabilities to consumer of CSI and to identify the CSI consumer as a tenant in 3GPP management system. </w:t>
      </w:r>
    </w:p>
    <w:p>
      <w:pPr>
        <w:pStyle w:val="Normal"/>
        <w:rPr/>
      </w:pPr>
      <w:r>
        <w:rPr>
          <w:kern w:val="2"/>
          <w:szCs w:val="18"/>
          <w:lang w:eastAsia="zh-CN" w:bidi="ar-KW"/>
        </w:rPr>
        <w:t>Network slice management function may provide management services for a CSI consumer identified as a tenant in 3GPP management system.</w:t>
      </w:r>
    </w:p>
    <w:p>
      <w:pPr>
        <w:pStyle w:val="Heading3"/>
        <w:rPr>
          <w:lang w:eastAsia="zh-CN"/>
        </w:rPr>
      </w:pPr>
      <w:bookmarkStart w:id="35" w:name="__RefHeading___Toc21418334"/>
      <w:bookmarkEnd w:id="35"/>
      <w:r>
        <w:rPr>
          <w:lang w:eastAsia="zh-CN"/>
        </w:rPr>
        <w:t>5.1.2</w:t>
        <w:tab/>
        <w:t>Potential requirements</w:t>
      </w:r>
    </w:p>
    <w:p>
      <w:pPr>
        <w:pStyle w:val="Normal"/>
        <w:rPr>
          <w:kern w:val="2"/>
          <w:szCs w:val="18"/>
          <w:lang w:eastAsia="zh-CN" w:bidi="ar-KW"/>
        </w:rPr>
      </w:pPr>
      <w:r>
        <w:rPr>
          <w:b/>
        </w:rPr>
        <w:t>REQ-TenM_Slice_MnS-01</w:t>
      </w:r>
      <w:r>
        <w:rPr>
          <w:kern w:val="2"/>
          <w:szCs w:val="18"/>
          <w:lang w:eastAsia="zh-CN" w:bidi="ar-KW"/>
        </w:rPr>
        <w:t xml:space="preserve"> </w:t>
      </w:r>
      <w:r>
        <w:rPr>
          <w:kern w:val="2"/>
          <w:szCs w:val="18"/>
          <w:lang w:eastAsia="zh-CN" w:bidi="ar-KW"/>
        </w:rPr>
        <w:t xml:space="preserve">The 3GPP management system may have capability to provide performance measurements and fault alarms for a network slice to MnS consumer associated with a tenant. </w:t>
      </w:r>
    </w:p>
    <w:p>
      <w:pPr>
        <w:pStyle w:val="Normal"/>
        <w:rPr>
          <w:kern w:val="2"/>
          <w:szCs w:val="18"/>
          <w:lang w:eastAsia="zh-CN" w:bidi="ar-KW"/>
        </w:rPr>
      </w:pPr>
      <w:r>
        <w:rPr>
          <w:b/>
        </w:rPr>
        <w:t>REQ-TenM_Slice_MnS-02</w:t>
      </w:r>
      <w:r>
        <w:rPr>
          <w:kern w:val="2"/>
          <w:szCs w:val="18"/>
          <w:lang w:eastAsia="zh-CN" w:bidi="ar-KW"/>
        </w:rPr>
        <w:t xml:space="preserve"> </w:t>
      </w:r>
      <w:r>
        <w:rPr>
          <w:kern w:val="2"/>
          <w:szCs w:val="18"/>
          <w:lang w:eastAsia="zh-CN" w:bidi="ar-KW"/>
        </w:rPr>
        <w:t xml:space="preserve">The 3GPP management system may have capability to provide network slice and network slice subnet lifecycle management (e.g. creation, modification and termination) to MnS consumer associated with a tenant. </w:t>
      </w:r>
    </w:p>
    <w:p>
      <w:pPr>
        <w:pStyle w:val="Heading2"/>
        <w:rPr>
          <w:lang w:eastAsia="zh-CN"/>
        </w:rPr>
      </w:pPr>
      <w:bookmarkStart w:id="36" w:name="__RefHeading___Toc21418335"/>
      <w:r>
        <w:rPr>
          <w:lang w:eastAsia="zh-CN"/>
        </w:rPr>
        <w:t>5.2</w:t>
        <w:tab/>
        <w:t>Management capabilities provided to tenant by network function management service</w:t>
      </w:r>
      <w:bookmarkEnd w:id="36"/>
      <w:r>
        <w:rPr>
          <w:lang w:eastAsia="zh-CN"/>
        </w:rPr>
        <w:t xml:space="preserve"> </w:t>
      </w:r>
    </w:p>
    <w:p>
      <w:pPr>
        <w:pStyle w:val="Heading3"/>
        <w:rPr>
          <w:lang w:eastAsia="zh-CN"/>
        </w:rPr>
      </w:pPr>
      <w:bookmarkStart w:id="37" w:name="__RefHeading___Toc21418336"/>
      <w:bookmarkEnd w:id="37"/>
      <w:r>
        <w:rPr>
          <w:lang w:eastAsia="zh-CN"/>
        </w:rPr>
        <w:t>5.2.1</w:t>
        <w:tab/>
        <w:t>Description</w:t>
      </w:r>
    </w:p>
    <w:p>
      <w:pPr>
        <w:pStyle w:val="Normal"/>
        <w:rPr/>
      </w:pPr>
      <w:r>
        <w:rPr>
          <w:lang w:eastAsia="zh-CN"/>
        </w:rPr>
        <w:t xml:space="preserve">Management service provider is capable to identify the MnS instance that provides the monitoring metrics and fault alarms for a tenant. Since the NF may be shared by multiple network slice instances, NF performance measurement and fault alarm for a tenant can be provided with the network slice instance information (e.g. S-NSSAI) by management service provider. </w:t>
      </w:r>
    </w:p>
    <w:p>
      <w:pPr>
        <w:pStyle w:val="Heading3"/>
        <w:rPr>
          <w:lang w:eastAsia="zh-CN"/>
        </w:rPr>
      </w:pPr>
      <w:bookmarkStart w:id="38" w:name="__RefHeading___Toc21418337"/>
      <w:bookmarkEnd w:id="38"/>
      <w:r>
        <w:rPr>
          <w:lang w:eastAsia="zh-CN"/>
        </w:rPr>
        <w:t>5.2.2</w:t>
        <w:tab/>
        <w:t>Potential requirements</w:t>
      </w:r>
    </w:p>
    <w:p>
      <w:pPr>
        <w:pStyle w:val="Normal"/>
        <w:rPr>
          <w:kern w:val="2"/>
          <w:szCs w:val="18"/>
          <w:lang w:eastAsia="zh-CN" w:bidi="ar-KW"/>
        </w:rPr>
      </w:pPr>
      <w:r>
        <w:rPr>
          <w:b/>
        </w:rPr>
        <w:t>REQ-TenM_NFM_MnS-01</w:t>
      </w:r>
      <w:r>
        <w:rPr>
          <w:kern w:val="2"/>
          <w:szCs w:val="18"/>
          <w:lang w:eastAsia="zh-CN" w:bidi="ar-KW"/>
        </w:rPr>
        <w:t xml:space="preserve"> </w:t>
      </w:r>
      <w:r>
        <w:rPr>
          <w:kern w:val="2"/>
          <w:szCs w:val="18"/>
          <w:lang w:eastAsia="zh-CN" w:bidi="ar-KW"/>
        </w:rPr>
        <w:t xml:space="preserve">The 3GPP management system may have capability to provide NF performance measurements and NF fault alarms MnS consumer associated with a tenant. </w:t>
      </w:r>
      <w:bookmarkEnd w:id="32"/>
    </w:p>
    <w:p>
      <w:pPr>
        <w:pStyle w:val="Heading1"/>
        <w:ind w:left="1134" w:hanging="1134"/>
        <w:rPr/>
      </w:pPr>
      <w:bookmarkStart w:id="39" w:name="__RefHeading___Toc21418338"/>
      <w:bookmarkEnd w:id="39"/>
      <w:r>
        <w:rPr/>
        <w:t>6</w:t>
        <w:tab/>
      </w:r>
      <w:r>
        <w:rPr/>
        <w:t>Potential management enhancements to support multiple tenants environment</w:t>
      </w:r>
    </w:p>
    <w:p>
      <w:pPr>
        <w:pStyle w:val="Heading2"/>
        <w:rPr/>
      </w:pPr>
      <w:bookmarkStart w:id="40" w:name="__RefHeading___Toc21418339"/>
      <w:r>
        <w:rPr>
          <w:lang w:eastAsia="zh-CN"/>
        </w:rPr>
        <w:t>6.</w:t>
      </w:r>
      <w:r>
        <w:rPr>
          <w:lang w:eastAsia="zh-CN"/>
        </w:rPr>
        <w:t>1</w:t>
      </w:r>
      <w:r>
        <w:rPr>
          <w:lang w:eastAsia="zh-CN"/>
        </w:rPr>
        <w:tab/>
      </w:r>
      <w:r>
        <w:rPr>
          <w:lang w:eastAsia="zh-CN"/>
        </w:rPr>
        <w:t>Potential management enhancements for performance measurement of network slice management</w:t>
      </w:r>
      <w:bookmarkEnd w:id="40"/>
      <w:r>
        <w:rPr>
          <w:lang w:eastAsia="zh-CN"/>
        </w:rPr>
        <w:t xml:space="preserve"> </w:t>
      </w:r>
    </w:p>
    <w:p>
      <w:pPr>
        <w:pStyle w:val="Normal"/>
        <w:rPr>
          <w:lang w:eastAsia="zh-CN"/>
        </w:rPr>
      </w:pPr>
      <w:r>
        <w:rPr>
          <w:lang w:eastAsia="zh-CN"/>
        </w:rPr>
        <w:t xml:space="preserve">It is proposed to use </w:t>
      </w:r>
      <w:r>
        <w:rPr>
          <w:lang w:eastAsia="zh-CN"/>
        </w:rPr>
        <w:t>t</w:t>
      </w:r>
      <w:r>
        <w:rPr>
          <w:lang w:eastAsia="zh-CN"/>
        </w:rPr>
        <w:t xml:space="preserve">enant information (e.g. tenant </w:t>
      </w:r>
      <w:r>
        <w:rPr>
          <w:lang w:eastAsia="zh-CN"/>
        </w:rPr>
        <w:t>identifier</w:t>
      </w:r>
      <w:r>
        <w:rPr>
          <w:lang w:eastAsia="zh-CN"/>
        </w:rPr>
        <w:t>)</w:t>
      </w:r>
      <w:r>
        <w:rPr>
          <w:lang w:eastAsia="zh-CN"/>
        </w:rPr>
        <w:t xml:space="preserve"> in NRM IOCs, for purpose of identification to managed resource for the tenant.</w:t>
      </w:r>
    </w:p>
    <w:p>
      <w:pPr>
        <w:pStyle w:val="Heading2"/>
        <w:rPr/>
      </w:pPr>
      <w:bookmarkStart w:id="41" w:name="__RefHeading___Toc21418340"/>
      <w:bookmarkEnd w:id="41"/>
      <w:r>
        <w:rPr>
          <w:lang w:eastAsia="zh-CN"/>
        </w:rPr>
        <w:t>6.</w:t>
      </w:r>
      <w:r>
        <w:rPr>
          <w:lang w:eastAsia="zh-CN"/>
        </w:rPr>
        <w:t>2</w:t>
      </w:r>
      <w:r>
        <w:rPr>
          <w:lang w:eastAsia="zh-CN"/>
        </w:rPr>
        <w:tab/>
      </w:r>
      <w:r>
        <w:rPr>
          <w:lang w:eastAsia="zh-CN"/>
        </w:rPr>
        <w:t>Potential management enhancements for fault supervision</w:t>
      </w:r>
    </w:p>
    <w:p>
      <w:pPr>
        <w:pStyle w:val="Normal"/>
        <w:rPr>
          <w:lang w:eastAsia="zh-CN"/>
        </w:rPr>
      </w:pPr>
      <w:r>
        <w:rPr>
          <w:lang w:eastAsia="zh-CN"/>
        </w:rPr>
        <w:t>The alarm information of MOI may be provided to the management service consumer a tenant in multiple tenant environment. The tenant information may be used for filtering the alarm information associated with a tenant.</w:t>
      </w:r>
    </w:p>
    <w:p>
      <w:pPr>
        <w:pStyle w:val="Heading2"/>
        <w:rPr/>
      </w:pPr>
      <w:bookmarkStart w:id="42" w:name="__RefHeading___Toc21418341"/>
      <w:bookmarkEnd w:id="42"/>
      <w:r>
        <w:rPr>
          <w:lang w:eastAsia="zh-CN"/>
        </w:rPr>
        <w:t>6.</w:t>
      </w:r>
      <w:r>
        <w:rPr>
          <w:lang w:eastAsia="zh-CN"/>
        </w:rPr>
        <w:t>3</w:t>
      </w:r>
      <w:r>
        <w:rPr>
          <w:lang w:eastAsia="zh-CN"/>
        </w:rPr>
        <w:tab/>
      </w:r>
      <w:r>
        <w:rPr>
          <w:lang w:eastAsia="zh-CN"/>
        </w:rPr>
        <w:t>Potential management enhancements for performance measurement of network function</w:t>
      </w:r>
    </w:p>
    <w:p>
      <w:pPr>
        <w:pStyle w:val="Normal"/>
        <w:rPr>
          <w:lang w:eastAsia="zh-CN"/>
        </w:rPr>
      </w:pPr>
      <w:r>
        <w:rPr>
          <w:lang w:eastAsia="zh-CN"/>
        </w:rPr>
        <w:t xml:space="preserve">The use of counter per S-NSSAI associated to </w:t>
      </w:r>
      <w:r>
        <w:rPr/>
        <w:t xml:space="preserve">tenant information may be clarified for </w:t>
      </w:r>
      <w:r>
        <w:rPr>
          <w:lang w:eastAsia="zh-CN"/>
        </w:rPr>
        <w:t xml:space="preserve">the network function performance measurements in TS </w:t>
      </w:r>
      <w:r>
        <w:rPr/>
        <w:t>28.552 [7]</w:t>
      </w:r>
      <w:r>
        <w:rPr>
          <w:lang w:eastAsia="zh-CN"/>
        </w:rPr>
        <w:t>.</w:t>
      </w:r>
    </w:p>
    <w:p>
      <w:pPr>
        <w:pStyle w:val="Heading1"/>
        <w:ind w:left="1134" w:hanging="1134"/>
        <w:rPr/>
      </w:pPr>
      <w:bookmarkStart w:id="43" w:name="__RefHeading___Toc21418342"/>
      <w:bookmarkEnd w:id="43"/>
      <w:r>
        <w:rPr/>
        <w:t>7</w:t>
        <w:tab/>
        <w:t>Conclusion and recommendations</w:t>
      </w:r>
    </w:p>
    <w:p>
      <w:pPr>
        <w:pStyle w:val="Normal"/>
        <w:rPr/>
      </w:pPr>
      <w:r>
        <w:rPr>
          <w:lang w:eastAsia="zh-CN"/>
        </w:rPr>
        <w:t xml:space="preserve">Enhancement to management framework in TS 28.533 [5] is concluded for 3GPP management system to support multiple tenant environment in this study. When multiple tenants are consuming management capabilities, there is a need to provide management services (e.g. provisioning service, performance management service and fault management service) and managed resource for each tenant. For purpose of identification to managed resources and specified management capabilities for each tenant, tenant information should be included in Network Slice IOC ServiceProfile data type. </w:t>
      </w:r>
    </w:p>
    <w:p>
      <w:pPr>
        <w:pStyle w:val="Normal"/>
        <w:rPr/>
      </w:pPr>
      <w:r>
        <w:rPr>
          <w:lang w:eastAsia="zh-CN"/>
        </w:rPr>
        <w:t>Following normative work for the enhancement of 3GPP management system for tenancy concept support in multiple tenant environment are recommended:</w:t>
      </w:r>
    </w:p>
    <w:p>
      <w:pPr>
        <w:pStyle w:val="B1"/>
        <w:rPr>
          <w:lang w:eastAsia="zh-CN"/>
        </w:rPr>
      </w:pPr>
      <w:r>
        <w:rPr>
          <w:lang w:eastAsia="zh-CN"/>
        </w:rPr>
        <w:t>-</w:t>
        <w:tab/>
        <w:t xml:space="preserve">Conceptual descriptions of multiple tenant environment support by management framework, added in </w:t>
      </w:r>
      <w:r>
        <w:rPr>
          <w:lang w:eastAsia="zh-CN"/>
        </w:rPr>
        <w:t>TS 28.533</w:t>
      </w:r>
      <w:r>
        <w:rPr>
          <w:lang w:eastAsia="zh-CN"/>
        </w:rPr>
        <w:t xml:space="preserve"> </w:t>
      </w:r>
      <w:r>
        <w:rPr/>
        <w:t>[5]</w:t>
      </w:r>
      <w:r>
        <w:rPr>
          <w:lang w:eastAsia="zh-CN"/>
        </w:rPr>
        <w:t>.</w:t>
      </w:r>
    </w:p>
    <w:p>
      <w:pPr>
        <w:pStyle w:val="B1"/>
        <w:numPr>
          <w:ilvl w:val="0"/>
          <w:numId w:val="4"/>
        </w:numPr>
        <w:rPr/>
      </w:pPr>
      <w:r>
        <w:rPr>
          <w:lang w:eastAsia="zh-CN"/>
        </w:rPr>
        <w:t xml:space="preserve">Provisioning service MOI creation, modification and termination in multiple tenant environment, reused from </w:t>
      </w:r>
      <w:r>
        <w:rPr>
          <w:lang w:eastAsia="zh-CN"/>
        </w:rPr>
        <w:t>TS</w:t>
      </w:r>
      <w:r>
        <w:rPr>
          <w:lang w:eastAsia="zh-CN"/>
        </w:rPr>
        <w:t> </w:t>
      </w:r>
      <w:r>
        <w:rPr>
          <w:lang w:eastAsia="zh-CN"/>
        </w:rPr>
        <w:t>28.531</w:t>
      </w:r>
      <w:r>
        <w:rPr>
          <w:lang w:eastAsia="zh-CN"/>
        </w:rPr>
        <w:t xml:space="preserve"> </w:t>
      </w:r>
      <w:r>
        <w:rPr/>
        <w:t>[3]</w:t>
      </w:r>
      <w:r>
        <w:rPr>
          <w:lang w:eastAsia="zh-CN"/>
        </w:rPr>
        <w:t>, TS 28.532</w:t>
      </w:r>
      <w:r>
        <w:rPr>
          <w:lang w:eastAsia="zh-CN"/>
        </w:rPr>
        <w:t xml:space="preserve"> </w:t>
      </w:r>
      <w:r>
        <w:rPr/>
        <w:t>[4]</w:t>
      </w:r>
      <w:r>
        <w:rPr>
          <w:lang w:eastAsia="zh-CN"/>
        </w:rPr>
        <w:t>.</w:t>
      </w:r>
    </w:p>
    <w:p>
      <w:pPr>
        <w:pStyle w:val="B1"/>
        <w:numPr>
          <w:ilvl w:val="0"/>
          <w:numId w:val="3"/>
        </w:numPr>
        <w:rPr/>
      </w:pPr>
      <w:r>
        <w:rPr>
          <w:lang w:eastAsia="zh-CN"/>
        </w:rPr>
        <w:t xml:space="preserve">Performance measurement in multiple tenant environment, reused from TS 28.552 </w:t>
      </w:r>
      <w:r>
        <w:rPr/>
        <w:t>[7] and</w:t>
      </w:r>
      <w:r>
        <w:rPr>
          <w:lang w:eastAsia="zh-CN"/>
        </w:rPr>
        <w:t xml:space="preserve"> TS 28.554 </w:t>
      </w:r>
      <w:r>
        <w:rPr/>
        <w:t>[8]</w:t>
      </w:r>
      <w:r>
        <w:rPr>
          <w:lang w:eastAsia="zh-CN"/>
        </w:rPr>
        <w:t>.</w:t>
      </w:r>
    </w:p>
    <w:p>
      <w:pPr>
        <w:pStyle w:val="B1"/>
        <w:numPr>
          <w:ilvl w:val="0"/>
          <w:numId w:val="3"/>
        </w:numPr>
        <w:rPr>
          <w:lang w:eastAsia="zh-CN"/>
        </w:rPr>
      </w:pPr>
      <w:r>
        <w:rPr>
          <w:lang w:eastAsia="zh-CN"/>
        </w:rPr>
        <w:t>N</w:t>
      </w:r>
      <w:r>
        <w:rPr>
          <w:lang w:eastAsia="zh-CN"/>
        </w:rPr>
        <w:t xml:space="preserve">etwork slice fault </w:t>
      </w:r>
      <w:r>
        <w:rPr>
          <w:lang w:eastAsia="zh-CN"/>
        </w:rPr>
        <w:t>supervision</w:t>
      </w:r>
      <w:r>
        <w:rPr>
          <w:lang w:eastAsia="zh-CN"/>
        </w:rPr>
        <w:t xml:space="preserve"> </w:t>
      </w:r>
      <w:r>
        <w:rPr>
          <w:lang w:eastAsia="zh-CN"/>
        </w:rPr>
        <w:t xml:space="preserve">in multiple tenant environment reused from </w:t>
      </w:r>
      <w:r>
        <w:rPr>
          <w:lang w:eastAsia="zh-CN"/>
        </w:rPr>
        <w:t xml:space="preserve">TS 28.532 </w:t>
      </w:r>
      <w:r>
        <w:rPr>
          <w:lang w:eastAsia="zh-CN"/>
        </w:rPr>
        <w:t>[4].</w:t>
      </w:r>
    </w:p>
    <w:p>
      <w:pPr>
        <w:pStyle w:val="B1"/>
        <w:rPr>
          <w:lang w:eastAsia="zh-CN"/>
        </w:rPr>
      </w:pPr>
      <w:r>
        <w:rPr>
          <w:lang w:eastAsia="zh-CN"/>
        </w:rPr>
        <w:t>-</w:t>
        <w:tab/>
        <w:t xml:space="preserve">Network Slice IOC ServiceProfile data type extension with tenant information, added to TS 28.541 </w:t>
      </w:r>
      <w:r>
        <w:rPr/>
        <w:t>[6]</w:t>
      </w:r>
      <w:r>
        <w:rPr>
          <w:lang w:eastAsia="zh-CN"/>
        </w:rPr>
        <w:t>.</w:t>
      </w:r>
      <w:r>
        <w:rPr>
          <w:lang w:eastAsia="zh-CN"/>
        </w:rPr>
        <w:t xml:space="preserve"> </w:t>
      </w:r>
      <w:r>
        <w:br w:type="page"/>
      </w:r>
    </w:p>
    <w:p>
      <w:pPr>
        <w:pStyle w:val="Heading9"/>
        <w:rPr/>
      </w:pPr>
      <w:bookmarkStart w:id="44" w:name="__RefHeading___Toc21418343"/>
      <w:bookmarkEnd w:id="44"/>
      <w:r>
        <w:rPr/>
        <w:t xml:space="preserve">Annex A: </w:t>
        <w:br/>
      </w:r>
      <w:r>
        <w:rPr>
          <w:lang w:eastAsia="zh-CN"/>
        </w:rP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45" w:name="OLE_LINK22"/>
            <w:bookmarkStart w:id="46" w:name="OLE_LINK21"/>
            <w:bookmarkStart w:id="47" w:name="OLE_LINK20"/>
            <w:bookmarkEnd w:id="45"/>
            <w:bookmarkEnd w:id="46"/>
            <w:bookmarkEnd w:id="47"/>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SP-190768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eastAsia="Microsoft YaHei" w:cs="Arial"/>
                <w:color w:val="000000"/>
                <w:sz w:val="16"/>
                <w:szCs w:val="16"/>
              </w:rPr>
            </w:pPr>
            <w:r>
              <w:rPr>
                <w:rFonts w:eastAsia="Microsoft YaHei" w:cs="Arial"/>
                <w:color w:val="000000"/>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eastAsia="Microsoft YaHei" w:cs="Arial"/>
                <w:color w:val="000000"/>
                <w:sz w:val="16"/>
                <w:szCs w:val="16"/>
              </w:rPr>
            </w:pPr>
            <w:r>
              <w:rPr>
                <w:rFonts w:eastAsia="Microsoft YaHei" w:cs="Arial"/>
                <w:color w:val="000000"/>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eastAsia="Microsoft YaHei" w:cs="Arial"/>
                <w:color w:val="000000"/>
                <w:sz w:val="16"/>
                <w:szCs w:val="16"/>
              </w:rPr>
            </w:pPr>
            <w:r>
              <w:rPr>
                <w:rFonts w:eastAsia="Microsoft YaHei" w:cs="Arial"/>
                <w:color w:val="000000"/>
                <w:sz w:val="16"/>
                <w:szCs w:val="16"/>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16.0.1</w:t>
            </w:r>
          </w:p>
        </w:tc>
      </w:tr>
    </w:tbl>
    <w:p>
      <w:pPr>
        <w:pStyle w:val="Normal"/>
        <w:widowControl/>
        <w:overflowPunct w:val="false"/>
        <w:autoSpaceDE w:val="false"/>
        <w:bidi w:val="0"/>
        <w:spacing w:before="0" w:after="180"/>
        <w:textAlignment w:val="baseline"/>
        <w:rPr/>
      </w:pPr>
      <w:r>
        <w:rPr/>
      </w:r>
      <w:bookmarkStart w:id="48" w:name="historyclause"/>
      <w:bookmarkStart w:id="49" w:name="historyclause"/>
      <w:bookmarkEnd w:id="49"/>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28.804 V16.0.0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28.804 V16.0.0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numFmt w:val="bullet"/>
      <w:lvlText w:val="-"/>
      <w:lvlJc w:val="left"/>
      <w:pPr>
        <w:tabs>
          <w:tab w:val="num" w:pos="0"/>
        </w:tabs>
        <w:ind w:left="704" w:hanging="420"/>
      </w:pPr>
      <w:rPr>
        <w:rFonts w:ascii="Times New Roman" w:hAnsi="Times New Roman" w:cs="Times New Roman" w:hint="default"/>
      </w:rPr>
    </w:lvl>
  </w:abstractNum>
  <w:abstractNum w:abstractNumId="4">
    <w:lvl w:ilvl="0">
      <w:start w:val="5"/>
      <w:numFmt w:val="bullet"/>
      <w:lvlText w:val="-"/>
      <w:lvlJc w:val="left"/>
      <w:pPr>
        <w:tabs>
          <w:tab w:val="num" w:pos="0"/>
        </w:tabs>
        <w:ind w:left="704" w:hanging="420"/>
      </w:pPr>
      <w:rPr>
        <w:rFonts w:ascii="Times New Roman" w:hAnsi="Times New Roman" w:cs="Times New Roman"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Wingdings" w:hAnsi="Wingdings" w:cs="Wingdings"/>
    </w:rPr>
  </w:style>
  <w:style w:type="character" w:styleId="WW8Num14z0">
    <w:name w:val="WW8Num14z0"/>
    <w:qFormat/>
    <w:rPr>
      <w:rFonts w:ascii="Wingdings" w:hAnsi="Wingdings" w:cs="Wingdings"/>
    </w:rPr>
  </w:style>
  <w:style w:type="character" w:styleId="WW8Num15z0">
    <w:name w:val="WW8Num15z0"/>
    <w:qFormat/>
    <w:rPr>
      <w:rFonts w:ascii="Times New Roman" w:hAnsi="Times New Roman" w:eastAsia="Batang;바탕" w:cs="Times New Roman"/>
    </w:rPr>
  </w:style>
  <w:style w:type="character" w:styleId="WW8Num15z1">
    <w:name w:val="WW8Num15z1"/>
    <w:qFormat/>
    <w:rPr>
      <w:rFonts w:ascii="Wingdings" w:hAnsi="Wingdings" w:cs="Wingdings"/>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rFonts w:eastAsia="Times New Roman"/>
    </w:rPr>
  </w:style>
  <w:style w:type="character" w:styleId="EditorsNoteChar">
    <w:name w:val="Editor's Note Char"/>
    <w:qFormat/>
    <w:rPr>
      <w:rFonts w:eastAsia="Times New Roman"/>
      <w:color w:val="FF0000"/>
    </w:rPr>
  </w:style>
  <w:style w:type="character" w:styleId="TFChar">
    <w:name w:val="TF Char"/>
    <w:qFormat/>
    <w:rPr>
      <w:rFonts w:ascii="Arial" w:hAnsi="Arial" w:eastAsia="Times New Roman" w:cs="Arial"/>
      <w:b/>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B1Car">
    <w:name w:val="B1+ Car"/>
    <w:qFormat/>
    <w:rPr>
      <w:rFonts w:eastAsia="Times New Roman"/>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numPr>
        <w:ilvl w:val="0"/>
        <w:numId w:val="2"/>
      </w:numPr>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sz w:val="18"/>
      <w:szCs w:val="18"/>
    </w:rPr>
  </w:style>
  <w:style w:type="paragraph" w:styleId="ListParagraph">
    <w:name w:val="List Paragraph"/>
    <w:basedOn w:val="Normal"/>
    <w:qFormat/>
    <w:pPr>
      <w:ind w:firstLine="420"/>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1.bin"/><Relationship Id="rId9" Type="http://schemas.openxmlformats.org/officeDocument/2006/relationships/image" Target="media/image5.wmf"/><Relationship Id="rId10" Type="http://schemas.openxmlformats.org/officeDocument/2006/relationships/package" Target="embeddings/oleObject2.pptx"/><Relationship Id="rId11" Type="http://schemas.openxmlformats.org/officeDocument/2006/relationships/image" Target="media/image1.wmf"/><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2019-10-10T14:49:00Z</dcterms:created>
  <dc:creator>MCC Support</dc:creator>
  <dc:description/>
  <cp:keywords>&lt;keyword[ keyword]&gt;</cp:keywords>
  <dc:language>en-US</dc:language>
  <cp:lastModifiedBy>32291_CR0088r1_5GS_Ph1-SBI_CH_(Rel-16)</cp:lastModifiedBy>
  <dcterms:modified xsi:type="dcterms:W3CDTF">2019-10-10T14:49:00Z</dcterms:modified>
  <cp:revision>2</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(3)utAiq31qoQfPjPW+md7D44bvzsBlptht3jwHQ/1R3NdZxCmZmkd7aIJvfiJiBKanXonONWlQ
TKHIrgedfBaE8gIDfUFv2V+rMaq8NEr91BP8GYvDzJq+J1/7l5b55bWGHo83Qz1+T6HOq2l7
7vPzWhEqg9M7uPpszl2vNgMpPq/8NMxvVvbSBoEYn2+bjvGNhNzHQuf/2085aj/0DC4ooIME
EcxUd0iB+KrmYd8why</vt:lpwstr>
  </property>
  <property fmtid="{D5CDD505-2E9C-101B-9397-08002B2CF9AE}" pid="3" name="_2015_ms_pID_7253431">
    <vt:lpwstr>TtZFnOamPVYBN2ve6mKueayhrEKD+voFzzdaSYH76Eo2ywwUbE1wqS
KzWniSzs1ELhrlooUDzFiqkIv2blkU0LWwLjn1FNMvxftGIGSXKBstHh3RMA5nsig00dQh5d
JtbjTa9Q2iwjYAsEl5/2IlU+rkravjYuejnh2ixx51ib1lpovWskIHCkcURyGoPMQApPP8b7
kCavmvuVtvJ8Qpq/WVYYUT7hLRViGl5I3C9u</vt:lpwstr>
  </property>
  <property fmtid="{D5CDD505-2E9C-101B-9397-08002B2CF9AE}" pid="4" name="_2015_ms_pID_7253432">
    <vt:lpwstr>/+dFJwjHoqfGtuHp4YXks08=</vt:lpwstr>
  </property>
  <property fmtid="{D5CDD505-2E9C-101B-9397-08002B2CF9AE}" pid="5" name="__Grammarly_42___1">
    <vt:lpwstr>__Grammarly_42___1</vt:lpwstr>
  </property>
  <property fmtid="{D5CDD505-2E9C-101B-9397-08002B2CF9AE}" pid="6" name="__Grammarly_42____i">
    <vt:lpwstr>__Grammarly_42____i</vt:lpwstr>
  </property>
</Properties>
</file>