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29.282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29.282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Mobile IPv6 vendor specific option format and usage within 3GPP</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Mobile IPv6 vendor specific option format and usage within 3GPP</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48410"/>
                <wp:effectExtent l="0" t="0" r="0" b="0"/>
                <wp:wrapTopAndBottom/>
                <wp:docPr id="4" name="Frame4"/>
                <a:graphic xmlns:a="http://schemas.openxmlformats.org/drawingml/2006/main">
                  <a:graphicData uri="http://schemas.microsoft.com/office/word/2010/wordprocessingShape">
                    <wps:wsp>
                      <wps:cNvSpPr txBox="1"/>
                      <wps:spPr>
                        <a:xfrm>
                          <a:off x="0" y="0"/>
                          <a:ext cx="6480810" cy="124841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txbxContent>
                      </wps:txbx>
                      <wps:bodyPr anchor="t" lIns="0" tIns="12700" rIns="0" bIns="0">
                        <a:noAutofit/>
                      </wps:bodyPr>
                    </wps:wsp>
                  </a:graphicData>
                </a:graphic>
              </wp:anchor>
            </w:drawing>
          </mc:Choice>
          <mc:Fallback>
            <w:pict>
              <v:rect fillcolor="#FFFFFF" style="position:absolute;rotation:-0;width:510.3pt;height:98.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IP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IP</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17480635">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480636">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480637">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517480638">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17480639">
            <w:r>
              <w:rPr>
                <w:rStyle w:val="IndexLink"/>
              </w:rPr>
              <w:t>5</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517480640">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3GPP Mobile IPv6 Option</w:t>
            <w:tab/>
          </w:r>
          <w:hyperlink w:anchor="__RefHeading___Toc517480641">
            <w:r>
              <w:rPr>
                <w:rStyle w:val="IndexLink"/>
              </w:rPr>
              <w:t>6</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General</w:t>
            <w:tab/>
          </w:r>
          <w:hyperlink w:anchor="__RefHeading___Toc517480642">
            <w:r>
              <w:rPr>
                <w:rStyle w:val="IndexLink"/>
              </w:rPr>
              <w:t>6</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lang w:val="en-US" w:eastAsia="en-US"/>
            </w:rPr>
            <w:t>Format</w:t>
          </w:r>
          <w:r>
            <w:rPr/>
            <w:tab/>
          </w:r>
          <w:hyperlink w:anchor="__RefHeading___Toc517480643">
            <w:r>
              <w:rPr>
                <w:rStyle w:val="IndexLink"/>
              </w:rPr>
              <w:t>6</w:t>
            </w:r>
          </w:hyperlink>
        </w:p>
        <w:p>
          <w:pPr>
            <w:pStyle w:val="Contents8"/>
            <w:rPr>
              <w:rFonts w:ascii="Calibri" w:hAnsi="Calibri" w:eastAsia="Times New Roman" w:cs="Calibri"/>
              <w:szCs w:val="22"/>
              <w:lang w:val="en-US" w:eastAsia="en-US"/>
            </w:rPr>
          </w:pPr>
          <w:r>
            <w:rPr>
              <w:b w:val="false"/>
            </w:rPr>
            <w:t>Annex A (informative):</w:t>
            <w:tab/>
            <w:t xml:space="preserve"> Change History</w:t>
            <w:tab/>
          </w:r>
          <w:hyperlink w:anchor="__RefHeading___Toc517480644">
            <w:r>
              <w:rPr>
                <w:rStyle w:val="IndexLink"/>
                <w:b w:val="false"/>
              </w:rPr>
              <w:t>9</w:t>
            </w:r>
          </w:hyperlink>
          <w:r>
            <w:rPr>
              <w:rStyle w:val="IndexLink"/>
              <w:b w:val="false"/>
            </w:rPr>
            <w:fldChar w:fldCharType="end"/>
          </w:r>
        </w:p>
      </w:sdtContent>
    </w:sdt>
    <w:p>
      <w:pPr>
        <w:pStyle w:val="Heading1"/>
        <w:ind w:left="1134" w:hanging="1134"/>
        <w:rPr>
          <w:rFonts w:ascii="Times New Roman" w:hAnsi="Times New Roman" w:eastAsia="Times New Roman" w:cs="Times New Roman"/>
          <w:b/>
          <w:b/>
          <w:sz w:val="22"/>
          <w:szCs w:val="22"/>
          <w:lang w:val="en-US" w:eastAsia="en-US"/>
        </w:rPr>
      </w:pPr>
      <w:r>
        <w:rPr>
          <w:rFonts w:eastAsia="Times New Roman" w:cs="Times New Roman" w:ascii="Times New Roman" w:hAnsi="Times New Roman"/>
          <w:b/>
          <w:sz w:val="22"/>
          <w:szCs w:val="22"/>
          <w:lang w:val="en-US" w:eastAsia="en-US"/>
        </w:rPr>
      </w:r>
      <w:r>
        <w:br w:type="page"/>
      </w:r>
    </w:p>
    <w:p>
      <w:pPr>
        <w:pStyle w:val="Heading1"/>
        <w:ind w:left="1134" w:hanging="1134"/>
        <w:rPr/>
      </w:pPr>
      <w:bookmarkStart w:id="7" w:name="__RefHeading___Toc51748063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80636"/>
      <w:bookmarkEnd w:id="8"/>
      <w:r>
        <w:rPr/>
        <w:t>1</w:t>
        <w:tab/>
        <w:t>Scope</w:t>
      </w:r>
    </w:p>
    <w:p>
      <w:pPr>
        <w:pStyle w:val="Normal"/>
        <w:rPr/>
      </w:pPr>
      <w:r>
        <w:rPr/>
        <w:t>The present document specifies the format and usage of the Mobile IPv6 Vendor Specific Option [2] within the Third Generation Partnership Project.</w:t>
      </w:r>
    </w:p>
    <w:p>
      <w:pPr>
        <w:pStyle w:val="Heading1"/>
        <w:ind w:left="1134" w:hanging="1134"/>
        <w:rPr/>
      </w:pPr>
      <w:bookmarkStart w:id="9" w:name="__RefHeading___Toc51748063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lang w:val="en-US" w:eastAsia="en-US"/>
        </w:rPr>
        <w:t>-</w:t>
        <w:tab/>
      </w:r>
      <w:r>
        <w:rPr/>
        <w:t>References are either specific (identified by date of publication, edition number, version number, etc.) or non</w:t>
        <w:noBreakHyphen/>
        <w:t>specific.</w:t>
      </w:r>
    </w:p>
    <w:p>
      <w:pPr>
        <w:pStyle w:val="B1"/>
        <w:rPr/>
      </w:pPr>
      <w:r>
        <w:rPr>
          <w:lang w:val="en-US" w:eastAsia="en-US"/>
        </w:rPr>
        <w:t>-</w:t>
        <w:tab/>
      </w:r>
      <w:r>
        <w:rPr/>
        <w:t>For a specific reference, subsequent revisions do not apply.</w:t>
      </w:r>
    </w:p>
    <w:p>
      <w:pPr>
        <w:pStyle w:val="B1"/>
        <w:rPr/>
      </w:pPr>
      <w:r>
        <w:rPr>
          <w:lang w:val="en-US" w:eastAsia="en-US"/>
        </w:rPr>
        <w:t>-</w:t>
        <w:tab/>
      </w: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rFonts w:eastAsia="PMingLiU;新細明體"/>
          <w:lang w:eastAsia="zh-TW"/>
        </w:rPr>
      </w:pPr>
      <w:r>
        <w:rPr>
          <w:rFonts w:eastAsia="PMingLiU;新細明體"/>
          <w:lang w:eastAsia="zh-TW"/>
        </w:rPr>
        <w:t>[2]</w:t>
        <w:tab/>
        <w:t xml:space="preserve">IETF RFC 5094: "Mobile IPv6 Vendor Specific Option". </w:t>
      </w:r>
    </w:p>
    <w:p>
      <w:pPr>
        <w:pStyle w:val="EX"/>
        <w:rPr/>
      </w:pPr>
      <w:r>
        <w:rPr/>
        <w:t>[3]</w:t>
        <w:tab/>
        <w:t>IANA Private Enterprise Numbers Registry, &lt;http://www.iana.org/assignments/enterprise-numbers&gt;.</w:t>
      </w:r>
    </w:p>
    <w:p>
      <w:pPr>
        <w:pStyle w:val="EX"/>
        <w:rPr>
          <w:rFonts w:eastAsia="PMingLiU;新細明體"/>
          <w:lang w:eastAsia="zh-TW"/>
        </w:rPr>
      </w:pPr>
      <w:r>
        <w:rPr>
          <w:rFonts w:eastAsia="PMingLiU;新細明體"/>
          <w:lang w:eastAsia="zh-TW"/>
        </w:rPr>
        <w:t>[4]</w:t>
        <w:tab/>
        <w:t>IETF RFC 6275: "Mobility Support in IPv6".</w:t>
      </w:r>
    </w:p>
    <w:p>
      <w:pPr>
        <w:pStyle w:val="EX"/>
        <w:rPr>
          <w:rFonts w:eastAsia="PMingLiU;新細明體"/>
          <w:lang w:eastAsia="zh-TW"/>
        </w:rPr>
      </w:pPr>
      <w:r>
        <w:rPr>
          <w:rFonts w:eastAsia="PMingLiU;新細明體"/>
          <w:lang w:eastAsia="zh-TW"/>
        </w:rPr>
        <w:t>[5]</w:t>
        <w:tab/>
      </w:r>
      <w:r>
        <w:rPr/>
        <w:t>IETF RFC 5555: "Mobile IPv6 support for dual stack Hosts and Routers (DSMIPv6)"</w:t>
      </w:r>
      <w:r>
        <w:rPr>
          <w:rFonts w:eastAsia="PMingLiU;新細明體"/>
          <w:lang w:eastAsia="zh-TW"/>
        </w:rPr>
        <w:t>.</w:t>
      </w:r>
    </w:p>
    <w:p>
      <w:pPr>
        <w:pStyle w:val="EX"/>
        <w:rPr>
          <w:rFonts w:eastAsia="PMingLiU;新細明體"/>
          <w:lang w:eastAsia="zh-TW"/>
        </w:rPr>
      </w:pPr>
      <w:r>
        <w:rPr>
          <w:rFonts w:eastAsia="PMingLiU;新細明體"/>
          <w:lang w:eastAsia="zh-TW"/>
        </w:rPr>
        <w:t>[6]</w:t>
        <w:tab/>
        <w:t>IETF RFC 5213: "Proxy Mobile IPv6".</w:t>
      </w:r>
    </w:p>
    <w:p>
      <w:pPr>
        <w:pStyle w:val="EX"/>
        <w:rPr/>
      </w:pPr>
      <w:r>
        <w:rPr>
          <w:rFonts w:eastAsia="PMingLiU;新細明體"/>
          <w:lang w:eastAsia="zh-TW"/>
        </w:rPr>
        <w:t>[</w:t>
      </w:r>
      <w:r>
        <w:rPr>
          <w:lang w:eastAsia="zh-CN"/>
        </w:rPr>
        <w:t>7</w:t>
      </w:r>
      <w:r>
        <w:rPr>
          <w:rFonts w:eastAsia="PMingLiU;新細明體"/>
          <w:lang w:eastAsia="zh-TW"/>
        </w:rPr>
        <w:t>]</w:t>
        <w:tab/>
      </w:r>
      <w:r>
        <w:rPr>
          <w:lang w:eastAsia="en-GB"/>
        </w:rPr>
        <w:t>3GPP T</w:t>
      </w:r>
      <w:r>
        <w:rPr>
          <w:lang w:eastAsia="zh-CN"/>
        </w:rPr>
        <w:t>S</w:t>
      </w:r>
      <w:r>
        <w:rPr>
          <w:lang w:eastAsia="en-GB"/>
        </w:rPr>
        <w:t xml:space="preserve"> 2</w:t>
      </w:r>
      <w:r>
        <w:rPr>
          <w:lang w:eastAsia="zh-CN"/>
        </w:rPr>
        <w:t>9.275</w:t>
      </w:r>
      <w:r>
        <w:rPr>
          <w:lang w:eastAsia="en-GB"/>
        </w:rPr>
        <w:t>: "Proxy Mobile IPv6 (PMIPv6) based Mobility and Tunnelling protocols; Stage 3".</w:t>
      </w:r>
    </w:p>
    <w:p>
      <w:pPr>
        <w:pStyle w:val="EX"/>
        <w:rPr/>
      </w:pPr>
      <w:r>
        <w:rPr/>
        <w:t>[8]</w:t>
        <w:tab/>
        <w:t>3GPP TS 24.327: "Mobility between 3GPP Wireless Local Area Network (WLAN) interworking (I-WLAN) and 3GPP systems; General Packet Radio System (GPRS) and 3GPP I-WLAN aspects; Stage 3".</w:t>
      </w:r>
    </w:p>
    <w:p>
      <w:pPr>
        <w:pStyle w:val="Heading1"/>
        <w:ind w:left="1134" w:hanging="1134"/>
        <w:rPr/>
      </w:pPr>
      <w:bookmarkStart w:id="10" w:name="__RefHeading___Toc517480638"/>
      <w:bookmarkEnd w:id="10"/>
      <w:r>
        <w:rPr/>
        <w:t>3</w:t>
        <w:tab/>
        <w:t>Definitions and abbreviations</w:t>
      </w:r>
    </w:p>
    <w:p>
      <w:pPr>
        <w:pStyle w:val="Heading2"/>
        <w:rPr/>
      </w:pPr>
      <w:bookmarkStart w:id="11" w:name="__RefHeading___Toc517480639"/>
      <w:bookmarkEnd w:id="11"/>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Heading2"/>
        <w:rPr/>
      </w:pPr>
      <w:bookmarkStart w:id="12" w:name="__RefHeading___Toc517480640"/>
      <w:bookmarkEnd w:id="12"/>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Heading1"/>
        <w:ind w:left="1134" w:hanging="1134"/>
        <w:rPr/>
      </w:pPr>
      <w:bookmarkStart w:id="13" w:name="__RefHeading___Toc517480641"/>
      <w:bookmarkEnd w:id="13"/>
      <w:r>
        <w:rPr/>
        <w:t>4</w:t>
        <w:tab/>
        <w:t>3GPP Mobile IPv6 Option</w:t>
      </w:r>
    </w:p>
    <w:p>
      <w:pPr>
        <w:pStyle w:val="Heading2"/>
        <w:rPr/>
      </w:pPr>
      <w:bookmarkStart w:id="14" w:name="__RefHeading___Toc517480642"/>
      <w:bookmarkEnd w:id="14"/>
      <w:r>
        <w:rPr/>
        <w:t>4.1</w:t>
        <w:tab/>
        <w:t>General</w:t>
      </w:r>
    </w:p>
    <w:p>
      <w:pPr>
        <w:pStyle w:val="Normal"/>
        <w:rPr/>
      </w:pPr>
      <w:r>
        <w:rPr/>
        <w:t xml:space="preserve">The 3GPP Mobile IPv6 Option is a Mobile IPv6 Vendor-Specific Option as defined by IETF RFC 5094 [2] using the Vendor-Id assigned to 3GPP. The 3GPP Mobile IPv6 Option is used to encode 3GPP Specific Information Elements within the protocols based on Mobile IPv6 (MIPv6) as defined by IETF RFC 6275 [4], such as the Dual Stack Mobile IPv6 (DSMIPv6) and Proxy Mobile IPv6 (PMIPv6) protocols respectively defined by IETF </w:t>
      </w:r>
      <w:r>
        <w:rPr>
          <w:lang w:eastAsia="zh-CN"/>
        </w:rPr>
        <w:t>RFC 5555 [5]</w:t>
      </w:r>
      <w:r>
        <w:rPr/>
        <w:t xml:space="preserve"> and IETF RFC 5213 [6]. </w:t>
      </w:r>
    </w:p>
    <w:p>
      <w:pPr>
        <w:pStyle w:val="Heading2"/>
        <w:rPr>
          <w:lang w:val="en-US" w:eastAsia="en-US"/>
        </w:rPr>
      </w:pPr>
      <w:bookmarkStart w:id="15" w:name="__RefHeading___Toc517480643"/>
      <w:bookmarkEnd w:id="15"/>
      <w:r>
        <w:rPr>
          <w:lang w:val="en-US"/>
        </w:rPr>
        <w:t>4.2</w:t>
        <w:tab/>
        <w:t>Format</w:t>
      </w:r>
    </w:p>
    <w:p>
      <w:pPr>
        <w:pStyle w:val="Normal"/>
        <w:rPr>
          <w:lang w:val="en-US"/>
        </w:rPr>
      </w:pPr>
      <w:r>
        <w:rPr>
          <w:lang w:val="en-US"/>
        </w:rPr>
        <w:t>The format of the 3GPP Mobile IPv6 Option is shown in table 4.2-1. The defined 3GPP Specific Information Elements are listed in table 4.2-2. The data format of a given 3GPP Specific Information Element (IE) is defined in the specification defining its usage, as indicated in table 4.2-2.</w:t>
      </w:r>
    </w:p>
    <w:p>
      <w:pPr>
        <w:pStyle w:val="TH"/>
        <w:rPr>
          <w:lang w:val="en-US"/>
        </w:rPr>
      </w:pPr>
      <w:r>
        <w:rPr>
          <w:lang w:val="en-US"/>
        </w:rPr>
      </w:r>
    </w:p>
    <w:tbl>
      <w:tblPr>
        <w:tblW w:w="5670" w:type="dxa"/>
        <w:jc w:val="center"/>
        <w:tblInd w:w="0" w:type="dxa"/>
        <w:tblLayout w:type="fixed"/>
        <w:tblCellMar>
          <w:top w:w="0" w:type="dxa"/>
          <w:left w:w="28" w:type="dxa"/>
          <w:bottom w:w="0" w:type="dxa"/>
          <w:right w:w="28" w:type="dxa"/>
        </w:tblCellMar>
      </w:tblPr>
      <w:tblGrid>
        <w:gridCol w:w="1134"/>
        <w:gridCol w:w="567"/>
        <w:gridCol w:w="567"/>
        <w:gridCol w:w="567"/>
        <w:gridCol w:w="567"/>
        <w:gridCol w:w="567"/>
        <w:gridCol w:w="567"/>
        <w:gridCol w:w="567"/>
        <w:gridCol w:w="567"/>
      </w:tblGrid>
      <w:tr>
        <w:trPr>
          <w:cantSplit w:val="true"/>
        </w:trPr>
        <w:tc>
          <w:tcPr>
            <w:tcW w:w="5670" w:type="dxa"/>
            <w:gridSpan w:val="9"/>
            <w:tcBorders/>
          </w:tcPr>
          <w:p>
            <w:pPr>
              <w:pStyle w:val="TAH"/>
              <w:rPr/>
            </w:pPr>
            <w:r>
              <w:rPr/>
              <w:t>Bits</w:t>
            </w:r>
          </w:p>
        </w:tc>
      </w:tr>
      <w:tr>
        <w:trPr/>
        <w:tc>
          <w:tcPr>
            <w:tcW w:w="1134" w:type="dxa"/>
            <w:tcBorders/>
          </w:tcPr>
          <w:p>
            <w:pPr>
              <w:pStyle w:val="TAH"/>
              <w:rPr/>
            </w:pPr>
            <w:r>
              <w:rPr/>
              <w:t>Octets</w:t>
            </w:r>
          </w:p>
        </w:tc>
        <w:tc>
          <w:tcPr>
            <w:tcW w:w="567" w:type="dxa"/>
            <w:tcBorders>
              <w:bottom w:val="single" w:sz="4" w:space="0" w:color="000000"/>
            </w:tcBorders>
          </w:tcPr>
          <w:p>
            <w:pPr>
              <w:pStyle w:val="TAH"/>
              <w:rPr/>
            </w:pPr>
            <w:r>
              <w:rPr/>
              <w:t>8</w:t>
            </w:r>
          </w:p>
        </w:tc>
        <w:tc>
          <w:tcPr>
            <w:tcW w:w="567" w:type="dxa"/>
            <w:tcBorders>
              <w:bottom w:val="single" w:sz="4" w:space="0" w:color="000000"/>
            </w:tcBorders>
          </w:tcPr>
          <w:p>
            <w:pPr>
              <w:pStyle w:val="TAH"/>
              <w:rPr/>
            </w:pPr>
            <w:r>
              <w:rPr/>
              <w:t>7</w:t>
            </w:r>
          </w:p>
        </w:tc>
        <w:tc>
          <w:tcPr>
            <w:tcW w:w="567" w:type="dxa"/>
            <w:tcBorders>
              <w:bottom w:val="single" w:sz="4" w:space="0" w:color="000000"/>
            </w:tcBorders>
          </w:tcPr>
          <w:p>
            <w:pPr>
              <w:pStyle w:val="TAH"/>
              <w:rPr/>
            </w:pPr>
            <w:r>
              <w:rPr/>
              <w:t>6</w:t>
            </w:r>
          </w:p>
        </w:tc>
        <w:tc>
          <w:tcPr>
            <w:tcW w:w="567" w:type="dxa"/>
            <w:tcBorders>
              <w:bottom w:val="single" w:sz="4" w:space="0" w:color="000000"/>
            </w:tcBorders>
          </w:tcPr>
          <w:p>
            <w:pPr>
              <w:pStyle w:val="TAH"/>
              <w:rPr/>
            </w:pPr>
            <w:r>
              <w:rPr/>
              <w:t>5</w:t>
            </w:r>
          </w:p>
        </w:tc>
        <w:tc>
          <w:tcPr>
            <w:tcW w:w="567" w:type="dxa"/>
            <w:tcBorders>
              <w:bottom w:val="single" w:sz="4" w:space="0" w:color="000000"/>
            </w:tcBorders>
          </w:tcPr>
          <w:p>
            <w:pPr>
              <w:pStyle w:val="TAH"/>
              <w:rPr/>
            </w:pPr>
            <w:r>
              <w:rPr/>
              <w:t>4</w:t>
            </w:r>
          </w:p>
        </w:tc>
        <w:tc>
          <w:tcPr>
            <w:tcW w:w="567" w:type="dxa"/>
            <w:tcBorders>
              <w:bottom w:val="single" w:sz="4" w:space="0" w:color="000000"/>
            </w:tcBorders>
          </w:tcPr>
          <w:p>
            <w:pPr>
              <w:pStyle w:val="TAH"/>
              <w:rPr/>
            </w:pPr>
            <w:r>
              <w:rPr/>
              <w:t>3</w:t>
            </w:r>
          </w:p>
        </w:tc>
        <w:tc>
          <w:tcPr>
            <w:tcW w:w="567" w:type="dxa"/>
            <w:tcBorders>
              <w:bottom w:val="single" w:sz="4" w:space="0" w:color="000000"/>
            </w:tcBorders>
          </w:tcPr>
          <w:p>
            <w:pPr>
              <w:pStyle w:val="TAH"/>
              <w:rPr/>
            </w:pPr>
            <w:r>
              <w:rPr/>
              <w:t>2</w:t>
            </w:r>
          </w:p>
        </w:tc>
        <w:tc>
          <w:tcPr>
            <w:tcW w:w="567" w:type="dxa"/>
            <w:tcBorders>
              <w:bottom w:val="single" w:sz="4" w:space="0" w:color="000000"/>
            </w:tcBorders>
          </w:tcPr>
          <w:p>
            <w:pPr>
              <w:pStyle w:val="TAH"/>
              <w:rPr/>
            </w:pPr>
            <w:r>
              <w:rPr/>
              <w:t>1</w:t>
            </w:r>
          </w:p>
        </w:tc>
      </w:tr>
      <w:tr>
        <w:trPr/>
        <w:tc>
          <w:tcPr>
            <w:tcW w:w="1134" w:type="dxa"/>
            <w:tcBorders>
              <w:right w:val="single" w:sz="4" w:space="0" w:color="000000"/>
            </w:tcBorders>
          </w:tcPr>
          <w:p>
            <w:pPr>
              <w:pStyle w:val="TAC"/>
              <w:rPr/>
            </w:pPr>
            <w:r>
              <w:rPr/>
              <w:t>1</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Type </w:t>
            </w:r>
          </w:p>
        </w:tc>
      </w:tr>
      <w:tr>
        <w:trPr/>
        <w:tc>
          <w:tcPr>
            <w:tcW w:w="1134" w:type="dxa"/>
            <w:tcBorders>
              <w:right w:val="single" w:sz="4" w:space="0" w:color="000000"/>
            </w:tcBorders>
          </w:tcPr>
          <w:p>
            <w:pPr>
              <w:pStyle w:val="TAC"/>
              <w:rPr/>
            </w:pPr>
            <w:r>
              <w:rPr/>
              <w:t>2</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w:t>
            </w:r>
          </w:p>
        </w:tc>
      </w:tr>
      <w:tr>
        <w:trPr/>
        <w:tc>
          <w:tcPr>
            <w:tcW w:w="1134" w:type="dxa"/>
            <w:tcBorders>
              <w:right w:val="single" w:sz="4" w:space="0" w:color="000000"/>
            </w:tcBorders>
          </w:tcPr>
          <w:p>
            <w:pPr>
              <w:pStyle w:val="TAC"/>
              <w:rPr/>
            </w:pPr>
            <w:r>
              <w:rPr/>
              <w:t>3</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Vendor Id (1</w:t>
            </w:r>
            <w:r>
              <w:rPr>
                <w:vertAlign w:val="superscript"/>
              </w:rPr>
              <w:t>st</w:t>
            </w:r>
            <w:r>
              <w:rPr/>
              <w:t xml:space="preserve"> Octet)</w:t>
            </w:r>
          </w:p>
        </w:tc>
      </w:tr>
      <w:tr>
        <w:trPr/>
        <w:tc>
          <w:tcPr>
            <w:tcW w:w="1134" w:type="dxa"/>
            <w:tcBorders>
              <w:right w:val="single" w:sz="4" w:space="0" w:color="000000"/>
            </w:tcBorders>
          </w:tcPr>
          <w:p>
            <w:pPr>
              <w:pStyle w:val="TAC"/>
              <w:rPr/>
            </w:pPr>
            <w:r>
              <w:rPr/>
              <w:t>4</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Vendor Id (2</w:t>
            </w:r>
            <w:r>
              <w:rPr>
                <w:vertAlign w:val="superscript"/>
              </w:rPr>
              <w:t>nd</w:t>
            </w:r>
            <w:r>
              <w:rPr/>
              <w:t xml:space="preserve"> Octet)</w:t>
            </w:r>
          </w:p>
        </w:tc>
      </w:tr>
      <w:tr>
        <w:trPr/>
        <w:tc>
          <w:tcPr>
            <w:tcW w:w="1134" w:type="dxa"/>
            <w:tcBorders>
              <w:right w:val="single" w:sz="4" w:space="0" w:color="000000"/>
            </w:tcBorders>
          </w:tcPr>
          <w:p>
            <w:pPr>
              <w:pStyle w:val="TAC"/>
              <w:rPr/>
            </w:pPr>
            <w:r>
              <w:rPr/>
              <w:t>5</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Vendor Id (3</w:t>
            </w:r>
            <w:r>
              <w:rPr>
                <w:vertAlign w:val="superscript"/>
              </w:rPr>
              <w:t>rd</w:t>
            </w:r>
            <w:r>
              <w:rPr/>
              <w:t xml:space="preserve"> Octet)</w:t>
            </w:r>
          </w:p>
        </w:tc>
      </w:tr>
      <w:tr>
        <w:trPr/>
        <w:tc>
          <w:tcPr>
            <w:tcW w:w="1134" w:type="dxa"/>
            <w:tcBorders>
              <w:right w:val="single" w:sz="4" w:space="0" w:color="000000"/>
            </w:tcBorders>
          </w:tcPr>
          <w:p>
            <w:pPr>
              <w:pStyle w:val="TAC"/>
              <w:rPr/>
            </w:pPr>
            <w:r>
              <w:rPr/>
              <w:t>6</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Vendor Id (4</w:t>
            </w:r>
            <w:r>
              <w:rPr>
                <w:vertAlign w:val="superscript"/>
              </w:rPr>
              <w:t>th</w:t>
            </w:r>
            <w:r>
              <w:rPr/>
              <w:t xml:space="preserve"> Octet)</w:t>
            </w:r>
          </w:p>
        </w:tc>
      </w:tr>
      <w:tr>
        <w:trPr/>
        <w:tc>
          <w:tcPr>
            <w:tcW w:w="1134" w:type="dxa"/>
            <w:tcBorders>
              <w:right w:val="single" w:sz="4" w:space="0" w:color="000000"/>
            </w:tcBorders>
          </w:tcPr>
          <w:p>
            <w:pPr>
              <w:pStyle w:val="TAC"/>
              <w:rPr/>
            </w:pPr>
            <w:r>
              <w:rPr/>
              <w:t>7</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Sub-Type</w:t>
            </w:r>
          </w:p>
        </w:tc>
      </w:tr>
      <w:tr>
        <w:trPr>
          <w:cantSplit w:val="true"/>
        </w:trPr>
        <w:tc>
          <w:tcPr>
            <w:tcW w:w="1134" w:type="dxa"/>
            <w:tcBorders>
              <w:right w:val="single" w:sz="4" w:space="0" w:color="000000"/>
            </w:tcBorders>
          </w:tcPr>
          <w:p>
            <w:pPr>
              <w:pStyle w:val="TAC"/>
              <w:rPr/>
            </w:pPr>
            <w:r>
              <w:rPr/>
              <w:t>8</w:t>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tc>
          <w:tcPr>
            <w:tcW w:w="1134" w:type="dxa"/>
            <w:tcBorders>
              <w:right w:val="single" w:sz="4" w:space="0" w:color="000000"/>
            </w:tcBorders>
          </w:tcPr>
          <w:p>
            <w:pPr>
              <w:pStyle w:val="TAC"/>
              <w:rPr/>
            </w:pPr>
            <w:r>
              <w:rPr/>
              <w:t>9-n</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3GPP Specific IE Data Fragment</w:t>
            </w:r>
          </w:p>
        </w:tc>
      </w:tr>
    </w:tbl>
    <w:p>
      <w:pPr>
        <w:pStyle w:val="TF"/>
        <w:rPr/>
      </w:pPr>
      <w:r>
        <w:rPr/>
      </w:r>
    </w:p>
    <w:p>
      <w:pPr>
        <w:pStyle w:val="TF"/>
        <w:rPr/>
      </w:pPr>
      <w:r>
        <w:rPr>
          <w:lang w:val="fr-FR"/>
        </w:rPr>
        <w:t>Figure 4.2-1: 3GPP Mobile IPv6 Option</w:t>
      </w:r>
    </w:p>
    <w:p>
      <w:pPr>
        <w:pStyle w:val="Normal"/>
        <w:rPr>
          <w:lang w:val="fr-FR"/>
        </w:rPr>
      </w:pPr>
      <w:r>
        <w:rPr>
          <w:lang w:val="fr-FR"/>
        </w:rPr>
      </w:r>
    </w:p>
    <w:p>
      <w:pPr>
        <w:pStyle w:val="TH"/>
        <w:rPr/>
      </w:pPr>
      <w:r>
        <w:rPr/>
        <w:t xml:space="preserve">Table </w:t>
      </w:r>
      <w:r>
        <w:rPr>
          <w:lang w:eastAsia="zh-CN"/>
        </w:rPr>
        <w:t>4.2</w:t>
      </w:r>
      <w:r>
        <w:rPr>
          <w:lang w:eastAsia="zh-CN"/>
        </w:rPr>
        <w:t>-1</w:t>
      </w:r>
      <w:r>
        <w:rPr/>
        <w:t xml:space="preserve">: Fields </w:t>
      </w:r>
      <w:r>
        <w:rPr>
          <w:lang w:eastAsia="zh-CN"/>
        </w:rPr>
        <w:t>in a 3GPP Mobile IPv6 Option</w:t>
      </w:r>
    </w:p>
    <w:tbl>
      <w:tblPr>
        <w:tblW w:w="8784" w:type="dxa"/>
        <w:jc w:val="center"/>
        <w:tblInd w:w="0" w:type="dxa"/>
        <w:tblLayout w:type="fixed"/>
        <w:tblCellMar>
          <w:top w:w="0" w:type="dxa"/>
          <w:left w:w="28" w:type="dxa"/>
          <w:bottom w:w="0" w:type="dxa"/>
          <w:right w:w="28" w:type="dxa"/>
        </w:tblCellMar>
      </w:tblPr>
      <w:tblGrid>
        <w:gridCol w:w="2550"/>
        <w:gridCol w:w="4434"/>
        <w:gridCol w:w="1800"/>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Field</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Content</w:t>
            </w:r>
          </w:p>
        </w:tc>
        <w:tc>
          <w:tcPr>
            <w:tcW w:w="1800"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Type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Value is decimal 19 the assigned value for the Vendor-Specific mobility option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RFC 5094 [2]</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Length</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An 8-bit field indicating the length of the option in octets excluding the Type and the Length fields. All other fields are included.</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RFC 5094 [2]</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Vendor ID</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A 32-bit field. Value is set to the SMI Network Management Private Enterprise Number for 3GPP, which is decimal "10415".</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IANA [3]</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Sub-Type</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Indicate the type of the 3GPP Specific Information Element encoded by the 3GPP Mobile IPv6 Option.</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RFC 5094 [2]</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Value set to zero by sender and ignored by receiver.</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Defined here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More 3GPP Specific IE Data Fragment (M) Flag</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Value set to "1" if this instance of the 3GPP Mobile IPv6 Option is followed by another 3GPP Mobile IPv6 Option encoding the follow up 3GPP Specific IE data fragment that does not fit in this instance of the 3GPP Mobile IPv6 Option. Set to zero otherwise.</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Defined here</w:t>
            </w:r>
          </w:p>
        </w:tc>
      </w:tr>
      <w:tr>
        <w:trPr/>
        <w:tc>
          <w:tcPr>
            <w:tcW w:w="2550" w:type="dxa"/>
            <w:tcBorders>
              <w:top w:val="single" w:sz="4" w:space="0" w:color="000000"/>
              <w:left w:val="single" w:sz="4" w:space="0" w:color="000000"/>
              <w:bottom w:val="single" w:sz="4" w:space="0" w:color="000000"/>
              <w:right w:val="single" w:sz="4" w:space="0" w:color="000000"/>
            </w:tcBorders>
          </w:tcPr>
          <w:p>
            <w:pPr>
              <w:pStyle w:val="TAL"/>
              <w:rPr/>
            </w:pPr>
            <w:r>
              <w:rPr/>
              <w:t>3GPP Specific IE Data Fragment</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rPr>
            </w:pPr>
            <w:r>
              <w:rPr/>
              <w:t>The 3GPP Specific IE might be split over multiple 3GPP Mobile IPv6 Options in case the total length of the 3GPP Specific Information Element exceeds 248 bytes. This is the data fragment of the 3GPP Specific IE contained in this instance of the 3GPP Mobile IPv6 Option. The data fragment has a maximum length of 248 bytes.</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Defined here</w:t>
            </w:r>
          </w:p>
        </w:tc>
      </w:tr>
    </w:tbl>
    <w:p>
      <w:pPr>
        <w:pStyle w:val="Normal"/>
        <w:rPr/>
      </w:pPr>
      <w:r>
        <w:rPr/>
      </w:r>
    </w:p>
    <w:p>
      <w:pPr>
        <w:pStyle w:val="Normal"/>
        <w:rPr/>
      </w:pPr>
      <w:r>
        <w:rPr/>
        <w:t>The syntax of the 3GPP specific information element allows appending extra octets. The receiver that does not support such appended octets shall ignore the appended octets in order to ensure backwards compatibility.</w:t>
      </w:r>
    </w:p>
    <w:p>
      <w:pPr>
        <w:pStyle w:val="TH"/>
        <w:rPr/>
      </w:pPr>
      <w:r>
        <w:rPr/>
        <w:t xml:space="preserve">Table </w:t>
      </w:r>
      <w:r>
        <w:rPr>
          <w:lang w:eastAsia="zh-CN"/>
        </w:rPr>
        <w:t>4.2</w:t>
      </w:r>
      <w:r>
        <w:rPr>
          <w:lang w:eastAsia="zh-CN"/>
        </w:rPr>
        <w:t>-</w:t>
      </w:r>
      <w:r>
        <w:rPr>
          <w:lang w:eastAsia="zh-CN"/>
        </w:rPr>
        <w:t>2</w:t>
      </w:r>
      <w:r>
        <w:rPr/>
        <w:t>: Subtypes for 3GPP specific Information Elements</w:t>
      </w:r>
    </w:p>
    <w:tbl>
      <w:tblPr>
        <w:tblW w:w="9012" w:type="dxa"/>
        <w:jc w:val="center"/>
        <w:tblInd w:w="0" w:type="dxa"/>
        <w:tblLayout w:type="fixed"/>
        <w:tblCellMar>
          <w:top w:w="0" w:type="dxa"/>
          <w:left w:w="28" w:type="dxa"/>
          <w:bottom w:w="0" w:type="dxa"/>
          <w:right w:w="28" w:type="dxa"/>
        </w:tblCellMar>
      </w:tblPr>
      <w:tblGrid>
        <w:gridCol w:w="2550"/>
        <w:gridCol w:w="4434"/>
        <w:gridCol w:w="2028"/>
      </w:tblGrid>
      <w:tr>
        <w:trPr/>
        <w:tc>
          <w:tcPr>
            <w:tcW w:w="2550" w:type="dxa"/>
            <w:tcBorders>
              <w:top w:val="single" w:sz="4" w:space="0" w:color="000000"/>
              <w:left w:val="single" w:sz="4" w:space="0" w:color="000000"/>
              <w:bottom w:val="single" w:sz="4" w:space="0" w:color="000000"/>
              <w:right w:val="single" w:sz="4" w:space="0" w:color="000000"/>
            </w:tcBorders>
          </w:tcPr>
          <w:p>
            <w:pPr>
              <w:pStyle w:val="TAH"/>
              <w:rPr/>
            </w:pPr>
            <w:r>
              <w:rPr/>
              <w:t>3GPP-specific IE Subtype</w:t>
            </w:r>
          </w:p>
        </w:tc>
        <w:tc>
          <w:tcPr>
            <w:tcW w:w="4434"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 xml:space="preserve">3GPP-specific </w:t>
            </w:r>
            <w:r>
              <w:rPr>
                <w:lang w:eastAsia="zh-CN"/>
              </w:rPr>
              <w:t>I</w:t>
            </w:r>
            <w:r>
              <w:rPr>
                <w:lang w:eastAsia="zh-CN"/>
              </w:rPr>
              <w:t>nformation Element</w:t>
            </w:r>
          </w:p>
        </w:tc>
        <w:tc>
          <w:tcPr>
            <w:tcW w:w="2028"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Reference</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Protocol Configuration Options.</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3GPP Specific PMIPv6 Error Code.</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3</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PMIPv6 PDN GW IP Address.</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PMIPv6 DHCPv4 Address Allocation Procedure Indication.</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5</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 xml:space="preserve">PMIPv6 Fully Qualified PDN Connection Set Identifier </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6</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val="en-CA"/>
              </w:rPr>
              <w:t>PMIPv6 PDN type indication.</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7</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Charging ID</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CA"/>
              </w:rPr>
            </w:pPr>
            <w:r>
              <w:rPr>
                <w:lang w:val="en-CA"/>
              </w:rPr>
              <w:t>Selection Mode</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9</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I-WLAN Mobility Access Point Name (APN).</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24.327 [8]</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10</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Charging Characteristics</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11</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Mobile Equipment Identity (MEI)</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12</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MSISDN</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13</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Serving Network</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14</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APN Restriction</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15</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Maximum APN Restriction</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16</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Unauthenticated</w:t>
            </w:r>
            <w:r>
              <w:rPr>
                <w:lang w:val="en-US" w:eastAsia="en-US"/>
              </w:rPr>
              <w:t xml:space="preserve"> IMSI</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17</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PDN Connection ID</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18</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PGW Back-Off Time</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19</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Signalling Priority Indication</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20</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Additional Protocol Configuration Options</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pPr>
            <w:r>
              <w:rPr/>
              <w:t>21</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t>Static IP Address Allocation Indication</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22</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MME/SGSN Identifier</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eastAsia="ja-JP"/>
              </w:rPr>
            </w:pPr>
            <w:r>
              <w:rPr>
                <w:lang w:eastAsia="ja-JP"/>
              </w:rPr>
              <w:t>23</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ja-JP"/>
              </w:rPr>
              <w:t>End Marker Notification</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24</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val="en-US" w:eastAsia="zh-CN"/>
              </w:rPr>
              <w:t>Trusted WLAN Mode Indication</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ja-JP"/>
              </w:rPr>
              <w:t>25</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ja-JP"/>
              </w:rPr>
              <w:t>UE Time Zone</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ja-JP"/>
              </w:rPr>
              <w:t>26</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ja-JP"/>
              </w:rPr>
              <w:t>Access Network Identifier Timestamp</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27</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Logical Access ID</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28</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Origination Time Stamp</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29</w:t>
            </w:r>
          </w:p>
        </w:tc>
        <w:tc>
          <w:tcPr>
            <w:tcW w:w="4434"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Maximum</w:t>
            </w:r>
            <w:r>
              <w:rPr>
                <w:lang w:val="en-US" w:eastAsia="zh-CN"/>
              </w:rPr>
              <w:t xml:space="preserve"> </w:t>
            </w:r>
            <w:r>
              <w:rPr>
                <w:lang w:val="en-US" w:eastAsia="zh-CN"/>
              </w:rPr>
              <w:t>Wait</w:t>
            </w:r>
            <w:r>
              <w:rPr>
                <w:lang w:val="en-US" w:eastAsia="zh-CN"/>
              </w:rPr>
              <w:t xml:space="preserve"> </w:t>
            </w:r>
            <w:r>
              <w:rPr>
                <w:lang w:val="en-US" w:eastAsia="zh-CN"/>
              </w:rPr>
              <w:t>Time</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r>
        <w:trPr>
          <w:trHeight w:val="408" w:hRule="atLeast"/>
        </w:trPr>
        <w:tc>
          <w:tcPr>
            <w:tcW w:w="2550"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30</w:t>
            </w:r>
          </w:p>
        </w:tc>
        <w:tc>
          <w:tcPr>
            <w:tcW w:w="4434"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TWAN Capabilities</w:t>
            </w:r>
          </w:p>
        </w:tc>
        <w:tc>
          <w:tcPr>
            <w:tcW w:w="2028" w:type="dxa"/>
            <w:tcBorders>
              <w:top w:val="single" w:sz="4" w:space="0" w:color="000000"/>
              <w:left w:val="single" w:sz="4" w:space="0" w:color="000000"/>
              <w:bottom w:val="single" w:sz="4" w:space="0" w:color="000000"/>
              <w:right w:val="single" w:sz="4" w:space="0" w:color="000000"/>
            </w:tcBorders>
          </w:tcPr>
          <w:p>
            <w:pPr>
              <w:pStyle w:val="TAL"/>
              <w:rPr/>
            </w:pPr>
            <w:r>
              <w:rPr/>
              <w:t>3GPP TS 29.275 [7]</w:t>
            </w:r>
          </w:p>
        </w:tc>
      </w:tr>
    </w:tbl>
    <w:p>
      <w:pPr>
        <w:pStyle w:val="Normal"/>
        <w:rPr/>
      </w:pPr>
      <w:r>
        <w:rPr/>
      </w:r>
      <w:r>
        <w:br w:type="page"/>
      </w:r>
    </w:p>
    <w:p>
      <w:pPr>
        <w:pStyle w:val="Heading8"/>
        <w:ind w:left="0" w:hanging="0"/>
        <w:rPr/>
      </w:pPr>
      <w:bookmarkStart w:id="16" w:name="__RefHeading___Toc517480644"/>
      <w:bookmarkStart w:id="17" w:name="historyclause"/>
      <w:bookmarkEnd w:id="16"/>
      <w:bookmarkEnd w:id="17"/>
      <w:r>
        <w:rPr/>
        <w:t xml:space="preserve">Annex A (informative): </w:t>
        <w:br/>
        <w:t>Change History</w:t>
      </w:r>
    </w:p>
    <w:tbl>
      <w:tblPr>
        <w:tblW w:w="8789" w:type="dxa"/>
        <w:jc w:val="left"/>
        <w:tblInd w:w="-5" w:type="dxa"/>
        <w:tblLayout w:type="fixed"/>
        <w:tblCellMar>
          <w:top w:w="0" w:type="dxa"/>
          <w:left w:w="40" w:type="dxa"/>
          <w:bottom w:w="0" w:type="dxa"/>
          <w:right w:w="40" w:type="dxa"/>
        </w:tblCellMar>
      </w:tblPr>
      <w:tblGrid>
        <w:gridCol w:w="800"/>
        <w:gridCol w:w="760"/>
        <w:gridCol w:w="992"/>
        <w:gridCol w:w="567"/>
        <w:gridCol w:w="425"/>
        <w:gridCol w:w="4678"/>
        <w:gridCol w:w="567"/>
      </w:tblGrid>
      <w:tr>
        <w:trPr/>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Date</w:t>
            </w:r>
          </w:p>
        </w:tc>
        <w:tc>
          <w:tcPr>
            <w:tcW w:w="76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w:t>
            </w:r>
          </w:p>
        </w:tc>
        <w:tc>
          <w:tcPr>
            <w:tcW w:w="992"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Doc.</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CR</w:t>
            </w:r>
          </w:p>
        </w:tc>
        <w:tc>
          <w:tcPr>
            <w:tcW w:w="42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Rev</w:t>
            </w:r>
          </w:p>
        </w:tc>
        <w:tc>
          <w:tcPr>
            <w:tcW w:w="467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Subject/Comment</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03/2009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CP-090057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V1.0.0 Approved in CT#43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06/2009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PMIP VSO Charging Characteristics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Registration of new 3GPP specific PMIPv6 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CP-090290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FQ-CSID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09/2009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APN Restriction for PMIPv6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CP-090538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Handling future extensions of 3GPP Mobile IPv6 Options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12/2009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CP-090801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Unauthenticated IMSI</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Multiple PDN to the Same APN for PMIP-based Interfaces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2011-03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2011-06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CP-110369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APN based congestion control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Low access priority indicator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2011-12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CP-110792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3</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bookmarkStart w:id="18" w:name="OLE_LINK8"/>
            <w:bookmarkStart w:id="19" w:name="OLE_LINK7"/>
            <w:r>
              <w:rPr>
                <w:sz w:val="16"/>
                <w:szCs w:val="16"/>
              </w:rPr>
              <w:t>Adding Additional Authentication Options IE</w:t>
            </w:r>
            <w:bookmarkEnd w:id="18"/>
            <w:bookmarkEnd w:id="19"/>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2012-09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CP-120442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 to IETF Draft for TS 29.282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2012-09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CP-120460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 to RFC Update for TS 29.282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2012-12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CP-120729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Static IP Address Allocation Indication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MME/SGSN Id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2013-09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CP-130464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Addition of End Marker Notification</w:t>
            </w:r>
            <w:r>
              <w:rPr>
                <w:sz w:val="16"/>
                <w:szCs w:val="16"/>
              </w:rPr>
              <w:t xml:space="preserve"> information element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2014-03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CP-140416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Add </w:t>
            </w:r>
            <w:r>
              <w:rPr>
                <w:sz w:val="16"/>
                <w:szCs w:val="16"/>
              </w:rPr>
              <w:t>Trusted WLAN Mode Indication</w:t>
            </w:r>
            <w:r>
              <w:rPr>
                <w:sz w:val="16"/>
                <w:szCs w:val="16"/>
              </w:rPr>
              <w:t xml:space="preserve"> IE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12.1.0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2014-06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CP-140252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UE Time Zone for PMIP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12.2.0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CP-140252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TWAN Identifier Timestamp for PMIP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CP-140252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Add a 3GPP specific option for PMIP for new Line Identifier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2015-09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fi-FI"/>
              </w:rPr>
            </w:pPr>
            <w:r>
              <w:rPr>
                <w:sz w:val="16"/>
                <w:szCs w:val="16"/>
              </w:rPr>
              <w:t>CT</w:t>
            </w:r>
            <w:r>
              <w:rPr>
                <w:sz w:val="16"/>
                <w:szCs w:val="16"/>
                <w:lang w:val="fi-FI"/>
              </w:rPr>
              <w:t>#69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CP-150442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Origination Time Stamp and Maximum Wait Time </w:t>
            </w:r>
            <w:r>
              <w:rPr>
                <w:sz w:val="16"/>
                <w:szCs w:val="16"/>
              </w:rPr>
              <w:t>for PMIP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2015-12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CP-150780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Extensions for P-CSCF restoration for trusted and untrusted WLAN access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2018-06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CT#88e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16.0.0</w:t>
            </w:r>
          </w:p>
        </w:tc>
      </w:tr>
    </w:tbl>
    <w:p>
      <w:pPr>
        <w:pStyle w:val="TAL"/>
        <w:rPr>
          <w:sz w:val="16"/>
          <w:szCs w:val="16"/>
        </w:rPr>
      </w:pPr>
      <w:r>
        <w:rPr>
          <w:sz w:val="16"/>
          <w:szCs w:val="16"/>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29.282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29.282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11z0">
    <w:name w:val="WW8Num11z0"/>
    <w:qFormat/>
    <w:rPr>
      <w:rFonts w:ascii="Arial" w:hAnsi="Arial" w:eastAsia="MS Mincho;ＭＳ 明朝" w:cs="Wingdings"/>
    </w:rPr>
  </w:style>
  <w:style w:type="character" w:styleId="WW8Num11z1">
    <w:name w:val="WW8Num11z1"/>
    <w:qFormat/>
    <w:rPr>
      <w:rFonts w:ascii="Courier New" w:hAnsi="Courier New" w:cs="Wingdings"/>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3z0">
    <w:name w:val="WW8Num13z0"/>
    <w:qFormat/>
    <w:rPr>
      <w:rFonts w:ascii="Times New Roman" w:hAnsi="Times New Roman" w:eastAsia="Times New Roman" w:cs="Times New Roman"/>
      <w:b/>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7z0">
    <w:name w:val="WW8Num17z0"/>
    <w:qFormat/>
    <w:rPr>
      <w:rFonts w:ascii="Times New Roman" w:hAnsi="Times New Roman" w:eastAsia="SimSun;宋体"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21z0">
    <w:name w:val="WW8Num2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4Char">
    <w:name w:val="Heading 4 Char"/>
    <w:qFormat/>
    <w:rPr>
      <w:rFonts w:ascii="Arial" w:hAnsi="Arial" w:cs="Arial"/>
      <w:sz w:val="24"/>
      <w:lang w:val="en-GB"/>
    </w:rPr>
  </w:style>
  <w:style w:type="character" w:styleId="ZGSM">
    <w:name w:val="ZGSM"/>
    <w:qFormat/>
    <w:rPr/>
  </w:style>
  <w:style w:type="character" w:styleId="FootnoteCharacters">
    <w:name w:val="Footnote Characters"/>
    <w:qFormat/>
    <w:rPr>
      <w:b/>
      <w:sz w:val="16"/>
      <w:vertAlign w:val="superscript"/>
    </w:rPr>
  </w:style>
  <w:style w:type="character" w:styleId="EditorsNoteChar">
    <w:name w:val="Editor's Note Char"/>
    <w:qFormat/>
    <w:rPr>
      <w:color w:val="FF0000"/>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odyTextChar">
    <w:name w:val="Body Text Char"/>
    <w:qFormat/>
    <w:rPr>
      <w:lang w:val="en-GB" w:bidi="ar-SA"/>
    </w:rPr>
  </w:style>
  <w:style w:type="character" w:styleId="CommentReference">
    <w:name w:val="Comment Reference"/>
    <w:qFormat/>
    <w:rPr>
      <w:sz w:val="16"/>
    </w:rPr>
  </w:style>
  <w:style w:type="character" w:styleId="HTMLPreformattedChar">
    <w:name w:val="HTML Preformatted Char"/>
    <w:qFormat/>
    <w:rPr>
      <w:rFonts w:ascii="Courier New" w:hAnsi="Courier New" w:eastAsia="SimSun;宋体" w:cs="Courier New"/>
      <w:lang w:val="en-US" w:eastAsia="zh-CN" w:bidi="ar-SA"/>
    </w:rPr>
  </w:style>
  <w:style w:type="character" w:styleId="BalloonTextChar">
    <w:name w:val="Balloon Text Char"/>
    <w:qFormat/>
    <w:rPr>
      <w:rFonts w:ascii="Tahoma" w:hAnsi="Tahoma" w:cs="Tahoma"/>
      <w:sz w:val="16"/>
      <w:szCs w:val="16"/>
      <w:lang w:val="en-GB"/>
    </w:rPr>
  </w:style>
  <w:style w:type="character" w:styleId="THChar">
    <w:name w:val="TH Char"/>
    <w:qFormat/>
    <w:rPr>
      <w:rFonts w:ascii="Arial" w:hAnsi="Arial" w:cs="Arial"/>
      <w:b/>
      <w:lang w:val="en-GB"/>
    </w:rPr>
  </w:style>
  <w:style w:type="character" w:styleId="TALChar">
    <w:name w:val="TAL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Heading1Char">
    <w:name w:val="Heading 1 Char"/>
    <w:qFormat/>
    <w:rPr>
      <w:rFonts w:ascii="Arial" w:hAnsi="Arial" w:cs="Arial"/>
      <w:sz w:val="36"/>
      <w:lang w:val="en-GB" w:bidi="ar-SA"/>
    </w:rPr>
  </w:style>
  <w:style w:type="character" w:styleId="B1Char">
    <w:name w:val="B1 Char"/>
    <w:qFormat/>
    <w:rPr>
      <w:lang w:val="en-GB"/>
    </w:rPr>
  </w:style>
  <w:style w:type="character" w:styleId="TACChar">
    <w:name w:val="TAC Char"/>
    <w:basedOn w:val="TAL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SimSun;宋体" w:cs="Courier New"/>
      <w:lang w:val="en-US" w:eastAsia="zh-CN"/>
    </w:rPr>
  </w:style>
  <w:style w:type="paragraph" w:styleId="BalloonText">
    <w:name w:val="Balloon Text"/>
    <w:basedOn w:val="Normal"/>
    <w:qFormat/>
    <w:pPr>
      <w:spacing w:before="0" w:after="0"/>
    </w:pPr>
    <w:rPr>
      <w:rFonts w:ascii="Tahoma" w:hAnsi="Tahoma" w:cs="Tahoma"/>
      <w:sz w:val="16"/>
      <w:szCs w:val="16"/>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2009-06-04T15:39:00Z</dcterms:created>
  <dc:creator>MCC Support</dc:creator>
  <dc:description/>
  <cp:keywords>LTE UMTS IP</cp:keywords>
  <dc:language>en-US</dc:language>
  <cp:lastModifiedBy>Kimmo Kymalainen</cp:lastModifiedBy>
  <dcterms:modified xsi:type="dcterms:W3CDTF">2020-07-07T21:36:00Z</dcterms:modified>
  <cp:revision>36</cp:revision>
  <dc:subject>Mobile IPv6 vendor specific option format and usage within 3GPP (Release 8)</dc:subject>
  <dc:title>3GPP TS 29.282</dc:title>
</cp:coreProperties>
</file>