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fontTable.xml" ContentType="application/vnd.openxmlformats-officedocument.wordprocessingml.fontTable+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10.wmf" ContentType="image/x-wmf"/>
  <Override PartName="/word/media/image6.wmf" ContentType="image/x-wmf"/>
  <Override PartName="/word/media/image7.wmf" ContentType="image/x-wmf"/>
  <Override PartName="/word/media/image8.wmf" ContentType="image/x-wmf"/>
  <Override PartName="/word/media/image9.wmf" ContentType="image/x-wmf"/>
  <Override PartName="/word/header2.xml" ContentType="application/vnd.openxmlformats-officedocument.wordprocessingml.header+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headerReference w:type="first" r:id="rId3"/>
          <w:footerReference w:type="default" r:id="rId4"/>
          <w:footerReference w:type="first" r:id="rId5"/>
          <w:type w:val="nextPage"/>
          <w:pgSz w:w="11906" w:h="16838"/>
          <w:pgMar w:left="851" w:right="851" w:gutter="0" w:header="0" w:top="2268" w:footer="0" w:bottom="10773"/>
          <w:pgNumType w:start="1" w:fmt="decimal"/>
          <w:formProt w:val="false"/>
          <w:titlePg/>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4"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US" w:eastAsia="en-US"/>
                              </w:rPr>
                            </w:pPr>
                            <w:bookmarkStart w:id="0" w:name="page1"/>
                            <w:bookmarkEnd w:id="0"/>
                            <w:r>
                              <w:rPr>
                                <w:sz w:val="64"/>
                                <w:lang w:val="en-US" w:eastAsia="en-US"/>
                              </w:rPr>
                              <w:t xml:space="preserve">3GPP TS 29.594 </w:t>
                            </w:r>
                            <w:r>
                              <w:rPr>
                                <w:lang w:val="en-US" w:eastAsia="en-US"/>
                              </w:rPr>
                              <w:t>V16.7.0</w:t>
                            </w:r>
                            <w:r>
                              <w:rPr>
                                <w:sz w:val="32"/>
                                <w:lang w:val="en-US" w:eastAsia="en-US"/>
                              </w:rPr>
                              <w:t xml:space="preserve"> (2022-03)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US" w:eastAsia="en-US"/>
                        </w:rPr>
                      </w:pPr>
                      <w:bookmarkStart w:id="1" w:name="page1"/>
                      <w:bookmarkEnd w:id="1"/>
                      <w:r>
                        <w:rPr>
                          <w:sz w:val="64"/>
                          <w:lang w:val="en-US" w:eastAsia="en-US"/>
                        </w:rPr>
                        <w:t xml:space="preserve">3GPP TS 29.594 </w:t>
                      </w:r>
                      <w:r>
                        <w:rPr>
                          <w:lang w:val="en-US" w:eastAsia="en-US"/>
                        </w:rPr>
                        <w:t>V16.7.0</w:t>
                      </w:r>
                      <w:r>
                        <w:rPr>
                          <w:sz w:val="32"/>
                          <w:lang w:val="en-US" w:eastAsia="en-US"/>
                        </w:rPr>
                        <w:t xml:space="preserve"> (2022-03)</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5"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6"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5G System; Spending Limit Control Service;</w:t>
                            </w:r>
                          </w:p>
                          <w:p>
                            <w:pPr>
                              <w:pStyle w:val="ZT"/>
                              <w:rPr/>
                            </w:pPr>
                            <w:r>
                              <w:rPr/>
                              <w:t>Stage 3</w:t>
                            </w:r>
                          </w:p>
                          <w:p>
                            <w:pPr>
                              <w:pStyle w:val="ZT"/>
                              <w:rPr/>
                            </w:pPr>
                            <w:r>
                              <w:rPr/>
                              <w:t>(</w:t>
                            </w:r>
                            <w:r>
                              <w:rPr>
                                <w:rStyle w:val="ZGSM"/>
                              </w:rPr>
                              <w:t xml:space="preserve">Release </w:t>
                            </w:r>
                            <w:r>
                              <w:rPr>
                                <w:rStyle w:val="ZGSM"/>
                                <w:lang w:eastAsia="ko-KR"/>
                              </w:rPr>
                              <w:t>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5G System; Spending Limit Control Service;</w:t>
                      </w:r>
                    </w:p>
                    <w:p>
                      <w:pPr>
                        <w:pStyle w:val="ZT"/>
                        <w:rPr/>
                      </w:pPr>
                      <w:r>
                        <w:rPr/>
                        <w:t>Stage 3</w:t>
                      </w:r>
                    </w:p>
                    <w:p>
                      <w:pPr>
                        <w:pStyle w:val="ZT"/>
                        <w:rPr/>
                      </w:pPr>
                      <w:r>
                        <w:rPr/>
                        <w:t>(</w:t>
                      </w:r>
                      <w:r>
                        <w:rPr>
                          <w:rStyle w:val="ZGSM"/>
                        </w:rPr>
                        <w:t xml:space="preserve">Release </w:t>
                      </w:r>
                      <w:r>
                        <w:rPr>
                          <w:rStyle w:val="ZGSM"/>
                          <w:lang w:eastAsia="ko-KR"/>
                        </w:rPr>
                        <w:t>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421765"/>
                <wp:effectExtent l="0" t="0" r="0" b="0"/>
                <wp:wrapTopAndBottom/>
                <wp:docPr id="7" name="Frame4"/>
                <a:graphic xmlns:a="http://schemas.openxmlformats.org/drawingml/2006/main">
                  <a:graphicData uri="http://schemas.microsoft.com/office/word/2010/wordprocessingShape">
                    <wps:wsp>
                      <wps:cNvSpPr txBox="1"/>
                      <wps:spPr>
                        <a:xfrm>
                          <a:off x="0" y="0"/>
                          <a:ext cx="6480810" cy="142176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12215" cy="1212215"/>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6"/>
                                          <a:srcRect l="-1" t="-1" r="-1" b="-1"/>
                                          <a:stretch>
                                            <a:fillRect/>
                                          </a:stretch>
                                        </pic:blipFill>
                                        <pic:spPr bwMode="auto">
                                          <a:xfrm>
                                            <a:off x="0" y="0"/>
                                            <a:ext cx="1212215" cy="1212215"/>
                                          </a:xfrm>
                                          <a:prstGeom prst="rect">
                                            <a:avLst/>
                                          </a:prstGeom>
                                        </pic:spPr>
                                      </pic:pic>
                                    </a:graphicData>
                                  </a:graphic>
                                </wp:inline>
                              </w:drawing>
                            </w:r>
                            <w:r>
                              <w:rPr>
                                <w:color w:val="0000FF"/>
                              </w:rPr>
                              <w:tab/>
                            </w:r>
                            <w:r>
                              <w:rPr/>
                              <w:drawing>
                                <wp:inline distT="0" distB="0" distL="0" distR="0">
                                  <wp:extent cx="1624965" cy="949960"/>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7"/>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US" w:eastAsia="en-US"/>
                              </w:rPr>
                            </w:pPr>
                            <w:r>
                              <w:rPr>
                                <w:lang w:val="en-US" w:eastAsia="en-US"/>
                              </w:rPr>
                            </w:r>
                          </w:p>
                        </w:txbxContent>
                      </wps:txbx>
                      <wps:bodyPr anchor="t" lIns="0" tIns="12700" rIns="0" bIns="0">
                        <a:noAutofit/>
                      </wps:bodyPr>
                    </wps:wsp>
                  </a:graphicData>
                </a:graphic>
              </wp:anchor>
            </w:drawing>
          </mc:Choice>
          <mc:Fallback>
            <w:pict>
              <v:rect fillcolor="#FFFFFF" style="position:absolute;rotation:-0;width:510.3pt;height:111.9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12215" cy="1212215"/>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8"/>
                                    <a:srcRect l="-1" t="-1" r="-1" b="-1"/>
                                    <a:stretch>
                                      <a:fillRect/>
                                    </a:stretch>
                                  </pic:blipFill>
                                  <pic:spPr bwMode="auto">
                                    <a:xfrm>
                                      <a:off x="0" y="0"/>
                                      <a:ext cx="1212215" cy="1212215"/>
                                    </a:xfrm>
                                    <a:prstGeom prst="rect">
                                      <a:avLst/>
                                    </a:prstGeom>
                                  </pic:spPr>
                                </pic:pic>
                              </a:graphicData>
                            </a:graphic>
                          </wp:inline>
                        </w:drawing>
                      </w:r>
                      <w:r>
                        <w:rPr>
                          <w:color w:val="0000FF"/>
                        </w:rPr>
                        <w:tab/>
                      </w:r>
                      <w:r>
                        <w:rPr/>
                        <w:drawing>
                          <wp:inline distT="0" distB="0" distL="0" distR="0">
                            <wp:extent cx="1624965" cy="949960"/>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9"/>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US" w:eastAsia="en-US"/>
                        </w:rPr>
                      </w:pPr>
                      <w:r>
                        <w:rPr>
                          <w:lang w:val="en-US"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93180" cy="1038860"/>
                <wp:effectExtent l="0" t="0" r="0" b="0"/>
                <wp:wrapTopAndBottom/>
                <wp:docPr id="12" name="Frame5"/>
                <a:graphic xmlns:a="http://schemas.openxmlformats.org/drawingml/2006/main">
                  <a:graphicData uri="http://schemas.microsoft.com/office/word/2010/wordprocessingShape">
                    <wps:wsp>
                      <wps:cNvSpPr txBox="1"/>
                      <wps:spPr>
                        <a:xfrm>
                          <a:off x="0" y="0"/>
                          <a:ext cx="6393180" cy="1038860"/>
                        </a:xfrm>
                        <a:prstGeom prst="rect"/>
                        <a:solidFill>
                          <a:srgbClr val="FFFFFF">
                            <a:alpha val="0"/>
                          </a:srgbClr>
                        </a:solidFill>
                      </wps:spPr>
                      <wps:txbx>
                        <w:txbxContent>
                          <w:p>
                            <w:pPr>
                              <w:pStyle w:val="Normal"/>
                              <w:spacing w:before="0" w:after="180"/>
                              <w:jc w:val="both"/>
                              <w:rPr/>
                            </w:pPr>
                            <w:r>
                              <w:rPr>
                                <w:sz w:val="16"/>
                                <w:szCs w:val="16"/>
                              </w:rPr>
                              <w:t>The present document has been developed within the 3</w:t>
                            </w:r>
                            <w:r>
                              <w:rPr>
                                <w:sz w:val="16"/>
                                <w:szCs w:val="16"/>
                                <w:vertAlign w:val="superscript"/>
                              </w:rPr>
                              <w:t>rd</w:t>
                            </w:r>
                            <w:r>
                              <w:rPr>
                                <w:sz w:val="16"/>
                                <w:szCs w:val="16"/>
                              </w:rPr>
                              <w:t xml:space="preserve"> Generation Partnership Project (3GPP TM) and may be further elaborated for the purposes of 3GPP.</w:t>
                              <w:br/>
                              <w:t>The present document has not been subject to any approval process by the 3GPP Organisational Partners and shall not be implemented.</w:t>
                              <w:br/>
                              <w:t>This Specification is provided for future development work within 3GPP only. The Organisational Partners accept no liability for any use of this Specification.</w:t>
                              <w:br/>
                              <w:t>Specifications and reports for implementation of the 3GPP TM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503.4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szCs w:val="16"/>
                        </w:rPr>
                        <w:t>The present document has been developed within the 3</w:t>
                      </w:r>
                      <w:r>
                        <w:rPr>
                          <w:sz w:val="16"/>
                          <w:szCs w:val="16"/>
                          <w:vertAlign w:val="superscript"/>
                        </w:rPr>
                        <w:t>rd</w:t>
                      </w:r>
                      <w:r>
                        <w:rPr>
                          <w:sz w:val="16"/>
                          <w:szCs w:val="16"/>
                        </w:rPr>
                        <w:t xml:space="preserve"> Generation Partnership Project (3GPP TM) and may be further elaborated for the purposes of 3GPP.</w:t>
                        <w:br/>
                        <w:t>The present document has not been subject to any approval process by the 3GPP Organisational Partners and shall not be implemented.</w:t>
                        <w:br/>
                        <w:t>This Specification is provided for future development work within 3GPP only. The Organisational Partners accept no liability for any use of this Specification.</w:t>
                        <w:br/>
                        <w:t>Specifications and reports for implementation of the 3GPP TM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3"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sz w:val="18"/>
          <w:lang w:eastAsia="ko-KR"/>
        </w:rPr>
      </w:pPr>
      <w:r>
        <w:rPr>
          <w:sz w:val="18"/>
          <w:lang w:eastAsia="ko-KR"/>
        </w:rPr>
      </w:r>
      <w:bookmarkStart w:id="2" w:name="page2"/>
      <w:bookmarkStart w:id="3" w:name="page2"/>
      <w:bookmarkEnd w:id="3"/>
    </w:p>
    <w:p>
      <w:pPr>
        <w:pStyle w:val="FP"/>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posOffset>0</wp:posOffset>
                </wp:positionH>
                <wp:positionV relativeFrom="page">
                  <wp:posOffset>1800225</wp:posOffset>
                </wp:positionV>
                <wp:extent cx="6172835" cy="321310"/>
                <wp:effectExtent l="0" t="0" r="0" b="0"/>
                <wp:wrapTopAndBottom/>
                <wp:docPr id="14" name="Frame7"/>
                <a:graphic xmlns:a="http://schemas.openxmlformats.org/drawingml/2006/main">
                  <a:graphicData uri="http://schemas.microsoft.com/office/word/2010/wordprocessingShape">
                    <wps:wsp>
                      <wps:cNvSpPr txBox="1"/>
                      <wps:spPr>
                        <a:xfrm>
                          <a:off x="0" y="0"/>
                          <a:ext cx="6172835" cy="321310"/>
                        </a:xfrm>
                        <a:prstGeom prst="rect"/>
                        <a:solidFill>
                          <a:srgbClr val="FFFFFF">
                            <a:alpha val="0"/>
                          </a:srgbClr>
                        </a:solidFill>
                      </wps:spPr>
                      <wps:txbx>
                        <w:txbxContent>
                          <w:p>
                            <w:pPr>
                              <w:pStyle w:val="FP"/>
                              <w:spacing w:before="240" w:after="0"/>
                              <w:ind w:left="2835" w:right="2835" w:hanging="0"/>
                              <w:jc w:val="center"/>
                              <w:rPr/>
                            </w:pPr>
                            <w:r>
                              <w:rPr/>
                              <w:t>Keywords</w:t>
                            </w:r>
                          </w:p>
                        </w:txbxContent>
                      </wps:txbx>
                      <wps:bodyPr anchor="t" lIns="0" tIns="0" rIns="0" bIns="12700">
                        <a:noAutofit/>
                      </wps:bodyPr>
                    </wps:wsp>
                  </a:graphicData>
                </a:graphic>
              </wp:anchor>
            </w:drawing>
          </mc:Choice>
          <mc:Fallback>
            <w:pict>
              <v:rect fillcolor="#FFFFFF" style="position:absolute;rotation:-0;width:486.05pt;height:25.3pt;mso-wrap-distance-left:0pt;mso-wrap-distance-right:0pt;mso-wrap-distance-top:0pt;mso-wrap-distance-bottom:0pt;margin-top:141.75pt;mso-position-vertical-relative:page;margin-left:0pt;mso-position-horizontal-relative:margin">
                <v:fill opacity="0f"/>
                <v:textbox inset="0in,0in,0in,0.0138888888888889in">
                  <w:txbxContent>
                    <w:p>
                      <w:pPr>
                        <w:pStyle w:val="FP"/>
                        <w:spacing w:before="240" w:after="0"/>
                        <w:ind w:left="2835" w:right="2835" w:hanging="0"/>
                        <w:jc w:val="center"/>
                        <w:rPr/>
                      </w:pPr>
                      <w:r>
                        <w:rPr/>
                        <w:t>Keywords</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5"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10">
                              <w:r>
                                <w:rPr>
                                  <w:rStyle w:val="InternetLink"/>
                                  <w:rFonts w:cs="Arial" w:ascii="Arial" w:hAnsi="Arial"/>
                                  <w:sz w:val="18"/>
                                </w:rPr>
                                <w:t>http://www.3gpp.org</w:t>
                              </w:r>
                            </w:hyperlink>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11">
                        <w:r>
                          <w:rPr>
                            <w:rStyle w:val="InternetLink"/>
                            <w:rFonts w:cs="Arial" w:ascii="Arial" w:hAnsi="Arial"/>
                            <w:sz w:val="18"/>
                          </w:rPr>
                          <w:t>http://www.3gpp.org</w:t>
                        </w:r>
                      </w:hyperlink>
                    </w:p>
                  </w:txbxContent>
                </v:textbox>
                <w10:wrap type="topAndBottom"/>
              </v:rect>
            </w:pict>
          </mc:Fallback>
        </mc:AlternateContent>
      </w:r>
    </w:p>
    <w:p>
      <w:pPr>
        <w:pStyle w:val="Heading1"/>
        <w:ind w:left="1134" w:hanging="1134"/>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6"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rPr>
                              <w:t>© 2022, 3GPP Organizational Partners (ARIB, ATIS, CCSA, ETSI, TSDSI, TTA, TTC).</w:t>
                            </w:r>
                            <w:bookmarkStart w:id="4" w:name="copyrightaddon"/>
                            <w:bookmarkEnd w:id="4"/>
                          </w:p>
                          <w:p>
                            <w:pPr>
                              <w:pStyle w:val="FP"/>
                              <w:jc w:val="center"/>
                              <w:rPr>
                                <w:sz w:val="18"/>
                              </w:rPr>
                            </w:pPr>
                            <w:r>
                              <w:rPr>
                                <w:sz w:val="18"/>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rPr>
                        <w:t>© 2022, 3GPP Organizational Partners (ARIB, ATIS, CCSA, ETSI, TSDSI, TTA, TTC).</w:t>
                      </w:r>
                      <w:bookmarkStart w:id="5" w:name="copyrightaddon"/>
                      <w:bookmarkEnd w:id="5"/>
                    </w:p>
                    <w:p>
                      <w:pPr>
                        <w:pStyle w:val="FP"/>
                        <w:jc w:val="center"/>
                        <w:rPr>
                          <w:sz w:val="18"/>
                        </w:rPr>
                      </w:pPr>
                      <w:r>
                        <w:rPr>
                          <w:sz w:val="18"/>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Heading1"/>
        <w:ind w:left="1134" w:hanging="1134"/>
        <w:rPr/>
      </w:pPr>
      <w:bookmarkStart w:id="6" w:name="page2"/>
      <w:bookmarkEnd w:id="6"/>
      <w:r>
        <w:rPr/>
        <w:t>Contents</w:t>
      </w:r>
    </w:p>
    <w:sdt>
      <w:sdtPr>
        <w:docPartObj>
          <w:docPartGallery w:val="Table of Contents"/>
          <w:docPartUnique w:val="true"/>
        </w:docPartObj>
      </w:sdtPr>
      <w:sdtContent>
        <w:p>
          <w:pPr>
            <w:pStyle w:val="Contents1"/>
            <w:rPr>
              <w:rFonts w:ascii="Calibri" w:hAnsi="Calibri" w:eastAsia="DengXian;等线" w:cs="Calibri"/>
              <w:szCs w:val="22"/>
              <w:lang w:val="en-US" w:eastAsia="en-US"/>
            </w:rPr>
          </w:pPr>
          <w:r>
            <w:fldChar w:fldCharType="begin"/>
          </w:r>
          <w:r>
            <w:rPr>
              <w:lang w:val="en-US"/>
            </w:rPr>
            <w:instrText xml:space="preserve"> TOC \o "1-9" </w:instrText>
          </w:r>
          <w:r>
            <w:rPr>
              <w:lang w:val="en-US"/>
            </w:rPr>
            <w:fldChar w:fldCharType="separate"/>
          </w:r>
          <w:r>
            <w:rPr>
              <w:lang w:val="en-US"/>
            </w:rPr>
            <w:t>Foreword</w:t>
            <w:tab/>
          </w:r>
          <w:hyperlink w:anchor="__RefHeading___Toc75349496">
            <w:r>
              <w:rPr>
                <w:rStyle w:val="IndexLink"/>
                <w:lang w:val="en-US"/>
              </w:rPr>
              <w:t>6</w:t>
            </w:r>
          </w:hyperlink>
        </w:p>
        <w:p>
          <w:pPr>
            <w:pStyle w:val="Contents1"/>
            <w:rPr>
              <w:rFonts w:ascii="Calibri" w:hAnsi="Calibri" w:eastAsia="DengXian;等线" w:cs="Calibri"/>
              <w:szCs w:val="22"/>
              <w:lang w:val="en-US" w:eastAsia="en-US"/>
            </w:rPr>
          </w:pPr>
          <w:r>
            <w:rPr/>
            <w:t>1</w:t>
          </w:r>
          <w:r>
            <w:rPr>
              <w:rFonts w:eastAsia="DengXian;等线" w:cs="Calibri" w:ascii="Calibri" w:hAnsi="Calibri"/>
              <w:szCs w:val="22"/>
              <w:lang w:val="en-US" w:eastAsia="en-US"/>
            </w:rPr>
            <w:tab/>
          </w:r>
          <w:r>
            <w:rPr/>
            <w:t>Scope</w:t>
            <w:tab/>
          </w:r>
          <w:hyperlink w:anchor="__RefHeading___Toc75349497">
            <w:r>
              <w:rPr>
                <w:rStyle w:val="IndexLink"/>
              </w:rPr>
              <w:t>7</w:t>
            </w:r>
          </w:hyperlink>
        </w:p>
        <w:p>
          <w:pPr>
            <w:pStyle w:val="Contents1"/>
            <w:rPr>
              <w:rFonts w:ascii="Calibri" w:hAnsi="Calibri" w:eastAsia="DengXian;等线" w:cs="Calibri"/>
              <w:szCs w:val="22"/>
              <w:lang w:val="en-US" w:eastAsia="en-US"/>
            </w:rPr>
          </w:pPr>
          <w:r>
            <w:rPr/>
            <w:t>2</w:t>
          </w:r>
          <w:r>
            <w:rPr>
              <w:rFonts w:eastAsia="DengXian;等线" w:cs="Calibri" w:ascii="Calibri" w:hAnsi="Calibri"/>
              <w:szCs w:val="22"/>
              <w:lang w:val="en-US" w:eastAsia="en-US"/>
            </w:rPr>
            <w:tab/>
          </w:r>
          <w:r>
            <w:rPr/>
            <w:t>References</w:t>
            <w:tab/>
          </w:r>
          <w:hyperlink w:anchor="__RefHeading___Toc75349498">
            <w:r>
              <w:rPr>
                <w:rStyle w:val="IndexLink"/>
              </w:rPr>
              <w:t>7</w:t>
            </w:r>
          </w:hyperlink>
        </w:p>
        <w:p>
          <w:pPr>
            <w:pStyle w:val="Contents1"/>
            <w:rPr>
              <w:rFonts w:ascii="Calibri" w:hAnsi="Calibri" w:eastAsia="DengXian;等线" w:cs="Calibri"/>
              <w:szCs w:val="22"/>
              <w:lang w:val="en-US" w:eastAsia="en-US"/>
            </w:rPr>
          </w:pPr>
          <w:r>
            <w:rPr/>
            <w:t>3</w:t>
          </w:r>
          <w:r>
            <w:rPr>
              <w:rFonts w:eastAsia="DengXian;等线" w:cs="Calibri" w:ascii="Calibri" w:hAnsi="Calibri"/>
              <w:szCs w:val="22"/>
              <w:lang w:val="en-US" w:eastAsia="en-US"/>
            </w:rPr>
            <w:tab/>
          </w:r>
          <w:r>
            <w:rPr/>
            <w:t>Definitions and abbreviations</w:t>
            <w:tab/>
          </w:r>
          <w:hyperlink w:anchor="__RefHeading___Toc75349499">
            <w:r>
              <w:rPr>
                <w:rStyle w:val="IndexLink"/>
              </w:rPr>
              <w:t>8</w:t>
            </w:r>
          </w:hyperlink>
        </w:p>
        <w:p>
          <w:pPr>
            <w:pStyle w:val="Contents2"/>
            <w:rPr>
              <w:rFonts w:ascii="Calibri" w:hAnsi="Calibri" w:eastAsia="DengXian;等线" w:cs="Calibri"/>
              <w:sz w:val="22"/>
              <w:szCs w:val="22"/>
              <w:lang w:val="en-US" w:eastAsia="en-US"/>
            </w:rPr>
          </w:pPr>
          <w:r>
            <w:rPr/>
            <w:t>3.1</w:t>
          </w:r>
          <w:r>
            <w:rPr>
              <w:rFonts w:eastAsia="DengXian;等线" w:cs="Calibri" w:ascii="Calibri" w:hAnsi="Calibri"/>
              <w:sz w:val="22"/>
              <w:szCs w:val="22"/>
              <w:lang w:val="en-US" w:eastAsia="en-US"/>
            </w:rPr>
            <w:tab/>
          </w:r>
          <w:r>
            <w:rPr/>
            <w:t>Definitions</w:t>
            <w:tab/>
          </w:r>
          <w:hyperlink w:anchor="__RefHeading___Toc75349500">
            <w:r>
              <w:rPr>
                <w:rStyle w:val="IndexLink"/>
              </w:rPr>
              <w:t>8</w:t>
            </w:r>
          </w:hyperlink>
        </w:p>
        <w:p>
          <w:pPr>
            <w:pStyle w:val="Contents2"/>
            <w:rPr>
              <w:rFonts w:ascii="Calibri" w:hAnsi="Calibri" w:eastAsia="DengXian;等线" w:cs="Calibri"/>
              <w:sz w:val="22"/>
              <w:szCs w:val="22"/>
              <w:lang w:val="en-US" w:eastAsia="en-US"/>
            </w:rPr>
          </w:pPr>
          <w:r>
            <w:rPr/>
            <w:t>3.2</w:t>
          </w:r>
          <w:r>
            <w:rPr>
              <w:rFonts w:eastAsia="DengXian;等线" w:cs="Calibri" w:ascii="Calibri" w:hAnsi="Calibri"/>
              <w:sz w:val="22"/>
              <w:szCs w:val="22"/>
              <w:lang w:val="en-US" w:eastAsia="en-US"/>
            </w:rPr>
            <w:tab/>
          </w:r>
          <w:r>
            <w:rPr/>
            <w:t>Abbreviations</w:t>
            <w:tab/>
          </w:r>
          <w:hyperlink w:anchor="__RefHeading___Toc75349501">
            <w:r>
              <w:rPr>
                <w:rStyle w:val="IndexLink"/>
              </w:rPr>
              <w:t>8</w:t>
            </w:r>
          </w:hyperlink>
        </w:p>
        <w:p>
          <w:pPr>
            <w:pStyle w:val="Contents1"/>
            <w:rPr>
              <w:rFonts w:ascii="Calibri" w:hAnsi="Calibri" w:eastAsia="DengXian;等线" w:cs="Calibri"/>
              <w:szCs w:val="22"/>
              <w:lang w:val="en-US" w:eastAsia="en-US"/>
            </w:rPr>
          </w:pPr>
          <w:r>
            <w:rPr/>
            <w:t>4</w:t>
          </w:r>
          <w:r>
            <w:rPr>
              <w:rFonts w:cs="Calibri" w:ascii="Calibri" w:hAnsi="Calibri"/>
              <w:szCs w:val="22"/>
              <w:lang w:val="en-US" w:eastAsia="en-US"/>
            </w:rPr>
            <w:tab/>
          </w:r>
          <w:r>
            <w:rPr>
              <w:rFonts w:eastAsia="Times New Roman"/>
            </w:rPr>
            <w:t>Nchf_SpendingLimitControl Service</w:t>
          </w:r>
          <w:r>
            <w:rPr/>
            <w:tab/>
          </w:r>
          <w:hyperlink w:anchor="__RefHeading___Toc75349502">
            <w:r>
              <w:rPr>
                <w:rStyle w:val="IndexLink"/>
              </w:rPr>
              <w:t>8</w:t>
            </w:r>
          </w:hyperlink>
        </w:p>
        <w:p>
          <w:pPr>
            <w:pStyle w:val="Contents2"/>
            <w:rPr>
              <w:rFonts w:ascii="Calibri" w:hAnsi="Calibri" w:eastAsia="DengXian;等线" w:cs="Calibri"/>
              <w:sz w:val="22"/>
              <w:szCs w:val="22"/>
              <w:lang w:val="en-US" w:eastAsia="en-US"/>
            </w:rPr>
          </w:pPr>
          <w:r>
            <w:rPr/>
            <w:t>4.1</w:t>
          </w:r>
          <w:r>
            <w:rPr>
              <w:rFonts w:eastAsia="DengXian;等线" w:cs="Calibri" w:ascii="Calibri" w:hAnsi="Calibri"/>
              <w:sz w:val="22"/>
              <w:szCs w:val="22"/>
              <w:lang w:val="en-US" w:eastAsia="en-US"/>
            </w:rPr>
            <w:tab/>
          </w:r>
          <w:r>
            <w:rPr/>
            <w:t>Service Description</w:t>
            <w:tab/>
          </w:r>
          <w:hyperlink w:anchor="__RefHeading___Toc75349503">
            <w:r>
              <w:rPr>
                <w:rStyle w:val="IndexLink"/>
              </w:rPr>
              <w:t>8</w:t>
            </w:r>
          </w:hyperlink>
        </w:p>
        <w:p>
          <w:pPr>
            <w:pStyle w:val="Contents3"/>
            <w:rPr>
              <w:rFonts w:ascii="Calibri" w:hAnsi="Calibri" w:eastAsia="DengXian;等线" w:cs="Calibri"/>
              <w:sz w:val="22"/>
              <w:szCs w:val="22"/>
              <w:lang w:val="en-US" w:eastAsia="en-US"/>
            </w:rPr>
          </w:pPr>
          <w:r>
            <w:rPr/>
            <w:t>4.</w:t>
          </w:r>
          <w:r>
            <w:rPr>
              <w:lang w:val="en-US" w:eastAsia="en-US"/>
            </w:rPr>
            <w:t>1.1</w:t>
          </w:r>
          <w:r>
            <w:rPr>
              <w:rFonts w:eastAsia="DengXian;等线" w:cs="Calibri" w:ascii="Calibri" w:hAnsi="Calibri"/>
              <w:sz w:val="22"/>
              <w:szCs w:val="22"/>
              <w:lang w:val="en-US" w:eastAsia="en-US"/>
            </w:rPr>
            <w:tab/>
          </w:r>
          <w:r>
            <w:rPr>
              <w:lang w:val="en-US" w:eastAsia="en-US"/>
            </w:rPr>
            <w:t>Overview</w:t>
          </w:r>
          <w:r>
            <w:rPr/>
            <w:tab/>
          </w:r>
          <w:hyperlink w:anchor="__RefHeading___Toc75349504">
            <w:r>
              <w:rPr>
                <w:rStyle w:val="IndexLink"/>
              </w:rPr>
              <w:t>8</w:t>
            </w:r>
          </w:hyperlink>
        </w:p>
        <w:p>
          <w:pPr>
            <w:pStyle w:val="Contents3"/>
            <w:rPr>
              <w:rFonts w:ascii="Calibri" w:hAnsi="Calibri" w:eastAsia="DengXian;等线" w:cs="Calibri"/>
              <w:sz w:val="22"/>
              <w:szCs w:val="22"/>
              <w:lang w:val="en-US" w:eastAsia="en-US"/>
            </w:rPr>
          </w:pPr>
          <w:r>
            <w:rPr/>
            <w:t>4.1.2</w:t>
          </w:r>
          <w:r>
            <w:rPr>
              <w:rFonts w:eastAsia="DengXian;等线" w:cs="Calibri" w:ascii="Calibri" w:hAnsi="Calibri"/>
              <w:sz w:val="22"/>
              <w:szCs w:val="22"/>
              <w:lang w:val="en-US" w:eastAsia="en-US"/>
            </w:rPr>
            <w:tab/>
          </w:r>
          <w:r>
            <w:rPr/>
            <w:t>Service Architecture</w:t>
            <w:tab/>
          </w:r>
          <w:hyperlink w:anchor="__RefHeading___Toc75349505">
            <w:r>
              <w:rPr>
                <w:rStyle w:val="IndexLink"/>
              </w:rPr>
              <w:t>9</w:t>
            </w:r>
          </w:hyperlink>
        </w:p>
        <w:p>
          <w:pPr>
            <w:pStyle w:val="Contents3"/>
            <w:rPr>
              <w:rFonts w:ascii="Calibri" w:hAnsi="Calibri" w:eastAsia="DengXian;等线" w:cs="Calibri"/>
              <w:sz w:val="22"/>
              <w:szCs w:val="22"/>
              <w:lang w:val="en-US" w:eastAsia="en-US"/>
            </w:rPr>
          </w:pPr>
          <w:r>
            <w:rPr/>
            <w:t>4.</w:t>
          </w:r>
          <w:r>
            <w:rPr>
              <w:lang w:val="en-US" w:eastAsia="en-US"/>
            </w:rPr>
            <w:t>1.3</w:t>
          </w:r>
          <w:r>
            <w:rPr>
              <w:rFonts w:eastAsia="DengXian;等线" w:cs="Calibri" w:ascii="Calibri" w:hAnsi="Calibri"/>
              <w:sz w:val="22"/>
              <w:szCs w:val="22"/>
              <w:lang w:val="en-US" w:eastAsia="en-US"/>
            </w:rPr>
            <w:tab/>
          </w:r>
          <w:r>
            <w:rPr>
              <w:lang w:val="en-US" w:eastAsia="en-US"/>
            </w:rPr>
            <w:t>Network Functions</w:t>
          </w:r>
          <w:r>
            <w:rPr/>
            <w:tab/>
          </w:r>
          <w:hyperlink w:anchor="__RefHeading___Toc75349506">
            <w:r>
              <w:rPr>
                <w:rStyle w:val="IndexLink"/>
              </w:rPr>
              <w:t>9</w:t>
            </w:r>
          </w:hyperlink>
        </w:p>
        <w:p>
          <w:pPr>
            <w:pStyle w:val="Contents4"/>
            <w:rPr>
              <w:rFonts w:ascii="Calibri" w:hAnsi="Calibri" w:eastAsia="DengXian;等线" w:cs="Calibri"/>
              <w:sz w:val="22"/>
              <w:szCs w:val="22"/>
              <w:lang w:val="en-US" w:eastAsia="en-US"/>
            </w:rPr>
          </w:pPr>
          <w:r>
            <w:rPr/>
            <w:t>4.</w:t>
          </w:r>
          <w:r>
            <w:rPr>
              <w:lang w:val="en-US" w:eastAsia="en-US"/>
            </w:rPr>
            <w:t>1.3.1</w:t>
          </w:r>
          <w:r>
            <w:rPr>
              <w:rFonts w:eastAsia="DengXian;等线" w:cs="Calibri" w:ascii="Calibri" w:hAnsi="Calibri"/>
              <w:sz w:val="22"/>
              <w:szCs w:val="22"/>
              <w:lang w:val="en-US" w:eastAsia="en-US"/>
            </w:rPr>
            <w:tab/>
          </w:r>
          <w:r>
            <w:rPr>
              <w:lang w:val="en-US" w:eastAsia="en-US"/>
            </w:rPr>
            <w:t>Charging Function (CHF)</w:t>
          </w:r>
          <w:r>
            <w:rPr/>
            <w:tab/>
          </w:r>
          <w:hyperlink w:anchor="__RefHeading___Toc75349507">
            <w:r>
              <w:rPr>
                <w:rStyle w:val="IndexLink"/>
              </w:rPr>
              <w:t>9</w:t>
            </w:r>
          </w:hyperlink>
        </w:p>
        <w:p>
          <w:pPr>
            <w:pStyle w:val="Contents4"/>
            <w:rPr>
              <w:rFonts w:ascii="Calibri" w:hAnsi="Calibri" w:eastAsia="DengXian;等线" w:cs="Calibri"/>
              <w:sz w:val="22"/>
              <w:szCs w:val="22"/>
              <w:lang w:val="en-US" w:eastAsia="en-US"/>
            </w:rPr>
          </w:pPr>
          <w:r>
            <w:rPr/>
            <w:t>4.</w:t>
          </w:r>
          <w:r>
            <w:rPr>
              <w:lang w:val="en-US" w:eastAsia="en-US"/>
            </w:rPr>
            <w:t>1.3.2</w:t>
          </w:r>
          <w:r>
            <w:rPr>
              <w:rFonts w:eastAsia="DengXian;等线" w:cs="Calibri" w:ascii="Calibri" w:hAnsi="Calibri"/>
              <w:sz w:val="22"/>
              <w:szCs w:val="22"/>
              <w:lang w:val="en-US" w:eastAsia="en-US"/>
            </w:rPr>
            <w:tab/>
          </w:r>
          <w:r>
            <w:rPr>
              <w:lang w:val="en-US" w:eastAsia="en-US"/>
            </w:rPr>
            <w:t>NF Service Consumers</w:t>
          </w:r>
          <w:r>
            <w:rPr/>
            <w:tab/>
          </w:r>
          <w:hyperlink w:anchor="__RefHeading___Toc75349508">
            <w:r>
              <w:rPr>
                <w:rStyle w:val="IndexLink"/>
              </w:rPr>
              <w:t>9</w:t>
            </w:r>
          </w:hyperlink>
        </w:p>
        <w:p>
          <w:pPr>
            <w:pStyle w:val="Contents2"/>
            <w:rPr>
              <w:rFonts w:ascii="Calibri" w:hAnsi="Calibri" w:eastAsia="DengXian;等线" w:cs="Calibri"/>
              <w:sz w:val="22"/>
              <w:szCs w:val="22"/>
              <w:lang w:val="en-US" w:eastAsia="en-US"/>
            </w:rPr>
          </w:pPr>
          <w:r>
            <w:rPr/>
            <w:t>4.</w:t>
          </w:r>
          <w:r>
            <w:rPr>
              <w:lang w:val="en-US" w:eastAsia="en-US"/>
            </w:rPr>
            <w:t>2</w:t>
          </w:r>
          <w:r>
            <w:rPr>
              <w:rFonts w:eastAsia="DengXian;等线" w:cs="Calibri" w:ascii="Calibri" w:hAnsi="Calibri"/>
              <w:sz w:val="22"/>
              <w:szCs w:val="22"/>
              <w:lang w:val="en-US" w:eastAsia="en-US"/>
            </w:rPr>
            <w:tab/>
          </w:r>
          <w:r>
            <w:rPr>
              <w:lang w:val="en-US" w:eastAsia="en-US"/>
            </w:rPr>
            <w:t>Service Operations</w:t>
          </w:r>
          <w:r>
            <w:rPr/>
            <w:tab/>
          </w:r>
          <w:hyperlink w:anchor="__RefHeading___Toc75349509">
            <w:r>
              <w:rPr>
                <w:rStyle w:val="IndexLink"/>
              </w:rPr>
              <w:t>9</w:t>
            </w:r>
          </w:hyperlink>
        </w:p>
        <w:p>
          <w:pPr>
            <w:pStyle w:val="Contents3"/>
            <w:rPr>
              <w:rFonts w:ascii="Calibri" w:hAnsi="Calibri" w:eastAsia="DengXian;等线" w:cs="Calibri"/>
              <w:sz w:val="22"/>
              <w:szCs w:val="22"/>
              <w:lang w:val="en-US" w:eastAsia="en-US"/>
            </w:rPr>
          </w:pPr>
          <w:r>
            <w:rPr/>
            <w:t>4.</w:t>
          </w:r>
          <w:r>
            <w:rPr>
              <w:lang w:val="en-US" w:eastAsia="en-US"/>
            </w:rPr>
            <w:t>2</w:t>
          </w:r>
          <w:r>
            <w:rPr/>
            <w:t>.1</w:t>
          </w:r>
          <w:r>
            <w:rPr>
              <w:rFonts w:eastAsia="DengXian;等线" w:cs="Calibri" w:ascii="Calibri" w:hAnsi="Calibri"/>
              <w:sz w:val="22"/>
              <w:szCs w:val="22"/>
              <w:lang w:val="en-US" w:eastAsia="en-US"/>
            </w:rPr>
            <w:tab/>
          </w:r>
          <w:r>
            <w:rPr/>
            <w:t>Introduction</w:t>
            <w:tab/>
          </w:r>
          <w:hyperlink w:anchor="__RefHeading___Toc75349510">
            <w:r>
              <w:rPr>
                <w:rStyle w:val="IndexLink"/>
              </w:rPr>
              <w:t>9</w:t>
            </w:r>
          </w:hyperlink>
        </w:p>
        <w:p>
          <w:pPr>
            <w:pStyle w:val="Contents3"/>
            <w:rPr>
              <w:rFonts w:ascii="Calibri" w:hAnsi="Calibri" w:eastAsia="DengXian;等线" w:cs="Calibri"/>
              <w:sz w:val="22"/>
              <w:szCs w:val="22"/>
              <w:lang w:val="en-US" w:eastAsia="en-US"/>
            </w:rPr>
          </w:pPr>
          <w:r>
            <w:rPr/>
            <w:t>4.2.2</w:t>
          </w:r>
          <w:r>
            <w:rPr>
              <w:rFonts w:eastAsia="DengXian;等线" w:cs="Calibri" w:ascii="Calibri" w:hAnsi="Calibri"/>
              <w:sz w:val="22"/>
              <w:szCs w:val="22"/>
              <w:lang w:val="en-US" w:eastAsia="en-US"/>
            </w:rPr>
            <w:tab/>
          </w:r>
          <w:r>
            <w:rPr/>
            <w:t>Nchf_SpendingLimitControl_Subscribe service operation</w:t>
            <w:tab/>
          </w:r>
          <w:hyperlink w:anchor="__RefHeading___Toc75349511">
            <w:r>
              <w:rPr>
                <w:rStyle w:val="IndexLink"/>
              </w:rPr>
              <w:t>10</w:t>
            </w:r>
          </w:hyperlink>
        </w:p>
        <w:p>
          <w:pPr>
            <w:pStyle w:val="Contents4"/>
            <w:rPr>
              <w:rFonts w:ascii="Calibri" w:hAnsi="Calibri" w:eastAsia="DengXian;等线" w:cs="Calibri"/>
              <w:sz w:val="22"/>
              <w:szCs w:val="22"/>
              <w:lang w:val="en-US" w:eastAsia="en-US"/>
            </w:rPr>
          </w:pPr>
          <w:r>
            <w:rPr/>
            <w:t>4.2.2.1</w:t>
          </w:r>
          <w:r>
            <w:rPr>
              <w:rFonts w:eastAsia="DengXian;等线" w:cs="Calibri" w:ascii="Calibri" w:hAnsi="Calibri"/>
              <w:sz w:val="22"/>
              <w:szCs w:val="22"/>
              <w:lang w:val="en-US" w:eastAsia="en-US"/>
            </w:rPr>
            <w:tab/>
          </w:r>
          <w:r>
            <w:rPr/>
            <w:t>General</w:t>
            <w:tab/>
          </w:r>
          <w:hyperlink w:anchor="__RefHeading___Toc75349512">
            <w:r>
              <w:rPr>
                <w:rStyle w:val="IndexLink"/>
              </w:rPr>
              <w:t>10</w:t>
            </w:r>
          </w:hyperlink>
        </w:p>
        <w:p>
          <w:pPr>
            <w:pStyle w:val="Contents4"/>
            <w:rPr>
              <w:rFonts w:ascii="Calibri" w:hAnsi="Calibri" w:eastAsia="DengXian;等线" w:cs="Calibri"/>
              <w:sz w:val="22"/>
              <w:szCs w:val="22"/>
              <w:lang w:val="en-US" w:eastAsia="en-US"/>
            </w:rPr>
          </w:pPr>
          <w:r>
            <w:rPr/>
            <w:t>4.2.2.2</w:t>
          </w:r>
          <w:r>
            <w:rPr>
              <w:rFonts w:eastAsia="DengXian;等线" w:cs="Calibri" w:ascii="Calibri" w:hAnsi="Calibri"/>
              <w:sz w:val="22"/>
              <w:szCs w:val="22"/>
              <w:lang w:val="en-US" w:eastAsia="en-US"/>
            </w:rPr>
            <w:tab/>
          </w:r>
          <w:r>
            <w:rPr/>
            <w:t>Initial spending limit retrieval</w:t>
            <w:tab/>
          </w:r>
          <w:hyperlink w:anchor="__RefHeading___Toc75349513">
            <w:r>
              <w:rPr>
                <w:rStyle w:val="IndexLink"/>
              </w:rPr>
              <w:t>10</w:t>
            </w:r>
          </w:hyperlink>
        </w:p>
        <w:p>
          <w:pPr>
            <w:pStyle w:val="Contents4"/>
            <w:rPr>
              <w:rFonts w:ascii="Calibri" w:hAnsi="Calibri" w:eastAsia="DengXian;等线" w:cs="Calibri"/>
              <w:sz w:val="22"/>
              <w:szCs w:val="22"/>
              <w:lang w:val="en-US" w:eastAsia="en-US"/>
            </w:rPr>
          </w:pPr>
          <w:r>
            <w:rPr/>
            <w:t>4.2.2.3</w:t>
          </w:r>
          <w:r>
            <w:rPr>
              <w:rFonts w:eastAsia="DengXian;等线" w:cs="Calibri" w:ascii="Calibri" w:hAnsi="Calibri"/>
              <w:sz w:val="22"/>
              <w:szCs w:val="22"/>
              <w:lang w:val="en-US" w:eastAsia="en-US"/>
            </w:rPr>
            <w:tab/>
          </w:r>
          <w:r>
            <w:rPr/>
            <w:t>Intermediate spending limit report retrieval</w:t>
            <w:tab/>
          </w:r>
          <w:hyperlink w:anchor="__RefHeading___Toc75349514">
            <w:r>
              <w:rPr>
                <w:rStyle w:val="IndexLink"/>
              </w:rPr>
              <w:t>12</w:t>
            </w:r>
          </w:hyperlink>
        </w:p>
        <w:p>
          <w:pPr>
            <w:pStyle w:val="Contents3"/>
            <w:rPr>
              <w:rFonts w:ascii="Calibri" w:hAnsi="Calibri" w:eastAsia="DengXian;等线" w:cs="Calibri"/>
              <w:sz w:val="22"/>
              <w:szCs w:val="22"/>
              <w:lang w:val="en-US" w:eastAsia="en-US"/>
            </w:rPr>
          </w:pPr>
          <w:r>
            <w:rPr/>
            <w:t>4.2.3</w:t>
          </w:r>
          <w:r>
            <w:rPr>
              <w:rFonts w:eastAsia="DengXian;等线" w:cs="Calibri" w:ascii="Calibri" w:hAnsi="Calibri"/>
              <w:sz w:val="22"/>
              <w:szCs w:val="22"/>
              <w:lang w:val="en-US" w:eastAsia="en-US"/>
            </w:rPr>
            <w:tab/>
          </w:r>
          <w:r>
            <w:rPr/>
            <w:t>Nchf_SpendingLimitControl_Unsubscribe service operation</w:t>
            <w:tab/>
          </w:r>
          <w:hyperlink w:anchor="__RefHeading___Toc75349515">
            <w:r>
              <w:rPr>
                <w:rStyle w:val="IndexLink"/>
              </w:rPr>
              <w:t>14</w:t>
            </w:r>
          </w:hyperlink>
        </w:p>
        <w:p>
          <w:pPr>
            <w:pStyle w:val="Contents4"/>
            <w:rPr>
              <w:rFonts w:ascii="Calibri" w:hAnsi="Calibri" w:eastAsia="DengXian;等线" w:cs="Calibri"/>
              <w:sz w:val="22"/>
              <w:szCs w:val="22"/>
              <w:lang w:val="en-US" w:eastAsia="en-US"/>
            </w:rPr>
          </w:pPr>
          <w:r>
            <w:rPr/>
            <w:t>4.2.3.1</w:t>
          </w:r>
          <w:r>
            <w:rPr>
              <w:rFonts w:eastAsia="DengXian;等线" w:cs="Calibri" w:ascii="Calibri" w:hAnsi="Calibri"/>
              <w:sz w:val="22"/>
              <w:szCs w:val="22"/>
              <w:lang w:val="en-US" w:eastAsia="en-US"/>
            </w:rPr>
            <w:tab/>
          </w:r>
          <w:r>
            <w:rPr/>
            <w:t>General</w:t>
            <w:tab/>
          </w:r>
          <w:hyperlink w:anchor="__RefHeading___Toc75349516">
            <w:r>
              <w:rPr>
                <w:rStyle w:val="IndexLink"/>
              </w:rPr>
              <w:t>14</w:t>
            </w:r>
          </w:hyperlink>
        </w:p>
        <w:p>
          <w:pPr>
            <w:pStyle w:val="Contents4"/>
            <w:rPr>
              <w:rFonts w:ascii="Calibri" w:hAnsi="Calibri" w:eastAsia="DengXian;等线" w:cs="Calibri"/>
              <w:sz w:val="22"/>
              <w:szCs w:val="22"/>
              <w:lang w:val="en-US" w:eastAsia="en-US"/>
            </w:rPr>
          </w:pPr>
          <w:r>
            <w:rPr/>
            <w:t>4.2.3.2</w:t>
          </w:r>
          <w:r>
            <w:rPr>
              <w:rFonts w:eastAsia="DengXian;等线" w:cs="Calibri" w:ascii="Calibri" w:hAnsi="Calibri"/>
              <w:sz w:val="22"/>
              <w:szCs w:val="22"/>
              <w:lang w:val="en-US" w:eastAsia="en-US"/>
            </w:rPr>
            <w:tab/>
          </w:r>
          <w:r>
            <w:rPr/>
            <w:t>Unsubscribe from spending limit reporting</w:t>
            <w:tab/>
          </w:r>
          <w:hyperlink w:anchor="__RefHeading___Toc75349517">
            <w:r>
              <w:rPr>
                <w:rStyle w:val="IndexLink"/>
              </w:rPr>
              <w:t>14</w:t>
            </w:r>
          </w:hyperlink>
        </w:p>
        <w:p>
          <w:pPr>
            <w:pStyle w:val="Contents3"/>
            <w:rPr>
              <w:rFonts w:ascii="Calibri" w:hAnsi="Calibri" w:eastAsia="DengXian;等线" w:cs="Calibri"/>
              <w:sz w:val="22"/>
              <w:szCs w:val="22"/>
              <w:lang w:val="en-US" w:eastAsia="en-US"/>
            </w:rPr>
          </w:pPr>
          <w:r>
            <w:rPr/>
            <w:t>4.2.4</w:t>
          </w:r>
          <w:r>
            <w:rPr>
              <w:rFonts w:eastAsia="DengXian;等线" w:cs="Calibri" w:ascii="Calibri" w:hAnsi="Calibri"/>
              <w:sz w:val="22"/>
              <w:szCs w:val="22"/>
              <w:lang w:val="en-US" w:eastAsia="en-US"/>
            </w:rPr>
            <w:tab/>
          </w:r>
          <w:r>
            <w:rPr/>
            <w:t>Nchf_SpendingLimitControl_Notify service operation</w:t>
            <w:tab/>
          </w:r>
          <w:hyperlink w:anchor="__RefHeading___Toc75349518">
            <w:r>
              <w:rPr>
                <w:rStyle w:val="IndexLink"/>
              </w:rPr>
              <w:t>15</w:t>
            </w:r>
          </w:hyperlink>
        </w:p>
        <w:p>
          <w:pPr>
            <w:pStyle w:val="Contents4"/>
            <w:rPr>
              <w:rFonts w:ascii="Calibri" w:hAnsi="Calibri" w:eastAsia="DengXian;等线" w:cs="Calibri"/>
              <w:sz w:val="22"/>
              <w:szCs w:val="22"/>
              <w:lang w:val="en-US" w:eastAsia="en-US"/>
            </w:rPr>
          </w:pPr>
          <w:r>
            <w:rPr/>
            <w:t>4.2.4.1</w:t>
          </w:r>
          <w:r>
            <w:rPr>
              <w:rFonts w:eastAsia="DengXian;等线" w:cs="Calibri" w:ascii="Calibri" w:hAnsi="Calibri"/>
              <w:sz w:val="22"/>
              <w:szCs w:val="22"/>
              <w:lang w:val="en-US" w:eastAsia="en-US"/>
            </w:rPr>
            <w:tab/>
          </w:r>
          <w:r>
            <w:rPr/>
            <w:t>General</w:t>
            <w:tab/>
          </w:r>
          <w:hyperlink w:anchor="__RefHeading___Toc75349519">
            <w:r>
              <w:rPr>
                <w:rStyle w:val="IndexLink"/>
              </w:rPr>
              <w:t>15</w:t>
            </w:r>
          </w:hyperlink>
        </w:p>
        <w:p>
          <w:pPr>
            <w:pStyle w:val="Contents4"/>
            <w:rPr>
              <w:rFonts w:ascii="Calibri" w:hAnsi="Calibri" w:eastAsia="DengXian;等线" w:cs="Calibri"/>
              <w:sz w:val="22"/>
              <w:szCs w:val="22"/>
              <w:lang w:val="en-US" w:eastAsia="en-US"/>
            </w:rPr>
          </w:pPr>
          <w:r>
            <w:rPr/>
            <w:t>4.2.4.2</w:t>
          </w:r>
          <w:r>
            <w:rPr>
              <w:rFonts w:eastAsia="DengXian;等线" w:cs="Calibri" w:ascii="Calibri" w:hAnsi="Calibri"/>
              <w:sz w:val="22"/>
              <w:szCs w:val="22"/>
              <w:lang w:val="en-US" w:eastAsia="en-US"/>
            </w:rPr>
            <w:tab/>
          </w:r>
          <w:r>
            <w:rPr/>
            <w:t>Spending limit report</w:t>
            <w:tab/>
          </w:r>
          <w:hyperlink w:anchor="__RefHeading___Toc75349520">
            <w:r>
              <w:rPr>
                <w:rStyle w:val="IndexLink"/>
              </w:rPr>
              <w:t>15</w:t>
            </w:r>
          </w:hyperlink>
        </w:p>
        <w:p>
          <w:pPr>
            <w:pStyle w:val="Contents4"/>
            <w:rPr>
              <w:rFonts w:ascii="Calibri" w:hAnsi="Calibri" w:eastAsia="DengXian;等线" w:cs="Calibri"/>
              <w:sz w:val="22"/>
              <w:szCs w:val="22"/>
              <w:lang w:val="en-US" w:eastAsia="en-US"/>
            </w:rPr>
          </w:pPr>
          <w:r>
            <w:rPr/>
            <w:t>4.2.4.3</w:t>
          </w:r>
          <w:r>
            <w:rPr>
              <w:rFonts w:eastAsia="DengXian;等线" w:cs="Calibri" w:ascii="Calibri" w:hAnsi="Calibri"/>
              <w:sz w:val="22"/>
              <w:szCs w:val="22"/>
              <w:lang w:val="en-US" w:eastAsia="en-US"/>
            </w:rPr>
            <w:tab/>
          </w:r>
          <w:r>
            <w:rPr/>
            <w:t>Subscription termination request by CHF</w:t>
            <w:tab/>
          </w:r>
          <w:hyperlink w:anchor="__RefHeading___Toc75349521">
            <w:r>
              <w:rPr>
                <w:rStyle w:val="IndexLink"/>
              </w:rPr>
              <w:t>16</w:t>
            </w:r>
          </w:hyperlink>
        </w:p>
        <w:p>
          <w:pPr>
            <w:pStyle w:val="Contents1"/>
            <w:rPr>
              <w:rFonts w:ascii="Calibri" w:hAnsi="Calibri" w:eastAsia="DengXian;等线" w:cs="Calibri"/>
              <w:szCs w:val="22"/>
              <w:lang w:val="en-US" w:eastAsia="en-US"/>
            </w:rPr>
          </w:pPr>
          <w:r>
            <w:rPr/>
            <w:t>5</w:t>
          </w:r>
          <w:r>
            <w:rPr>
              <w:rFonts w:eastAsia="DengXian;等线" w:cs="Calibri" w:ascii="Calibri" w:hAnsi="Calibri"/>
              <w:szCs w:val="22"/>
            </w:rPr>
            <w:tab/>
          </w:r>
          <w:r>
            <w:rPr>
              <w:rFonts w:eastAsia="Times New Roman"/>
            </w:rPr>
            <w:t>Nchf_SpendingLimitControl</w:t>
          </w:r>
          <w:r>
            <w:rPr>
              <w:lang w:val="en-US" w:eastAsia="en-US"/>
            </w:rPr>
            <w:t xml:space="preserve"> Service API</w:t>
          </w:r>
          <w:r>
            <w:rPr/>
            <w:tab/>
          </w:r>
          <w:hyperlink w:anchor="__RefHeading___Toc75349522">
            <w:r>
              <w:rPr>
                <w:rStyle w:val="IndexLink"/>
              </w:rPr>
              <w:t>17</w:t>
            </w:r>
          </w:hyperlink>
        </w:p>
        <w:p>
          <w:pPr>
            <w:pStyle w:val="Contents2"/>
            <w:rPr>
              <w:rFonts w:ascii="Calibri" w:hAnsi="Calibri" w:eastAsia="DengXian;等线" w:cs="Calibri"/>
              <w:sz w:val="22"/>
              <w:szCs w:val="22"/>
              <w:lang w:val="en-US" w:eastAsia="en-US"/>
            </w:rPr>
          </w:pPr>
          <w:r>
            <w:rPr/>
            <w:t>5.1</w:t>
          </w:r>
          <w:r>
            <w:rPr>
              <w:rFonts w:eastAsia="DengXian;等线" w:cs="Calibri" w:ascii="Calibri" w:hAnsi="Calibri"/>
              <w:sz w:val="22"/>
              <w:szCs w:val="22"/>
            </w:rPr>
            <w:tab/>
          </w:r>
          <w:r>
            <w:rPr/>
            <w:t>Introduction</w:t>
            <w:tab/>
          </w:r>
          <w:hyperlink w:anchor="__RefHeading___Toc75349523">
            <w:r>
              <w:rPr>
                <w:rStyle w:val="IndexLink"/>
              </w:rPr>
              <w:t>17</w:t>
            </w:r>
          </w:hyperlink>
        </w:p>
        <w:p>
          <w:pPr>
            <w:pStyle w:val="Contents2"/>
            <w:rPr>
              <w:rFonts w:ascii="Calibri" w:hAnsi="Calibri" w:eastAsia="DengXian;等线" w:cs="Calibri"/>
              <w:sz w:val="22"/>
              <w:szCs w:val="22"/>
              <w:lang w:val="en-US" w:eastAsia="en-US"/>
            </w:rPr>
          </w:pPr>
          <w:r>
            <w:rPr/>
            <w:t>5.2</w:t>
          </w:r>
          <w:r>
            <w:rPr>
              <w:rFonts w:eastAsia="DengXian;等线" w:cs="Calibri" w:ascii="Calibri" w:hAnsi="Calibri"/>
              <w:sz w:val="22"/>
              <w:szCs w:val="22"/>
              <w:lang w:val="en-US" w:eastAsia="en-US"/>
            </w:rPr>
            <w:tab/>
          </w:r>
          <w:r>
            <w:rPr/>
            <w:t>Usage of HTTP</w:t>
            <w:tab/>
          </w:r>
          <w:hyperlink w:anchor="__RefHeading___Toc75349524">
            <w:r>
              <w:rPr>
                <w:rStyle w:val="IndexLink"/>
              </w:rPr>
              <w:t>18</w:t>
            </w:r>
          </w:hyperlink>
        </w:p>
        <w:p>
          <w:pPr>
            <w:pStyle w:val="Contents3"/>
            <w:rPr>
              <w:rFonts w:ascii="Calibri" w:hAnsi="Calibri" w:eastAsia="DengXian;等线" w:cs="Calibri"/>
              <w:sz w:val="22"/>
              <w:szCs w:val="22"/>
              <w:lang w:val="en-US" w:eastAsia="en-US"/>
            </w:rPr>
          </w:pPr>
          <w:r>
            <w:rPr/>
            <w:t>5.2.1</w:t>
          </w:r>
          <w:r>
            <w:rPr>
              <w:rFonts w:eastAsia="DengXian;等线" w:cs="Calibri" w:ascii="Calibri" w:hAnsi="Calibri"/>
              <w:sz w:val="22"/>
              <w:szCs w:val="22"/>
              <w:lang w:val="en-US" w:eastAsia="en-US"/>
            </w:rPr>
            <w:tab/>
          </w:r>
          <w:r>
            <w:rPr/>
            <w:t>General</w:t>
            <w:tab/>
          </w:r>
          <w:hyperlink w:anchor="__RefHeading___Toc75349525">
            <w:r>
              <w:rPr>
                <w:rStyle w:val="IndexLink"/>
              </w:rPr>
              <w:t>18</w:t>
            </w:r>
          </w:hyperlink>
        </w:p>
        <w:p>
          <w:pPr>
            <w:pStyle w:val="Contents3"/>
            <w:rPr>
              <w:rFonts w:ascii="Calibri" w:hAnsi="Calibri" w:eastAsia="DengXian;等线" w:cs="Calibri"/>
              <w:sz w:val="22"/>
              <w:szCs w:val="22"/>
              <w:lang w:val="en-US" w:eastAsia="en-US"/>
            </w:rPr>
          </w:pPr>
          <w:r>
            <w:rPr/>
            <w:t>5.2.2</w:t>
          </w:r>
          <w:r>
            <w:rPr>
              <w:rFonts w:eastAsia="DengXian;等线" w:cs="Calibri" w:ascii="Calibri" w:hAnsi="Calibri"/>
              <w:sz w:val="22"/>
              <w:szCs w:val="22"/>
              <w:lang w:val="en-US" w:eastAsia="en-US"/>
            </w:rPr>
            <w:tab/>
          </w:r>
          <w:r>
            <w:rPr/>
            <w:t>HTTP standard headers</w:t>
            <w:tab/>
          </w:r>
          <w:hyperlink w:anchor="__RefHeading___Toc75349526">
            <w:r>
              <w:rPr>
                <w:rStyle w:val="IndexLink"/>
              </w:rPr>
              <w:t>18</w:t>
            </w:r>
          </w:hyperlink>
        </w:p>
        <w:p>
          <w:pPr>
            <w:pStyle w:val="Contents4"/>
            <w:rPr>
              <w:rFonts w:ascii="Calibri" w:hAnsi="Calibri" w:eastAsia="DengXian;等线" w:cs="Calibri"/>
              <w:sz w:val="22"/>
              <w:szCs w:val="22"/>
              <w:lang w:val="en-US" w:eastAsia="en-US"/>
            </w:rPr>
          </w:pPr>
          <w:r>
            <w:rPr/>
            <w:t>5.2.2.1</w:t>
          </w:r>
          <w:r>
            <w:rPr>
              <w:rFonts w:eastAsia="DengXian;等线" w:cs="Calibri" w:ascii="Calibri" w:hAnsi="Calibri"/>
              <w:sz w:val="22"/>
              <w:szCs w:val="22"/>
              <w:lang w:val="en-US" w:eastAsia="en-US"/>
            </w:rPr>
            <w:tab/>
          </w:r>
          <w:r>
            <w:rPr>
              <w:lang w:val="en-US" w:eastAsia="en-US"/>
            </w:rPr>
            <w:t>General</w:t>
          </w:r>
          <w:r>
            <w:rPr/>
            <w:tab/>
          </w:r>
          <w:hyperlink w:anchor="__RefHeading___Toc75349527">
            <w:r>
              <w:rPr>
                <w:rStyle w:val="IndexLink"/>
              </w:rPr>
              <w:t>18</w:t>
            </w:r>
          </w:hyperlink>
        </w:p>
        <w:p>
          <w:pPr>
            <w:pStyle w:val="Contents4"/>
            <w:rPr>
              <w:rFonts w:ascii="Calibri" w:hAnsi="Calibri" w:eastAsia="DengXian;等线" w:cs="Calibri"/>
              <w:sz w:val="22"/>
              <w:szCs w:val="22"/>
              <w:lang w:val="en-US" w:eastAsia="en-US"/>
            </w:rPr>
          </w:pPr>
          <w:r>
            <w:rPr/>
            <w:t>5.2.2.2</w:t>
          </w:r>
          <w:r>
            <w:rPr>
              <w:rFonts w:eastAsia="DengXian;等线" w:cs="Calibri" w:ascii="Calibri" w:hAnsi="Calibri"/>
              <w:sz w:val="22"/>
              <w:szCs w:val="22"/>
              <w:lang w:val="en-US" w:eastAsia="en-US"/>
            </w:rPr>
            <w:tab/>
          </w:r>
          <w:r>
            <w:rPr/>
            <w:t>Content type</w:t>
            <w:tab/>
          </w:r>
          <w:hyperlink w:anchor="__RefHeading___Toc75349528">
            <w:r>
              <w:rPr>
                <w:rStyle w:val="IndexLink"/>
              </w:rPr>
              <w:t>18</w:t>
            </w:r>
          </w:hyperlink>
        </w:p>
        <w:p>
          <w:pPr>
            <w:pStyle w:val="Contents3"/>
            <w:rPr>
              <w:rFonts w:ascii="Calibri" w:hAnsi="Calibri" w:eastAsia="DengXian;等线" w:cs="Calibri"/>
              <w:sz w:val="22"/>
              <w:szCs w:val="22"/>
              <w:lang w:val="en-US" w:eastAsia="en-US"/>
            </w:rPr>
          </w:pPr>
          <w:r>
            <w:rPr/>
            <w:t>5.2.3</w:t>
          </w:r>
          <w:r>
            <w:rPr>
              <w:rFonts w:eastAsia="DengXian;等线" w:cs="Calibri" w:ascii="Calibri" w:hAnsi="Calibri"/>
              <w:sz w:val="22"/>
              <w:szCs w:val="22"/>
              <w:lang w:val="en-US" w:eastAsia="en-US"/>
            </w:rPr>
            <w:tab/>
          </w:r>
          <w:r>
            <w:rPr/>
            <w:t>HTTP custom headers</w:t>
            <w:tab/>
          </w:r>
          <w:hyperlink w:anchor="__RefHeading___Toc75349529">
            <w:r>
              <w:rPr>
                <w:rStyle w:val="IndexLink"/>
              </w:rPr>
              <w:t>18</w:t>
            </w:r>
          </w:hyperlink>
        </w:p>
        <w:p>
          <w:pPr>
            <w:pStyle w:val="Contents4"/>
            <w:rPr>
              <w:rFonts w:ascii="Calibri" w:hAnsi="Calibri" w:eastAsia="DengXian;等线" w:cs="Calibri"/>
              <w:sz w:val="22"/>
              <w:szCs w:val="22"/>
              <w:lang w:val="en-US" w:eastAsia="en-US"/>
            </w:rPr>
          </w:pPr>
          <w:r>
            <w:rPr/>
            <w:t>5.2.3.1</w:t>
          </w:r>
          <w:r>
            <w:rPr>
              <w:rFonts w:eastAsia="DengXian;等线" w:cs="Calibri" w:ascii="Calibri" w:hAnsi="Calibri"/>
              <w:sz w:val="22"/>
              <w:szCs w:val="22"/>
              <w:lang w:val="en-US" w:eastAsia="en-US"/>
            </w:rPr>
            <w:tab/>
          </w:r>
          <w:r>
            <w:rPr>
              <w:lang w:val="en-US" w:eastAsia="en-US"/>
            </w:rPr>
            <w:t>General</w:t>
          </w:r>
          <w:r>
            <w:rPr/>
            <w:tab/>
          </w:r>
          <w:hyperlink w:anchor="__RefHeading___Toc75349530">
            <w:r>
              <w:rPr>
                <w:rStyle w:val="IndexLink"/>
              </w:rPr>
              <w:t>18</w:t>
            </w:r>
          </w:hyperlink>
        </w:p>
        <w:p>
          <w:pPr>
            <w:pStyle w:val="Contents2"/>
            <w:rPr>
              <w:rFonts w:ascii="Calibri" w:hAnsi="Calibri" w:eastAsia="DengXian;等线" w:cs="Calibri"/>
              <w:sz w:val="22"/>
              <w:szCs w:val="22"/>
              <w:lang w:val="en-US" w:eastAsia="en-US"/>
            </w:rPr>
          </w:pPr>
          <w:r>
            <w:rPr/>
            <w:t>5.3</w:t>
          </w:r>
          <w:r>
            <w:rPr>
              <w:rFonts w:eastAsia="DengXian;等线" w:cs="Calibri" w:ascii="Calibri" w:hAnsi="Calibri"/>
              <w:sz w:val="22"/>
              <w:szCs w:val="22"/>
              <w:lang w:val="en-US" w:eastAsia="en-US"/>
            </w:rPr>
            <w:tab/>
          </w:r>
          <w:r>
            <w:rPr/>
            <w:t>Resources</w:t>
            <w:tab/>
          </w:r>
          <w:hyperlink w:anchor="__RefHeading___Toc75349531">
            <w:r>
              <w:rPr>
                <w:rStyle w:val="IndexLink"/>
              </w:rPr>
              <w:t>18</w:t>
            </w:r>
          </w:hyperlink>
        </w:p>
        <w:p>
          <w:pPr>
            <w:pStyle w:val="Contents3"/>
            <w:rPr>
              <w:rFonts w:ascii="Calibri" w:hAnsi="Calibri" w:eastAsia="DengXian;等线" w:cs="Calibri"/>
              <w:sz w:val="22"/>
              <w:szCs w:val="22"/>
              <w:lang w:val="en-US" w:eastAsia="en-US"/>
            </w:rPr>
          </w:pPr>
          <w:r>
            <w:rPr/>
            <w:t>5.3.1</w:t>
          </w:r>
          <w:r>
            <w:rPr>
              <w:rFonts w:eastAsia="DengXian;等线" w:cs="Calibri" w:ascii="Calibri" w:hAnsi="Calibri"/>
              <w:sz w:val="22"/>
              <w:szCs w:val="22"/>
              <w:lang w:val="en-US" w:eastAsia="en-US"/>
            </w:rPr>
            <w:tab/>
          </w:r>
          <w:r>
            <w:rPr/>
            <w:t>Resource Structure</w:t>
            <w:tab/>
          </w:r>
          <w:hyperlink w:anchor="__RefHeading___Toc75349532">
            <w:r>
              <w:rPr>
                <w:rStyle w:val="IndexLink"/>
              </w:rPr>
              <w:t>18</w:t>
            </w:r>
          </w:hyperlink>
        </w:p>
        <w:p>
          <w:pPr>
            <w:pStyle w:val="Contents3"/>
            <w:rPr>
              <w:rFonts w:ascii="Calibri" w:hAnsi="Calibri" w:eastAsia="DengXian;等线" w:cs="Calibri"/>
              <w:sz w:val="22"/>
              <w:szCs w:val="22"/>
              <w:lang w:val="en-US" w:eastAsia="en-US"/>
            </w:rPr>
          </w:pPr>
          <w:r>
            <w:rPr/>
            <w:t>5.3.2</w:t>
          </w:r>
          <w:r>
            <w:rPr>
              <w:rFonts w:eastAsia="DengXian;等线" w:cs="Calibri" w:ascii="Calibri" w:hAnsi="Calibri"/>
              <w:sz w:val="22"/>
              <w:szCs w:val="22"/>
              <w:lang w:val="en-US" w:eastAsia="en-US"/>
            </w:rPr>
            <w:tab/>
          </w:r>
          <w:r>
            <w:rPr/>
            <w:t>Resource: Spending Limit Retrieval Subscriptions (Collection)</w:t>
            <w:tab/>
          </w:r>
          <w:hyperlink w:anchor="__RefHeading___Toc75349533">
            <w:r>
              <w:rPr>
                <w:rStyle w:val="IndexLink"/>
              </w:rPr>
              <w:t>19</w:t>
            </w:r>
          </w:hyperlink>
        </w:p>
        <w:p>
          <w:pPr>
            <w:pStyle w:val="Contents4"/>
            <w:rPr>
              <w:rFonts w:ascii="Calibri" w:hAnsi="Calibri" w:eastAsia="DengXian;等线" w:cs="Calibri"/>
              <w:sz w:val="22"/>
              <w:szCs w:val="22"/>
              <w:lang w:val="en-US" w:eastAsia="en-US"/>
            </w:rPr>
          </w:pPr>
          <w:r>
            <w:rPr/>
            <w:t>5.3.2.1</w:t>
          </w:r>
          <w:r>
            <w:rPr>
              <w:rFonts w:eastAsia="DengXian;等线" w:cs="Calibri" w:ascii="Calibri" w:hAnsi="Calibri"/>
              <w:sz w:val="22"/>
              <w:szCs w:val="22"/>
              <w:lang w:val="en-US" w:eastAsia="en-US"/>
            </w:rPr>
            <w:tab/>
          </w:r>
          <w:r>
            <w:rPr/>
            <w:t>Description</w:t>
            <w:tab/>
          </w:r>
          <w:hyperlink w:anchor="__RefHeading___Toc75349534">
            <w:r>
              <w:rPr>
                <w:rStyle w:val="IndexLink"/>
              </w:rPr>
              <w:t>19</w:t>
            </w:r>
          </w:hyperlink>
        </w:p>
        <w:p>
          <w:pPr>
            <w:pStyle w:val="Contents4"/>
            <w:rPr>
              <w:rFonts w:ascii="Calibri" w:hAnsi="Calibri" w:eastAsia="DengXian;等线" w:cs="Calibri"/>
              <w:sz w:val="22"/>
              <w:szCs w:val="22"/>
              <w:lang w:val="en-US" w:eastAsia="en-US"/>
            </w:rPr>
          </w:pPr>
          <w:r>
            <w:rPr/>
            <w:t>5.3.2.2</w:t>
          </w:r>
          <w:r>
            <w:rPr>
              <w:rFonts w:eastAsia="DengXian;等线" w:cs="Calibri" w:ascii="Calibri" w:hAnsi="Calibri"/>
              <w:sz w:val="22"/>
              <w:szCs w:val="22"/>
              <w:lang w:val="en-US" w:eastAsia="en-US"/>
            </w:rPr>
            <w:tab/>
          </w:r>
          <w:r>
            <w:rPr/>
            <w:t>Resource definition</w:t>
            <w:tab/>
          </w:r>
          <w:hyperlink w:anchor="__RefHeading___Toc75349535">
            <w:r>
              <w:rPr>
                <w:rStyle w:val="IndexLink"/>
              </w:rPr>
              <w:t>19</w:t>
            </w:r>
          </w:hyperlink>
        </w:p>
        <w:p>
          <w:pPr>
            <w:pStyle w:val="Contents4"/>
            <w:rPr>
              <w:rFonts w:ascii="Calibri" w:hAnsi="Calibri" w:eastAsia="DengXian;等线" w:cs="Calibri"/>
              <w:sz w:val="22"/>
              <w:szCs w:val="22"/>
              <w:lang w:val="en-US" w:eastAsia="en-US"/>
            </w:rPr>
          </w:pPr>
          <w:r>
            <w:rPr/>
            <w:t>5.3.2.3</w:t>
          </w:r>
          <w:r>
            <w:rPr>
              <w:rFonts w:eastAsia="DengXian;等线" w:cs="Calibri" w:ascii="Calibri" w:hAnsi="Calibri"/>
              <w:sz w:val="22"/>
              <w:szCs w:val="22"/>
              <w:lang w:val="en-US" w:eastAsia="en-US"/>
            </w:rPr>
            <w:tab/>
          </w:r>
          <w:r>
            <w:rPr/>
            <w:t>Resource Standard Methods</w:t>
            <w:tab/>
          </w:r>
          <w:hyperlink w:anchor="__RefHeading___Toc75349536">
            <w:r>
              <w:rPr>
                <w:rStyle w:val="IndexLink"/>
              </w:rPr>
              <w:t>19</w:t>
            </w:r>
          </w:hyperlink>
        </w:p>
        <w:p>
          <w:pPr>
            <w:pStyle w:val="Contents5"/>
            <w:rPr>
              <w:rFonts w:ascii="Calibri" w:hAnsi="Calibri" w:eastAsia="DengXian;等线" w:cs="Calibri"/>
              <w:sz w:val="22"/>
              <w:szCs w:val="22"/>
              <w:lang w:val="en-US" w:eastAsia="en-US"/>
            </w:rPr>
          </w:pPr>
          <w:r>
            <w:rPr/>
            <w:t>5.3.2.3.1</w:t>
          </w:r>
          <w:r>
            <w:rPr>
              <w:rFonts w:eastAsia="DengXian;等线" w:cs="Calibri" w:ascii="Calibri" w:hAnsi="Calibri"/>
              <w:sz w:val="22"/>
              <w:szCs w:val="22"/>
              <w:lang w:val="en-US" w:eastAsia="en-US"/>
            </w:rPr>
            <w:tab/>
          </w:r>
          <w:r>
            <w:rPr/>
            <w:t>POST</w:t>
            <w:tab/>
          </w:r>
          <w:hyperlink w:anchor="__RefHeading___Toc75349537">
            <w:r>
              <w:rPr>
                <w:rStyle w:val="IndexLink"/>
              </w:rPr>
              <w:t>19</w:t>
            </w:r>
          </w:hyperlink>
        </w:p>
        <w:p>
          <w:pPr>
            <w:pStyle w:val="Contents4"/>
            <w:rPr>
              <w:rFonts w:ascii="Calibri" w:hAnsi="Calibri" w:eastAsia="DengXian;等线" w:cs="Calibri"/>
              <w:sz w:val="22"/>
              <w:szCs w:val="22"/>
              <w:lang w:val="en-US" w:eastAsia="en-US"/>
            </w:rPr>
          </w:pPr>
          <w:r>
            <w:rPr/>
            <w:t>5.3.2.4</w:t>
          </w:r>
          <w:r>
            <w:rPr>
              <w:rFonts w:eastAsia="DengXian;等线" w:cs="Calibri" w:ascii="Calibri" w:hAnsi="Calibri"/>
              <w:sz w:val="22"/>
              <w:szCs w:val="22"/>
              <w:lang w:val="en-US" w:eastAsia="en-US"/>
            </w:rPr>
            <w:tab/>
          </w:r>
          <w:r>
            <w:rPr/>
            <w:t>Resource Custom Operations</w:t>
            <w:tab/>
          </w:r>
          <w:hyperlink w:anchor="__RefHeading___Toc75349538">
            <w:r>
              <w:rPr>
                <w:rStyle w:val="IndexLink"/>
              </w:rPr>
              <w:t>20</w:t>
            </w:r>
          </w:hyperlink>
        </w:p>
        <w:p>
          <w:pPr>
            <w:pStyle w:val="Contents3"/>
            <w:rPr>
              <w:rFonts w:ascii="Calibri" w:hAnsi="Calibri" w:eastAsia="DengXian;等线" w:cs="Calibri"/>
              <w:sz w:val="22"/>
              <w:szCs w:val="22"/>
              <w:lang w:val="en-US" w:eastAsia="en-US"/>
            </w:rPr>
          </w:pPr>
          <w:r>
            <w:rPr/>
            <w:t>5.3.3</w:t>
          </w:r>
          <w:r>
            <w:rPr>
              <w:rFonts w:eastAsia="DengXian;等线" w:cs="Calibri" w:ascii="Calibri" w:hAnsi="Calibri"/>
              <w:sz w:val="22"/>
              <w:szCs w:val="22"/>
              <w:lang w:val="en-US" w:eastAsia="en-US"/>
            </w:rPr>
            <w:tab/>
          </w:r>
          <w:r>
            <w:rPr/>
            <w:t>Resource: Individual Spending Limit Retrieval Subscription (Document)</w:t>
            <w:tab/>
          </w:r>
          <w:hyperlink w:anchor="__RefHeading___Toc75349539">
            <w:r>
              <w:rPr>
                <w:rStyle w:val="IndexLink"/>
              </w:rPr>
              <w:t>20</w:t>
            </w:r>
          </w:hyperlink>
        </w:p>
        <w:p>
          <w:pPr>
            <w:pStyle w:val="Contents4"/>
            <w:rPr>
              <w:rFonts w:ascii="Calibri" w:hAnsi="Calibri" w:eastAsia="DengXian;等线" w:cs="Calibri"/>
              <w:sz w:val="22"/>
              <w:szCs w:val="22"/>
              <w:lang w:val="en-US" w:eastAsia="en-US"/>
            </w:rPr>
          </w:pPr>
          <w:r>
            <w:rPr/>
            <w:t>5.3.3.1</w:t>
          </w:r>
          <w:r>
            <w:rPr>
              <w:rFonts w:eastAsia="DengXian;等线" w:cs="Calibri" w:ascii="Calibri" w:hAnsi="Calibri"/>
              <w:sz w:val="22"/>
              <w:szCs w:val="22"/>
              <w:lang w:val="en-US" w:eastAsia="en-US"/>
            </w:rPr>
            <w:tab/>
          </w:r>
          <w:r>
            <w:rPr/>
            <w:t>Description</w:t>
            <w:tab/>
          </w:r>
          <w:hyperlink w:anchor="__RefHeading___Toc75349540">
            <w:r>
              <w:rPr>
                <w:rStyle w:val="IndexLink"/>
              </w:rPr>
              <w:t>20</w:t>
            </w:r>
          </w:hyperlink>
        </w:p>
        <w:p>
          <w:pPr>
            <w:pStyle w:val="Contents4"/>
            <w:rPr>
              <w:rFonts w:ascii="Calibri" w:hAnsi="Calibri" w:eastAsia="DengXian;等线" w:cs="Calibri"/>
              <w:sz w:val="22"/>
              <w:szCs w:val="22"/>
              <w:lang w:val="en-US" w:eastAsia="en-US"/>
            </w:rPr>
          </w:pPr>
          <w:r>
            <w:rPr/>
            <w:t>5.3.3.2</w:t>
          </w:r>
          <w:r>
            <w:rPr>
              <w:rFonts w:eastAsia="DengXian;等线" w:cs="Calibri" w:ascii="Calibri" w:hAnsi="Calibri"/>
              <w:sz w:val="22"/>
              <w:szCs w:val="22"/>
              <w:lang w:val="en-US" w:eastAsia="en-US"/>
            </w:rPr>
            <w:tab/>
          </w:r>
          <w:r>
            <w:rPr/>
            <w:t>Resource definition</w:t>
            <w:tab/>
          </w:r>
          <w:hyperlink w:anchor="__RefHeading___Toc75349541">
            <w:r>
              <w:rPr>
                <w:rStyle w:val="IndexLink"/>
              </w:rPr>
              <w:t>20</w:t>
            </w:r>
          </w:hyperlink>
        </w:p>
        <w:p>
          <w:pPr>
            <w:pStyle w:val="Contents4"/>
            <w:rPr>
              <w:rFonts w:ascii="Calibri" w:hAnsi="Calibri" w:eastAsia="DengXian;等线" w:cs="Calibri"/>
              <w:sz w:val="22"/>
              <w:szCs w:val="22"/>
              <w:lang w:val="en-US" w:eastAsia="en-US"/>
            </w:rPr>
          </w:pPr>
          <w:r>
            <w:rPr/>
            <w:t>5.3.3.3</w:t>
          </w:r>
          <w:r>
            <w:rPr>
              <w:rFonts w:eastAsia="DengXian;等线" w:cs="Calibri" w:ascii="Calibri" w:hAnsi="Calibri"/>
              <w:sz w:val="22"/>
              <w:szCs w:val="22"/>
              <w:lang w:val="en-US" w:eastAsia="en-US"/>
            </w:rPr>
            <w:tab/>
          </w:r>
          <w:r>
            <w:rPr/>
            <w:t>Resource Standard Methods</w:t>
            <w:tab/>
          </w:r>
          <w:hyperlink w:anchor="__RefHeading___Toc75349542">
            <w:r>
              <w:rPr>
                <w:rStyle w:val="IndexLink"/>
              </w:rPr>
              <w:t>20</w:t>
            </w:r>
          </w:hyperlink>
        </w:p>
        <w:p>
          <w:pPr>
            <w:pStyle w:val="Contents5"/>
            <w:rPr>
              <w:rFonts w:ascii="Calibri" w:hAnsi="Calibri" w:eastAsia="DengXian;等线" w:cs="Calibri"/>
              <w:sz w:val="22"/>
              <w:szCs w:val="22"/>
              <w:lang w:val="en-US" w:eastAsia="en-US"/>
            </w:rPr>
          </w:pPr>
          <w:r>
            <w:rPr/>
            <w:t>5.3.3.3.1</w:t>
          </w:r>
          <w:r>
            <w:rPr>
              <w:rFonts w:eastAsia="DengXian;等线" w:cs="Calibri" w:ascii="Calibri" w:hAnsi="Calibri"/>
              <w:sz w:val="22"/>
              <w:szCs w:val="22"/>
              <w:lang w:val="en-US" w:eastAsia="en-US"/>
            </w:rPr>
            <w:tab/>
          </w:r>
          <w:r>
            <w:rPr/>
            <w:t>PUT</w:t>
            <w:tab/>
          </w:r>
          <w:hyperlink w:anchor="__RefHeading___Toc75349543">
            <w:r>
              <w:rPr>
                <w:rStyle w:val="IndexLink"/>
              </w:rPr>
              <w:t>20</w:t>
            </w:r>
          </w:hyperlink>
        </w:p>
        <w:p>
          <w:pPr>
            <w:pStyle w:val="Contents5"/>
            <w:rPr>
              <w:rFonts w:ascii="Calibri" w:hAnsi="Calibri" w:eastAsia="DengXian;等线" w:cs="Calibri"/>
              <w:sz w:val="22"/>
              <w:szCs w:val="22"/>
              <w:lang w:val="en-US" w:eastAsia="en-US"/>
            </w:rPr>
          </w:pPr>
          <w:r>
            <w:rPr/>
            <w:t>5.3.3.3.2</w:t>
          </w:r>
          <w:r>
            <w:rPr>
              <w:rFonts w:eastAsia="DengXian;等线" w:cs="Calibri" w:ascii="Calibri" w:hAnsi="Calibri"/>
              <w:sz w:val="22"/>
              <w:szCs w:val="22"/>
              <w:lang w:val="en-US" w:eastAsia="en-US"/>
            </w:rPr>
            <w:tab/>
          </w:r>
          <w:r>
            <w:rPr/>
            <w:t>DELETE</w:t>
            <w:tab/>
          </w:r>
          <w:hyperlink w:anchor="__RefHeading___Toc75349544">
            <w:r>
              <w:rPr>
                <w:rStyle w:val="IndexLink"/>
              </w:rPr>
              <w:t>21</w:t>
            </w:r>
          </w:hyperlink>
        </w:p>
        <w:p>
          <w:pPr>
            <w:pStyle w:val="Contents2"/>
            <w:rPr>
              <w:rFonts w:ascii="Calibri" w:hAnsi="Calibri" w:eastAsia="DengXian;等线" w:cs="Calibri"/>
              <w:sz w:val="22"/>
              <w:szCs w:val="22"/>
              <w:lang w:val="en-US" w:eastAsia="en-US"/>
            </w:rPr>
          </w:pPr>
          <w:r>
            <w:rPr/>
            <w:t>5.4</w:t>
          </w:r>
          <w:r>
            <w:rPr>
              <w:rFonts w:eastAsia="DengXian;等线" w:cs="Calibri" w:ascii="Calibri" w:hAnsi="Calibri"/>
              <w:sz w:val="22"/>
              <w:szCs w:val="22"/>
              <w:lang w:val="en-US" w:eastAsia="en-US"/>
            </w:rPr>
            <w:tab/>
          </w:r>
          <w:r>
            <w:rPr/>
            <w:t>Custom Operations without associated resources</w:t>
            <w:tab/>
          </w:r>
          <w:hyperlink w:anchor="__RefHeading___Toc75349545">
            <w:r>
              <w:rPr>
                <w:rStyle w:val="IndexLink"/>
              </w:rPr>
              <w:t>22</w:t>
            </w:r>
          </w:hyperlink>
        </w:p>
        <w:p>
          <w:pPr>
            <w:pStyle w:val="Contents2"/>
            <w:rPr>
              <w:rFonts w:ascii="Calibri" w:hAnsi="Calibri" w:eastAsia="DengXian;等线" w:cs="Calibri"/>
              <w:sz w:val="22"/>
              <w:szCs w:val="22"/>
              <w:lang w:val="en-US" w:eastAsia="en-US"/>
            </w:rPr>
          </w:pPr>
          <w:r>
            <w:rPr/>
            <w:t>5.5</w:t>
          </w:r>
          <w:r>
            <w:rPr>
              <w:rFonts w:eastAsia="DengXian;等线" w:cs="Calibri" w:ascii="Calibri" w:hAnsi="Calibri"/>
              <w:sz w:val="22"/>
              <w:szCs w:val="22"/>
              <w:lang w:val="en-US" w:eastAsia="en-US"/>
            </w:rPr>
            <w:tab/>
          </w:r>
          <w:r>
            <w:rPr/>
            <w:t>Notifications</w:t>
            <w:tab/>
          </w:r>
          <w:hyperlink w:anchor="__RefHeading___Toc75349546">
            <w:r>
              <w:rPr>
                <w:rStyle w:val="IndexLink"/>
              </w:rPr>
              <w:t>22</w:t>
            </w:r>
          </w:hyperlink>
        </w:p>
        <w:p>
          <w:pPr>
            <w:pStyle w:val="Contents3"/>
            <w:rPr>
              <w:rFonts w:ascii="Calibri" w:hAnsi="Calibri" w:eastAsia="DengXian;等线" w:cs="Calibri"/>
              <w:sz w:val="22"/>
              <w:szCs w:val="22"/>
              <w:lang w:val="en-US" w:eastAsia="en-US"/>
            </w:rPr>
          </w:pPr>
          <w:r>
            <w:rPr/>
            <w:t>5.5.1</w:t>
          </w:r>
          <w:r>
            <w:rPr>
              <w:rFonts w:eastAsia="DengXian;等线" w:cs="Calibri" w:ascii="Calibri" w:hAnsi="Calibri"/>
              <w:sz w:val="22"/>
              <w:szCs w:val="22"/>
              <w:lang w:val="en-US" w:eastAsia="en-US"/>
            </w:rPr>
            <w:tab/>
          </w:r>
          <w:r>
            <w:rPr/>
            <w:t>General</w:t>
            <w:tab/>
          </w:r>
          <w:hyperlink w:anchor="__RefHeading___Toc75349547">
            <w:r>
              <w:rPr>
                <w:rStyle w:val="IndexLink"/>
              </w:rPr>
              <w:t>22</w:t>
            </w:r>
          </w:hyperlink>
        </w:p>
        <w:p>
          <w:pPr>
            <w:pStyle w:val="Contents3"/>
            <w:rPr>
              <w:rFonts w:ascii="Calibri" w:hAnsi="Calibri" w:eastAsia="DengXian;等线" w:cs="Calibri"/>
              <w:sz w:val="22"/>
              <w:szCs w:val="22"/>
              <w:lang w:val="en-US" w:eastAsia="en-US"/>
            </w:rPr>
          </w:pPr>
          <w:r>
            <w:rPr/>
            <w:t>5.5.2</w:t>
          </w:r>
          <w:r>
            <w:rPr>
              <w:rFonts w:eastAsia="DengXian;等线" w:cs="Calibri" w:ascii="Calibri" w:hAnsi="Calibri"/>
              <w:sz w:val="22"/>
              <w:szCs w:val="22"/>
              <w:lang w:val="en-US" w:eastAsia="en-US"/>
            </w:rPr>
            <w:tab/>
          </w:r>
          <w:r>
            <w:rPr/>
            <w:t>Spending limit notification</w:t>
            <w:tab/>
          </w:r>
          <w:hyperlink w:anchor="__RefHeading___Toc75349548">
            <w:r>
              <w:rPr>
                <w:rStyle w:val="IndexLink"/>
              </w:rPr>
              <w:t>23</w:t>
            </w:r>
          </w:hyperlink>
        </w:p>
        <w:p>
          <w:pPr>
            <w:pStyle w:val="Contents4"/>
            <w:rPr>
              <w:rFonts w:ascii="Calibri" w:hAnsi="Calibri" w:eastAsia="DengXian;等线" w:cs="Calibri"/>
              <w:sz w:val="22"/>
              <w:szCs w:val="22"/>
              <w:lang w:val="en-US" w:eastAsia="en-US"/>
            </w:rPr>
          </w:pPr>
          <w:r>
            <w:rPr/>
            <w:t>5.5.2.1</w:t>
          </w:r>
          <w:r>
            <w:rPr>
              <w:rFonts w:eastAsia="DengXian;等线" w:cs="Calibri" w:ascii="Calibri" w:hAnsi="Calibri"/>
              <w:sz w:val="22"/>
              <w:szCs w:val="22"/>
              <w:lang w:val="en-US" w:eastAsia="en-US"/>
            </w:rPr>
            <w:tab/>
          </w:r>
          <w:r>
            <w:rPr/>
            <w:t>Description</w:t>
            <w:tab/>
          </w:r>
          <w:hyperlink w:anchor="__RefHeading___Toc75349549">
            <w:r>
              <w:rPr>
                <w:rStyle w:val="IndexLink"/>
              </w:rPr>
              <w:t>23</w:t>
            </w:r>
          </w:hyperlink>
        </w:p>
        <w:p>
          <w:pPr>
            <w:pStyle w:val="Contents4"/>
            <w:rPr>
              <w:rFonts w:ascii="Calibri" w:hAnsi="Calibri" w:eastAsia="DengXian;等线" w:cs="Calibri"/>
              <w:sz w:val="22"/>
              <w:szCs w:val="22"/>
              <w:lang w:val="en-US" w:eastAsia="en-US"/>
            </w:rPr>
          </w:pPr>
          <w:r>
            <w:rPr/>
            <w:t>5.5.2.2</w:t>
          </w:r>
          <w:r>
            <w:rPr>
              <w:rFonts w:eastAsia="DengXian;等线" w:cs="Calibri" w:ascii="Calibri" w:hAnsi="Calibri"/>
              <w:sz w:val="22"/>
              <w:szCs w:val="22"/>
              <w:lang w:val="en-US" w:eastAsia="en-US"/>
            </w:rPr>
            <w:tab/>
          </w:r>
          <w:r>
            <w:rPr/>
            <w:t>Target URI</w:t>
            <w:tab/>
          </w:r>
          <w:hyperlink w:anchor="__RefHeading___Toc75349550">
            <w:r>
              <w:rPr>
                <w:rStyle w:val="IndexLink"/>
              </w:rPr>
              <w:t>23</w:t>
            </w:r>
          </w:hyperlink>
        </w:p>
        <w:p>
          <w:pPr>
            <w:pStyle w:val="Contents4"/>
            <w:rPr>
              <w:rFonts w:ascii="Calibri" w:hAnsi="Calibri" w:eastAsia="DengXian;等线" w:cs="Calibri"/>
              <w:sz w:val="22"/>
              <w:szCs w:val="22"/>
              <w:lang w:val="en-US" w:eastAsia="en-US"/>
            </w:rPr>
          </w:pPr>
          <w:r>
            <w:rPr/>
            <w:t>5.5.2.3</w:t>
          </w:r>
          <w:r>
            <w:rPr>
              <w:rFonts w:eastAsia="DengXian;等线" w:cs="Calibri" w:ascii="Calibri" w:hAnsi="Calibri"/>
              <w:sz w:val="22"/>
              <w:szCs w:val="22"/>
              <w:lang w:val="en-US" w:eastAsia="en-US"/>
            </w:rPr>
            <w:tab/>
          </w:r>
          <w:r>
            <w:rPr/>
            <w:t>Standard Methods</w:t>
            <w:tab/>
          </w:r>
          <w:hyperlink w:anchor="__RefHeading___Toc75349551">
            <w:r>
              <w:rPr>
                <w:rStyle w:val="IndexLink"/>
              </w:rPr>
              <w:t>23</w:t>
            </w:r>
          </w:hyperlink>
        </w:p>
        <w:p>
          <w:pPr>
            <w:pStyle w:val="Contents5"/>
            <w:rPr>
              <w:rFonts w:ascii="Calibri" w:hAnsi="Calibri" w:eastAsia="DengXian;等线" w:cs="Calibri"/>
              <w:sz w:val="22"/>
              <w:szCs w:val="22"/>
              <w:lang w:val="en-US" w:eastAsia="en-US"/>
            </w:rPr>
          </w:pPr>
          <w:r>
            <w:rPr/>
            <w:t>5.5.2.3.1</w:t>
          </w:r>
          <w:r>
            <w:rPr>
              <w:rFonts w:eastAsia="DengXian;等线" w:cs="Calibri" w:ascii="Calibri" w:hAnsi="Calibri"/>
              <w:sz w:val="22"/>
              <w:szCs w:val="22"/>
              <w:lang w:val="en-US" w:eastAsia="en-US"/>
            </w:rPr>
            <w:tab/>
          </w:r>
          <w:r>
            <w:rPr/>
            <w:t>POST</w:t>
            <w:tab/>
          </w:r>
          <w:hyperlink w:anchor="__RefHeading___Toc75349552">
            <w:r>
              <w:rPr>
                <w:rStyle w:val="IndexLink"/>
              </w:rPr>
              <w:t>23</w:t>
            </w:r>
          </w:hyperlink>
        </w:p>
        <w:p>
          <w:pPr>
            <w:pStyle w:val="Contents3"/>
            <w:rPr>
              <w:rFonts w:ascii="Calibri" w:hAnsi="Calibri" w:eastAsia="DengXian;等线" w:cs="Calibri"/>
              <w:sz w:val="22"/>
              <w:szCs w:val="22"/>
              <w:lang w:val="en-US" w:eastAsia="en-US"/>
            </w:rPr>
          </w:pPr>
          <w:r>
            <w:rPr/>
            <w:t>5.5.3</w:t>
          </w:r>
          <w:r>
            <w:rPr>
              <w:rFonts w:eastAsia="DengXian;等线" w:cs="Calibri" w:ascii="Calibri" w:hAnsi="Calibri"/>
              <w:sz w:val="22"/>
              <w:szCs w:val="22"/>
              <w:lang w:val="en-US" w:eastAsia="en-US"/>
            </w:rPr>
            <w:tab/>
          </w:r>
          <w:r>
            <w:rPr/>
            <w:t>Subscription Termination</w:t>
            <w:tab/>
          </w:r>
          <w:hyperlink w:anchor="__RefHeading___Toc75349553">
            <w:r>
              <w:rPr>
                <w:rStyle w:val="IndexLink"/>
              </w:rPr>
              <w:t>24</w:t>
            </w:r>
          </w:hyperlink>
        </w:p>
        <w:p>
          <w:pPr>
            <w:pStyle w:val="Contents4"/>
            <w:rPr>
              <w:rFonts w:ascii="Calibri" w:hAnsi="Calibri" w:eastAsia="DengXian;等线" w:cs="Calibri"/>
              <w:sz w:val="22"/>
              <w:szCs w:val="22"/>
              <w:lang w:val="en-US" w:eastAsia="en-US"/>
            </w:rPr>
          </w:pPr>
          <w:r>
            <w:rPr/>
            <w:t>5.5.3.1</w:t>
          </w:r>
          <w:r>
            <w:rPr>
              <w:rFonts w:eastAsia="DengXian;等线" w:cs="Calibri" w:ascii="Calibri" w:hAnsi="Calibri"/>
              <w:sz w:val="22"/>
              <w:szCs w:val="22"/>
              <w:lang w:val="en-US" w:eastAsia="en-US"/>
            </w:rPr>
            <w:tab/>
          </w:r>
          <w:r>
            <w:rPr/>
            <w:t>Description</w:t>
            <w:tab/>
          </w:r>
          <w:hyperlink w:anchor="__RefHeading___Toc75349554">
            <w:r>
              <w:rPr>
                <w:rStyle w:val="IndexLink"/>
              </w:rPr>
              <w:t>24</w:t>
            </w:r>
          </w:hyperlink>
        </w:p>
        <w:p>
          <w:pPr>
            <w:pStyle w:val="Contents4"/>
            <w:rPr>
              <w:rFonts w:ascii="Calibri" w:hAnsi="Calibri" w:eastAsia="DengXian;等线" w:cs="Calibri"/>
              <w:sz w:val="22"/>
              <w:szCs w:val="22"/>
              <w:lang w:val="en-US" w:eastAsia="en-US"/>
            </w:rPr>
          </w:pPr>
          <w:r>
            <w:rPr/>
            <w:t>5.5.3.2</w:t>
          </w:r>
          <w:r>
            <w:rPr>
              <w:rFonts w:eastAsia="DengXian;等线" w:cs="Calibri" w:ascii="Calibri" w:hAnsi="Calibri"/>
              <w:sz w:val="22"/>
              <w:szCs w:val="22"/>
              <w:lang w:val="en-US" w:eastAsia="en-US"/>
            </w:rPr>
            <w:tab/>
          </w:r>
          <w:r>
            <w:rPr/>
            <w:t>Target URI</w:t>
            <w:tab/>
          </w:r>
          <w:hyperlink w:anchor="__RefHeading___Toc75349555">
            <w:r>
              <w:rPr>
                <w:rStyle w:val="IndexLink"/>
              </w:rPr>
              <w:t>24</w:t>
            </w:r>
          </w:hyperlink>
        </w:p>
        <w:p>
          <w:pPr>
            <w:pStyle w:val="Contents4"/>
            <w:rPr>
              <w:rFonts w:ascii="Calibri" w:hAnsi="Calibri" w:eastAsia="DengXian;等线" w:cs="Calibri"/>
              <w:sz w:val="22"/>
              <w:szCs w:val="22"/>
              <w:lang w:val="en-US" w:eastAsia="en-US"/>
            </w:rPr>
          </w:pPr>
          <w:r>
            <w:rPr/>
            <w:t>5.5.3.3</w:t>
          </w:r>
          <w:r>
            <w:rPr>
              <w:rFonts w:eastAsia="DengXian;等线" w:cs="Calibri" w:ascii="Calibri" w:hAnsi="Calibri"/>
              <w:sz w:val="22"/>
              <w:szCs w:val="22"/>
              <w:lang w:val="en-US" w:eastAsia="en-US"/>
            </w:rPr>
            <w:tab/>
          </w:r>
          <w:r>
            <w:rPr/>
            <w:t>Standard Methods</w:t>
            <w:tab/>
          </w:r>
          <w:hyperlink w:anchor="__RefHeading___Toc75349556">
            <w:r>
              <w:rPr>
                <w:rStyle w:val="IndexLink"/>
              </w:rPr>
              <w:t>24</w:t>
            </w:r>
          </w:hyperlink>
        </w:p>
        <w:p>
          <w:pPr>
            <w:pStyle w:val="Contents5"/>
            <w:rPr>
              <w:rFonts w:ascii="Calibri" w:hAnsi="Calibri" w:eastAsia="DengXian;等线" w:cs="Calibri"/>
              <w:sz w:val="22"/>
              <w:szCs w:val="22"/>
              <w:lang w:val="en-US" w:eastAsia="en-US"/>
            </w:rPr>
          </w:pPr>
          <w:r>
            <w:rPr/>
            <w:t>5.5.3.3.1</w:t>
          </w:r>
          <w:r>
            <w:rPr>
              <w:rFonts w:eastAsia="DengXian;等线" w:cs="Calibri" w:ascii="Calibri" w:hAnsi="Calibri"/>
              <w:sz w:val="22"/>
              <w:szCs w:val="22"/>
              <w:lang w:val="en-US" w:eastAsia="en-US"/>
            </w:rPr>
            <w:tab/>
          </w:r>
          <w:r>
            <w:rPr/>
            <w:t>POST</w:t>
            <w:tab/>
          </w:r>
          <w:hyperlink w:anchor="__RefHeading___Toc75349557">
            <w:r>
              <w:rPr>
                <w:rStyle w:val="IndexLink"/>
              </w:rPr>
              <w:t>24</w:t>
            </w:r>
          </w:hyperlink>
        </w:p>
        <w:p>
          <w:pPr>
            <w:pStyle w:val="Contents2"/>
            <w:rPr>
              <w:rFonts w:ascii="Calibri" w:hAnsi="Calibri" w:eastAsia="DengXian;等线" w:cs="Calibri"/>
              <w:sz w:val="22"/>
              <w:szCs w:val="22"/>
              <w:lang w:val="en-US" w:eastAsia="en-US"/>
            </w:rPr>
          </w:pPr>
          <w:r>
            <w:rPr/>
            <w:t>5.6</w:t>
          </w:r>
          <w:r>
            <w:rPr>
              <w:rFonts w:eastAsia="DengXian;等线" w:cs="Calibri" w:ascii="Calibri" w:hAnsi="Calibri"/>
              <w:sz w:val="22"/>
              <w:szCs w:val="22"/>
              <w:lang w:val="en-US" w:eastAsia="en-US"/>
            </w:rPr>
            <w:tab/>
          </w:r>
          <w:r>
            <w:rPr/>
            <w:t>Data Model</w:t>
            <w:tab/>
          </w:r>
          <w:hyperlink w:anchor="__RefHeading___Toc75349558">
            <w:r>
              <w:rPr>
                <w:rStyle w:val="IndexLink"/>
              </w:rPr>
              <w:t>25</w:t>
            </w:r>
          </w:hyperlink>
        </w:p>
        <w:p>
          <w:pPr>
            <w:pStyle w:val="Contents3"/>
            <w:rPr>
              <w:rFonts w:ascii="Calibri" w:hAnsi="Calibri" w:eastAsia="DengXian;等线" w:cs="Calibri"/>
              <w:sz w:val="22"/>
              <w:szCs w:val="22"/>
              <w:lang w:val="en-US" w:eastAsia="en-US"/>
            </w:rPr>
          </w:pPr>
          <w:r>
            <w:rPr/>
            <w:t>5.6.1</w:t>
          </w:r>
          <w:r>
            <w:rPr>
              <w:rFonts w:eastAsia="DengXian;等线" w:cs="Calibri" w:ascii="Calibri" w:hAnsi="Calibri"/>
              <w:sz w:val="22"/>
              <w:szCs w:val="22"/>
              <w:lang w:val="en-US" w:eastAsia="en-US"/>
            </w:rPr>
            <w:tab/>
          </w:r>
          <w:r>
            <w:rPr/>
            <w:t>General</w:t>
            <w:tab/>
          </w:r>
          <w:hyperlink w:anchor="__RefHeading___Toc75349559">
            <w:r>
              <w:rPr>
                <w:rStyle w:val="IndexLink"/>
              </w:rPr>
              <w:t>25</w:t>
            </w:r>
          </w:hyperlink>
        </w:p>
        <w:p>
          <w:pPr>
            <w:pStyle w:val="Contents3"/>
            <w:rPr>
              <w:rFonts w:ascii="Calibri" w:hAnsi="Calibri" w:eastAsia="DengXian;等线" w:cs="Calibri"/>
              <w:sz w:val="22"/>
              <w:szCs w:val="22"/>
              <w:lang w:val="en-US" w:eastAsia="en-US"/>
            </w:rPr>
          </w:pPr>
          <w:r>
            <w:rPr/>
            <w:t>5.6.2</w:t>
          </w:r>
          <w:r>
            <w:rPr>
              <w:rFonts w:eastAsia="DengXian;等线" w:cs="Calibri" w:ascii="Calibri" w:hAnsi="Calibri"/>
              <w:sz w:val="22"/>
              <w:szCs w:val="22"/>
              <w:lang w:val="en-US" w:eastAsia="en-US"/>
            </w:rPr>
            <w:tab/>
          </w:r>
          <w:r>
            <w:rPr>
              <w:lang w:val="en-US" w:eastAsia="en-US"/>
            </w:rPr>
            <w:t>Structured data types</w:t>
          </w:r>
          <w:r>
            <w:rPr/>
            <w:tab/>
          </w:r>
          <w:hyperlink w:anchor="__RefHeading___Toc75349560">
            <w:r>
              <w:rPr>
                <w:rStyle w:val="IndexLink"/>
              </w:rPr>
              <w:t>26</w:t>
            </w:r>
          </w:hyperlink>
        </w:p>
        <w:p>
          <w:pPr>
            <w:pStyle w:val="Contents4"/>
            <w:rPr>
              <w:rFonts w:ascii="Calibri" w:hAnsi="Calibri" w:eastAsia="DengXian;等线" w:cs="Calibri"/>
              <w:sz w:val="22"/>
              <w:szCs w:val="22"/>
              <w:lang w:val="en-US" w:eastAsia="en-US"/>
            </w:rPr>
          </w:pPr>
          <w:r>
            <w:rPr/>
            <w:t>5.6.2.1</w:t>
          </w:r>
          <w:r>
            <w:rPr>
              <w:rFonts w:eastAsia="DengXian;等线" w:cs="Calibri" w:ascii="Calibri" w:hAnsi="Calibri"/>
              <w:sz w:val="22"/>
              <w:szCs w:val="22"/>
              <w:lang w:val="en-US" w:eastAsia="en-US"/>
            </w:rPr>
            <w:tab/>
          </w:r>
          <w:r>
            <w:rPr/>
            <w:t>Introduction</w:t>
            <w:tab/>
          </w:r>
          <w:hyperlink w:anchor="__RefHeading___Toc75349561">
            <w:r>
              <w:rPr>
                <w:rStyle w:val="IndexLink"/>
              </w:rPr>
              <w:t>26</w:t>
            </w:r>
          </w:hyperlink>
        </w:p>
        <w:p>
          <w:pPr>
            <w:pStyle w:val="Contents4"/>
            <w:rPr>
              <w:rFonts w:ascii="Calibri" w:hAnsi="Calibri" w:eastAsia="DengXian;等线" w:cs="Calibri"/>
              <w:sz w:val="22"/>
              <w:szCs w:val="22"/>
              <w:lang w:val="en-US" w:eastAsia="en-US"/>
            </w:rPr>
          </w:pPr>
          <w:r>
            <w:rPr/>
            <w:t>5.6.2.2</w:t>
          </w:r>
          <w:r>
            <w:rPr>
              <w:rFonts w:eastAsia="DengXian;等线" w:cs="Calibri" w:ascii="Calibri" w:hAnsi="Calibri"/>
              <w:sz w:val="22"/>
              <w:szCs w:val="22"/>
              <w:lang w:val="en-US" w:eastAsia="en-US"/>
            </w:rPr>
            <w:tab/>
          </w:r>
          <w:r>
            <w:rPr/>
            <w:t>Type SpendingLimitContext</w:t>
            <w:tab/>
          </w:r>
          <w:hyperlink w:anchor="__RefHeading___Toc75349562">
            <w:r>
              <w:rPr>
                <w:rStyle w:val="IndexLink"/>
              </w:rPr>
              <w:t>27</w:t>
            </w:r>
          </w:hyperlink>
        </w:p>
        <w:p>
          <w:pPr>
            <w:pStyle w:val="Contents4"/>
            <w:rPr>
              <w:rFonts w:ascii="Calibri" w:hAnsi="Calibri" w:eastAsia="DengXian;等线" w:cs="Calibri"/>
              <w:sz w:val="22"/>
              <w:szCs w:val="22"/>
              <w:lang w:val="en-US" w:eastAsia="en-US"/>
            </w:rPr>
          </w:pPr>
          <w:r>
            <w:rPr/>
            <w:t>5.6.2.3</w:t>
          </w:r>
          <w:r>
            <w:rPr>
              <w:rFonts w:eastAsia="DengXian;等线" w:cs="Calibri" w:ascii="Calibri" w:hAnsi="Calibri"/>
              <w:sz w:val="22"/>
              <w:szCs w:val="22"/>
              <w:lang w:val="en-US" w:eastAsia="en-US"/>
            </w:rPr>
            <w:tab/>
          </w:r>
          <w:r>
            <w:rPr/>
            <w:t>Type SpendingLimitStatus</w:t>
            <w:tab/>
          </w:r>
          <w:hyperlink w:anchor="__RefHeading___Toc75349563">
            <w:r>
              <w:rPr>
                <w:rStyle w:val="IndexLink"/>
              </w:rPr>
              <w:t>28</w:t>
            </w:r>
          </w:hyperlink>
        </w:p>
        <w:p>
          <w:pPr>
            <w:pStyle w:val="Contents4"/>
            <w:rPr>
              <w:rFonts w:ascii="Calibri" w:hAnsi="Calibri" w:eastAsia="DengXian;等线" w:cs="Calibri"/>
              <w:sz w:val="22"/>
              <w:szCs w:val="22"/>
              <w:lang w:val="en-US" w:eastAsia="en-US"/>
            </w:rPr>
          </w:pPr>
          <w:r>
            <w:rPr/>
            <w:t>5.6.2.4</w:t>
          </w:r>
          <w:r>
            <w:rPr>
              <w:rFonts w:eastAsia="DengXian;等线" w:cs="Calibri" w:ascii="Calibri" w:hAnsi="Calibri"/>
              <w:sz w:val="22"/>
              <w:szCs w:val="22"/>
              <w:lang w:val="en-US" w:eastAsia="en-US"/>
            </w:rPr>
            <w:tab/>
          </w:r>
          <w:r>
            <w:rPr/>
            <w:t>Type PolicyCounterInfo</w:t>
            <w:tab/>
          </w:r>
          <w:hyperlink w:anchor="__RefHeading___Toc75349564">
            <w:r>
              <w:rPr>
                <w:rStyle w:val="IndexLink"/>
              </w:rPr>
              <w:t>29</w:t>
            </w:r>
          </w:hyperlink>
        </w:p>
        <w:p>
          <w:pPr>
            <w:pStyle w:val="Contents4"/>
            <w:rPr>
              <w:rFonts w:ascii="Calibri" w:hAnsi="Calibri" w:eastAsia="DengXian;等线" w:cs="Calibri"/>
              <w:sz w:val="22"/>
              <w:szCs w:val="22"/>
              <w:lang w:val="en-US" w:eastAsia="en-US"/>
            </w:rPr>
          </w:pPr>
          <w:r>
            <w:rPr/>
            <w:t>5.6.2.5</w:t>
          </w:r>
          <w:r>
            <w:rPr>
              <w:rFonts w:eastAsia="DengXian;等线" w:cs="Calibri" w:ascii="Calibri" w:hAnsi="Calibri"/>
              <w:sz w:val="22"/>
              <w:szCs w:val="22"/>
              <w:lang w:val="en-US" w:eastAsia="en-US"/>
            </w:rPr>
            <w:tab/>
          </w:r>
          <w:r>
            <w:rPr/>
            <w:t>Type PendingPolicyCounterStatus</w:t>
            <w:tab/>
          </w:r>
          <w:hyperlink w:anchor="__RefHeading___Toc75349565">
            <w:r>
              <w:rPr>
                <w:rStyle w:val="IndexLink"/>
              </w:rPr>
              <w:t>29</w:t>
            </w:r>
          </w:hyperlink>
        </w:p>
        <w:p>
          <w:pPr>
            <w:pStyle w:val="Contents4"/>
            <w:rPr>
              <w:rFonts w:ascii="Calibri" w:hAnsi="Calibri" w:eastAsia="DengXian;等线" w:cs="Calibri"/>
              <w:sz w:val="22"/>
              <w:szCs w:val="22"/>
              <w:lang w:val="en-US" w:eastAsia="en-US"/>
            </w:rPr>
          </w:pPr>
          <w:r>
            <w:rPr/>
            <w:t>5.6.2.6</w:t>
          </w:r>
          <w:r>
            <w:rPr>
              <w:rFonts w:eastAsia="DengXian;等线" w:cs="Calibri" w:ascii="Calibri" w:hAnsi="Calibri"/>
              <w:sz w:val="22"/>
              <w:szCs w:val="22"/>
              <w:lang w:val="en-US" w:eastAsia="en-US"/>
            </w:rPr>
            <w:tab/>
          </w:r>
          <w:r>
            <w:rPr/>
            <w:t>Type SubscriptionTerminationInfo</w:t>
            <w:tab/>
          </w:r>
          <w:hyperlink w:anchor="__RefHeading___Toc75349566">
            <w:r>
              <w:rPr>
                <w:rStyle w:val="IndexLink"/>
              </w:rPr>
              <w:t>29</w:t>
            </w:r>
          </w:hyperlink>
        </w:p>
        <w:p>
          <w:pPr>
            <w:pStyle w:val="Contents3"/>
            <w:rPr>
              <w:rFonts w:ascii="Calibri" w:hAnsi="Calibri" w:eastAsia="DengXian;等线" w:cs="Calibri"/>
              <w:sz w:val="22"/>
              <w:szCs w:val="22"/>
              <w:lang w:val="en-US" w:eastAsia="en-US"/>
            </w:rPr>
          </w:pPr>
          <w:r>
            <w:rPr/>
            <w:t>5.6.3</w:t>
          </w:r>
          <w:r>
            <w:rPr>
              <w:rFonts w:eastAsia="DengXian;等线" w:cs="Calibri" w:ascii="Calibri" w:hAnsi="Calibri"/>
              <w:sz w:val="22"/>
              <w:szCs w:val="22"/>
              <w:lang w:val="en-US" w:eastAsia="en-US"/>
            </w:rPr>
            <w:tab/>
          </w:r>
          <w:r>
            <w:rPr>
              <w:lang w:val="en-US" w:eastAsia="en-US"/>
            </w:rPr>
            <w:t>Simple data types and enumerations</w:t>
          </w:r>
          <w:r>
            <w:rPr/>
            <w:tab/>
          </w:r>
          <w:hyperlink w:anchor="__RefHeading___Toc75349567">
            <w:r>
              <w:rPr>
                <w:rStyle w:val="IndexLink"/>
              </w:rPr>
              <w:t>30</w:t>
            </w:r>
          </w:hyperlink>
        </w:p>
        <w:p>
          <w:pPr>
            <w:pStyle w:val="Contents4"/>
            <w:rPr>
              <w:rFonts w:ascii="Calibri" w:hAnsi="Calibri" w:eastAsia="DengXian;等线" w:cs="Calibri"/>
              <w:sz w:val="22"/>
              <w:szCs w:val="22"/>
              <w:lang w:val="en-US" w:eastAsia="en-US"/>
            </w:rPr>
          </w:pPr>
          <w:r>
            <w:rPr/>
            <w:t>5.6.3.1</w:t>
          </w:r>
          <w:r>
            <w:rPr>
              <w:rFonts w:eastAsia="DengXian;等线" w:cs="Calibri" w:ascii="Calibri" w:hAnsi="Calibri"/>
              <w:sz w:val="22"/>
              <w:szCs w:val="22"/>
              <w:lang w:val="en-US" w:eastAsia="en-US"/>
            </w:rPr>
            <w:tab/>
          </w:r>
          <w:r>
            <w:rPr/>
            <w:t>Introduction</w:t>
            <w:tab/>
          </w:r>
          <w:hyperlink w:anchor="__RefHeading___Toc75349568">
            <w:r>
              <w:rPr>
                <w:rStyle w:val="IndexLink"/>
              </w:rPr>
              <w:t>30</w:t>
            </w:r>
          </w:hyperlink>
        </w:p>
        <w:p>
          <w:pPr>
            <w:pStyle w:val="Contents4"/>
            <w:rPr>
              <w:rFonts w:ascii="Calibri" w:hAnsi="Calibri" w:eastAsia="DengXian;等线" w:cs="Calibri"/>
              <w:sz w:val="22"/>
              <w:szCs w:val="22"/>
              <w:lang w:val="en-US" w:eastAsia="en-US"/>
            </w:rPr>
          </w:pPr>
          <w:r>
            <w:rPr/>
            <w:t>5.6.3.2</w:t>
          </w:r>
          <w:r>
            <w:rPr>
              <w:rFonts w:eastAsia="DengXian;等线" w:cs="Calibri" w:ascii="Calibri" w:hAnsi="Calibri"/>
              <w:sz w:val="22"/>
              <w:szCs w:val="22"/>
              <w:lang w:val="en-US" w:eastAsia="en-US"/>
            </w:rPr>
            <w:tab/>
          </w:r>
          <w:r>
            <w:rPr/>
            <w:t>Simple data types</w:t>
            <w:tab/>
          </w:r>
          <w:hyperlink w:anchor="__RefHeading___Toc75349569">
            <w:r>
              <w:rPr>
                <w:rStyle w:val="IndexLink"/>
              </w:rPr>
              <w:t>30</w:t>
            </w:r>
          </w:hyperlink>
        </w:p>
        <w:p>
          <w:pPr>
            <w:pStyle w:val="Contents4"/>
            <w:rPr>
              <w:rFonts w:ascii="Calibri" w:hAnsi="Calibri" w:eastAsia="DengXian;等线" w:cs="Calibri"/>
              <w:sz w:val="22"/>
              <w:szCs w:val="22"/>
              <w:lang w:val="en-US" w:eastAsia="en-US"/>
            </w:rPr>
          </w:pPr>
          <w:r>
            <w:rPr/>
            <w:t>5.6.3.3</w:t>
          </w:r>
          <w:r>
            <w:rPr>
              <w:rFonts w:eastAsia="DengXian;等线" w:cs="Calibri" w:ascii="Calibri" w:hAnsi="Calibri"/>
              <w:sz w:val="22"/>
              <w:szCs w:val="22"/>
              <w:lang w:val="en-US" w:eastAsia="en-US"/>
            </w:rPr>
            <w:tab/>
          </w:r>
          <w:r>
            <w:rPr/>
            <w:t>Enumeration: TerminationCause</w:t>
            <w:tab/>
          </w:r>
          <w:hyperlink w:anchor="__RefHeading___Toc75349570">
            <w:r>
              <w:rPr>
                <w:rStyle w:val="IndexLink"/>
              </w:rPr>
              <w:t>30</w:t>
            </w:r>
          </w:hyperlink>
        </w:p>
        <w:p>
          <w:pPr>
            <w:pStyle w:val="Contents2"/>
            <w:rPr>
              <w:rFonts w:ascii="Calibri" w:hAnsi="Calibri" w:eastAsia="DengXian;等线" w:cs="Calibri"/>
              <w:sz w:val="22"/>
              <w:szCs w:val="22"/>
              <w:lang w:val="en-US" w:eastAsia="en-US"/>
            </w:rPr>
          </w:pPr>
          <w:r>
            <w:rPr/>
            <w:t>5.7</w:t>
          </w:r>
          <w:r>
            <w:rPr>
              <w:rFonts w:eastAsia="DengXian;等线" w:cs="Calibri" w:ascii="Calibri" w:hAnsi="Calibri"/>
              <w:sz w:val="22"/>
              <w:szCs w:val="22"/>
              <w:lang w:val="en-US" w:eastAsia="en-US"/>
            </w:rPr>
            <w:tab/>
          </w:r>
          <w:r>
            <w:rPr/>
            <w:t>Error handling</w:t>
            <w:tab/>
          </w:r>
          <w:hyperlink w:anchor="__RefHeading___Toc75349571">
            <w:r>
              <w:rPr>
                <w:rStyle w:val="IndexLink"/>
              </w:rPr>
              <w:t>30</w:t>
            </w:r>
          </w:hyperlink>
        </w:p>
        <w:p>
          <w:pPr>
            <w:pStyle w:val="Contents3"/>
            <w:rPr>
              <w:rFonts w:ascii="Calibri" w:hAnsi="Calibri" w:eastAsia="DengXian;等线" w:cs="Calibri"/>
              <w:sz w:val="22"/>
              <w:szCs w:val="22"/>
              <w:lang w:val="en-US" w:eastAsia="en-US"/>
            </w:rPr>
          </w:pPr>
          <w:r>
            <w:rPr/>
            <w:t>5.7.1</w:t>
          </w:r>
          <w:r>
            <w:rPr>
              <w:rFonts w:eastAsia="DengXian;等线" w:cs="Calibri" w:ascii="Calibri" w:hAnsi="Calibri"/>
              <w:sz w:val="22"/>
              <w:szCs w:val="22"/>
              <w:lang w:val="en-US" w:eastAsia="en-US"/>
            </w:rPr>
            <w:tab/>
          </w:r>
          <w:r>
            <w:rPr/>
            <w:t>General</w:t>
            <w:tab/>
          </w:r>
          <w:hyperlink w:anchor="__RefHeading___Toc75349572">
            <w:r>
              <w:rPr>
                <w:rStyle w:val="IndexLink"/>
              </w:rPr>
              <w:t>30</w:t>
            </w:r>
          </w:hyperlink>
        </w:p>
        <w:p>
          <w:pPr>
            <w:pStyle w:val="Contents3"/>
            <w:rPr>
              <w:rFonts w:ascii="Calibri" w:hAnsi="Calibri" w:eastAsia="DengXian;等线" w:cs="Calibri"/>
              <w:sz w:val="22"/>
              <w:szCs w:val="22"/>
              <w:lang w:val="en-US" w:eastAsia="en-US"/>
            </w:rPr>
          </w:pPr>
          <w:r>
            <w:rPr/>
            <w:t>5.7.2</w:t>
          </w:r>
          <w:r>
            <w:rPr>
              <w:rFonts w:eastAsia="DengXian;等线" w:cs="Calibri" w:ascii="Calibri" w:hAnsi="Calibri"/>
              <w:sz w:val="22"/>
              <w:szCs w:val="22"/>
              <w:lang w:val="en-US" w:eastAsia="en-US"/>
            </w:rPr>
            <w:tab/>
          </w:r>
          <w:r>
            <w:rPr/>
            <w:t>Protocol Errors</w:t>
            <w:tab/>
          </w:r>
          <w:hyperlink w:anchor="__RefHeading___Toc75349573">
            <w:r>
              <w:rPr>
                <w:rStyle w:val="IndexLink"/>
              </w:rPr>
              <w:t>30</w:t>
            </w:r>
          </w:hyperlink>
        </w:p>
        <w:p>
          <w:pPr>
            <w:pStyle w:val="Contents3"/>
            <w:rPr>
              <w:rFonts w:ascii="Calibri" w:hAnsi="Calibri" w:eastAsia="DengXian;等线" w:cs="Calibri"/>
              <w:sz w:val="22"/>
              <w:szCs w:val="22"/>
              <w:lang w:val="en-US" w:eastAsia="en-US"/>
            </w:rPr>
          </w:pPr>
          <w:r>
            <w:rPr/>
            <w:t>5.7.3</w:t>
          </w:r>
          <w:r>
            <w:rPr>
              <w:rFonts w:eastAsia="DengXian;等线" w:cs="Calibri" w:ascii="Calibri" w:hAnsi="Calibri"/>
              <w:sz w:val="22"/>
              <w:szCs w:val="22"/>
              <w:lang w:val="en-US" w:eastAsia="en-US"/>
            </w:rPr>
            <w:tab/>
          </w:r>
          <w:r>
            <w:rPr/>
            <w:t>Application Errors</w:t>
            <w:tab/>
          </w:r>
          <w:hyperlink w:anchor="__RefHeading___Toc75349574">
            <w:r>
              <w:rPr>
                <w:rStyle w:val="IndexLink"/>
              </w:rPr>
              <w:t>30</w:t>
            </w:r>
          </w:hyperlink>
        </w:p>
        <w:p>
          <w:pPr>
            <w:pStyle w:val="Contents2"/>
            <w:rPr>
              <w:rFonts w:ascii="Calibri" w:hAnsi="Calibri" w:eastAsia="DengXian;等线" w:cs="Calibri"/>
              <w:sz w:val="22"/>
              <w:szCs w:val="22"/>
              <w:lang w:val="en-US" w:eastAsia="en-US"/>
            </w:rPr>
          </w:pPr>
          <w:r>
            <w:rPr/>
            <w:t>5.8</w:t>
          </w:r>
          <w:r>
            <w:rPr>
              <w:rFonts w:eastAsia="DengXian;等线" w:cs="Calibri" w:ascii="Calibri" w:hAnsi="Calibri"/>
              <w:sz w:val="22"/>
              <w:szCs w:val="22"/>
              <w:lang w:val="en-US" w:eastAsia="en-US"/>
            </w:rPr>
            <w:tab/>
          </w:r>
          <w:r>
            <w:rPr>
              <w:lang w:val="en-US" w:eastAsia="en-US"/>
            </w:rPr>
            <w:t>Feature negotiation</w:t>
          </w:r>
          <w:r>
            <w:rPr/>
            <w:tab/>
          </w:r>
          <w:hyperlink w:anchor="__RefHeading___Toc75349575">
            <w:r>
              <w:rPr>
                <w:rStyle w:val="IndexLink"/>
              </w:rPr>
              <w:t>31</w:t>
            </w:r>
          </w:hyperlink>
        </w:p>
        <w:p>
          <w:pPr>
            <w:pStyle w:val="Contents2"/>
            <w:rPr>
              <w:rFonts w:ascii="Calibri" w:hAnsi="Calibri" w:eastAsia="DengXian;等线" w:cs="Calibri"/>
              <w:sz w:val="22"/>
              <w:szCs w:val="22"/>
              <w:lang w:val="en-US" w:eastAsia="en-US"/>
            </w:rPr>
          </w:pPr>
          <w:r>
            <w:rPr/>
            <w:t>5.9</w:t>
          </w:r>
          <w:r>
            <w:rPr>
              <w:rFonts w:eastAsia="DengXian;等线" w:cs="Calibri" w:ascii="Calibri" w:hAnsi="Calibri"/>
              <w:sz w:val="22"/>
              <w:szCs w:val="22"/>
              <w:lang w:val="en-US" w:eastAsia="en-US"/>
            </w:rPr>
            <w:tab/>
          </w:r>
          <w:r>
            <w:rPr/>
            <w:t>Security</w:t>
            <w:tab/>
          </w:r>
          <w:hyperlink w:anchor="__RefHeading___Toc75349576">
            <w:r>
              <w:rPr>
                <w:rStyle w:val="IndexLink"/>
              </w:rPr>
              <w:t>31</w:t>
            </w:r>
          </w:hyperlink>
        </w:p>
        <w:p>
          <w:pPr>
            <w:pStyle w:val="Contents8"/>
            <w:rPr>
              <w:rFonts w:ascii="Calibri" w:hAnsi="Calibri" w:eastAsia="DengXian;等线" w:cs="Calibri"/>
              <w:b w:val="false"/>
              <w:b w:val="false"/>
              <w:szCs w:val="22"/>
              <w:lang w:val="en-US" w:eastAsia="en-US"/>
            </w:rPr>
          </w:pPr>
          <w:r>
            <w:rPr/>
            <w:t>Annex A (normative):</w:t>
          </w:r>
          <w:r>
            <w:rPr>
              <w:rFonts w:eastAsia="DengXian;等线" w:cs="Calibri" w:ascii="Calibri" w:hAnsi="Calibri"/>
              <w:b w:val="false"/>
              <w:szCs w:val="22"/>
              <w:lang w:val="en-US" w:eastAsia="en-US"/>
            </w:rPr>
            <w:tab/>
          </w:r>
          <w:r>
            <w:rPr/>
            <w:t xml:space="preserve"> OpenAPI specification</w:t>
            <w:tab/>
          </w:r>
          <w:hyperlink w:anchor="__RefHeading___Toc75349577">
            <w:r>
              <w:rPr>
                <w:rStyle w:val="IndexLink"/>
              </w:rPr>
              <w:t>32</w:t>
            </w:r>
          </w:hyperlink>
        </w:p>
        <w:p>
          <w:pPr>
            <w:pStyle w:val="Contents1"/>
            <w:rPr>
              <w:rFonts w:ascii="Calibri" w:hAnsi="Calibri" w:eastAsia="DengXian;等线" w:cs="Calibri"/>
              <w:szCs w:val="22"/>
              <w:lang w:val="en-US" w:eastAsia="en-US"/>
            </w:rPr>
          </w:pPr>
          <w:r>
            <w:rPr/>
            <w:t>A.1</w:t>
          </w:r>
          <w:r>
            <w:rPr>
              <w:rFonts w:eastAsia="DengXian;等线" w:cs="Calibri" w:ascii="Calibri" w:hAnsi="Calibri"/>
              <w:szCs w:val="22"/>
              <w:lang w:val="en-US" w:eastAsia="en-US"/>
            </w:rPr>
            <w:tab/>
          </w:r>
          <w:r>
            <w:rPr/>
            <w:t>General</w:t>
            <w:tab/>
          </w:r>
          <w:hyperlink w:anchor="__RefHeading___Toc75349578">
            <w:r>
              <w:rPr>
                <w:rStyle w:val="IndexLink"/>
              </w:rPr>
              <w:t>32</w:t>
            </w:r>
          </w:hyperlink>
        </w:p>
        <w:p>
          <w:pPr>
            <w:pStyle w:val="Contents1"/>
            <w:rPr>
              <w:rFonts w:ascii="Calibri" w:hAnsi="Calibri" w:eastAsia="DengXian;等线" w:cs="Calibri"/>
              <w:szCs w:val="22"/>
              <w:lang w:val="en-US" w:eastAsia="en-US"/>
            </w:rPr>
          </w:pPr>
          <w:r>
            <w:rPr/>
            <w:t>A.2</w:t>
          </w:r>
          <w:r>
            <w:rPr>
              <w:rFonts w:eastAsia="DengXian;等线" w:cs="Calibri" w:ascii="Calibri" w:hAnsi="Calibri"/>
              <w:szCs w:val="22"/>
              <w:lang w:val="en-US" w:eastAsia="en-US"/>
            </w:rPr>
            <w:tab/>
          </w:r>
          <w:r>
            <w:rPr>
              <w:rFonts w:eastAsia="Times New Roman"/>
            </w:rPr>
            <w:t>Nchf_SpendingLimitControl</w:t>
          </w:r>
          <w:r>
            <w:rPr>
              <w:lang w:val="en-US" w:eastAsia="en-US"/>
            </w:rPr>
            <w:t xml:space="preserve"> Service</w:t>
          </w:r>
          <w:r>
            <w:rPr/>
            <w:t xml:space="preserve"> API</w:t>
            <w:tab/>
          </w:r>
          <w:hyperlink w:anchor="__RefHeading___Toc75349579">
            <w:r>
              <w:rPr>
                <w:rStyle w:val="IndexLink"/>
              </w:rPr>
              <w:t>32</w:t>
            </w:r>
          </w:hyperlink>
        </w:p>
        <w:p>
          <w:pPr>
            <w:pStyle w:val="Contents8"/>
            <w:rPr>
              <w:rFonts w:ascii="Calibri" w:hAnsi="Calibri" w:eastAsia="DengXian;等线" w:cs="Calibri"/>
              <w:b w:val="false"/>
              <w:b w:val="false"/>
              <w:szCs w:val="22"/>
              <w:lang w:val="en-US" w:eastAsia="en-US"/>
            </w:rPr>
          </w:pPr>
          <w:r>
            <w:rPr/>
            <w:t>Annex B (normative):</w:t>
          </w:r>
          <w:r>
            <w:rPr>
              <w:rFonts w:eastAsia="DengXian;等线" w:cs="Calibri" w:ascii="Calibri" w:hAnsi="Calibri"/>
              <w:b w:val="false"/>
              <w:szCs w:val="22"/>
              <w:lang w:val="en-US" w:eastAsia="en-US"/>
            </w:rPr>
            <w:tab/>
          </w:r>
          <w:r>
            <w:rPr/>
            <w:t xml:space="preserve"> 5GC and EPC interworking scenario support</w:t>
            <w:tab/>
          </w:r>
          <w:hyperlink w:anchor="__RefHeading___Toc75349580">
            <w:r>
              <w:rPr>
                <w:rStyle w:val="IndexLink"/>
              </w:rPr>
              <w:t>36</w:t>
            </w:r>
          </w:hyperlink>
        </w:p>
        <w:p>
          <w:pPr>
            <w:pStyle w:val="Contents1"/>
            <w:rPr>
              <w:rFonts w:ascii="Calibri" w:hAnsi="Calibri" w:eastAsia="DengXian;等线" w:cs="Calibri"/>
              <w:szCs w:val="22"/>
              <w:lang w:val="en-US" w:eastAsia="en-US"/>
            </w:rPr>
          </w:pPr>
          <w:r>
            <w:rPr/>
            <w:t>B.1</w:t>
          </w:r>
          <w:r>
            <w:rPr>
              <w:rFonts w:eastAsia="DengXian;等线" w:cs="Calibri" w:ascii="Calibri" w:hAnsi="Calibri"/>
              <w:szCs w:val="22"/>
              <w:lang w:val="en-US" w:eastAsia="en-US"/>
            </w:rPr>
            <w:tab/>
          </w:r>
          <w:r>
            <w:rPr/>
            <w:t>Scope</w:t>
            <w:tab/>
          </w:r>
          <w:hyperlink w:anchor="__RefHeading___Toc75349581">
            <w:r>
              <w:rPr>
                <w:rStyle w:val="IndexLink"/>
              </w:rPr>
              <w:t>36</w:t>
            </w:r>
          </w:hyperlink>
        </w:p>
        <w:p>
          <w:pPr>
            <w:pStyle w:val="Contents1"/>
            <w:rPr>
              <w:rFonts w:ascii="Calibri" w:hAnsi="Calibri" w:eastAsia="DengXian;等线" w:cs="Calibri"/>
              <w:szCs w:val="22"/>
              <w:lang w:val="en-US" w:eastAsia="en-US"/>
            </w:rPr>
          </w:pPr>
          <w:r>
            <w:rPr/>
            <w:t>B.2</w:t>
          </w:r>
          <w:r>
            <w:rPr>
              <w:rFonts w:eastAsia="DengXian;等线" w:cs="Calibri" w:ascii="Calibri" w:hAnsi="Calibri"/>
              <w:szCs w:val="22"/>
              <w:lang w:val="en-US" w:eastAsia="en-US"/>
            </w:rPr>
            <w:tab/>
          </w:r>
          <w:r>
            <w:rPr>
              <w:rFonts w:eastAsia="Times New Roman"/>
            </w:rPr>
            <w:t>Nchf_SpendingLimitControl Service</w:t>
          </w:r>
          <w:r>
            <w:rPr/>
            <w:tab/>
          </w:r>
          <w:hyperlink w:anchor="__RefHeading___Toc75349582">
            <w:r>
              <w:rPr>
                <w:rStyle w:val="IndexLink"/>
              </w:rPr>
              <w:t>36</w:t>
            </w:r>
          </w:hyperlink>
        </w:p>
        <w:p>
          <w:pPr>
            <w:pStyle w:val="Contents2"/>
            <w:rPr>
              <w:rFonts w:ascii="Calibri" w:hAnsi="Calibri" w:eastAsia="DengXian;等线" w:cs="Calibri"/>
              <w:sz w:val="22"/>
              <w:szCs w:val="22"/>
              <w:lang w:val="en-US" w:eastAsia="en-US"/>
            </w:rPr>
          </w:pPr>
          <w:r>
            <w:rPr/>
            <w:t>B.2.1</w:t>
          </w:r>
          <w:r>
            <w:rPr>
              <w:rFonts w:eastAsia="DengXian;等线" w:cs="Calibri" w:ascii="Calibri" w:hAnsi="Calibri"/>
              <w:sz w:val="22"/>
              <w:szCs w:val="22"/>
              <w:lang w:val="en-US" w:eastAsia="en-US"/>
            </w:rPr>
            <w:tab/>
          </w:r>
          <w:r>
            <w:rPr/>
            <w:t>Service Description</w:t>
            <w:tab/>
          </w:r>
          <w:hyperlink w:anchor="__RefHeading___Toc75349583">
            <w:r>
              <w:rPr>
                <w:rStyle w:val="IndexLink"/>
              </w:rPr>
              <w:t>36</w:t>
            </w:r>
          </w:hyperlink>
        </w:p>
        <w:p>
          <w:pPr>
            <w:pStyle w:val="Contents3"/>
            <w:rPr>
              <w:rFonts w:ascii="Calibri" w:hAnsi="Calibri" w:eastAsia="DengXian;等线" w:cs="Calibri"/>
              <w:sz w:val="22"/>
              <w:szCs w:val="22"/>
              <w:lang w:val="en-US" w:eastAsia="en-US"/>
            </w:rPr>
          </w:pPr>
          <w:r>
            <w:rPr/>
            <w:t>B.2.</w:t>
          </w:r>
          <w:r>
            <w:rPr>
              <w:lang w:val="en-US" w:eastAsia="en-US"/>
            </w:rPr>
            <w:t>1.1</w:t>
          </w:r>
          <w:r>
            <w:rPr>
              <w:rFonts w:eastAsia="DengXian;等线" w:cs="Calibri" w:ascii="Calibri" w:hAnsi="Calibri"/>
              <w:sz w:val="22"/>
              <w:szCs w:val="22"/>
              <w:lang w:val="en-US" w:eastAsia="en-US"/>
            </w:rPr>
            <w:tab/>
          </w:r>
          <w:r>
            <w:rPr>
              <w:lang w:val="en-US" w:eastAsia="en-US"/>
            </w:rPr>
            <w:t>Overview</w:t>
          </w:r>
          <w:r>
            <w:rPr/>
            <w:tab/>
          </w:r>
          <w:hyperlink w:anchor="__RefHeading___Toc75349584">
            <w:r>
              <w:rPr>
                <w:rStyle w:val="IndexLink"/>
              </w:rPr>
              <w:t>36</w:t>
            </w:r>
          </w:hyperlink>
        </w:p>
        <w:p>
          <w:pPr>
            <w:pStyle w:val="Contents3"/>
            <w:rPr>
              <w:rFonts w:ascii="Calibri" w:hAnsi="Calibri" w:eastAsia="DengXian;等线" w:cs="Calibri"/>
              <w:sz w:val="22"/>
              <w:szCs w:val="22"/>
              <w:lang w:val="en-US" w:eastAsia="en-US"/>
            </w:rPr>
          </w:pPr>
          <w:r>
            <w:rPr/>
            <w:t>B.2.1.2</w:t>
          </w:r>
          <w:r>
            <w:rPr>
              <w:rFonts w:eastAsia="DengXian;等线" w:cs="Calibri" w:ascii="Calibri" w:hAnsi="Calibri"/>
              <w:sz w:val="22"/>
              <w:szCs w:val="22"/>
              <w:lang w:val="en-US" w:eastAsia="en-US"/>
            </w:rPr>
            <w:tab/>
          </w:r>
          <w:r>
            <w:rPr/>
            <w:t>Service Architecture</w:t>
            <w:tab/>
          </w:r>
          <w:hyperlink w:anchor="__RefHeading___Toc75349585">
            <w:r>
              <w:rPr>
                <w:rStyle w:val="IndexLink"/>
              </w:rPr>
              <w:t>36</w:t>
            </w:r>
          </w:hyperlink>
        </w:p>
        <w:p>
          <w:pPr>
            <w:pStyle w:val="Contents1"/>
            <w:rPr>
              <w:rFonts w:ascii="Calibri" w:hAnsi="Calibri" w:eastAsia="DengXian;等线" w:cs="Calibri"/>
              <w:szCs w:val="22"/>
              <w:lang w:val="en-US" w:eastAsia="en-US"/>
            </w:rPr>
          </w:pPr>
          <w:r>
            <w:rPr/>
            <w:t>B.3</w:t>
          </w:r>
          <w:r>
            <w:rPr>
              <w:rFonts w:cs="Calibri" w:ascii="Calibri" w:hAnsi="Calibri"/>
              <w:szCs w:val="22"/>
            </w:rPr>
            <w:tab/>
          </w:r>
          <w:r>
            <w:rPr>
              <w:rFonts w:eastAsia="Batang;바탕"/>
              <w:lang w:val="en-US" w:eastAsia="en-US"/>
            </w:rPr>
            <w:t>Service Operation</w:t>
          </w:r>
          <w:r>
            <w:rPr/>
            <w:tab/>
          </w:r>
          <w:hyperlink w:anchor="__RefHeading___Toc75349586">
            <w:r>
              <w:rPr>
                <w:rStyle w:val="IndexLink"/>
              </w:rPr>
              <w:t>37</w:t>
            </w:r>
          </w:hyperlink>
        </w:p>
        <w:p>
          <w:pPr>
            <w:pStyle w:val="Contents2"/>
            <w:rPr>
              <w:rFonts w:ascii="Calibri" w:hAnsi="Calibri" w:eastAsia="DengXian;等线" w:cs="Calibri"/>
              <w:sz w:val="22"/>
              <w:szCs w:val="22"/>
              <w:lang w:val="en-US" w:eastAsia="en-US"/>
            </w:rPr>
          </w:pPr>
          <w:r>
            <w:rPr/>
            <w:t>B.3.1</w:t>
          </w:r>
          <w:r>
            <w:rPr>
              <w:rFonts w:cs="Calibri" w:ascii="Calibri" w:hAnsi="Calibri"/>
              <w:sz w:val="22"/>
              <w:szCs w:val="22"/>
            </w:rPr>
            <w:tab/>
          </w:r>
          <w:r>
            <w:rPr>
              <w:rFonts w:eastAsia="Batang;바탕"/>
              <w:lang w:val="en-US" w:eastAsia="en-US"/>
            </w:rPr>
            <w:t>Introduction</w:t>
          </w:r>
          <w:r>
            <w:rPr/>
            <w:tab/>
          </w:r>
          <w:hyperlink w:anchor="__RefHeading___Toc75349587">
            <w:r>
              <w:rPr>
                <w:rStyle w:val="IndexLink"/>
              </w:rPr>
              <w:t>37</w:t>
            </w:r>
          </w:hyperlink>
        </w:p>
        <w:p>
          <w:pPr>
            <w:pStyle w:val="Contents2"/>
            <w:rPr>
              <w:rFonts w:ascii="Calibri" w:hAnsi="Calibri" w:eastAsia="DengXian;等线" w:cs="Calibri"/>
              <w:sz w:val="22"/>
              <w:szCs w:val="22"/>
              <w:lang w:val="en-US" w:eastAsia="en-US"/>
            </w:rPr>
          </w:pPr>
          <w:r>
            <w:rPr/>
            <w:t>B.3.2</w:t>
          </w:r>
          <w:r>
            <w:rPr>
              <w:rFonts w:cs="Calibri" w:ascii="Calibri" w:hAnsi="Calibri"/>
              <w:sz w:val="22"/>
              <w:szCs w:val="22"/>
            </w:rPr>
            <w:tab/>
          </w:r>
          <w:r>
            <w:rPr>
              <w:rFonts w:eastAsia="Batang;바탕"/>
              <w:lang w:val="en-US" w:eastAsia="en-US"/>
            </w:rPr>
            <w:t>Nchf_</w:t>
          </w:r>
          <w:r>
            <w:rPr/>
            <w:t>SpendingLimitControl_Subscribe</w:t>
          </w:r>
          <w:r>
            <w:rPr>
              <w:rFonts w:eastAsia="Batang;바탕"/>
              <w:lang w:val="en-US" w:eastAsia="en-US"/>
            </w:rPr>
            <w:t xml:space="preserve"> Service Operation</w:t>
          </w:r>
          <w:r>
            <w:rPr/>
            <w:tab/>
          </w:r>
          <w:hyperlink w:anchor="__RefHeading___Toc75349588">
            <w:r>
              <w:rPr>
                <w:rStyle w:val="IndexLink"/>
              </w:rPr>
              <w:t>37</w:t>
            </w:r>
          </w:hyperlink>
        </w:p>
        <w:p>
          <w:pPr>
            <w:pStyle w:val="Contents2"/>
            <w:rPr>
              <w:rFonts w:ascii="Calibri" w:hAnsi="Calibri" w:eastAsia="DengXian;等线" w:cs="Calibri"/>
              <w:sz w:val="22"/>
              <w:szCs w:val="22"/>
              <w:lang w:val="en-US" w:eastAsia="en-US"/>
            </w:rPr>
          </w:pPr>
          <w:r>
            <w:rPr/>
            <w:t>B.3.3</w:t>
          </w:r>
          <w:r>
            <w:rPr>
              <w:rFonts w:cs="Calibri" w:ascii="Calibri" w:hAnsi="Calibri"/>
              <w:sz w:val="22"/>
              <w:szCs w:val="22"/>
            </w:rPr>
            <w:tab/>
          </w:r>
          <w:r>
            <w:rPr/>
            <w:t>Nchf_SpendingLimitControl_Unsubscribe</w:t>
          </w:r>
          <w:r>
            <w:rPr>
              <w:rFonts w:eastAsia="Batang;바탕"/>
              <w:lang w:val="en-US" w:eastAsia="en-US"/>
            </w:rPr>
            <w:t xml:space="preserve"> Service Operation</w:t>
          </w:r>
          <w:r>
            <w:rPr/>
            <w:tab/>
          </w:r>
          <w:hyperlink w:anchor="__RefHeading___Toc75349589">
            <w:r>
              <w:rPr>
                <w:rStyle w:val="IndexLink"/>
              </w:rPr>
              <w:t>37</w:t>
            </w:r>
          </w:hyperlink>
        </w:p>
        <w:p>
          <w:pPr>
            <w:pStyle w:val="Contents2"/>
            <w:rPr>
              <w:rFonts w:ascii="Calibri" w:hAnsi="Calibri" w:eastAsia="DengXian;等线" w:cs="Calibri"/>
              <w:sz w:val="22"/>
              <w:szCs w:val="22"/>
              <w:lang w:val="en-US" w:eastAsia="en-US"/>
            </w:rPr>
          </w:pPr>
          <w:r>
            <w:rPr/>
            <w:t>B.3.4</w:t>
          </w:r>
          <w:r>
            <w:rPr>
              <w:rFonts w:cs="Calibri" w:ascii="Calibri" w:hAnsi="Calibri"/>
              <w:sz w:val="22"/>
              <w:szCs w:val="22"/>
            </w:rPr>
            <w:tab/>
          </w:r>
          <w:r>
            <w:rPr/>
            <w:t>Nchf_SpendingLimitControl_Notify</w:t>
          </w:r>
          <w:r>
            <w:rPr>
              <w:rFonts w:eastAsia="Batang;바탕"/>
              <w:lang w:val="en-US" w:eastAsia="en-US"/>
            </w:rPr>
            <w:t xml:space="preserve"> Service Operation</w:t>
          </w:r>
          <w:r>
            <w:rPr/>
            <w:tab/>
          </w:r>
          <w:hyperlink w:anchor="__RefHeading___Toc75349590">
            <w:r>
              <w:rPr>
                <w:rStyle w:val="IndexLink"/>
              </w:rPr>
              <w:t>37</w:t>
            </w:r>
          </w:hyperlink>
        </w:p>
        <w:p>
          <w:pPr>
            <w:pStyle w:val="Contents8"/>
            <w:rPr>
              <w:rFonts w:ascii="Calibri" w:hAnsi="Calibri" w:eastAsia="DengXian;等线" w:cs="Calibri"/>
              <w:b w:val="false"/>
              <w:b w:val="false"/>
              <w:szCs w:val="22"/>
              <w:lang w:val="en-US" w:eastAsia="en-US"/>
            </w:rPr>
          </w:pPr>
          <w:r>
            <w:rPr/>
            <w:t>Annex C (normative):</w:t>
            <w:tab/>
            <w:t>Wireless and wireline convergence access support</w:t>
            <w:tab/>
          </w:r>
          <w:hyperlink w:anchor="__RefHeading___Toc75349591">
            <w:r>
              <w:rPr>
                <w:rStyle w:val="IndexLink"/>
              </w:rPr>
              <w:t>37</w:t>
            </w:r>
          </w:hyperlink>
        </w:p>
        <w:p>
          <w:pPr>
            <w:pStyle w:val="Contents1"/>
            <w:rPr>
              <w:rFonts w:ascii="Calibri" w:hAnsi="Calibri" w:eastAsia="DengXian;等线" w:cs="Calibri"/>
              <w:szCs w:val="22"/>
              <w:lang w:val="en-US" w:eastAsia="en-US"/>
            </w:rPr>
          </w:pPr>
          <w:r>
            <w:rPr/>
            <w:t>C.1</w:t>
          </w:r>
          <w:r>
            <w:rPr>
              <w:rFonts w:eastAsia="DengXian;等线" w:cs="Calibri" w:ascii="Calibri" w:hAnsi="Calibri"/>
              <w:szCs w:val="22"/>
              <w:lang w:val="en-US" w:eastAsia="en-US"/>
            </w:rPr>
            <w:tab/>
          </w:r>
          <w:r>
            <w:rPr/>
            <w:t>Scope</w:t>
            <w:tab/>
          </w:r>
          <w:hyperlink w:anchor="__RefHeading___Toc75349592">
            <w:r>
              <w:rPr>
                <w:rStyle w:val="IndexLink"/>
              </w:rPr>
              <w:t>37</w:t>
            </w:r>
          </w:hyperlink>
        </w:p>
        <w:p>
          <w:pPr>
            <w:pStyle w:val="Contents1"/>
            <w:rPr>
              <w:rFonts w:ascii="Calibri" w:hAnsi="Calibri" w:eastAsia="DengXian;等线" w:cs="Calibri"/>
              <w:szCs w:val="22"/>
              <w:lang w:val="en-US" w:eastAsia="en-US"/>
            </w:rPr>
          </w:pPr>
          <w:r>
            <w:rPr/>
            <w:t>C.2</w:t>
          </w:r>
          <w:r>
            <w:rPr>
              <w:rFonts w:eastAsia="DengXian;等线" w:cs="Calibri" w:ascii="Calibri" w:hAnsi="Calibri"/>
              <w:szCs w:val="22"/>
              <w:lang w:val="en-US" w:eastAsia="en-US"/>
            </w:rPr>
            <w:tab/>
          </w:r>
          <w:r>
            <w:rPr/>
            <w:t>Nchf_SpendingLimitControl Service</w:t>
            <w:tab/>
          </w:r>
          <w:hyperlink w:anchor="__RefHeading___Toc75349593">
            <w:r>
              <w:rPr>
                <w:rStyle w:val="IndexLink"/>
              </w:rPr>
              <w:t>37</w:t>
            </w:r>
          </w:hyperlink>
        </w:p>
        <w:p>
          <w:pPr>
            <w:pStyle w:val="Contents2"/>
            <w:rPr>
              <w:rFonts w:ascii="Calibri" w:hAnsi="Calibri" w:eastAsia="DengXian;等线" w:cs="Calibri"/>
              <w:sz w:val="22"/>
              <w:szCs w:val="22"/>
              <w:lang w:val="en-US" w:eastAsia="en-US"/>
            </w:rPr>
          </w:pPr>
          <w:r>
            <w:rPr/>
            <w:t>C.2.1</w:t>
          </w:r>
          <w:r>
            <w:rPr>
              <w:rFonts w:eastAsia="DengXian;等线" w:cs="Calibri" w:ascii="Calibri" w:hAnsi="Calibri"/>
              <w:sz w:val="22"/>
              <w:szCs w:val="22"/>
              <w:lang w:val="en-US" w:eastAsia="en-US"/>
            </w:rPr>
            <w:tab/>
          </w:r>
          <w:r>
            <w:rPr/>
            <w:t>Service Description</w:t>
            <w:tab/>
          </w:r>
          <w:hyperlink w:anchor="__RefHeading___Toc75349594">
            <w:r>
              <w:rPr>
                <w:rStyle w:val="IndexLink"/>
              </w:rPr>
              <w:t>37</w:t>
            </w:r>
          </w:hyperlink>
        </w:p>
        <w:p>
          <w:pPr>
            <w:pStyle w:val="Contents3"/>
            <w:rPr>
              <w:rFonts w:ascii="Calibri" w:hAnsi="Calibri" w:eastAsia="DengXian;等线" w:cs="Calibri"/>
              <w:sz w:val="22"/>
              <w:szCs w:val="22"/>
              <w:lang w:val="en-US" w:eastAsia="en-US"/>
            </w:rPr>
          </w:pPr>
          <w:r>
            <w:rPr/>
            <w:t>C.2.</w:t>
          </w:r>
          <w:r>
            <w:rPr>
              <w:lang w:val="en-US" w:eastAsia="en-US"/>
            </w:rPr>
            <w:t>1.1</w:t>
          </w:r>
          <w:r>
            <w:rPr>
              <w:rFonts w:eastAsia="DengXian;等线" w:cs="Calibri" w:ascii="Calibri" w:hAnsi="Calibri"/>
              <w:sz w:val="22"/>
              <w:szCs w:val="22"/>
              <w:lang w:val="en-US" w:eastAsia="en-US"/>
            </w:rPr>
            <w:tab/>
          </w:r>
          <w:r>
            <w:rPr>
              <w:lang w:val="en-US" w:eastAsia="en-US"/>
            </w:rPr>
            <w:t>Overview</w:t>
          </w:r>
          <w:r>
            <w:rPr/>
            <w:tab/>
          </w:r>
          <w:hyperlink w:anchor="__RefHeading___Toc75349595">
            <w:r>
              <w:rPr>
                <w:rStyle w:val="IndexLink"/>
              </w:rPr>
              <w:t>37</w:t>
            </w:r>
          </w:hyperlink>
        </w:p>
        <w:p>
          <w:pPr>
            <w:pStyle w:val="Contents3"/>
            <w:rPr>
              <w:rFonts w:ascii="Calibri" w:hAnsi="Calibri" w:eastAsia="DengXian;等线" w:cs="Calibri"/>
              <w:sz w:val="22"/>
              <w:szCs w:val="22"/>
              <w:lang w:val="en-US" w:eastAsia="en-US"/>
            </w:rPr>
          </w:pPr>
          <w:r>
            <w:rPr/>
            <w:t>C.2.1.2</w:t>
          </w:r>
          <w:r>
            <w:rPr>
              <w:rFonts w:eastAsia="DengXian;等线" w:cs="Calibri" w:ascii="Calibri" w:hAnsi="Calibri"/>
              <w:sz w:val="22"/>
              <w:szCs w:val="22"/>
              <w:lang w:val="en-US" w:eastAsia="en-US"/>
            </w:rPr>
            <w:tab/>
          </w:r>
          <w:r>
            <w:rPr/>
            <w:t>Service Architecture</w:t>
            <w:tab/>
          </w:r>
          <w:hyperlink w:anchor="__RefHeading___Toc75349596">
            <w:r>
              <w:rPr>
                <w:rStyle w:val="IndexLink"/>
              </w:rPr>
              <w:t>37</w:t>
            </w:r>
          </w:hyperlink>
        </w:p>
        <w:p>
          <w:pPr>
            <w:pStyle w:val="Contents1"/>
            <w:rPr>
              <w:rFonts w:ascii="Calibri" w:hAnsi="Calibri" w:eastAsia="DengXian;等线" w:cs="Calibri"/>
              <w:szCs w:val="22"/>
              <w:lang w:val="en-US" w:eastAsia="en-US"/>
            </w:rPr>
          </w:pPr>
          <w:r>
            <w:rPr/>
            <w:t>C.3</w:t>
          </w:r>
          <w:r>
            <w:rPr>
              <w:rFonts w:cs="Calibri" w:ascii="Calibri" w:hAnsi="Calibri"/>
              <w:szCs w:val="22"/>
            </w:rPr>
            <w:tab/>
          </w:r>
          <w:r>
            <w:rPr>
              <w:rFonts w:eastAsia="Batang;바탕"/>
              <w:lang w:val="en-US" w:eastAsia="en-US"/>
            </w:rPr>
            <w:t>Service Operation</w:t>
          </w:r>
          <w:r>
            <w:rPr/>
            <w:tab/>
          </w:r>
          <w:hyperlink w:anchor="__RefHeading___Toc75349597">
            <w:r>
              <w:rPr>
                <w:rStyle w:val="IndexLink"/>
              </w:rPr>
              <w:t>38</w:t>
            </w:r>
          </w:hyperlink>
        </w:p>
        <w:p>
          <w:pPr>
            <w:pStyle w:val="Contents2"/>
            <w:rPr>
              <w:rFonts w:ascii="Calibri" w:hAnsi="Calibri" w:eastAsia="DengXian;等线" w:cs="Calibri"/>
              <w:sz w:val="22"/>
              <w:szCs w:val="22"/>
              <w:lang w:val="en-US" w:eastAsia="en-US"/>
            </w:rPr>
          </w:pPr>
          <w:r>
            <w:rPr/>
            <w:t>C.3.1</w:t>
          </w:r>
          <w:r>
            <w:rPr>
              <w:rFonts w:cs="Calibri" w:ascii="Calibri" w:hAnsi="Calibri"/>
              <w:sz w:val="22"/>
              <w:szCs w:val="22"/>
            </w:rPr>
            <w:tab/>
          </w:r>
          <w:r>
            <w:rPr>
              <w:rFonts w:eastAsia="Batang;바탕"/>
              <w:lang w:val="en-US" w:eastAsia="en-US"/>
            </w:rPr>
            <w:t>Introduction</w:t>
          </w:r>
          <w:r>
            <w:rPr/>
            <w:tab/>
          </w:r>
          <w:hyperlink w:anchor="__RefHeading___Toc75349598">
            <w:r>
              <w:rPr>
                <w:rStyle w:val="IndexLink"/>
              </w:rPr>
              <w:t>38</w:t>
            </w:r>
          </w:hyperlink>
        </w:p>
        <w:p>
          <w:pPr>
            <w:pStyle w:val="Contents2"/>
            <w:rPr>
              <w:rFonts w:ascii="Calibri" w:hAnsi="Calibri" w:eastAsia="DengXian;等线" w:cs="Calibri"/>
              <w:sz w:val="22"/>
              <w:szCs w:val="22"/>
              <w:lang w:val="en-US" w:eastAsia="en-US"/>
            </w:rPr>
          </w:pPr>
          <w:r>
            <w:rPr/>
            <w:t>C.3.2</w:t>
          </w:r>
          <w:r>
            <w:rPr>
              <w:rFonts w:cs="Calibri" w:ascii="Calibri" w:hAnsi="Calibri"/>
              <w:sz w:val="22"/>
              <w:szCs w:val="22"/>
            </w:rPr>
            <w:tab/>
          </w:r>
          <w:r>
            <w:rPr>
              <w:rFonts w:eastAsia="Batang;바탕"/>
              <w:lang w:val="en-US" w:eastAsia="en-US"/>
            </w:rPr>
            <w:t>Nchf_SpendingLimitControl_Subscribe Service Operation</w:t>
          </w:r>
          <w:r>
            <w:rPr/>
            <w:tab/>
          </w:r>
          <w:hyperlink w:anchor="__RefHeading___Toc75349599">
            <w:r>
              <w:rPr>
                <w:rStyle w:val="IndexLink"/>
              </w:rPr>
              <w:t>38</w:t>
            </w:r>
          </w:hyperlink>
        </w:p>
        <w:p>
          <w:pPr>
            <w:pStyle w:val="Contents3"/>
            <w:rPr>
              <w:rFonts w:ascii="Calibri" w:hAnsi="Calibri" w:eastAsia="DengXian;等线" w:cs="Calibri"/>
              <w:sz w:val="22"/>
              <w:szCs w:val="22"/>
              <w:lang w:val="en-US" w:eastAsia="en-US"/>
            </w:rPr>
          </w:pPr>
          <w:r>
            <w:rPr/>
            <w:t>C.3.</w:t>
          </w:r>
          <w:r>
            <w:rPr>
              <w:lang w:val="en-US" w:eastAsia="en-US"/>
            </w:rPr>
            <w:t>2.1</w:t>
          </w:r>
          <w:r>
            <w:rPr>
              <w:rFonts w:eastAsia="DengXian;等线" w:cs="Calibri" w:ascii="Calibri" w:hAnsi="Calibri"/>
              <w:sz w:val="22"/>
              <w:szCs w:val="22"/>
              <w:lang w:val="en-US" w:eastAsia="en-US"/>
            </w:rPr>
            <w:tab/>
          </w:r>
          <w:r>
            <w:rPr>
              <w:lang w:val="en-US" w:eastAsia="en-US"/>
            </w:rPr>
            <w:t>General</w:t>
          </w:r>
          <w:r>
            <w:rPr/>
            <w:tab/>
          </w:r>
          <w:hyperlink w:anchor="__RefHeading___Toc75349600">
            <w:r>
              <w:rPr>
                <w:rStyle w:val="IndexLink"/>
              </w:rPr>
              <w:t>38</w:t>
            </w:r>
          </w:hyperlink>
        </w:p>
        <w:p>
          <w:pPr>
            <w:pStyle w:val="Contents2"/>
            <w:rPr>
              <w:rFonts w:ascii="Calibri" w:hAnsi="Calibri" w:eastAsia="DengXian;等线" w:cs="Calibri"/>
              <w:sz w:val="22"/>
              <w:szCs w:val="22"/>
              <w:lang w:val="en-US" w:eastAsia="en-US"/>
            </w:rPr>
          </w:pPr>
          <w:r>
            <w:rPr/>
            <w:t>C.3.3</w:t>
          </w:r>
          <w:r>
            <w:rPr>
              <w:rFonts w:cs="Calibri" w:ascii="Calibri" w:hAnsi="Calibri"/>
              <w:sz w:val="22"/>
              <w:szCs w:val="22"/>
            </w:rPr>
            <w:tab/>
          </w:r>
          <w:r>
            <w:rPr/>
            <w:t>Nchf_SpendingLimitControl_Unsubscribe</w:t>
          </w:r>
          <w:r>
            <w:rPr>
              <w:rFonts w:eastAsia="Batang;바탕"/>
              <w:lang w:val="en-US" w:eastAsia="en-US"/>
            </w:rPr>
            <w:t xml:space="preserve"> Service Operation</w:t>
          </w:r>
          <w:r>
            <w:rPr/>
            <w:tab/>
          </w:r>
          <w:hyperlink w:anchor="__RefHeading___Toc75349601">
            <w:r>
              <w:rPr>
                <w:rStyle w:val="IndexLink"/>
              </w:rPr>
              <w:t>38</w:t>
            </w:r>
          </w:hyperlink>
        </w:p>
        <w:p>
          <w:pPr>
            <w:pStyle w:val="Contents2"/>
            <w:rPr>
              <w:rFonts w:ascii="Calibri" w:hAnsi="Calibri" w:eastAsia="DengXian;等线" w:cs="Calibri"/>
              <w:sz w:val="22"/>
              <w:szCs w:val="22"/>
              <w:lang w:val="en-US" w:eastAsia="en-US"/>
            </w:rPr>
          </w:pPr>
          <w:r>
            <w:rPr/>
            <w:t>C.3.4</w:t>
          </w:r>
          <w:r>
            <w:rPr>
              <w:rFonts w:cs="Calibri" w:ascii="Calibri" w:hAnsi="Calibri"/>
              <w:sz w:val="22"/>
              <w:szCs w:val="22"/>
            </w:rPr>
            <w:tab/>
          </w:r>
          <w:r>
            <w:rPr/>
            <w:t>Nchf_SpendingLimitControl_Notify</w:t>
          </w:r>
          <w:r>
            <w:rPr>
              <w:rFonts w:eastAsia="Batang;바탕"/>
              <w:lang w:val="en-US" w:eastAsia="en-US"/>
            </w:rPr>
            <w:t xml:space="preserve"> Service Operation</w:t>
          </w:r>
          <w:r>
            <w:rPr/>
            <w:tab/>
          </w:r>
          <w:hyperlink w:anchor="__RefHeading___Toc75349602">
            <w:r>
              <w:rPr>
                <w:rStyle w:val="IndexLink"/>
              </w:rPr>
              <w:t>38</w:t>
            </w:r>
          </w:hyperlink>
        </w:p>
        <w:p>
          <w:pPr>
            <w:pStyle w:val="Contents8"/>
            <w:rPr>
              <w:rFonts w:ascii="Calibri" w:hAnsi="Calibri" w:eastAsia="DengXian;等线" w:cs="Calibri"/>
              <w:szCs w:val="22"/>
              <w:lang w:val="en-US" w:eastAsia="en-US"/>
            </w:rPr>
          </w:pPr>
          <w:r>
            <w:rPr>
              <w:b w:val="false"/>
            </w:rPr>
            <w:t>Annex D (informative):</w:t>
          </w:r>
          <w:r>
            <w:rPr>
              <w:rFonts w:eastAsia="DengXian;等线" w:cs="Calibri" w:ascii="Calibri" w:hAnsi="Calibri"/>
              <w:b w:val="false"/>
              <w:szCs w:val="22"/>
              <w:lang w:val="en-US" w:eastAsia="en-US"/>
            </w:rPr>
            <w:tab/>
          </w:r>
          <w:r>
            <w:rPr>
              <w:b w:val="false"/>
            </w:rPr>
            <w:t xml:space="preserve"> Change history</w:t>
            <w:tab/>
          </w:r>
          <w:hyperlink w:anchor="__RefHeading___Toc75349603">
            <w:r>
              <w:rPr>
                <w:rStyle w:val="IndexLink"/>
                <w:b w:val="false"/>
              </w:rPr>
              <w:t>39</w:t>
            </w:r>
          </w:hyperlink>
          <w:r>
            <w:rPr>
              <w:rStyle w:val="IndexLink"/>
              <w:b w:val="false"/>
            </w:rPr>
            <w:fldChar w:fldCharType="end"/>
          </w:r>
        </w:p>
      </w:sdtContent>
    </w:sdt>
    <w:p>
      <w:pPr>
        <w:pStyle w:val="Normal"/>
        <w:rPr>
          <w:rFonts w:ascii="Calibri" w:hAnsi="Calibri" w:eastAsia="DengXian;等线" w:cs="Calibri"/>
          <w:b/>
          <w:b/>
          <w:sz w:val="22"/>
          <w:szCs w:val="22"/>
          <w:lang w:val="en-US" w:eastAsia="zh-CN"/>
        </w:rPr>
      </w:pPr>
      <w:r>
        <w:rPr>
          <w:rFonts w:eastAsia="DengXian;等线" w:cs="Calibri" w:ascii="Calibri" w:hAnsi="Calibri"/>
          <w:b/>
          <w:sz w:val="22"/>
          <w:szCs w:val="22"/>
          <w:lang w:val="en-US" w:eastAsia="zh-CN"/>
        </w:rPr>
      </w:r>
      <w:r>
        <w:br w:type="page"/>
      </w:r>
    </w:p>
    <w:p>
      <w:pPr>
        <w:pStyle w:val="Heading1"/>
        <w:ind w:left="1134" w:hanging="1134"/>
        <w:rPr/>
      </w:pPr>
      <w:bookmarkStart w:id="7" w:name="__RefHeading___Toc75349496"/>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lang w:eastAsia="zh-CN"/>
        </w:rPr>
      </w:pPr>
      <w:r>
        <w:rPr/>
        <w:t>z</w:t>
        <w:tab/>
        <w:t>the third digit is incremented when editorial only changes have been incorporated in the document.</w:t>
      </w:r>
      <w:r>
        <w:br w:type="page"/>
      </w:r>
    </w:p>
    <w:p>
      <w:pPr>
        <w:pStyle w:val="Heading1"/>
        <w:ind w:left="1134" w:hanging="1134"/>
        <w:rPr/>
      </w:pPr>
      <w:bookmarkStart w:id="8" w:name="__RefHeading___Toc75349497"/>
      <w:bookmarkEnd w:id="8"/>
      <w:r>
        <w:rPr/>
        <w:t>1</w:t>
        <w:tab/>
        <w:t>Scope</w:t>
      </w:r>
    </w:p>
    <w:p>
      <w:pPr>
        <w:pStyle w:val="Normal"/>
        <w:rPr/>
      </w:pPr>
      <w:r>
        <w:rPr/>
        <w:t>The present specification provides the stage 3 definition of the Spending Limit Control Service of the 5G System.</w:t>
      </w:r>
    </w:p>
    <w:p>
      <w:pPr>
        <w:pStyle w:val="Normal"/>
        <w:rPr/>
      </w:pPr>
      <w:r>
        <w:rPr/>
        <w:t>The 5G System Architecture is defined in 3GPP TS 23.501 [2]. The stage 2 definition and related procedures for the Spending Limit Control Service are specified in 3GPP TS 23.502 [3] and 3GPP TS 23.503 [6].</w:t>
      </w:r>
    </w:p>
    <w:p>
      <w:pPr>
        <w:pStyle w:val="Normal"/>
        <w:rPr/>
      </w:pPr>
      <w:r>
        <w:rPr/>
        <w:t>The 5G System stage 3 call flows are provided in 3GPP TS 29.513 [12].</w:t>
      </w:r>
    </w:p>
    <w:p>
      <w:pPr>
        <w:pStyle w:val="Normal"/>
        <w:rPr/>
      </w:pPr>
      <w:r>
        <w:rPr/>
        <w:t>The Technical Realization of the Service Based Architecture and the Principles and Guidelines for Services Definition are specified in 3GPP TS 29.500 [4] and 3GPP TS 29.501 [5].</w:t>
      </w:r>
    </w:p>
    <w:p>
      <w:pPr>
        <w:pStyle w:val="Normal"/>
        <w:rPr/>
      </w:pPr>
      <w:r>
        <w:rPr/>
        <w:t>The Spending Limit Control Service is provided by the Charging Function (CHF) and enables the NF service consumer to retrieve policy counter status information. The internal CHF functionality for policy counter management provisioning is specified in 3GPP TS 32.240 [7].</w:t>
      </w:r>
    </w:p>
    <w:p>
      <w:pPr>
        <w:pStyle w:val="Heading1"/>
        <w:ind w:left="1134" w:hanging="1134"/>
        <w:rPr/>
      </w:pPr>
      <w:bookmarkStart w:id="9" w:name="__RefHeading___Toc75349498"/>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TS 23.501: "System Architecture for the 5G System; Stage 2".</w:t>
      </w:r>
    </w:p>
    <w:p>
      <w:pPr>
        <w:pStyle w:val="EX"/>
        <w:rPr/>
      </w:pPr>
      <w:r>
        <w:rPr/>
        <w:t>[3]</w:t>
        <w:tab/>
        <w:t>3GPP TS 23.502: "Procedures for the 5G System; Stage 2".</w:t>
      </w:r>
    </w:p>
    <w:p>
      <w:pPr>
        <w:pStyle w:val="EX"/>
        <w:rPr/>
      </w:pPr>
      <w:r>
        <w:rPr/>
        <w:t>[4]</w:t>
        <w:tab/>
        <w:t>3GPP TS 29.500: "5G System; Technical Realization of Service Based Architecture; Stage 3".</w:t>
      </w:r>
    </w:p>
    <w:p>
      <w:pPr>
        <w:pStyle w:val="EX"/>
        <w:rPr/>
      </w:pPr>
      <w:r>
        <w:rPr/>
        <w:t>[5]</w:t>
        <w:tab/>
        <w:t>3GPP TS 29.501: "5G System; Principles and Guidelines for Services Definition; Stage 3".</w:t>
      </w:r>
    </w:p>
    <w:p>
      <w:pPr>
        <w:pStyle w:val="EX"/>
        <w:rPr/>
      </w:pPr>
      <w:r>
        <w:rPr/>
        <w:t>[6]</w:t>
        <w:tab/>
        <w:t>3GPP TS 23.503: "Policy and Charging Control Framework for the 5G System; Stage 2".</w:t>
      </w:r>
    </w:p>
    <w:p>
      <w:pPr>
        <w:pStyle w:val="EX"/>
        <w:rPr/>
      </w:pPr>
      <w:r>
        <w:rPr/>
        <w:t>[7]</w:t>
        <w:tab/>
        <w:t>3GPP TS 32.240: "Charging architecture and principles; Stage 2".</w:t>
      </w:r>
    </w:p>
    <w:p>
      <w:pPr>
        <w:pStyle w:val="EX"/>
        <w:rPr/>
      </w:pPr>
      <w:r>
        <w:rPr/>
        <w:t>[8]</w:t>
        <w:tab/>
        <w:t>IETF RFC 7540: "Hypertext Transfer Protocol Version 2 (HTTP/2)".</w:t>
      </w:r>
    </w:p>
    <w:p>
      <w:pPr>
        <w:pStyle w:val="EX"/>
        <w:rPr/>
      </w:pPr>
      <w:r>
        <w:rPr/>
        <w:t>[9]</w:t>
        <w:tab/>
        <w:t xml:space="preserve">OpenAPI: "OpenAPI 3.0.0 Specification", </w:t>
      </w:r>
      <w:hyperlink r:id="rId12">
        <w:r>
          <w:rPr>
            <w:rStyle w:val="InternetLink"/>
          </w:rPr>
          <w:t>https://github.com/OAI/OpenAPI-Specification/blob/master/versions/3.0.0.md</w:t>
        </w:r>
      </w:hyperlink>
      <w:r>
        <w:rPr/>
        <w:t>.</w:t>
      </w:r>
    </w:p>
    <w:p>
      <w:pPr>
        <w:pStyle w:val="EX"/>
        <w:rPr/>
      </w:pPr>
      <w:r>
        <w:rPr>
          <w:lang w:eastAsia="zh-CN"/>
        </w:rPr>
        <w:t>[10]</w:t>
        <w:tab/>
        <w:t>IETF RFC 8259: "The JavaScript Object Notation (JSON) Data Interchange Format".</w:t>
      </w:r>
    </w:p>
    <w:p>
      <w:pPr>
        <w:pStyle w:val="EX"/>
        <w:rPr/>
      </w:pPr>
      <w:r>
        <w:rPr>
          <w:lang w:eastAsia="zh-CN"/>
        </w:rPr>
        <w:t>[11]</w:t>
        <w:tab/>
      </w:r>
      <w:r>
        <w:rPr/>
        <w:t>3GPP TS 29.571: "</w:t>
      </w:r>
      <w:r>
        <w:rPr>
          <w:lang w:val="en-US" w:eastAsia="en-US"/>
        </w:rPr>
        <w:t xml:space="preserve">5G System; </w:t>
      </w:r>
      <w:r>
        <w:rPr/>
        <w:t>Common Data Types for Service Based Interfaces".</w:t>
      </w:r>
    </w:p>
    <w:p>
      <w:pPr>
        <w:pStyle w:val="EX"/>
        <w:rPr/>
      </w:pPr>
      <w:r>
        <w:rPr>
          <w:lang w:val="en-US" w:eastAsia="en-US"/>
        </w:rPr>
        <w:t>[12]</w:t>
        <w:tab/>
        <w:t>3GPP TS 29.513: "5G System; Policy and Charging Control signalling flows and QoS parameter mapping; Stage 3".</w:t>
      </w:r>
    </w:p>
    <w:p>
      <w:pPr>
        <w:pStyle w:val="EX"/>
        <w:rPr/>
      </w:pPr>
      <w:r>
        <w:rPr/>
        <w:t>[13]</w:t>
        <w:tab/>
        <w:t>IETF RFC 7807: "Problem Details for HTTP APIs".</w:t>
      </w:r>
    </w:p>
    <w:p>
      <w:pPr>
        <w:pStyle w:val="EX"/>
        <w:rPr/>
      </w:pPr>
      <w:r>
        <w:rPr/>
        <w:t>[14]</w:t>
        <w:tab/>
        <w:t>3GPP TS 33.501: "Security architecture and procedures for 5G system".</w:t>
      </w:r>
    </w:p>
    <w:p>
      <w:pPr>
        <w:pStyle w:val="EX"/>
        <w:rPr/>
      </w:pPr>
      <w:r>
        <w:rPr/>
        <w:t>[15]</w:t>
        <w:tab/>
        <w:t>IETF RFC 6749: "The OAuth 2.0 Authorization Framework".</w:t>
      </w:r>
    </w:p>
    <w:p>
      <w:pPr>
        <w:pStyle w:val="EX"/>
        <w:rPr/>
      </w:pPr>
      <w:r>
        <w:rPr/>
        <w:t>[16]</w:t>
        <w:tab/>
        <w:t>3GPP TS 29.510: "5G System; Network Function Repository Services; Stage 3".</w:t>
      </w:r>
    </w:p>
    <w:p>
      <w:pPr>
        <w:pStyle w:val="EX"/>
        <w:rPr/>
      </w:pPr>
      <w:r>
        <w:rPr/>
        <w:t>[17]</w:t>
        <w:tab/>
        <w:t>3GPP TR 21.900: "Technical Specification Group working methods".</w:t>
      </w:r>
    </w:p>
    <w:p>
      <w:pPr>
        <w:pStyle w:val="EX"/>
        <w:rPr/>
      </w:pPr>
      <w:r>
        <w:rPr/>
        <w:t>[18]</w:t>
        <w:tab/>
        <w:t>3GPP TS 29.512: "5G System; Session Management Policy Control Service; Stage 3".</w:t>
      </w:r>
    </w:p>
    <w:p>
      <w:pPr>
        <w:pStyle w:val="EX"/>
        <w:rPr/>
      </w:pPr>
      <w:r>
        <w:rPr/>
        <w:t>[19]</w:t>
        <w:tab/>
        <w:t>3GPP TS 23.316: "Wireless and wireline convergence access support for the 5G System (5GS)".</w:t>
      </w:r>
    </w:p>
    <w:p>
      <w:pPr>
        <w:pStyle w:val="Heading1"/>
        <w:ind w:left="1134" w:hanging="1134"/>
        <w:rPr/>
      </w:pPr>
      <w:bookmarkStart w:id="10" w:name="__RefHeading___Toc75349499"/>
      <w:bookmarkEnd w:id="10"/>
      <w:r>
        <w:rPr/>
        <w:t>3</w:t>
        <w:tab/>
        <w:t>Definitions</w:t>
      </w:r>
      <w:r>
        <w:rPr/>
        <w:t xml:space="preserve"> </w:t>
      </w:r>
      <w:r>
        <w:rPr/>
        <w:t>and abbreviations</w:t>
      </w:r>
    </w:p>
    <w:p>
      <w:pPr>
        <w:pStyle w:val="Heading2"/>
        <w:rPr/>
      </w:pPr>
      <w:bookmarkStart w:id="11" w:name="__RefHeading___Toc75349500"/>
      <w:bookmarkEnd w:id="11"/>
      <w:r>
        <w:rPr/>
        <w:t>3.1</w:t>
        <w:tab/>
        <w:t>Definitions</w:t>
      </w:r>
    </w:p>
    <w:p>
      <w:pPr>
        <w:pStyle w:val="Normal"/>
        <w:rPr/>
      </w:pPr>
      <w:r>
        <w:rPr/>
        <w:t>For the purposes of the present document, the terms and definitions given in 3GPP TR 21.905 [1] and the following apply. A term defined in the present document takes precedence over the definition of the same term, if any, in 3GPP TR 21.905 [1].</w:t>
      </w:r>
    </w:p>
    <w:p>
      <w:pPr>
        <w:pStyle w:val="Normal"/>
        <w:keepNext w:val="true"/>
        <w:keepLines/>
        <w:rPr/>
      </w:pPr>
      <w:r>
        <w:rPr>
          <w:b/>
          <w:bCs/>
        </w:rPr>
        <w:t>Nc</w:t>
      </w:r>
      <w:r>
        <w:rPr>
          <w:b/>
          <w:bCs/>
        </w:rPr>
        <w:t>hf:</w:t>
      </w:r>
      <w:r>
        <w:rPr/>
        <w:t xml:space="preserve"> Service-based interface exhibited by Charging Function.</w:t>
      </w:r>
      <w:r>
        <w:rPr>
          <w:b/>
          <w:bCs/>
        </w:rPr>
        <w:t xml:space="preserve"> </w:t>
      </w:r>
    </w:p>
    <w:p>
      <w:pPr>
        <w:pStyle w:val="Heading2"/>
        <w:rPr/>
      </w:pPr>
      <w:bookmarkStart w:id="12" w:name="__RefHeading___Toc75349501"/>
      <w:bookmarkEnd w:id="12"/>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keepNext w:val="true"/>
        <w:rPr/>
      </w:pPr>
      <w:r>
        <w:rPr/>
        <w:t>5G-RG</w:t>
        <w:tab/>
        <w:t>5G Residential Gateway</w:t>
      </w:r>
    </w:p>
    <w:p>
      <w:pPr>
        <w:pStyle w:val="EW"/>
        <w:rPr/>
      </w:pPr>
      <w:r>
        <w:rPr/>
        <w:t>CCS</w:t>
        <w:tab/>
        <w:t>Converged Charging System</w:t>
      </w:r>
    </w:p>
    <w:p>
      <w:pPr>
        <w:pStyle w:val="EW"/>
        <w:rPr/>
      </w:pPr>
      <w:r>
        <w:rPr/>
        <w:t>CHF</w:t>
        <w:tab/>
        <w:t>Charging Function</w:t>
      </w:r>
    </w:p>
    <w:p>
      <w:pPr>
        <w:pStyle w:val="EW"/>
        <w:keepNext w:val="true"/>
        <w:rPr/>
      </w:pPr>
      <w:r>
        <w:rPr/>
        <w:t>FN-RG</w:t>
        <w:tab/>
        <w:t>Fixed Network Residential Gateway</w:t>
      </w:r>
    </w:p>
    <w:p>
      <w:pPr>
        <w:pStyle w:val="EW"/>
        <w:rPr/>
      </w:pPr>
      <w:r>
        <w:rPr/>
        <w:t>GCI</w:t>
        <w:tab/>
      </w:r>
      <w:r>
        <w:rPr>
          <w:lang w:eastAsia="zh-CN"/>
        </w:rPr>
        <w:t>Global Cable Identifier</w:t>
      </w:r>
    </w:p>
    <w:p>
      <w:pPr>
        <w:pStyle w:val="EW"/>
        <w:rPr/>
      </w:pPr>
      <w:r>
        <w:rPr/>
        <w:t>GLI</w:t>
        <w:tab/>
      </w:r>
      <w:r>
        <w:rPr>
          <w:lang w:eastAsia="zh-CN"/>
        </w:rPr>
        <w:t>Global Line Identifier</w:t>
      </w:r>
    </w:p>
    <w:p>
      <w:pPr>
        <w:pStyle w:val="EW"/>
        <w:rPr/>
      </w:pPr>
      <w:r>
        <w:rPr/>
        <w:t>CTS</w:t>
        <w:tab/>
        <w:t>Charging Trigger Function</w:t>
      </w:r>
    </w:p>
    <w:p>
      <w:pPr>
        <w:pStyle w:val="EW"/>
        <w:rPr/>
      </w:pPr>
      <w:r>
        <w:rPr/>
        <w:t>GPSI</w:t>
        <w:tab/>
        <w:t>Generic Public Subscription Identifier</w:t>
      </w:r>
    </w:p>
    <w:p>
      <w:pPr>
        <w:pStyle w:val="EW"/>
        <w:rPr/>
      </w:pPr>
      <w:r>
        <w:rPr/>
        <w:t>NF</w:t>
        <w:tab/>
        <w:t>Network Function</w:t>
      </w:r>
    </w:p>
    <w:p>
      <w:pPr>
        <w:pStyle w:val="EW"/>
        <w:rPr/>
      </w:pPr>
      <w:r>
        <w:rPr/>
        <w:t>NRF</w:t>
        <w:tab/>
        <w:t>Network Repository Function</w:t>
      </w:r>
    </w:p>
    <w:p>
      <w:pPr>
        <w:pStyle w:val="EW"/>
        <w:rPr/>
      </w:pPr>
      <w:r>
        <w:rPr/>
        <w:t>PCF</w:t>
        <w:tab/>
        <w:t>Policy Control Function</w:t>
      </w:r>
    </w:p>
    <w:p>
      <w:pPr>
        <w:pStyle w:val="EW"/>
        <w:rPr>
          <w:lang w:bidi="ar-IQ"/>
        </w:rPr>
      </w:pPr>
      <w:r>
        <w:rPr>
          <w:lang w:bidi="ar-IQ"/>
        </w:rPr>
        <w:t>SUPI</w:t>
        <w:tab/>
        <w:t>Subscription Permanent Identifier</w:t>
      </w:r>
    </w:p>
    <w:p>
      <w:pPr>
        <w:pStyle w:val="EW"/>
        <w:rPr>
          <w:lang w:eastAsia="ko-KR"/>
        </w:rPr>
      </w:pPr>
      <w:r>
        <w:rPr/>
        <w:t>W-AGF</w:t>
        <w:tab/>
        <w:t>Wireline Access Gateway Function</w:t>
      </w:r>
    </w:p>
    <w:p>
      <w:pPr>
        <w:pStyle w:val="Heading1"/>
        <w:ind w:left="1134" w:hanging="1134"/>
        <w:rPr>
          <w:rFonts w:eastAsia="Times New Roman"/>
        </w:rPr>
      </w:pPr>
      <w:bookmarkStart w:id="13" w:name="__RefHeading___Toc75349502"/>
      <w:bookmarkEnd w:id="13"/>
      <w:r>
        <w:rPr>
          <w:rFonts w:eastAsia="Times New Roman"/>
        </w:rPr>
        <w:t>4</w:t>
        <w:tab/>
        <w:t>Nchf_SpendingLimitControl Service</w:t>
      </w:r>
    </w:p>
    <w:p>
      <w:pPr>
        <w:pStyle w:val="Heading2"/>
        <w:rPr/>
      </w:pPr>
      <w:bookmarkStart w:id="14" w:name="__RefHeading___Toc75349503"/>
      <w:bookmarkEnd w:id="14"/>
      <w:r>
        <w:rPr/>
        <w:t>4.1</w:t>
        <w:tab/>
        <w:t>Service Description</w:t>
      </w:r>
    </w:p>
    <w:p>
      <w:pPr>
        <w:pStyle w:val="Heading3"/>
        <w:rPr>
          <w:lang w:eastAsia="zh-CN"/>
        </w:rPr>
      </w:pPr>
      <w:bookmarkStart w:id="15" w:name="__RefHeading___Toc75349504"/>
      <w:bookmarkEnd w:id="15"/>
      <w:r>
        <w:rPr/>
        <w:t>4.</w:t>
      </w:r>
      <w:r>
        <w:rPr>
          <w:lang w:eastAsia="zh-CN"/>
        </w:rPr>
        <w:t>1</w:t>
      </w:r>
      <w:r>
        <w:rPr>
          <w:lang w:eastAsia="zh-CN"/>
        </w:rPr>
        <w:t>.1</w:t>
      </w:r>
      <w:r>
        <w:rPr/>
        <w:tab/>
      </w:r>
      <w:r>
        <w:rPr>
          <w:lang w:eastAsia="zh-CN"/>
        </w:rPr>
        <w:t>Overview</w:t>
      </w:r>
    </w:p>
    <w:p>
      <w:pPr>
        <w:pStyle w:val="Normal"/>
        <w:rPr/>
      </w:pPr>
      <w:r>
        <w:rPr/>
        <w:t>The Nchf_SpendingLimitControl service, as defined in 3GPP TS23.502 [3] and 3GPP TS23.503 [6], is provided by the Charging Function (CHF).</w:t>
      </w:r>
    </w:p>
    <w:p>
      <w:pPr>
        <w:pStyle w:val="Normal"/>
        <w:rPr/>
      </w:pPr>
      <w:r>
        <w:rPr/>
        <w:t>The Nchf_SpendingLimitControl service enables the NF service consumer (i.e. PCF) to retrieve policy counter status information and spending limit reporting per UE from the CHF.</w:t>
      </w:r>
    </w:p>
    <w:p>
      <w:pPr>
        <w:pStyle w:val="Normal"/>
        <w:rPr/>
      </w:pPr>
      <w:r>
        <w:rPr/>
        <w:t>If the spending limit reporting is no more required the Nchf_SpendingLimitControl service enables the NF service consumer to unsubscribe from the reporting.</w:t>
      </w:r>
    </w:p>
    <w:p>
      <w:pPr>
        <w:pStyle w:val="Normal"/>
        <w:rPr>
          <w:lang w:val="en-US" w:eastAsia="zh-CN"/>
        </w:rPr>
      </w:pPr>
      <w:r>
        <w:rPr/>
        <w:t>Nchf_SpendingLimitControl Service applies to the cases where the PCF interacts with the CHF in the non-roaming scenario, and the H-PCF interacts with the H-CHF in the home-routed scenario.</w:t>
      </w:r>
    </w:p>
    <w:p>
      <w:pPr>
        <w:pStyle w:val="Heading3"/>
        <w:rPr/>
      </w:pPr>
      <w:bookmarkStart w:id="16" w:name="__RefHeading___Toc75349505"/>
      <w:bookmarkEnd w:id="16"/>
      <w:r>
        <w:rPr/>
        <w:t>4.1</w:t>
      </w:r>
      <w:r>
        <w:rPr/>
        <w:t>.2</w:t>
      </w:r>
      <w:r>
        <w:rPr/>
        <w:tab/>
      </w:r>
      <w:r>
        <w:rPr/>
        <w:t>Service Architecture</w:t>
      </w:r>
    </w:p>
    <w:p>
      <w:pPr>
        <w:pStyle w:val="Normal"/>
        <w:rPr/>
      </w:pPr>
      <w:r>
        <w:rPr>
          <w:lang w:val="en-US"/>
        </w:rPr>
        <w:t>The Nchf_SpendingLimitControl service is provided by the CHF and consumed by the PCF, as shown in figure 4.1.2-1 for the SBI representation model and in figure 4.1.2-2 for the reference point representation model.</w:t>
      </w:r>
    </w:p>
    <w:p>
      <w:pPr>
        <w:pStyle w:val="TH"/>
        <w:rPr>
          <w:lang w:val="en-US"/>
        </w:rPr>
      </w:pPr>
      <w:r>
        <w:rPr>
          <w:lang w:val="en-US"/>
        </w:rPr>
        <w:object w:dxaOrig="5850" w:dyaOrig="3015">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292.5pt;height:150.75pt" filled="f" o:ole="">
            <v:imagedata r:id="rId14" o:title=""/>
          </v:shape>
          <o:OLEObject Type="Embed" ProgID="" ShapeID="ole_rId13" DrawAspect="Content" ObjectID="_374651588" r:id="rId13"/>
        </w:object>
      </w:r>
    </w:p>
    <w:p>
      <w:pPr>
        <w:pStyle w:val="TF"/>
        <w:rPr/>
      </w:pPr>
      <w:r>
        <w:rPr/>
        <w:t>Figure 4.1.2-</w:t>
      </w:r>
      <w:r>
        <w:rPr/>
        <w:fldChar w:fldCharType="begin"/>
      </w:r>
      <w:r>
        <w:rPr/>
        <w:instrText xml:space="preserve"> SEQ Figure \* ARABIC </w:instrText>
      </w:r>
      <w:r>
        <w:rPr/>
        <w:fldChar w:fldCharType="separate"/>
      </w:r>
      <w:r>
        <w:rPr/>
        <w:t>1</w:t>
      </w:r>
      <w:r>
        <w:rPr/>
        <w:fldChar w:fldCharType="end"/>
      </w:r>
      <w:r>
        <w:rPr/>
        <w:t>: Nchf_SpendingLimitControl service architecture, SBI representation</w:t>
      </w:r>
    </w:p>
    <w:p>
      <w:pPr>
        <w:pStyle w:val="TH"/>
        <w:rPr>
          <w:lang w:val="en-US"/>
        </w:rPr>
      </w:pPr>
      <w:r>
        <w:rPr>
          <w:lang w:val="en-US"/>
        </w:rPr>
        <w:object w:dxaOrig="5850" w:dyaOrig="3015">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292.5pt;height:150.75pt" filled="f" o:ole="">
            <v:imagedata r:id="rId16" o:title=""/>
          </v:shape>
          <o:OLEObject Type="Embed" ProgID="" ShapeID="ole_rId15" DrawAspect="Content" ObjectID="_928272395" r:id="rId15"/>
        </w:object>
      </w:r>
    </w:p>
    <w:p>
      <w:pPr>
        <w:pStyle w:val="TF"/>
        <w:rPr/>
      </w:pPr>
      <w:r>
        <w:rPr/>
        <w:t>Figure 4.1.2-2: Nchf_SpendingLimitControl service architecture, reference point representation</w:t>
      </w:r>
    </w:p>
    <w:p>
      <w:pPr>
        <w:pStyle w:val="Heading3"/>
        <w:rPr/>
      </w:pPr>
      <w:bookmarkStart w:id="17" w:name="__RefHeading___Toc75349506"/>
      <w:bookmarkEnd w:id="17"/>
      <w:r>
        <w:rPr>
          <w:lang w:val="en-US"/>
        </w:rPr>
        <w:t>4.</w:t>
      </w:r>
      <w:r>
        <w:rPr>
          <w:lang w:val="en-US" w:eastAsia="zh-CN"/>
        </w:rPr>
        <w:t>1.3</w:t>
      </w:r>
      <w:r>
        <w:rPr>
          <w:lang w:val="en-US"/>
        </w:rPr>
        <w:tab/>
        <w:t>Network Functions</w:t>
      </w:r>
    </w:p>
    <w:p>
      <w:pPr>
        <w:pStyle w:val="Heading4"/>
        <w:ind w:left="1418" w:hanging="1418"/>
        <w:rPr/>
      </w:pPr>
      <w:bookmarkStart w:id="18" w:name="__RefHeading___Toc75349507"/>
      <w:bookmarkEnd w:id="18"/>
      <w:r>
        <w:rPr/>
        <w:t>4.</w:t>
      </w:r>
      <w:r>
        <w:rPr>
          <w:lang w:eastAsia="zh-CN"/>
        </w:rPr>
        <w:t>1.3.1</w:t>
      </w:r>
      <w:r>
        <w:rPr/>
        <w:tab/>
      </w:r>
      <w:r>
        <w:rPr>
          <w:lang w:eastAsia="zh-CN"/>
        </w:rPr>
        <w:t>Charging Function (CHF)</w:t>
      </w:r>
    </w:p>
    <w:p>
      <w:pPr>
        <w:pStyle w:val="Normal"/>
        <w:rPr/>
      </w:pPr>
      <w:r>
        <w:rPr/>
        <w:t>The Charging Function (CHF) is part of the Converged Charging System (CCS). The CHF provides the Nchf_SpendingLimitControl service and is specified in 3GPP TS 32.240 [7].</w:t>
      </w:r>
    </w:p>
    <w:p>
      <w:pPr>
        <w:pStyle w:val="Heading4"/>
        <w:ind w:left="1418" w:hanging="1418"/>
        <w:rPr/>
      </w:pPr>
      <w:bookmarkStart w:id="19" w:name="__RefHeading___Toc75349508"/>
      <w:bookmarkEnd w:id="19"/>
      <w:r>
        <w:rPr/>
        <w:t>4.</w:t>
      </w:r>
      <w:r>
        <w:rPr>
          <w:lang w:eastAsia="zh-CN"/>
        </w:rPr>
        <w:t>1.3.2</w:t>
      </w:r>
      <w:r>
        <w:rPr/>
        <w:tab/>
      </w:r>
      <w:r>
        <w:rPr>
          <w:lang w:eastAsia="zh-CN"/>
        </w:rPr>
        <w:t>NF Service Consumers</w:t>
      </w:r>
    </w:p>
    <w:p>
      <w:pPr>
        <w:pStyle w:val="Normal"/>
        <w:rPr/>
      </w:pPr>
      <w:r>
        <w:rPr/>
        <w:t>The PCF is the known NF service consumer, as defined in 3GPP TS 23.502 [3]. The NF service consumer accesses policy counter status information relating to the subscriber spending from the CHF and uses the status of each relevant policy counter as input to its policy decision as required by the decision logic.</w:t>
      </w:r>
    </w:p>
    <w:p>
      <w:pPr>
        <w:pStyle w:val="Heading2"/>
        <w:rPr/>
      </w:pPr>
      <w:bookmarkStart w:id="20" w:name="__RefHeading___Toc75349509"/>
      <w:bookmarkEnd w:id="20"/>
      <w:r>
        <w:rPr>
          <w:lang w:val="en-US"/>
        </w:rPr>
        <w:t>4.</w:t>
      </w:r>
      <w:r>
        <w:rPr>
          <w:lang w:val="en-US" w:eastAsia="zh-CN"/>
        </w:rPr>
        <w:t>2</w:t>
      </w:r>
      <w:r>
        <w:rPr>
          <w:lang w:val="en-US"/>
        </w:rPr>
        <w:tab/>
      </w:r>
      <w:r>
        <w:rPr>
          <w:lang w:val="en-US" w:eastAsia="zh-CN"/>
        </w:rPr>
        <w:t>Service Operations</w:t>
      </w:r>
    </w:p>
    <w:p>
      <w:pPr>
        <w:pStyle w:val="Heading3"/>
        <w:rPr>
          <w:lang w:eastAsia="zh-CN"/>
        </w:rPr>
      </w:pPr>
      <w:bookmarkStart w:id="21" w:name="__RefHeading___Toc75349510"/>
      <w:bookmarkEnd w:id="21"/>
      <w:r>
        <w:rPr/>
        <w:t>4.</w:t>
      </w:r>
      <w:r>
        <w:rPr>
          <w:lang w:eastAsia="zh-CN"/>
        </w:rPr>
        <w:t>2</w:t>
      </w:r>
      <w:r>
        <w:rPr/>
        <w:t>.1</w:t>
        <w:tab/>
        <w:t>Introduction</w:t>
      </w:r>
    </w:p>
    <w:p>
      <w:pPr>
        <w:pStyle w:val="Normal"/>
        <w:rPr/>
      </w:pPr>
      <w:r>
        <w:rPr/>
        <w:t>The service operations defined for the Nchf_SpendingLimitControl service are shown in table 4.2.1-1.</w:t>
      </w:r>
    </w:p>
    <w:p>
      <w:pPr>
        <w:pStyle w:val="TH"/>
        <w:rPr>
          <w:i/>
          <w:i/>
        </w:rPr>
      </w:pPr>
      <w:r>
        <w:rPr>
          <w:i/>
        </w:rPr>
        <w:t>Table 4.2.1-</w:t>
      </w:r>
      <w:r>
        <w:rPr>
          <w:i/>
        </w:rPr>
        <w:fldChar w:fldCharType="begin"/>
      </w:r>
      <w:r>
        <w:rPr>
          <w:i/>
        </w:rPr>
        <w:instrText xml:space="preserve"> SEQ Table \* ARABIC </w:instrText>
      </w:r>
      <w:r>
        <w:rPr>
          <w:i/>
        </w:rPr>
        <w:fldChar w:fldCharType="separate"/>
      </w:r>
      <w:r>
        <w:rPr>
          <w:i/>
        </w:rPr>
        <w:t>1</w:t>
      </w:r>
      <w:r>
        <w:rPr>
          <w:i/>
        </w:rPr>
        <w:fldChar w:fldCharType="end"/>
      </w:r>
      <w:r>
        <w:rPr>
          <w:i/>
        </w:rPr>
        <w:t>: Nchf_SpendingLimitControl Service Operations</w:t>
      </w:r>
    </w:p>
    <w:tbl>
      <w:tblPr>
        <w:tblW w:w="9356" w:type="dxa"/>
        <w:jc w:val="left"/>
        <w:tblInd w:w="137" w:type="dxa"/>
        <w:tblLayout w:type="fixed"/>
        <w:tblCellMar>
          <w:top w:w="0" w:type="dxa"/>
          <w:left w:w="115" w:type="dxa"/>
          <w:bottom w:w="0" w:type="dxa"/>
          <w:right w:w="115" w:type="dxa"/>
        </w:tblCellMar>
      </w:tblPr>
      <w:tblGrid>
        <w:gridCol w:w="3544"/>
        <w:gridCol w:w="3969"/>
        <w:gridCol w:w="1843"/>
      </w:tblGrid>
      <w:tr>
        <w:trPr>
          <w:tblHeader w:val="true"/>
          <w:cantSplit w:val="true"/>
        </w:trPr>
        <w:tc>
          <w:tcPr>
            <w:tcW w:w="3544" w:type="dxa"/>
            <w:tcBorders>
              <w:top w:val="single" w:sz="4" w:space="0" w:color="000000"/>
              <w:left w:val="single" w:sz="4" w:space="0" w:color="000000"/>
              <w:bottom w:val="single" w:sz="4" w:space="0" w:color="000000"/>
              <w:right w:val="single" w:sz="4" w:space="0" w:color="000000"/>
            </w:tcBorders>
            <w:shd w:fill="F2F2F2" w:val="clear"/>
          </w:tcPr>
          <w:p>
            <w:pPr>
              <w:pStyle w:val="Normal"/>
              <w:keepNext w:val="true"/>
              <w:keepLines/>
              <w:spacing w:before="0" w:after="0"/>
              <w:jc w:val="center"/>
              <w:rPr>
                <w:rFonts w:ascii="Arial" w:hAnsi="Arial" w:cs="Arial"/>
                <w:b/>
                <w:b/>
                <w:sz w:val="18"/>
              </w:rPr>
            </w:pPr>
            <w:r>
              <w:rPr>
                <w:rFonts w:cs="Arial" w:ascii="Arial" w:hAnsi="Arial"/>
                <w:b/>
                <w:sz w:val="18"/>
              </w:rPr>
              <w:t>Service operation name</w:t>
            </w:r>
          </w:p>
        </w:tc>
        <w:tc>
          <w:tcPr>
            <w:tcW w:w="3969" w:type="dxa"/>
            <w:tcBorders>
              <w:top w:val="single" w:sz="4" w:space="0" w:color="000000"/>
              <w:left w:val="single" w:sz="4" w:space="0" w:color="000000"/>
              <w:bottom w:val="single" w:sz="4" w:space="0" w:color="000000"/>
              <w:right w:val="single" w:sz="4" w:space="0" w:color="000000"/>
            </w:tcBorders>
            <w:shd w:fill="F2F2F2" w:val="clear"/>
          </w:tcPr>
          <w:p>
            <w:pPr>
              <w:pStyle w:val="Normal"/>
              <w:keepNext w:val="true"/>
              <w:keepLines/>
              <w:spacing w:before="0" w:after="0"/>
              <w:jc w:val="center"/>
              <w:rPr>
                <w:rFonts w:ascii="Arial" w:hAnsi="Arial" w:cs="Arial"/>
                <w:b/>
                <w:b/>
                <w:sz w:val="18"/>
              </w:rPr>
            </w:pPr>
            <w:r>
              <w:rPr>
                <w:rFonts w:cs="Arial" w:ascii="Arial" w:hAnsi="Arial"/>
                <w:b/>
                <w:sz w:val="18"/>
              </w:rPr>
              <w:t>Description</w:t>
            </w:r>
          </w:p>
        </w:tc>
        <w:tc>
          <w:tcPr>
            <w:tcW w:w="1843" w:type="dxa"/>
            <w:tcBorders>
              <w:top w:val="single" w:sz="4" w:space="0" w:color="000000"/>
              <w:left w:val="single" w:sz="4" w:space="0" w:color="000000"/>
              <w:bottom w:val="single" w:sz="4" w:space="0" w:color="000000"/>
              <w:right w:val="single" w:sz="4" w:space="0" w:color="000000"/>
            </w:tcBorders>
            <w:shd w:fill="F2F2F2" w:val="clear"/>
          </w:tcPr>
          <w:p>
            <w:pPr>
              <w:pStyle w:val="Normal"/>
              <w:keepNext w:val="true"/>
              <w:keepLines/>
              <w:spacing w:before="0" w:after="0"/>
              <w:rPr>
                <w:rFonts w:ascii="Arial" w:hAnsi="Arial" w:cs="Arial"/>
                <w:b/>
                <w:b/>
                <w:sz w:val="18"/>
              </w:rPr>
            </w:pPr>
            <w:r>
              <w:rPr>
                <w:rFonts w:cs="Arial" w:ascii="Arial" w:hAnsi="Arial"/>
                <w:b/>
                <w:sz w:val="18"/>
              </w:rPr>
              <w:t>Initiated by</w:t>
            </w:r>
          </w:p>
        </w:tc>
      </w:tr>
      <w:tr>
        <w:trPr>
          <w:cantSplit w:val="true"/>
        </w:trPr>
        <w:tc>
          <w:tcPr>
            <w:tcW w:w="354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Nchf_SpendingLimitControl_Subscribe</w:t>
            </w:r>
          </w:p>
        </w:tc>
        <w:tc>
          <w:tcPr>
            <w:tcW w:w="396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This service operation is used by an NF service consumer to subscribe to notification of changes in the status of the policy counters available and retrieval of the status of the policy counters for which subscription is accepted.</w:t>
            </w:r>
          </w:p>
        </w:tc>
        <w:tc>
          <w:tcPr>
            <w:tcW w:w="184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NF service consumer (PCF)</w:t>
            </w:r>
          </w:p>
        </w:tc>
      </w:tr>
      <w:tr>
        <w:trPr>
          <w:cantSplit w:val="true"/>
        </w:trPr>
        <w:tc>
          <w:tcPr>
            <w:tcW w:w="354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Nchf_SpendingLimitControl_Unsubscribe</w:t>
            </w:r>
          </w:p>
        </w:tc>
        <w:tc>
          <w:tcPr>
            <w:tcW w:w="396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This service operation is used by an NF service consumer to unsubscribe from notification of changes in the status of all policy counters.</w:t>
            </w:r>
          </w:p>
        </w:tc>
        <w:tc>
          <w:tcPr>
            <w:tcW w:w="184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NF service consumer (PCF)</w:t>
            </w:r>
          </w:p>
        </w:tc>
      </w:tr>
      <w:tr>
        <w:trPr>
          <w:cantSplit w:val="true"/>
        </w:trPr>
        <w:tc>
          <w:tcPr>
            <w:tcW w:w="354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Nchf_SpendingLimitControl_Notify</w:t>
            </w:r>
          </w:p>
        </w:tc>
        <w:tc>
          <w:tcPr>
            <w:tcW w:w="396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This service operation is used by the CHF to notify the NF service consumers about the change of the status of the subscribed policy counters. A</w:t>
            </w:r>
            <w:r>
              <w:rPr>
                <w:rFonts w:cs="Arial" w:ascii="Arial" w:hAnsi="Arial"/>
                <w:sz w:val="18"/>
                <w:szCs w:val="18"/>
              </w:rPr>
              <w:t>lternatively, it can be used by the CHF to notify that the status for one or multiple subscribed policy counter will change in the future, indicating the time when this change shall be applied. Alternatively, it is also used to notify the NF service consumer of the removal of a subscriber from the CHF system for the purpose that the NF service consumer can terminate the subscriptions of all policy counters of the subscriber.</w:t>
            </w:r>
          </w:p>
        </w:tc>
        <w:tc>
          <w:tcPr>
            <w:tcW w:w="184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CHF</w:t>
            </w:r>
          </w:p>
        </w:tc>
      </w:tr>
    </w:tbl>
    <w:p>
      <w:pPr>
        <w:pStyle w:val="Normal"/>
        <w:rPr>
          <w:lang w:val="en-US" w:eastAsia="zh-CN"/>
        </w:rPr>
      </w:pPr>
      <w:r>
        <w:rPr>
          <w:lang w:val="en-US" w:eastAsia="zh-CN"/>
        </w:rPr>
      </w:r>
    </w:p>
    <w:p>
      <w:pPr>
        <w:pStyle w:val="Heading3"/>
        <w:rPr/>
      </w:pPr>
      <w:bookmarkStart w:id="22" w:name="__RefHeading___Toc75349511"/>
      <w:bookmarkEnd w:id="22"/>
      <w:r>
        <w:rPr/>
        <w:t>4.2.2</w:t>
        <w:tab/>
        <w:t>Nchf_SpendingLimitControl_Subscribe service operation</w:t>
      </w:r>
    </w:p>
    <w:p>
      <w:pPr>
        <w:pStyle w:val="Heading4"/>
        <w:ind w:left="1418" w:hanging="1418"/>
        <w:rPr/>
      </w:pPr>
      <w:bookmarkStart w:id="23" w:name="__RefHeading___Toc75349512"/>
      <w:bookmarkEnd w:id="23"/>
      <w:r>
        <w:rPr/>
        <w:t>4.2.2.1</w:t>
        <w:tab/>
        <w:t>General</w:t>
      </w:r>
    </w:p>
    <w:p>
      <w:pPr>
        <w:pStyle w:val="Normal"/>
        <w:rPr/>
      </w:pPr>
      <w:r>
        <w:rPr>
          <w:rFonts w:eastAsia="DengXian;等线"/>
        </w:rPr>
        <w:t>The Nchf_SpendingLimitControl_Subscribe service operation is used by the NF service consumer to subscribe to notification of changes in the status of the policy counters available and to retrieve the status of the policy counters for which the subscription is accepted. The following procedures are related to the subscribe service operation:</w:t>
      </w:r>
    </w:p>
    <w:p>
      <w:pPr>
        <w:pStyle w:val="B1"/>
        <w:rPr/>
      </w:pPr>
      <w:r>
        <w:rPr/>
        <w:t>-</w:t>
        <w:tab/>
        <w:t>initial spending limit retrieval; and</w:t>
      </w:r>
    </w:p>
    <w:p>
      <w:pPr>
        <w:pStyle w:val="B1"/>
        <w:rPr>
          <w:rFonts w:eastAsia="DengXian;等线"/>
        </w:rPr>
      </w:pPr>
      <w:r>
        <w:rPr>
          <w:rFonts w:eastAsia="DengXian;等线"/>
        </w:rPr>
        <w:t>-</w:t>
        <w:tab/>
      </w:r>
      <w:r>
        <w:rPr/>
        <w:t>intermediate spending limit report retrieval.</w:t>
      </w:r>
    </w:p>
    <w:p>
      <w:pPr>
        <w:pStyle w:val="Heading4"/>
        <w:ind w:left="1418" w:hanging="1418"/>
        <w:rPr/>
      </w:pPr>
      <w:bookmarkStart w:id="24" w:name="__RefHeading___Toc75349513"/>
      <w:bookmarkEnd w:id="24"/>
      <w:r>
        <w:rPr/>
        <w:t>4.2.2.2</w:t>
        <w:tab/>
        <w:t>Initial spending limit retrieval</w:t>
      </w:r>
    </w:p>
    <w:p>
      <w:pPr>
        <w:pStyle w:val="Normal"/>
        <w:rPr/>
      </w:pPr>
      <w:r>
        <w:rPr/>
        <w:t>Figure 4.2.2.2-1 shows the scenario where the NF service consumer sends a request to the CHF to retrieve the status of policy counters available at the CHF and to subscribe to spending limit reporting (see also 3GPP TS 23.502 [3], figure 4.16.8.2.1).</w:t>
      </w:r>
    </w:p>
    <w:p>
      <w:pPr>
        <w:pStyle w:val="TH"/>
        <w:rPr>
          <w:lang w:val="en-US"/>
        </w:rPr>
      </w:pPr>
      <w:r>
        <w:rPr>
          <w:lang w:val="en-US"/>
        </w:rPr>
        <w:object w:dxaOrig="7635" w:dyaOrig="2790">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381.75pt;height:139.5pt" filled="f" o:ole="">
            <v:imagedata r:id="rId18" o:title=""/>
          </v:shape>
          <o:OLEObject Type="Embed" ProgID="" ShapeID="ole_rId17" DrawAspect="Content" ObjectID="_1035260510" r:id="rId17"/>
        </w:object>
      </w:r>
    </w:p>
    <w:p>
      <w:pPr>
        <w:pStyle w:val="TF"/>
        <w:rPr/>
      </w:pPr>
      <w:r>
        <w:rPr/>
        <w:t>Figure 4.2.2.2-1: NF service consumer subscribes to retrieve policy counter status and spending limit reporting</w:t>
      </w:r>
    </w:p>
    <w:p>
      <w:pPr>
        <w:pStyle w:val="Normal"/>
        <w:rPr/>
      </w:pPr>
      <w:r>
        <w:rPr/>
        <w:t>The NF service consumer shall send an HTTP POST request to the resource "{apiRoot}/nchf-spendinglimitcontrol/v1/subscriptions" representing the "Spending Limit Retrieval Subscriptions", as shown in figure 4.2.2.2-1, step 1, to create a subscription for retrieval of the policy counter status and spending limit reporting.</w:t>
      </w:r>
    </w:p>
    <w:p>
      <w:pPr>
        <w:pStyle w:val="Normal"/>
        <w:rPr/>
      </w:pPr>
      <w:r>
        <w:rPr>
          <w:rFonts w:eastAsia="DengXian;等线"/>
        </w:rPr>
        <w:t xml:space="preserve">The </w:t>
      </w:r>
      <w:r>
        <w:rPr/>
        <w:t xml:space="preserve">"SpendingLimitContext" </w:t>
      </w:r>
      <w:r>
        <w:rPr>
          <w:rFonts w:eastAsia="DengXian;等线"/>
        </w:rPr>
        <w:t>data structure provided in the request body shall include:</w:t>
      </w:r>
    </w:p>
    <w:p>
      <w:pPr>
        <w:pStyle w:val="B1"/>
        <w:rPr/>
      </w:pPr>
      <w:r>
        <w:rPr/>
        <w:t>-</w:t>
        <w:tab/>
        <w:t xml:space="preserve">the </w:t>
      </w:r>
      <w:r>
        <w:rPr>
          <w:lang w:bidi="ar-IQ"/>
        </w:rPr>
        <w:t>Subscription Permanent Identifier</w:t>
      </w:r>
      <w:r>
        <w:rPr/>
        <w:t xml:space="preserve"> (SUPI) encoded in the "supi" attribute;</w:t>
      </w:r>
    </w:p>
    <w:p>
      <w:pPr>
        <w:pStyle w:val="B1"/>
        <w:rPr/>
      </w:pPr>
      <w:r>
        <w:rPr/>
        <w:t>-</w:t>
        <w:tab/>
        <w:t>the notification correlation target address encoded in the "notifUri" attribute; and</w:t>
      </w:r>
    </w:p>
    <w:p>
      <w:pPr>
        <w:pStyle w:val="B1"/>
        <w:rPr/>
      </w:pPr>
      <w:r>
        <w:rPr/>
        <w:t>-</w:t>
        <w:tab/>
        <w:t xml:space="preserve">If the feature "NotificationCorrelation" is supported, a Notification Correlation Identifier assigned by the NF service consumer for the requested notifications encoded in the "notifId" attribute, if the "notifUri" does not encode within the provided URI the notification correlation Id. </w:t>
      </w:r>
    </w:p>
    <w:p>
      <w:pPr>
        <w:pStyle w:val="NO"/>
        <w:rPr>
          <w:lang w:eastAsia="zh-CN"/>
        </w:rPr>
      </w:pPr>
      <w:r>
        <w:rPr/>
        <w:t>NOTE:</w:t>
        <w:tab/>
        <w:t>NF service consumer (i.e. PCF) ensures the combination of notifUri and notifId is unique per subscription in the whole network, including multiple network slices scenario.</w:t>
      </w:r>
    </w:p>
    <w:p>
      <w:pPr>
        <w:pStyle w:val="Normal"/>
        <w:rPr/>
      </w:pPr>
      <w:r>
        <w:rPr/>
        <w:t>The "SpendingLimitContext" data structure provided in the request body may include:</w:t>
      </w:r>
    </w:p>
    <w:p>
      <w:pPr>
        <w:pStyle w:val="B1"/>
        <w:rPr/>
      </w:pPr>
      <w:r>
        <w:rPr/>
        <w:t>-</w:t>
        <w:tab/>
        <w:t>the General Public Subscription Identifier (GPSI) encoded in the "gpsi" attribute;</w:t>
      </w:r>
    </w:p>
    <w:p>
      <w:pPr>
        <w:pStyle w:val="B1"/>
        <w:rPr/>
      </w:pPr>
      <w:r>
        <w:rPr/>
        <w:t>-</w:t>
        <w:tab/>
        <w:t>Event Filter information "list of policy counter identifier(s)" encoded in the "policyCounterIds" attribute. The "policyCounterIds" attribute shall contain the list of policy counter identifiers to be subscribed to. If the "policyCounterIds" attribute is omitted, the subscription is to all available policy counters; and</w:t>
      </w:r>
    </w:p>
    <w:p>
      <w:pPr>
        <w:pStyle w:val="B1"/>
        <w:rPr/>
      </w:pPr>
      <w:r>
        <w:rPr/>
        <w:t>-</w:t>
        <w:tab/>
        <w:t>when the feature "SubscriptionExpirationTimeControl" is supported by the NF service consumer, the NF service consumer may include an expiry time encoded in the "expiry" attribute, representing the time up to which the subscription is desired to be kept active. When the "expiry" attribute is omitted in the request, it represents the NF service consumer does not have any time constraint in the duration of the subscription.</w:t>
      </w:r>
    </w:p>
    <w:p>
      <w:pPr>
        <w:pStyle w:val="Normal"/>
        <w:rPr/>
      </w:pPr>
      <w:r>
        <w:rPr/>
        <w:t xml:space="preserve">If the CHF cannot successfully fulfil the received HTTP POST request due to an internal CHF error or due to the error in the HTTP POST request, the CHF shall send the HTTP error response as specified in subclause 5.7. </w:t>
      </w:r>
    </w:p>
    <w:p>
      <w:pPr>
        <w:pStyle w:val="Normal"/>
        <w:rPr/>
      </w:pPr>
      <w:r>
        <w:rPr/>
        <w:t xml:space="preserve">If the subscriber specified in the request is unknown to the CHF, the CHF shall indicate in an HTTP "400 Bad Request" response the cause for the rejection with the "cause" attribute set to "USER_UNKNOWN". </w:t>
      </w:r>
    </w:p>
    <w:p>
      <w:pPr>
        <w:pStyle w:val="Normal"/>
        <w:rPr/>
      </w:pPr>
      <w:r>
        <w:rPr/>
        <w:t xml:space="preserve">If the CHF has no available policy counters specified for the subscriber, the CHF shall indicate in an HTTP "400 Bad Request" response the cause for the rejection with the "cause" attribute set to "NO_AVAILABLE_POLICY_COUNTERS ". </w:t>
      </w:r>
    </w:p>
    <w:p>
      <w:pPr>
        <w:pStyle w:val="Normal"/>
        <w:rPr/>
      </w:pPr>
      <w:r>
        <w:rPr/>
        <w:t>If one or more policy counters specified in the request in the "policyCounterIds" attribute are unknown to the CHF, and the CHF is configured to reject request, the CHF shall indicate in an HTTP "400 Bad Request" response the cause for the rejection with the "cause" attribute set to "UNKNOWN_POLICY_COUNTERS" and the unknown policy counter identifiers within the "invalidParams" attribute.</w:t>
      </w:r>
    </w:p>
    <w:p>
      <w:pPr>
        <w:pStyle w:val="Normal"/>
        <w:rPr/>
      </w:pPr>
      <w:r>
        <w:rPr/>
        <w:t xml:space="preserve">Otherwise, </w:t>
      </w:r>
      <w:r>
        <w:rPr>
          <w:rFonts w:eastAsia="DengXian;等线"/>
        </w:rPr>
        <w:t>upon the reception of an HTTP POST request the CHF shall:</w:t>
      </w:r>
    </w:p>
    <w:p>
      <w:pPr>
        <w:pStyle w:val="B1"/>
        <w:rPr/>
      </w:pPr>
      <w:r>
        <w:rPr/>
        <w:t>-</w:t>
        <w:tab/>
        <w:t xml:space="preserve">create a new subscription resource, which contains the list of the policy counters included in the </w:t>
      </w:r>
      <w:r>
        <w:rPr>
          <w:rFonts w:eastAsia="DengXian;等线"/>
        </w:rPr>
        <w:t>"policyCounterIds" attribute, or if the "policyCounterIds" attribute is omitted, all the policy counters of the subscriber</w:t>
      </w:r>
      <w:r>
        <w:rPr/>
        <w:t>;</w:t>
      </w:r>
    </w:p>
    <w:p>
      <w:pPr>
        <w:pStyle w:val="B1"/>
        <w:rPr/>
      </w:pPr>
      <w:r>
        <w:rPr/>
        <w:t>-</w:t>
        <w:tab/>
        <w:t>assign a subscriptionId; and</w:t>
      </w:r>
    </w:p>
    <w:p>
      <w:pPr>
        <w:pStyle w:val="B1"/>
        <w:rPr/>
      </w:pPr>
      <w:r>
        <w:rPr/>
        <w:t>-</w:t>
        <w:tab/>
        <w:t>store the subscription resource.</w:t>
      </w:r>
    </w:p>
    <w:p>
      <w:pPr>
        <w:pStyle w:val="Normal"/>
        <w:rPr/>
      </w:pPr>
      <w:r>
        <w:rPr>
          <w:rFonts w:eastAsia="DengXian;等线"/>
        </w:rPr>
        <w:t>After the CHF created an "Individual Spending Limit Retrieval Subscription" resource, the CHF shall respond with "201 Created" response with a Location header field containing the URI of the created subscription resource and the message body containing a representation of the created subscription, as shown in figure 4.2.2.2-1, step 2.</w:t>
      </w:r>
    </w:p>
    <w:p>
      <w:pPr>
        <w:pStyle w:val="Normal"/>
        <w:rPr>
          <w:rFonts w:eastAsia="DengXian;等线"/>
        </w:rPr>
      </w:pPr>
      <w:r>
        <w:rPr>
          <w:rFonts w:eastAsia="DengXian;等线"/>
        </w:rPr>
        <w:t>The SpendingLimitStatus data structure provided in the response body shall include</w:t>
      </w:r>
      <w:r>
        <w:rPr/>
        <w:t xml:space="preserve"> the status of the requested subscribed policy counters in the </w:t>
      </w:r>
      <w:r>
        <w:rPr>
          <w:rFonts w:eastAsia="DengXian;等线"/>
        </w:rPr>
        <w:t>"statusInfos" map, where every PolicyCounterInfo entry shall contain:</w:t>
      </w:r>
    </w:p>
    <w:p>
      <w:pPr>
        <w:pStyle w:val="B1"/>
        <w:rPr/>
      </w:pPr>
      <w:r>
        <w:rPr/>
        <w:t>-</w:t>
        <w:tab/>
        <w:t>the policy counter identifier in the "policyCounterId" attribute; and</w:t>
      </w:r>
    </w:p>
    <w:p>
      <w:pPr>
        <w:pStyle w:val="B1"/>
        <w:rPr/>
      </w:pPr>
      <w:r>
        <w:rPr/>
        <w:t>-</w:t>
        <w:tab/>
        <w:t>the policy counter status in the "currentStatus" attribute.</w:t>
      </w:r>
    </w:p>
    <w:p>
      <w:pPr>
        <w:pStyle w:val="Normal"/>
        <w:rPr/>
      </w:pPr>
      <w:r>
        <w:rPr/>
        <w:t xml:space="preserve">When a requested policy counter identifier is known by the CHF, but it is not applicable to the subscriber (e.g. not provisioned), the CHF may include it in the </w:t>
      </w:r>
      <w:r>
        <w:rPr>
          <w:rFonts w:eastAsia="DengXian;等线"/>
        </w:rPr>
        <w:t>"statusInfos" map,</w:t>
      </w:r>
      <w:r>
        <w:rPr/>
        <w:t xml:space="preserve"> and set the </w:t>
      </w:r>
      <w:r>
        <w:rPr>
          <w:rFonts w:eastAsia="DengXian;等线"/>
        </w:rPr>
        <w:t>"currentStatus" attribute to</w:t>
      </w:r>
      <w:r>
        <w:rPr/>
        <w:t xml:space="preserve"> an operator configured policy counter status to indicate this to the NF service consumer.</w:t>
      </w:r>
    </w:p>
    <w:p>
      <w:pPr>
        <w:pStyle w:val="Normal"/>
        <w:rPr/>
      </w:pPr>
      <w:r>
        <w:rPr/>
        <w:t xml:space="preserve">When one or more policy counters specified in the request in the "policyCounterIds" attribute are unknown to the CHF, and the CHF is configured to accept the request, the CHF may include the unknown policy counters in the </w:t>
      </w:r>
      <w:r>
        <w:rPr>
          <w:rFonts w:eastAsia="DengXian;等线"/>
        </w:rPr>
        <w:t>"statusInfos" map,</w:t>
      </w:r>
      <w:r>
        <w:rPr/>
        <w:t xml:space="preserve"> and set the </w:t>
      </w:r>
      <w:r>
        <w:rPr>
          <w:rFonts w:eastAsia="DengXian;等线"/>
        </w:rPr>
        <w:t>"currentStatus" attribute to</w:t>
      </w:r>
      <w:r>
        <w:rPr/>
        <w:t xml:space="preserve"> an operator configured policy counter status to indicate this to the NF service consumer.</w:t>
      </w:r>
    </w:p>
    <w:p>
      <w:pPr>
        <w:pStyle w:val="Normal"/>
        <w:rPr/>
      </w:pPr>
      <w:r>
        <w:rPr/>
        <w:t>A PolicyCounterInfo data structure may include the list of the pending policy counter statuses and their activation times within the attribute "penPolCounterStatuses".</w:t>
      </w:r>
    </w:p>
    <w:p>
      <w:pPr>
        <w:pStyle w:val="Normal"/>
        <w:rPr>
          <w:rFonts w:eastAsia="DengXian;等线"/>
        </w:rPr>
      </w:pPr>
      <w:r>
        <w:rPr/>
        <w:t>When the feature "SubscriptionExpirationTimeControl" is supported, the CHF may include the "expiry" attribute, representing the time up to which the subscription shall be kept active. If an expiry time was included in the subscription request, then the expiry time shall be returned in the response, and the value shall be less than or equal to the requested value. When the "expiry" attribute is omitted in the request and in the response, it represents neither the CHF or the NF service consumer have time constrains in the duration of the subscription and shall be kept active till the explicit subscription termination as described in subclause</w:t>
      </w:r>
      <w:r>
        <w:rPr>
          <w:rFonts w:eastAsia="DengXian;等线"/>
        </w:rPr>
        <w:t> 4.2.3.2 and subclause 4.2.4.3.</w:t>
      </w:r>
    </w:p>
    <w:p>
      <w:pPr>
        <w:pStyle w:val="NO"/>
        <w:rPr/>
      </w:pPr>
      <w:r>
        <w:rPr/>
        <w:t>NOTE 1:</w:t>
        <w:tab/>
        <w:t>If the NF Service Consumer does not include a expiry time in the request, the CHF can include a expiry time in the response that represents the time after which the subscription becomes invalid.</w:t>
      </w:r>
    </w:p>
    <w:p>
      <w:pPr>
        <w:pStyle w:val="NO"/>
        <w:rPr/>
      </w:pPr>
      <w:r>
        <w:rPr/>
        <w:t>NOTE 2:</w:t>
        <w:tab/>
        <w:t>Once the subscription expires, if the NF service consumer wants to keep receiving notifications, it needs to create a new subscription in the CHF, as specified in this subclause.</w:t>
      </w:r>
    </w:p>
    <w:p>
      <w:pPr>
        <w:pStyle w:val="Heading4"/>
        <w:ind w:left="1418" w:hanging="1418"/>
        <w:rPr/>
      </w:pPr>
      <w:bookmarkStart w:id="25" w:name="__RefHeading___Toc75349514"/>
      <w:bookmarkEnd w:id="25"/>
      <w:r>
        <w:rPr/>
        <w:t>4.2.2.3</w:t>
        <w:tab/>
        <w:t>Intermediate spending limit report retrieval</w:t>
      </w:r>
    </w:p>
    <w:p>
      <w:pPr>
        <w:pStyle w:val="Normal"/>
        <w:rPr/>
      </w:pPr>
      <w:r>
        <w:rPr/>
        <w:t>Figure 4.2.2.3-1 shows the scenario where the NF service consumer sends a request to the CHF to modify the existing subscription to the retrieval of spending limit reports (see also 3GPP TS 23.502 [3], figure 4.16.8.3.1). The NF service consumer can add or remove policy counters to retrieve the status of the counters.</w:t>
      </w:r>
    </w:p>
    <w:p>
      <w:pPr>
        <w:pStyle w:val="TH"/>
        <w:rPr>
          <w:lang w:val="en-US"/>
        </w:rPr>
      </w:pPr>
      <w:r>
        <w:rPr>
          <w:lang w:val="en-US"/>
        </w:rPr>
        <w:object w:dxaOrig="8340" w:dyaOrig="2790">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417pt;height:139.5pt" filled="f" o:ole="">
            <v:imagedata r:id="rId20" o:title=""/>
          </v:shape>
          <o:OLEObject Type="Embed" ProgID="" ShapeID="ole_rId19" DrawAspect="Content" ObjectID="_1192109868" r:id="rId19"/>
        </w:object>
      </w:r>
    </w:p>
    <w:p>
      <w:pPr>
        <w:pStyle w:val="TF"/>
        <w:rPr/>
      </w:pPr>
      <w:r>
        <w:rPr/>
        <w:t>Figure 4.2.2.3-1: NF service consumer modifies the subscription to retrieve policy counter status and spending limit reporting</w:t>
      </w:r>
    </w:p>
    <w:p>
      <w:pPr>
        <w:pStyle w:val="Normal"/>
        <w:rPr/>
      </w:pPr>
      <w:r>
        <w:rPr/>
        <w:t xml:space="preserve">The NF service consumer shall send an HTTP PUT request to the resource "{apiRoot}/nchf-spendinglimitcontrol/v1/subscriptions/{subscriptionId}" representing an existing "Individual Spending Limit  Subscription" resource, as shown in figure 4.2.2.3-1, step 1, to modify the subscription for retrieval of the policy counter status and spending limit reporting. </w:t>
      </w:r>
    </w:p>
    <w:p>
      <w:pPr>
        <w:pStyle w:val="Normal"/>
        <w:rPr/>
      </w:pPr>
      <w:r>
        <w:rPr/>
        <w:t xml:space="preserve">The "SpendingLimitContext" data structure provided in the request body: </w:t>
      </w:r>
    </w:p>
    <w:p>
      <w:pPr>
        <w:pStyle w:val="B1"/>
        <w:rPr/>
      </w:pPr>
      <w:r>
        <w:rPr/>
        <w:t>-</w:t>
        <w:tab/>
        <w:t xml:space="preserve">shall include the </w:t>
      </w:r>
      <w:r>
        <w:rPr>
          <w:lang w:bidi="ar-IQ"/>
        </w:rPr>
        <w:t>Subscription Permanent Identifier</w:t>
      </w:r>
      <w:r>
        <w:rPr/>
        <w:t xml:space="preserve"> (SUPI) encoded in the "supi" attribute;</w:t>
      </w:r>
    </w:p>
    <w:p>
      <w:pPr>
        <w:pStyle w:val="B1"/>
        <w:rPr/>
      </w:pPr>
      <w:r>
        <w:rPr/>
        <w:t>-</w:t>
        <w:tab/>
        <w:t>shall include the notification correlation target address encoded in the "notifUri" attribute;</w:t>
      </w:r>
    </w:p>
    <w:p>
      <w:pPr>
        <w:pStyle w:val="B1"/>
        <w:rPr/>
      </w:pPr>
      <w:r>
        <w:rPr/>
        <w:t>-</w:t>
        <w:tab/>
        <w:t>if the feature "NotificationCorrelation" is supported, a Notification Correlation Identifier assigned by the NF service consumer for the requested notifications encoded in the "notifId" attribute, if the "notifUri" does not encode within the provided URI the notification correlation Id.</w:t>
      </w:r>
    </w:p>
    <w:p>
      <w:pPr>
        <w:pStyle w:val="NO"/>
        <w:rPr>
          <w:lang w:val="en-US" w:eastAsia="en-US"/>
        </w:rPr>
      </w:pPr>
      <w:r>
        <w:rPr>
          <w:lang w:val="en-US" w:eastAsia="en-US"/>
        </w:rPr>
        <w:t>NOTE 1:</w:t>
        <w:tab/>
        <w:tab/>
      </w:r>
      <w:bookmarkStart w:id="26" w:name="_Hlk55894852"/>
      <w:r>
        <w:rPr/>
        <w:t>If the notification correlation target address is not changed the previously provided notification correlation target address is included in the "notifUri" attribute.</w:t>
      </w:r>
      <w:bookmarkEnd w:id="26"/>
      <w:r>
        <w:rPr/>
        <w:t xml:space="preserve"> If the Notification Correlation Id is not changed the previously provided Notification Correlation Id is included in the "notifId" attribute.</w:t>
      </w:r>
    </w:p>
    <w:p>
      <w:pPr>
        <w:pStyle w:val="B1"/>
        <w:rPr/>
      </w:pPr>
      <w:r>
        <w:rPr/>
        <w:t>-</w:t>
        <w:tab/>
        <w:t>if the General Public Subscription Identifier (GPSI) was provided within the initial spending limit retrieval procedure, described in subclause 4.2.2.2, shall include the GPSI encoded in the "gpsi" attribute; and</w:t>
      </w:r>
    </w:p>
    <w:p>
      <w:pPr>
        <w:pStyle w:val="B1"/>
        <w:rPr/>
      </w:pPr>
      <w:r>
        <w:rPr/>
        <w:t>-</w:t>
        <w:tab/>
        <w:t>may include Event Filter information as a "list of policy counter identifier(s)" encoded in the "policyCounterIds" attribute. The "policyCounterIds" attribute shall contain the updated list of policy counter identifiers to be subscribed to. If the "policyCounterIds" attribute is omitted, the subscription is updated to all available policy counters; and</w:t>
      </w:r>
    </w:p>
    <w:p>
      <w:pPr>
        <w:pStyle w:val="B1"/>
        <w:rPr/>
      </w:pPr>
      <w:r>
        <w:rPr/>
        <w:t>-</w:t>
        <w:tab/>
        <w:t>when the feature "SubscriptionExpirationTimeControl" is supported, may include an updated expiry time encoded in the "expiry" attribute to update the duration of the subscription, representing the updated time up to which the subscription is desired to be kept active. When the "expiry" attribute is omitted in the request, it represents the NF service consumer update does not have any time constraint from this moment on in the duration of the subscription.</w:t>
      </w:r>
    </w:p>
    <w:p>
      <w:pPr>
        <w:pStyle w:val="NO"/>
        <w:rPr/>
      </w:pPr>
      <w:r>
        <w:rPr/>
        <w:t>NOTE 2:</w:t>
      </w:r>
      <w:r>
        <w:rPr>
          <w:lang w:val="en-US" w:eastAsia="en-US"/>
        </w:rPr>
        <w:tab/>
      </w:r>
      <w:r>
        <w:rPr/>
        <w:t>The "notifUri" attribute within the SpendingLimitContext data structure can be modified to request that subsequent notifications are sent to a new NF service consumer.</w:t>
      </w:r>
    </w:p>
    <w:p>
      <w:pPr>
        <w:pStyle w:val="Normal"/>
        <w:rPr/>
      </w:pPr>
      <w:r>
        <w:rPr/>
        <w:t>When the "policyCounterIds" attribute is present in the subscription request, this list of policy counters overrides a previously provisioned list.</w:t>
      </w:r>
    </w:p>
    <w:p>
      <w:pPr>
        <w:pStyle w:val="Normal"/>
        <w:rPr/>
      </w:pPr>
      <w:r>
        <w:rPr>
          <w:rFonts w:eastAsia="DengXian;等线"/>
        </w:rPr>
        <w:t>After the CHF modified an "Individual Spending Limit Retrieval Subscription" resource, the CHF shall respond with "200 OK" response with the message body containing a representation of the modified subscription, as shown in figure 4.2.2.3-1, step 2.</w:t>
      </w:r>
    </w:p>
    <w:p>
      <w:pPr>
        <w:pStyle w:val="Normal"/>
        <w:rPr>
          <w:rFonts w:eastAsia="DengXian;等线"/>
        </w:rPr>
      </w:pPr>
      <w:r>
        <w:rPr>
          <w:rFonts w:eastAsia="DengXian;等线"/>
        </w:rPr>
        <w:t xml:space="preserve">The SpendingLimitStatus data structure provided in the response body, when the feature </w:t>
      </w:r>
      <w:r>
        <w:rPr/>
        <w:t>"SubscriptionExpirationTimeControl" is not supported,</w:t>
      </w:r>
      <w:r>
        <w:rPr>
          <w:rFonts w:eastAsia="DengXian;等线"/>
        </w:rPr>
        <w:t xml:space="preserve"> shall include</w:t>
      </w:r>
      <w:r>
        <w:rPr/>
        <w:t xml:space="preserve"> the status of the requested subscribed policy counters in the </w:t>
      </w:r>
      <w:r>
        <w:rPr>
          <w:rFonts w:eastAsia="DengXian;等线"/>
        </w:rPr>
        <w:t>"statusInfos" map, where every PolicyCounterInfo entry shall contain:</w:t>
      </w:r>
    </w:p>
    <w:p>
      <w:pPr>
        <w:pStyle w:val="B1"/>
        <w:rPr>
          <w:rFonts w:eastAsia="DengXian;等线"/>
        </w:rPr>
      </w:pPr>
      <w:r>
        <w:rPr>
          <w:rFonts w:eastAsia="DengXian;等线"/>
        </w:rPr>
        <w:t>-</w:t>
        <w:tab/>
        <w:t>the policy counter identifier in the "policyCounterId" attribute; and</w:t>
      </w:r>
    </w:p>
    <w:p>
      <w:pPr>
        <w:pStyle w:val="B1"/>
        <w:rPr>
          <w:rFonts w:eastAsia="DengXian;等线"/>
        </w:rPr>
      </w:pPr>
      <w:r>
        <w:rPr>
          <w:rFonts w:eastAsia="DengXian;等线"/>
        </w:rPr>
        <w:t>-</w:t>
        <w:tab/>
        <w:t>the policy counter status in the "currentStatus" attribute.</w:t>
      </w:r>
    </w:p>
    <w:p>
      <w:pPr>
        <w:pStyle w:val="Normal"/>
        <w:rPr/>
      </w:pPr>
      <w:r>
        <w:rPr/>
        <w:t xml:space="preserve">When a requested policy counter identifier is known by the CHF, but it is not applicable to the subscriber (e.g. not provisioned), the CHF may include it in the </w:t>
      </w:r>
      <w:r>
        <w:rPr>
          <w:rFonts w:eastAsia="DengXian;等线"/>
        </w:rPr>
        <w:t>"statusInfos" map,</w:t>
      </w:r>
      <w:r>
        <w:rPr/>
        <w:t xml:space="preserve"> and set the </w:t>
      </w:r>
      <w:r>
        <w:rPr>
          <w:rFonts w:eastAsia="DengXian;等线"/>
        </w:rPr>
        <w:t>"currentStatus" attribute to</w:t>
      </w:r>
      <w:r>
        <w:rPr/>
        <w:t xml:space="preserve"> an operator configured policy counter status to indicate this to the NF service consumer.</w:t>
      </w:r>
    </w:p>
    <w:p>
      <w:pPr>
        <w:pStyle w:val="Normal"/>
        <w:rPr>
          <w:rFonts w:eastAsia="DengXian;等线"/>
        </w:rPr>
      </w:pPr>
      <w:r>
        <w:rPr/>
        <w:t xml:space="preserve">When one or more policy counters specified in the request in the "policyCounterIds" attribute are unknown to the CHF, and the CHF is configured to accept the request, the CHF may include the unknown policy counters in the </w:t>
      </w:r>
      <w:r>
        <w:rPr>
          <w:rFonts w:eastAsia="DengXian;等线"/>
        </w:rPr>
        <w:t>"statusInfos" map,</w:t>
      </w:r>
      <w:r>
        <w:rPr/>
        <w:t xml:space="preserve"> and set the </w:t>
      </w:r>
      <w:r>
        <w:rPr>
          <w:rFonts w:eastAsia="DengXian;等线"/>
        </w:rPr>
        <w:t>"currentStatus" attribute to</w:t>
      </w:r>
      <w:r>
        <w:rPr/>
        <w:t xml:space="preserve"> an operator configured policy counter status to indicate this to the NF service consumer.</w:t>
      </w:r>
    </w:p>
    <w:p>
      <w:pPr>
        <w:pStyle w:val="Normal"/>
        <w:rPr/>
      </w:pPr>
      <w:r>
        <w:rPr/>
        <w:t>A PolicyCounterInfo data structure may include the list of the pending policy counter statuses and their activation times within the attribute "penPolCounterStatuses".</w:t>
      </w:r>
    </w:p>
    <w:p>
      <w:pPr>
        <w:pStyle w:val="Normal"/>
        <w:rPr>
          <w:rFonts w:eastAsia="DengXian;等线"/>
        </w:rPr>
      </w:pPr>
      <w:r>
        <w:rPr/>
        <w:t>When the feature "SubscriptionExpirationTimeControl" is supported, the CHF may include the "expiry" attribute, representing the time up to which the subscription shall be kept active. If an expiry time was included in the subscription update request, then the expiry time shall be returned in the response, and the value returned should be less than or equal to the value in the request. When the "expiry" attribute is omitted in the request and in the response, it represents that the subscription shall be considered valid without an expiry time</w:t>
      </w:r>
      <w:r>
        <w:rPr>
          <w:rFonts w:eastAsia="DengXian;等线"/>
        </w:rPr>
        <w:t>.</w:t>
      </w:r>
    </w:p>
    <w:p>
      <w:pPr>
        <w:pStyle w:val="NO"/>
        <w:rPr/>
      </w:pPr>
      <w:r>
        <w:rPr/>
        <w:t>NOTE 3:</w:t>
        <w:tab/>
        <w:t xml:space="preserve">When the NF service consumer does not include an expiry time in the request, the CHF can include an expiry time in the response that represents an update of the previously provided duration of the subscription. </w:t>
      </w:r>
    </w:p>
    <w:p>
      <w:pPr>
        <w:pStyle w:val="NO"/>
        <w:rPr/>
      </w:pPr>
      <w:r>
        <w:rPr/>
        <w:t>NOTE 4:</w:t>
        <w:tab/>
        <w:t>Once the subscription expires, if the NF service consumer wants to keep receiving notifications, it needs to create a new subscription in the CHF, as specified in subclause 4.2.2.2.</w:t>
      </w:r>
    </w:p>
    <w:p>
      <w:pPr>
        <w:pStyle w:val="Normal"/>
        <w:rPr>
          <w:lang w:val="en-US" w:eastAsia="en-US"/>
        </w:rPr>
      </w:pPr>
      <w:r>
        <w:rPr>
          <w:lang w:val="en-US" w:eastAsia="en-US"/>
        </w:rPr>
        <w:t xml:space="preserve">If errors occur when processing the HTTP PUT request, the CHF shall send an HTTP error response </w:t>
      </w:r>
      <w:r>
        <w:rPr/>
        <w:t xml:space="preserve">as specified in subclause 5.7. </w:t>
      </w:r>
    </w:p>
    <w:p>
      <w:pPr>
        <w:pStyle w:val="Normal"/>
        <w:rPr/>
      </w:pPr>
      <w:r>
        <w:rPr>
          <w:lang w:val="en-US" w:eastAsia="en-US"/>
        </w:rPr>
        <w:t>If the feature "ES3XX" is supported, and the CHF determines the received HTTP PUT request needs to be redirected, the CHF shall send an HTTP redirect response as specified in subclause 6.10.9 of 3GPP TS 29.500 [4].</w:t>
      </w:r>
    </w:p>
    <w:p>
      <w:pPr>
        <w:pStyle w:val="Normal"/>
        <w:rPr/>
      </w:pPr>
      <w:r>
        <w:rPr/>
        <w:t>If the CHF has no available policy counters specified for the subscriber, the CHF shall indicate in an HTTP "400 Bad Request" response the cause for the rejection with the "cause" attribute set to "NO_AVAILABLE_POLICY_COUNTERS ".</w:t>
      </w:r>
    </w:p>
    <w:p>
      <w:pPr>
        <w:pStyle w:val="Normal"/>
        <w:overflowPunct w:val="false"/>
        <w:autoSpaceDE w:val="false"/>
        <w:textAlignment w:val="baseline"/>
        <w:rPr/>
      </w:pPr>
      <w:r>
        <w:rPr/>
        <w:t>If one or more policy counters specified in the PUT request in the "policyCounterIds" attribute are unknown to the CHF, and the CHF is configured to reject request, the CHF shall indicate in an HTTP "400 Bad Request" response the cause for the rejection with the "cause" attribute set to "UNKNOWN_POLICY_COUNTERS" and the unknown policy counter identifiers within the "invalidParams" attribute.</w:t>
      </w:r>
      <w:bookmarkStart w:id="27" w:name="_Hlk13499400"/>
      <w:r>
        <w:rPr/>
        <w:t xml:space="preserve"> The PUT request shall not take effect, and the CHF shall maintain the Individual Spending Limit Retrieval resource.</w:t>
      </w:r>
      <w:bookmarkEnd w:id="27"/>
    </w:p>
    <w:p>
      <w:pPr>
        <w:pStyle w:val="NO"/>
        <w:rPr/>
      </w:pPr>
      <w:r>
        <w:rPr/>
        <w:t>NOTE 5:</w:t>
        <w:tab/>
        <w:t>In order to avoid misbehaviors due to the policy counters status maintained in the CHF and the NF service consumer, the NF service consumer can terminate the subscription invoking the Nchf_SpendingLimitControl_Unsubscribe service operation in subclause 4.2.3.2.</w:t>
      </w:r>
    </w:p>
    <w:p>
      <w:pPr>
        <w:pStyle w:val="NO"/>
        <w:rPr/>
      </w:pPr>
      <w:r>
        <w:rPr/>
        <w:t>NOTE 6:</w:t>
        <w:tab/>
        <w:t>The NF service consumer can terminate the subscription invoking the Nchf_SpendingLimitControl_Unsubscribe service operation in subclause 4.2.3.2, or maintain subscription assuming that further available policy counters will be notified.</w:t>
      </w:r>
    </w:p>
    <w:p>
      <w:pPr>
        <w:pStyle w:val="Heading3"/>
        <w:rPr/>
      </w:pPr>
      <w:bookmarkStart w:id="28" w:name="__RefHeading___Toc75349515"/>
      <w:bookmarkEnd w:id="28"/>
      <w:r>
        <w:rPr/>
        <w:t>4.2.3</w:t>
        <w:tab/>
        <w:t>Nchf_SpendingLimitControl_Unsubscribe service operation</w:t>
      </w:r>
    </w:p>
    <w:p>
      <w:pPr>
        <w:pStyle w:val="Heading4"/>
        <w:ind w:left="1418" w:hanging="1418"/>
        <w:rPr/>
      </w:pPr>
      <w:bookmarkStart w:id="29" w:name="__RefHeading___Toc75349516"/>
      <w:bookmarkEnd w:id="29"/>
      <w:r>
        <w:rPr/>
        <w:t>4.2.3.1</w:t>
        <w:tab/>
        <w:t>General</w:t>
      </w:r>
    </w:p>
    <w:p>
      <w:pPr>
        <w:pStyle w:val="Normal"/>
        <w:rPr/>
      </w:pPr>
      <w:r>
        <w:rPr>
          <w:rFonts w:eastAsia="DengXian;等线"/>
        </w:rPr>
        <w:t>The Nchf_SpendingLimitControl_Unsubscribe service operation is used by the NF service consumer to cancel the subscription of status changes for all the policy counters available at the CHF. That means the complete cancellation of the spending limit reporting procedure.</w:t>
      </w:r>
    </w:p>
    <w:p>
      <w:pPr>
        <w:pStyle w:val="Heading4"/>
        <w:ind w:left="1418" w:hanging="1418"/>
        <w:rPr/>
      </w:pPr>
      <w:bookmarkStart w:id="30" w:name="__RefHeading___Toc75349517"/>
      <w:bookmarkEnd w:id="30"/>
      <w:r>
        <w:rPr/>
        <w:t>4.2.3.2</w:t>
        <w:tab/>
        <w:t>Unsubscribe from spending limit reporting</w:t>
      </w:r>
    </w:p>
    <w:p>
      <w:pPr>
        <w:pStyle w:val="Normal"/>
        <w:rPr/>
      </w:pPr>
      <w:r>
        <w:rPr>
          <w:rFonts w:eastAsia="DengXian;等线"/>
        </w:rPr>
        <w:t>Figure 4.2.3.2-1 shows the scenario where the NF service consumer sends a request to the CHF to unsubscribe</w:t>
      </w:r>
      <w:r>
        <w:rPr/>
        <w:t xml:space="preserve"> </w:t>
      </w:r>
      <w:r>
        <w:rPr>
          <w:rFonts w:eastAsia="DengXian;等线"/>
        </w:rPr>
        <w:t>from spending limit reporting (see also 3GPP TS 23.502 [3] figure 4.16.8.4.1).</w:t>
      </w:r>
    </w:p>
    <w:p>
      <w:pPr>
        <w:pStyle w:val="TH"/>
        <w:rPr>
          <w:lang w:val="en-US"/>
        </w:rPr>
      </w:pPr>
      <w:r>
        <w:rPr>
          <w:lang w:val="en-US"/>
        </w:rPr>
        <w:object w:dxaOrig="6088" w:dyaOrig="2039">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417pt;height:139.5pt" filled="f" o:ole="">
            <v:imagedata r:id="rId22" o:title=""/>
          </v:shape>
          <o:OLEObject Type="Embed" ProgID="" ShapeID="ole_rId21" DrawAspect="Content" ObjectID="_1878026548" r:id="rId21"/>
        </w:object>
      </w:r>
    </w:p>
    <w:p>
      <w:pPr>
        <w:pStyle w:val="TF"/>
        <w:rPr/>
      </w:pPr>
      <w:r>
        <w:rPr/>
        <w:t>Figure 4.2.3.2-1: NF service consumer unsubscribes from spending limit reporting</w:t>
      </w:r>
    </w:p>
    <w:p>
      <w:pPr>
        <w:pStyle w:val="Normal"/>
        <w:rPr>
          <w:rFonts w:eastAsia="DengXian;等线"/>
        </w:rPr>
      </w:pPr>
      <w:r>
        <w:rPr>
          <w:rFonts w:eastAsia="DengXian;等线"/>
        </w:rPr>
        <w:t>The NF service consumer shall invoke the Nchf_SpendingLimitControl_Unsubscribe service operation to unsubscribe from the spending limit reporting (status change for all policy counters available is no more required). The NF service consumer shall send an HTTP DELETE request to the resource "{apiRoot}/</w:t>
      </w:r>
      <w:r>
        <w:rPr/>
        <w:t>nchf-spendinglimitcontrol/v1/subscriptions</w:t>
      </w:r>
      <w:r>
        <w:rPr>
          <w:rFonts w:eastAsia="DengXian;等线"/>
        </w:rPr>
        <w:t xml:space="preserve"> /{subscriptionId}", whereby the "{subscriptionId}" is the identification of the existing subscription to be deleted. Upon the reception of an HTTP DELETE request the CHF </w:t>
      </w:r>
      <w:r>
        <w:rPr/>
        <w:t>removes the corresponding subscription.</w:t>
      </w:r>
    </w:p>
    <w:p>
      <w:pPr>
        <w:pStyle w:val="Normal"/>
        <w:rPr/>
      </w:pPr>
      <w:r>
        <w:rPr>
          <w:rFonts w:eastAsia="DengXian;等线"/>
        </w:rPr>
        <w:t>If the HTTP DELETE request is accepted by the CHF, it shall respond</w:t>
      </w:r>
      <w:r>
        <w:rPr/>
        <w:t xml:space="preserve"> </w:t>
      </w:r>
      <w:r>
        <w:rPr>
          <w:rFonts w:eastAsia="DengXian;等线"/>
        </w:rPr>
        <w:t>with "204 No Content" as shown in figure 4.2.3.2-1, step 2.</w:t>
      </w:r>
    </w:p>
    <w:p>
      <w:pPr>
        <w:pStyle w:val="Normal"/>
        <w:rPr>
          <w:rFonts w:eastAsia="DengXian;等线"/>
        </w:rPr>
      </w:pPr>
      <w:r>
        <w:rPr/>
        <w:t>If the HTTP DELETE request is not accepted by the CHF (e.g. the HTTP DELETE request is for a non-existent subscription), it shall indicate the appropriate cause for the rejection in the HTTP response code or, if the feature "</w:t>
      </w:r>
      <w:r>
        <w:rPr>
          <w:rFonts w:cs="Arial"/>
          <w:szCs w:val="18"/>
        </w:rPr>
        <w:t>ES3XX</w:t>
      </w:r>
      <w:r>
        <w:rPr/>
        <w:t>" is supported, an HTTP redirect response to the NF service consumer.</w:t>
      </w:r>
    </w:p>
    <w:p>
      <w:pPr>
        <w:pStyle w:val="Heading3"/>
        <w:rPr/>
      </w:pPr>
      <w:bookmarkStart w:id="31" w:name="__RefHeading___Toc75349518"/>
      <w:bookmarkEnd w:id="31"/>
      <w:r>
        <w:rPr/>
        <w:t>4.2.4</w:t>
        <w:tab/>
        <w:t>Nchf_SpendingLimitControl_Notify service operation</w:t>
      </w:r>
    </w:p>
    <w:p>
      <w:pPr>
        <w:pStyle w:val="Heading4"/>
        <w:ind w:left="1418" w:hanging="1418"/>
        <w:rPr/>
      </w:pPr>
      <w:bookmarkStart w:id="32" w:name="__RefHeading___Toc75349519"/>
      <w:bookmarkEnd w:id="32"/>
      <w:r>
        <w:rPr/>
        <w:t>4.2.4.1</w:t>
        <w:tab/>
        <w:t>General</w:t>
      </w:r>
    </w:p>
    <w:p>
      <w:pPr>
        <w:pStyle w:val="Normal"/>
        <w:rPr/>
      </w:pPr>
      <w:r>
        <w:rPr>
          <w:rFonts w:eastAsia="DengXian;等线"/>
        </w:rPr>
        <w:t>The Nchf_SpendingLimitControl_Notify service operation is used by the CHF:</w:t>
      </w:r>
    </w:p>
    <w:p>
      <w:pPr>
        <w:pStyle w:val="B1"/>
        <w:rPr/>
      </w:pPr>
      <w:r>
        <w:rPr/>
        <w:t>-</w:t>
        <w:tab/>
        <w:t>to notify the change of the status of the subscribed policy counters available at the CHF for that subscriber; and/or</w:t>
      </w:r>
    </w:p>
    <w:p>
      <w:pPr>
        <w:pStyle w:val="B1"/>
        <w:rPr/>
      </w:pPr>
      <w:r>
        <w:rPr/>
        <w:t>-</w:t>
        <w:tab/>
        <w:t>to provide one or more pending statuses for a subscribed policy counter together with the time they shall be applied; and/or</w:t>
      </w:r>
    </w:p>
    <w:p>
      <w:pPr>
        <w:pStyle w:val="B1"/>
        <w:rPr/>
      </w:pPr>
      <w:r>
        <w:rPr/>
        <w:t>-</w:t>
        <w:tab/>
        <w:t>to request the termination of the subscription of status changes for all policy counters for a subscriber (e.g. the subscriber is removed from the CHF system).</w:t>
      </w:r>
    </w:p>
    <w:p>
      <w:pPr>
        <w:pStyle w:val="Heading4"/>
        <w:ind w:left="1418" w:hanging="1418"/>
        <w:rPr/>
      </w:pPr>
      <w:bookmarkStart w:id="33" w:name="__RefHeading___Toc75349520"/>
      <w:bookmarkEnd w:id="33"/>
      <w:r>
        <w:rPr/>
        <w:t>4.2.4.2</w:t>
        <w:tab/>
        <w:t>Spending limit report</w:t>
      </w:r>
    </w:p>
    <w:p>
      <w:pPr>
        <w:pStyle w:val="Normal"/>
        <w:rPr/>
      </w:pPr>
      <w:r>
        <w:rPr/>
        <w:t xml:space="preserve">Figure 4.2.4.2-1 shows the scenario where the CHF sends a notification to the NF service consumer, when it </w:t>
      </w:r>
      <w:r>
        <w:rPr>
          <w:lang w:eastAsia="zh-CN"/>
        </w:rPr>
        <w:t xml:space="preserve">detects that the status of a policy counter(s) has changed and the NF service consumer has subscribed to notifications of changes in the status of this policy counter(s). The CHF can also notify the NF service consumer that the status for one or multiple subscribed policy counter will change and indicate this by providing the time when this change shall be applied </w:t>
      </w:r>
      <w:r>
        <w:rPr/>
        <w:t>(see also 3GPP TS 23.502 [3], figure 4.16.8.5.1).</w:t>
      </w:r>
    </w:p>
    <w:p>
      <w:pPr>
        <w:pStyle w:val="TH"/>
        <w:rPr>
          <w:lang w:val="en-US"/>
        </w:rPr>
      </w:pPr>
      <w:r>
        <w:rPr>
          <w:lang w:val="en-US"/>
        </w:rPr>
        <w:object w:dxaOrig="7635" w:dyaOrig="2670">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381.75pt;height:133.5pt" filled="f" o:ole="">
            <v:imagedata r:id="rId24" o:title=""/>
          </v:shape>
          <o:OLEObject Type="Embed" ProgID="" ShapeID="ole_rId23" DrawAspect="Content" ObjectID="_2055608454" r:id="rId23"/>
        </w:object>
      </w:r>
    </w:p>
    <w:p>
      <w:pPr>
        <w:pStyle w:val="TF"/>
        <w:rPr/>
      </w:pPr>
      <w:r>
        <w:rPr/>
        <w:t>Figure 4.2.4.2-1: Spending limit reporting</w:t>
      </w:r>
    </w:p>
    <w:p>
      <w:pPr>
        <w:pStyle w:val="Normal"/>
        <w:rPr/>
      </w:pPr>
      <w:r>
        <w:rPr/>
        <w:t>The CHF shall send an HTTP POST request to the resource notification target address (notifUri) of the NF service consumer received in the subscription creation or modification, and shall append the "notify" segment path at the end of the URI, to indicate the NF service consumer the notification of a policy counter status change.</w:t>
      </w:r>
    </w:p>
    <w:p>
      <w:pPr>
        <w:pStyle w:val="Normal"/>
        <w:rPr/>
      </w:pPr>
      <w:r>
        <w:rPr>
          <w:rFonts w:eastAsia="DengXian;等线"/>
        </w:rPr>
        <w:t>The SpendingLimitStatus data structure provided in the request body:</w:t>
      </w:r>
    </w:p>
    <w:p>
      <w:pPr>
        <w:pStyle w:val="B1"/>
        <w:rPr/>
      </w:pPr>
      <w:r>
        <w:rPr/>
        <w:t>-</w:t>
        <w:tab/>
        <w:t xml:space="preserve">shall include the Subscriber Identity in the </w:t>
      </w:r>
      <w:r>
        <w:rPr>
          <w:rFonts w:eastAsia="DengXian;等线"/>
        </w:rPr>
        <w:t>"supi" attribute</w:t>
      </w:r>
      <w:r>
        <w:rPr/>
        <w:t xml:space="preserve">; </w:t>
      </w:r>
    </w:p>
    <w:p>
      <w:pPr>
        <w:pStyle w:val="B1"/>
        <w:rPr/>
      </w:pPr>
      <w:r>
        <w:rPr/>
        <w:t>-</w:t>
        <w:tab/>
        <w:t>shall include, if the feature "NotificationCorrelation" is supported, the notification correlation ID in the "notifId" attribute if received in the SpendingLimitContext data structure provided in the creation or update of the subscription; and</w:t>
      </w:r>
    </w:p>
    <w:p>
      <w:pPr>
        <w:pStyle w:val="B1"/>
        <w:rPr>
          <w:rFonts w:eastAsia="DengXian;等线"/>
        </w:rPr>
      </w:pPr>
      <w:r>
        <w:rPr/>
        <w:t>-</w:t>
        <w:tab/>
        <w:t>shall include</w:t>
      </w:r>
      <w:r>
        <w:rPr>
          <w:lang w:eastAsia="zh-CN"/>
        </w:rPr>
        <w:t>,</w:t>
      </w:r>
      <w:r>
        <w:rPr/>
        <w:t xml:space="preserve"> </w:t>
      </w:r>
      <w:r>
        <w:rPr>
          <w:rFonts w:eastAsia="DengXian;等线"/>
        </w:rPr>
        <w:t xml:space="preserve">when the feature </w:t>
      </w:r>
      <w:r>
        <w:rPr/>
        <w:t xml:space="preserve">"SubscriptionExpirationTimeControl" is not supported, Policy counters status in the </w:t>
      </w:r>
      <w:r>
        <w:rPr>
          <w:rFonts w:eastAsia="DengXian;等线"/>
        </w:rPr>
        <w:t xml:space="preserve">"statusInfos" map, where every PolicyCounterInfo entry shall include: </w:t>
      </w:r>
    </w:p>
    <w:p>
      <w:pPr>
        <w:pStyle w:val="B2"/>
        <w:rPr>
          <w:rFonts w:eastAsia="DengXian;等线"/>
        </w:rPr>
      </w:pPr>
      <w:r>
        <w:rPr>
          <w:rFonts w:eastAsia="DengXian;等线"/>
        </w:rPr>
        <w:t>a.</w:t>
        <w:tab/>
        <w:t xml:space="preserve">the "policyCounterId" attribute with the policy counter identifier; and </w:t>
      </w:r>
    </w:p>
    <w:p>
      <w:pPr>
        <w:pStyle w:val="B2"/>
        <w:rPr>
          <w:rFonts w:eastAsia="DengXian;等线"/>
        </w:rPr>
      </w:pPr>
      <w:r>
        <w:rPr>
          <w:rFonts w:eastAsia="DengXian;等线"/>
        </w:rPr>
        <w:t>b.</w:t>
        <w:tab/>
        <w:t>the "currentStatus" attribute with the new policy counter status when the notification is triggered by a change in the policy counter status, or the current policy counter status when the notification is triggered by a change in the pending policy counter status(es); and</w:t>
      </w:r>
    </w:p>
    <w:p>
      <w:pPr>
        <w:pStyle w:val="B1"/>
        <w:rPr>
          <w:rFonts w:eastAsia="DengXian;等线"/>
        </w:rPr>
      </w:pPr>
      <w:r>
        <w:rPr/>
        <w:t>-</w:t>
        <w:tab/>
        <w:t>may include</w:t>
      </w:r>
      <w:r>
        <w:rPr>
          <w:lang w:eastAsia="zh-CN"/>
        </w:rPr>
        <w:t>, when</w:t>
      </w:r>
      <w:r>
        <w:rPr/>
        <w:t xml:space="preserve"> the feature "SubscriptionExpirationTimeControl" is supported, the Policy counters status in the </w:t>
      </w:r>
      <w:r>
        <w:rPr>
          <w:rFonts w:eastAsia="DengXian;等线"/>
        </w:rPr>
        <w:t>"statusInfos" map if at this time there is change of policy counter status and/or</w:t>
      </w:r>
      <w:r>
        <w:rPr/>
        <w:t xml:space="preserve"> the update of the expiry time in the "expiry".</w:t>
      </w:r>
    </w:p>
    <w:p>
      <w:pPr>
        <w:pStyle w:val="NO"/>
        <w:rPr/>
      </w:pPr>
      <w:r>
        <w:rPr/>
        <w:t>NOTE 1:</w:t>
        <w:tab/>
        <w:t>W</w:t>
      </w:r>
      <w:r>
        <w:rPr>
          <w:rFonts w:eastAsia="DengXian;等线"/>
        </w:rPr>
        <w:t xml:space="preserve">hen the feature </w:t>
      </w:r>
      <w:r>
        <w:rPr/>
        <w:t>"SubscriptionExpirationTimeControl" is supported, and the CHF includes the update of the expiry time, if at this time there is no change of policy counter status, the CHF does not include the "statusInfos" attribute.</w:t>
      </w:r>
    </w:p>
    <w:p>
      <w:pPr>
        <w:pStyle w:val="Normal"/>
        <w:rPr>
          <w:rFonts w:eastAsia="Times New Roman"/>
        </w:rPr>
      </w:pPr>
      <w:r>
        <w:rPr/>
        <w:t xml:space="preserve">When a policy counter identifier is no longer applicable to the subscriber (e.g. becomes not provisioned), but still exists in the Individual Spending Control Retrieval resource, the CHF may include it in the </w:t>
      </w:r>
      <w:r>
        <w:rPr>
          <w:rFonts w:eastAsia="DengXian;等线"/>
        </w:rPr>
        <w:t>"statusInfos" map,</w:t>
      </w:r>
      <w:r>
        <w:rPr/>
        <w:t xml:space="preserve"> and set the </w:t>
      </w:r>
      <w:r>
        <w:rPr>
          <w:rFonts w:eastAsia="DengXian;等线"/>
        </w:rPr>
        <w:t>"currentStatus" attribute to</w:t>
      </w:r>
      <w:r>
        <w:rPr/>
        <w:t xml:space="preserve"> an operator configured policy counter status to indicate this to the NF service consumer.</w:t>
      </w:r>
    </w:p>
    <w:p>
      <w:pPr>
        <w:pStyle w:val="Normal"/>
        <w:rPr/>
      </w:pPr>
      <w:r>
        <w:rPr/>
        <w:t xml:space="preserve">A </w:t>
      </w:r>
      <w:r>
        <w:rPr>
          <w:rFonts w:eastAsia="DengXian;等线"/>
        </w:rPr>
        <w:t>PolicyCounterInfo</w:t>
      </w:r>
      <w:r>
        <w:rPr/>
        <w:t xml:space="preserve"> data structure may include the list of pending policy counter statuses and their activation times within the attribute </w:t>
      </w:r>
      <w:r>
        <w:rPr>
          <w:rFonts w:eastAsia="DengXian;等线"/>
        </w:rPr>
        <w:t>"penPolCounterStatuses</w:t>
      </w:r>
      <w:r>
        <w:rPr/>
        <w:t>.</w:t>
      </w:r>
    </w:p>
    <w:p>
      <w:pPr>
        <w:pStyle w:val="Normal"/>
        <w:rPr>
          <w:rFonts w:eastAsia="DengXian;等线"/>
        </w:rPr>
      </w:pPr>
      <w:r>
        <w:rPr/>
        <w:t>When the feature "SubscriptionExpirationTimeControl" is supported, the CHF may include the "expiry" attribute, representing an update in the time up to which the subscription shall be kept active. When the "expiry" attribute is omitted, it represents that the previously agreed duration of the subscription remains valid</w:t>
      </w:r>
      <w:r>
        <w:rPr>
          <w:rFonts w:eastAsia="DengXian;等线"/>
        </w:rPr>
        <w:t>.</w:t>
      </w:r>
    </w:p>
    <w:p>
      <w:pPr>
        <w:pStyle w:val="NO"/>
        <w:rPr/>
      </w:pPr>
      <w:r>
        <w:rPr/>
        <w:t>NOTE 2:</w:t>
        <w:tab/>
        <w:t>Once the subscription expires, if the NF Service Consumer wants to keep receiving notifications, it needs to create a new subscription in the CHF, as specified in subclause 4.2.2.2.</w:t>
      </w:r>
    </w:p>
    <w:p>
      <w:pPr>
        <w:pStyle w:val="Normal"/>
        <w:rPr/>
      </w:pPr>
      <w:r>
        <w:rPr>
          <w:lang w:eastAsia="zh-CN"/>
        </w:rPr>
        <w:t xml:space="preserve">The </w:t>
      </w:r>
      <w:r>
        <w:rPr>
          <w:lang w:eastAsia="zh-CN"/>
        </w:rPr>
        <w:t>CHF</w:t>
      </w:r>
      <w:r>
        <w:rPr>
          <w:lang w:eastAsia="zh-CN"/>
        </w:rPr>
        <w:t xml:space="preserve"> shall not send the policy counter status for the same policy counter until it received the response of the previous status report of the policy counter</w:t>
      </w:r>
      <w:r>
        <w:rPr/>
        <w:t>.</w:t>
      </w:r>
    </w:p>
    <w:p>
      <w:pPr>
        <w:pStyle w:val="Normal"/>
        <w:rPr/>
      </w:pPr>
      <w:r>
        <w:rPr/>
        <w:t>If the HTTP POST notification request message is accepted by the NF service consumer, it shall acknowledge the receipt of the event notification with a "204 No Content" response, as shown in figure 4.2.4.2-1, step 2.</w:t>
      </w:r>
    </w:p>
    <w:p>
      <w:pPr>
        <w:pStyle w:val="Normal"/>
        <w:rPr/>
      </w:pPr>
      <w:r>
        <w:rPr/>
        <w:t xml:space="preserve">If errors occur when processing the HTTP POST request, the NF service consumer shall send an HTTP error response as specified in subclause 5.7. </w:t>
      </w:r>
    </w:p>
    <w:p>
      <w:pPr>
        <w:pStyle w:val="Normal"/>
        <w:rPr/>
      </w:pPr>
      <w:r>
        <w:rPr>
          <w:lang w:val="en-US" w:eastAsia="en-US"/>
        </w:rPr>
        <w:t>If the feature "ES3XX" is supported, and the NF service consumer determines the received HTTP POST request needs to be redirected, the NF service consumer shall send an HTTP redirect response as specified in subclause 6.10.9 of 3GPP TS 29.500 [4].</w:t>
      </w:r>
    </w:p>
    <w:p>
      <w:pPr>
        <w:pStyle w:val="Normal"/>
        <w:rPr>
          <w:lang w:val="en-US"/>
        </w:rPr>
      </w:pPr>
      <w:r>
        <w:rPr/>
        <w:t>If the NF service consumer receives an HTTP POST notification request message for an intermediate spending limit report transaction from the CHF in which no pending policy counter statuses and their activation times are included for a policy counter, i.e., the "penPolCounterStatuses" attribute is not included, the NF service consumer shall cancel all previously provided pending policy counter statuses and their activation times for this policy counter. If the NF service consumer receives an HTTP POST notification request message for an intermediate spending limit report  transaction from the CHF containing pending policy counter statuses and their activation times for a previously provided policy counter, the NF service consumer shall replace the existing pending policy counter statuses and their activation times if any.</w:t>
      </w:r>
    </w:p>
    <w:p>
      <w:pPr>
        <w:pStyle w:val="Normal"/>
        <w:rPr>
          <w:lang w:eastAsia="zh-CN"/>
        </w:rPr>
      </w:pPr>
      <w:r>
        <w:rPr>
          <w:lang w:eastAsia="zh-CN"/>
        </w:rPr>
        <w:t xml:space="preserve">If the </w:t>
      </w:r>
      <w:r>
        <w:rPr>
          <w:lang w:eastAsia="zh-CN"/>
        </w:rPr>
        <w:t>NF service consumer</w:t>
      </w:r>
      <w:r>
        <w:rPr>
          <w:lang w:eastAsia="zh-CN"/>
        </w:rPr>
        <w:t xml:space="preserve"> receives an </w:t>
      </w:r>
      <w:r>
        <w:rPr/>
        <w:t>HTTP POST request</w:t>
      </w:r>
      <w:r>
        <w:rPr>
          <w:lang w:eastAsia="zh-CN"/>
        </w:rPr>
        <w:t xml:space="preserve"> </w:t>
      </w:r>
      <w:r>
        <w:rPr>
          <w:lang w:eastAsia="zh-CN"/>
        </w:rPr>
        <w:t xml:space="preserve">for spending limit report initiated by the CHF </w:t>
      </w:r>
      <w:r>
        <w:rPr>
          <w:lang w:eastAsia="zh-CN"/>
        </w:rPr>
        <w:t xml:space="preserve">while it has an ongoing </w:t>
      </w:r>
      <w:r>
        <w:rPr/>
        <w:t>intermediate spending limit report retrieval</w:t>
      </w:r>
      <w:r>
        <w:rPr>
          <w:lang w:eastAsia="zh-CN"/>
        </w:rPr>
        <w:t xml:space="preserve"> transaction with the </w:t>
      </w:r>
      <w:r>
        <w:rPr>
          <w:lang w:eastAsia="zh-CN"/>
        </w:rPr>
        <w:t>CHF</w:t>
      </w:r>
      <w:r>
        <w:rPr>
          <w:lang w:eastAsia="zh-CN"/>
        </w:rPr>
        <w:t xml:space="preserve">, the </w:t>
      </w:r>
      <w:r>
        <w:rPr>
          <w:lang w:eastAsia="zh-CN"/>
        </w:rPr>
        <w:t>NF service consumer</w:t>
      </w:r>
      <w:r>
        <w:rPr>
          <w:lang w:eastAsia="zh-CN"/>
        </w:rPr>
        <w:t xml:space="preserve"> shall update the policy counter information based on the </w:t>
      </w:r>
      <w:r>
        <w:rPr/>
        <w:t>HTTP POST request</w:t>
      </w:r>
      <w:r>
        <w:rPr>
          <w:lang w:eastAsia="zh-CN"/>
        </w:rPr>
        <w:t xml:space="preserve"> </w:t>
      </w:r>
      <w:r>
        <w:rPr>
          <w:lang w:eastAsia="zh-CN"/>
        </w:rPr>
        <w:t>for spending limit report</w:t>
      </w:r>
      <w:r>
        <w:rPr>
          <w:lang w:eastAsia="zh-CN"/>
        </w:rPr>
        <w:t xml:space="preserve">. When the corresponding </w:t>
      </w:r>
      <w:r>
        <w:rPr>
          <w:lang w:eastAsia="zh-CN"/>
        </w:rPr>
        <w:t>response</w:t>
      </w:r>
      <w:r>
        <w:rPr>
          <w:lang w:eastAsia="zh-CN"/>
        </w:rPr>
        <w:t xml:space="preserve"> for the ongoing </w:t>
      </w:r>
      <w:r>
        <w:rPr>
          <w:lang w:eastAsia="zh-CN"/>
        </w:rPr>
        <w:t>i</w:t>
      </w:r>
      <w:r>
        <w:rPr/>
        <w:t>ntermediate spending limit report retrieval</w:t>
      </w:r>
      <w:r>
        <w:rPr>
          <w:lang w:eastAsia="zh-CN"/>
        </w:rPr>
        <w:t xml:space="preserve"> transaction is eventually received, the </w:t>
      </w:r>
      <w:r>
        <w:rPr>
          <w:lang w:eastAsia="zh-CN"/>
        </w:rPr>
        <w:t>NF service consumer</w:t>
      </w:r>
      <w:r>
        <w:rPr>
          <w:lang w:eastAsia="zh-CN"/>
        </w:rPr>
        <w:t xml:space="preserve"> shall only update policy counter information for counters that were not provided in the previously received </w:t>
      </w:r>
      <w:r>
        <w:rPr/>
        <w:t>HTTP POST request</w:t>
      </w:r>
      <w:r>
        <w:rPr>
          <w:lang w:eastAsia="zh-CN"/>
        </w:rPr>
        <w:t xml:space="preserve"> </w:t>
      </w:r>
      <w:r>
        <w:rPr>
          <w:lang w:eastAsia="zh-CN"/>
        </w:rPr>
        <w:t>for spending limit report</w:t>
      </w:r>
      <w:r>
        <w:rPr>
          <w:lang w:eastAsia="zh-CN"/>
        </w:rPr>
        <w:t>.</w:t>
      </w:r>
    </w:p>
    <w:p>
      <w:pPr>
        <w:pStyle w:val="Heading4"/>
        <w:ind w:left="1418" w:hanging="1418"/>
        <w:rPr/>
      </w:pPr>
      <w:bookmarkStart w:id="34" w:name="__RefHeading___Toc75349521"/>
      <w:bookmarkEnd w:id="34"/>
      <w:r>
        <w:rPr/>
        <w:t>4.2.4.3</w:t>
        <w:tab/>
        <w:t>Subscription termination request by CHF</w:t>
      </w:r>
    </w:p>
    <w:p>
      <w:pPr>
        <w:pStyle w:val="Normal"/>
        <w:rPr/>
      </w:pPr>
      <w:r>
        <w:rPr/>
        <w:t>Figure 4.2.4.3-1 shows the scenario where the CHF sends a notification to the NF service consumer, when it requests the termination of the subscription of status changes for all policy counters for a subscriber.</w:t>
      </w:r>
    </w:p>
    <w:p>
      <w:pPr>
        <w:pStyle w:val="TH"/>
        <w:rPr>
          <w:lang w:val="en-US"/>
        </w:rPr>
      </w:pPr>
      <w:r>
        <w:rPr>
          <w:lang w:val="en-US"/>
        </w:rPr>
        <w:object w:dxaOrig="7635" w:dyaOrig="2745">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381.75pt;height:137.25pt" filled="f" o:ole="">
            <v:imagedata r:id="rId26" o:title=""/>
          </v:shape>
          <o:OLEObject Type="Embed" ProgID="" ShapeID="ole_rId25" DrawAspect="Content" ObjectID="_487140278" r:id="rId25"/>
        </w:object>
      </w:r>
    </w:p>
    <w:p>
      <w:pPr>
        <w:pStyle w:val="TF"/>
        <w:keepNext w:val="true"/>
        <w:rPr/>
      </w:pPr>
      <w:r>
        <w:rPr/>
        <w:t>Figure 4.2.4.3-1: Subscription termination request by CHF</w:t>
      </w:r>
    </w:p>
    <w:p>
      <w:pPr>
        <w:pStyle w:val="Normal"/>
        <w:rPr/>
      </w:pPr>
      <w:r>
        <w:rPr/>
        <w:t>The CHF shall send an HTTP POST request to the resource notification target address (notifUri) of the NF service consumer received in the subscription creation or modification and shall append the "terminate" segment path at the end of the URI, to indicate the subscription</w:t>
      </w:r>
      <w:r>
        <w:rPr>
          <w:lang w:eastAsia="zh-CN"/>
        </w:rPr>
        <w:t xml:space="preserve"> termination</w:t>
      </w:r>
      <w:r>
        <w:rPr/>
        <w:t xml:space="preserve"> and the removal of the Individual Spending Limit Retrieval Subscription resource to the NF service consumer.</w:t>
      </w:r>
    </w:p>
    <w:p>
      <w:pPr>
        <w:pStyle w:val="Normal"/>
        <w:rPr/>
      </w:pPr>
      <w:r>
        <w:rPr>
          <w:rFonts w:eastAsia="DengXian;等线"/>
        </w:rPr>
        <w:t xml:space="preserve">The </w:t>
      </w:r>
      <w:r>
        <w:rPr/>
        <w:t>SubscriptionTerminationInfo</w:t>
      </w:r>
      <w:r>
        <w:rPr>
          <w:rFonts w:eastAsia="DengXian;等线"/>
        </w:rPr>
        <w:t xml:space="preserve"> data structure provided in the request body shall include </w:t>
      </w:r>
      <w:r>
        <w:rPr/>
        <w:t>the subscriber identification encoded in the "supi" attribute, if the feature "NotificationCorrelation" is supported, the Notification Correlation Id in the "notifId" attribute if received and may include subscription termination information in the "termCause" attribute.</w:t>
      </w:r>
    </w:p>
    <w:p>
      <w:pPr>
        <w:pStyle w:val="Normal"/>
        <w:rPr/>
      </w:pPr>
      <w:r>
        <w:rPr/>
        <w:t>When the termination request is because the subscriber identified by the SUPI has been removed from the CHF, the CHF shall set the "termCause" attribute to "REMOVED_SUBSCRIBER".</w:t>
      </w:r>
    </w:p>
    <w:p>
      <w:pPr>
        <w:pStyle w:val="Normal"/>
        <w:rPr/>
      </w:pPr>
      <w:r>
        <w:rPr/>
        <w:t>If the HTTP POST notification request message is accepted by the NF service consumer, it shall remove the subscription to notifications of all policy counters for a subscriber and shall acknowledge the receipt of the event notification with a "204 No Content" response, as shown in figure 4.2.4.3-1, step 2.</w:t>
      </w:r>
    </w:p>
    <w:p>
      <w:pPr>
        <w:pStyle w:val="Normal"/>
        <w:rPr/>
      </w:pPr>
      <w:r>
        <w:rPr/>
        <w:t xml:space="preserve">If errors occur when processing the HTTP POST request, the NF service consumer shall </w:t>
      </w:r>
      <w:bookmarkStart w:id="35" w:name="_Hlk72937354"/>
      <w:r>
        <w:rPr/>
        <w:t>send an HTTP error response</w:t>
      </w:r>
      <w:bookmarkEnd w:id="35"/>
      <w:r>
        <w:rPr/>
        <w:t xml:space="preserve"> as specified in subclause 5.7.</w:t>
      </w:r>
      <w:bookmarkStart w:id="36" w:name="_Hlk72937433"/>
      <w:r>
        <w:rPr/>
        <w:t xml:space="preserve"> </w:t>
      </w:r>
    </w:p>
    <w:p>
      <w:pPr>
        <w:pStyle w:val="Normal"/>
        <w:rPr/>
      </w:pPr>
      <w:r>
        <w:rPr>
          <w:lang w:val="en-US" w:eastAsia="en-US"/>
        </w:rPr>
        <w:t xml:space="preserve">If the feature "ES3XX" is supported, and the </w:t>
      </w:r>
      <w:r>
        <w:rPr/>
        <w:t>NF service consumer</w:t>
      </w:r>
      <w:r>
        <w:rPr>
          <w:lang w:val="en-US" w:eastAsia="en-US"/>
        </w:rPr>
        <w:t xml:space="preserve"> determines the received HTTP POST request needs to be redirected, the </w:t>
      </w:r>
      <w:r>
        <w:rPr/>
        <w:t>NF service consumer</w:t>
      </w:r>
      <w:r>
        <w:rPr>
          <w:lang w:val="en-US" w:eastAsia="en-US"/>
        </w:rPr>
        <w:t xml:space="preserve"> shall send an HTTP redirect response as specified in subclause 6.10.9 of 3GPP TS 29.500 [4].</w:t>
      </w:r>
      <w:bookmarkEnd w:id="36"/>
    </w:p>
    <w:p>
      <w:pPr>
        <w:pStyle w:val="Heading1"/>
        <w:ind w:left="1134" w:hanging="1134"/>
        <w:rPr/>
      </w:pPr>
      <w:bookmarkStart w:id="37" w:name="__RefHeading___Toc75349522"/>
      <w:bookmarkEnd w:id="37"/>
      <w:r>
        <w:rPr>
          <w:lang w:eastAsia="zh-CN"/>
        </w:rPr>
        <w:t>5</w:t>
      </w:r>
      <w:r>
        <w:rPr/>
        <w:tab/>
      </w:r>
      <w:r>
        <w:rPr>
          <w:rFonts w:eastAsia="Times New Roman"/>
        </w:rPr>
        <w:t>Nchf_SpendingLimitControl</w:t>
      </w:r>
      <w:r>
        <w:rPr>
          <w:lang w:eastAsia="zh-CN"/>
        </w:rPr>
        <w:t xml:space="preserve"> </w:t>
      </w:r>
      <w:r>
        <w:rPr>
          <w:lang w:eastAsia="zh-CN"/>
        </w:rPr>
        <w:t>Service API</w:t>
      </w:r>
    </w:p>
    <w:p>
      <w:pPr>
        <w:pStyle w:val="Heading2"/>
        <w:rPr/>
      </w:pPr>
      <w:bookmarkStart w:id="38" w:name="__RefHeading___Toc75349523"/>
      <w:bookmarkEnd w:id="38"/>
      <w:r>
        <w:rPr>
          <w:lang w:eastAsia="zh-CN"/>
        </w:rPr>
        <w:t>5</w:t>
      </w:r>
      <w:r>
        <w:rPr/>
        <w:t>.1</w:t>
        <w:tab/>
        <w:t>Introduction</w:t>
      </w:r>
    </w:p>
    <w:p>
      <w:pPr>
        <w:pStyle w:val="Normal"/>
        <w:rPr>
          <w:lang w:eastAsia="zh-CN"/>
        </w:rPr>
      </w:pPr>
      <w:r>
        <w:rPr>
          <w:lang w:eastAsia="zh-CN"/>
        </w:rPr>
        <w:t>The Nchf_SpendingLimitControl service shall use the Nchf_SpendingLimitControl API.</w:t>
      </w:r>
    </w:p>
    <w:p>
      <w:pPr>
        <w:pStyle w:val="Normal"/>
        <w:rPr/>
      </w:pPr>
      <w:r>
        <w:rPr/>
        <w:t xml:space="preserve">The API URI of the </w:t>
      </w:r>
      <w:r>
        <w:rPr>
          <w:lang w:eastAsia="zh-CN"/>
        </w:rPr>
        <w:t>Nchf_SpendingLimitControl</w:t>
      </w:r>
      <w:r>
        <w:rPr>
          <w:lang w:val="en-US" w:eastAsia="en-US"/>
        </w:rPr>
        <w:t xml:space="preserve"> API shall be: </w:t>
      </w:r>
    </w:p>
    <w:p>
      <w:pPr>
        <w:pStyle w:val="B1"/>
        <w:rPr>
          <w:b/>
          <w:b/>
          <w:lang w:val="en-US" w:eastAsia="en-US"/>
        </w:rPr>
      </w:pPr>
      <w:r>
        <w:rPr>
          <w:b/>
          <w:lang w:val="en-US" w:eastAsia="en-US"/>
        </w:rPr>
        <w:t>{apiRoot}/&lt;apiName&gt;/&lt;apiVersion&gt;/</w:t>
      </w:r>
    </w:p>
    <w:p>
      <w:pPr>
        <w:pStyle w:val="Normal"/>
        <w:rPr/>
      </w:pPr>
      <w:r>
        <w:rPr>
          <w:lang w:eastAsia="zh-CN"/>
        </w:rPr>
        <w:t xml:space="preserve">The request URIs used in HTTP requests from the NF service consumer towards the CHF shall have the </w:t>
      </w:r>
      <w:r>
        <w:rPr>
          <w:lang w:val="en-US" w:eastAsia="en-US"/>
        </w:rPr>
        <w:t xml:space="preserve">Resource URI </w:t>
      </w:r>
      <w:r>
        <w:rPr>
          <w:lang w:eastAsia="zh-CN"/>
        </w:rPr>
        <w:t>structure defined in subclause 4.4.1 of 3GPP TS 29.501 [5], i.e.:</w:t>
      </w:r>
    </w:p>
    <w:p>
      <w:pPr>
        <w:pStyle w:val="Normal"/>
        <w:ind w:left="568" w:hanging="284"/>
        <w:rPr>
          <w:b/>
          <w:b/>
        </w:rPr>
      </w:pPr>
      <w:r>
        <w:rPr>
          <w:b/>
        </w:rPr>
        <w:t>{apiRoot}/&lt;apiName&gt;/&lt;apiVersion&gt;/&lt;apiSpecificResourceUriPart&gt;</w:t>
      </w:r>
    </w:p>
    <w:p>
      <w:pPr>
        <w:pStyle w:val="Normal"/>
        <w:rPr/>
      </w:pPr>
      <w:r>
        <w:rPr>
          <w:lang w:eastAsia="zh-CN"/>
        </w:rPr>
        <w:t>with the following components:</w:t>
      </w:r>
    </w:p>
    <w:p>
      <w:pPr>
        <w:pStyle w:val="B1"/>
        <w:rPr/>
      </w:pPr>
      <w:r>
        <w:rPr/>
        <w:t>-</w:t>
        <w:tab/>
        <w:t>The {apiRoot} shall be set as described in 3GPP TS29.501 [5].</w:t>
      </w:r>
    </w:p>
    <w:p>
      <w:pPr>
        <w:pStyle w:val="B1"/>
        <w:rPr/>
      </w:pPr>
      <w:r>
        <w:rPr/>
        <w:t>-</w:t>
        <w:tab/>
        <w:t xml:space="preserve">The </w:t>
      </w:r>
      <w:r>
        <w:rPr>
          <w:b/>
        </w:rPr>
        <w:t>&lt;</w:t>
      </w:r>
      <w:r>
        <w:rPr/>
        <w:t>apiName</w:t>
      </w:r>
      <w:r>
        <w:rPr>
          <w:b/>
        </w:rPr>
        <w:t>&gt;</w:t>
      </w:r>
      <w:r>
        <w:rPr/>
        <w:t xml:space="preserve"> shall be "nchf-spendinglimitcontrol".</w:t>
      </w:r>
    </w:p>
    <w:p>
      <w:pPr>
        <w:pStyle w:val="B1"/>
        <w:rPr/>
      </w:pPr>
      <w:r>
        <w:rPr/>
        <w:t>-</w:t>
        <w:tab/>
        <w:t xml:space="preserve">The </w:t>
      </w:r>
      <w:r>
        <w:rPr>
          <w:b/>
        </w:rPr>
        <w:t>&lt;</w:t>
      </w:r>
      <w:r>
        <w:rPr/>
        <w:t>apiVersion</w:t>
      </w:r>
      <w:r>
        <w:rPr>
          <w:b/>
        </w:rPr>
        <w:t>&gt;</w:t>
      </w:r>
      <w:r>
        <w:rPr/>
        <w:t xml:space="preserve"> shall be "v1".</w:t>
      </w:r>
    </w:p>
    <w:p>
      <w:pPr>
        <w:pStyle w:val="B1"/>
        <w:rPr/>
      </w:pPr>
      <w:r>
        <w:rPr/>
        <w:t>-</w:t>
        <w:tab/>
        <w:t xml:space="preserve">The </w:t>
      </w:r>
      <w:r>
        <w:rPr>
          <w:b/>
        </w:rPr>
        <w:t>&lt;</w:t>
      </w:r>
      <w:r>
        <w:rPr/>
        <w:t>apiSpecificResourceUriPart</w:t>
      </w:r>
      <w:r>
        <w:rPr>
          <w:b/>
        </w:rPr>
        <w:t>&gt;</w:t>
      </w:r>
      <w:r>
        <w:rPr/>
        <w:t xml:space="preserve"> shall be set as described in subclause 5.3.</w:t>
      </w:r>
    </w:p>
    <w:p>
      <w:pPr>
        <w:pStyle w:val="Heading2"/>
        <w:rPr/>
      </w:pPr>
      <w:bookmarkStart w:id="39" w:name="__RefHeading___Toc75349524"/>
      <w:bookmarkEnd w:id="39"/>
      <w:r>
        <w:rPr/>
        <w:t>5.2</w:t>
        <w:tab/>
        <w:t>Usage of HTTP</w:t>
      </w:r>
    </w:p>
    <w:p>
      <w:pPr>
        <w:pStyle w:val="Heading3"/>
        <w:rPr/>
      </w:pPr>
      <w:bookmarkStart w:id="40" w:name="__RefHeading___Toc75349525"/>
      <w:bookmarkEnd w:id="40"/>
      <w:r>
        <w:rPr/>
        <w:t>5.2.1</w:t>
        <w:tab/>
        <w:t>General</w:t>
      </w:r>
    </w:p>
    <w:p>
      <w:pPr>
        <w:pStyle w:val="Normal"/>
        <w:rPr/>
      </w:pPr>
      <w:r>
        <w:rPr/>
        <w:t>HTTP/2, IETF RFC 7540 [8], shall be used as specified in subclause 5.2 of 3GPP TS 29.500 [4].</w:t>
      </w:r>
    </w:p>
    <w:p>
      <w:pPr>
        <w:pStyle w:val="Normal"/>
        <w:rPr/>
      </w:pPr>
      <w:r>
        <w:rPr/>
        <w:t>HTTP</w:t>
      </w:r>
      <w:r>
        <w:rPr>
          <w:lang w:eastAsia="zh-CN"/>
        </w:rPr>
        <w:t xml:space="preserve">/2 </w:t>
      </w:r>
      <w:r>
        <w:rPr/>
        <w:t>shall be transported as specified in subclause 5.3 of 3GPP TS 29.500 [4].</w:t>
      </w:r>
    </w:p>
    <w:p>
      <w:pPr>
        <w:pStyle w:val="Normal"/>
        <w:rPr/>
      </w:pPr>
      <w:r>
        <w:rPr/>
        <w:t>The OpenAPI [9] specification of HTTP messages and content bodies for the Nchf_SpendingLimitControl service is contained in Annex A.</w:t>
      </w:r>
    </w:p>
    <w:p>
      <w:pPr>
        <w:pStyle w:val="Heading3"/>
        <w:rPr/>
      </w:pPr>
      <w:bookmarkStart w:id="41" w:name="__RefHeading___Toc75349526"/>
      <w:bookmarkEnd w:id="41"/>
      <w:r>
        <w:rPr/>
        <w:t>5.2.2</w:t>
        <w:tab/>
        <w:t>HTTP standard headers</w:t>
      </w:r>
    </w:p>
    <w:p>
      <w:pPr>
        <w:pStyle w:val="Heading4"/>
        <w:ind w:left="1418" w:hanging="1418"/>
        <w:rPr/>
      </w:pPr>
      <w:bookmarkStart w:id="42" w:name="__RefHeading___Toc75349527"/>
      <w:bookmarkEnd w:id="42"/>
      <w:r>
        <w:rPr/>
        <w:t>5.2.2.1</w:t>
      </w:r>
      <w:r>
        <w:rPr>
          <w:lang w:eastAsia="zh-CN"/>
        </w:rPr>
        <w:tab/>
        <w:t>General</w:t>
      </w:r>
    </w:p>
    <w:p>
      <w:pPr>
        <w:pStyle w:val="Normal"/>
        <w:rPr/>
      </w:pPr>
      <w:r>
        <w:rPr/>
        <w:t>See subclause 5.2.2 of 3GPP TS 29.500 [4] for the usage of HTTP standard headers.</w:t>
      </w:r>
    </w:p>
    <w:p>
      <w:pPr>
        <w:pStyle w:val="Heading4"/>
        <w:ind w:left="1418" w:hanging="1418"/>
        <w:rPr/>
      </w:pPr>
      <w:bookmarkStart w:id="43" w:name="__RefHeading___Toc75349528"/>
      <w:bookmarkEnd w:id="43"/>
      <w:r>
        <w:rPr/>
        <w:t>5.2.2.2</w:t>
        <w:tab/>
        <w:t>Content type</w:t>
      </w:r>
    </w:p>
    <w:p>
      <w:pPr>
        <w:pStyle w:val="Normal"/>
        <w:rPr/>
      </w:pPr>
      <w:r>
        <w:rPr/>
        <w:t xml:space="preserve">JSON, IETF RFC 8259 [10], shall be used as content type of the HTTP bodies specified in the present specification, as specified in subclause 5.4 of 3GPP TS 29.500 [4]. </w:t>
      </w:r>
      <w:bookmarkStart w:id="44" w:name="_Hlk531594242"/>
      <w:r>
        <w:rPr/>
        <w:t>The use of the JSON format shall be signalled by the content type "application/json".</w:t>
      </w:r>
    </w:p>
    <w:p>
      <w:pPr>
        <w:pStyle w:val="Normal"/>
        <w:rPr/>
      </w:pPr>
      <w:bookmarkStart w:id="45" w:name="_Hlk525213471"/>
      <w:bookmarkStart w:id="46" w:name="_Hlk525213025"/>
      <w:r>
        <w:rPr/>
        <w:t xml:space="preserve">"Problem Details" JSON object shall be used to indicate </w:t>
      </w:r>
      <w:r>
        <w:rPr>
          <w:lang w:eastAsia="fr-FR"/>
        </w:rPr>
        <w:t xml:space="preserve">additional details of the error </w:t>
      </w:r>
      <w:r>
        <w:rPr/>
        <w:t xml:space="preserve">in a HTTP response body and </w:t>
      </w:r>
      <w:bookmarkEnd w:id="45"/>
      <w:r>
        <w:rPr/>
        <w:t>shall be signalled by the content type "application/problem+json", as defined in IETF RFC 7807 [13].</w:t>
      </w:r>
      <w:bookmarkEnd w:id="44"/>
      <w:bookmarkEnd w:id="46"/>
    </w:p>
    <w:p>
      <w:pPr>
        <w:pStyle w:val="Heading3"/>
        <w:rPr/>
      </w:pPr>
      <w:bookmarkStart w:id="47" w:name="__RefHeading___Toc75349529"/>
      <w:bookmarkEnd w:id="47"/>
      <w:r>
        <w:rPr/>
        <w:t>5.2.3</w:t>
        <w:tab/>
        <w:t>HTTP custom headers</w:t>
      </w:r>
    </w:p>
    <w:p>
      <w:pPr>
        <w:pStyle w:val="Heading4"/>
        <w:ind w:left="1418" w:hanging="1418"/>
        <w:rPr/>
      </w:pPr>
      <w:bookmarkStart w:id="48" w:name="__RefHeading___Toc75349530"/>
      <w:bookmarkEnd w:id="48"/>
      <w:r>
        <w:rPr/>
        <w:t>5.2.3.1</w:t>
      </w:r>
      <w:r>
        <w:rPr>
          <w:lang w:eastAsia="zh-CN"/>
        </w:rPr>
        <w:tab/>
        <w:t>General</w:t>
      </w:r>
    </w:p>
    <w:p>
      <w:pPr>
        <w:pStyle w:val="Guidance"/>
        <w:rPr/>
      </w:pPr>
      <w:r>
        <w:rPr>
          <w:i w:val="false"/>
          <w:color w:val="000000"/>
        </w:rPr>
        <w:t>The Nchf_SpendingLimitControl API shall support HTTP custom header fields specified in subclause 5.2.3.2 of 3GPP TS 29.500 [4].</w:t>
      </w:r>
    </w:p>
    <w:p>
      <w:pPr>
        <w:pStyle w:val="Normal"/>
        <w:rPr>
          <w:lang w:eastAsia="zh-CN"/>
        </w:rPr>
      </w:pPr>
      <w:r>
        <w:rPr>
          <w:lang w:eastAsia="zh-CN"/>
        </w:rPr>
        <w:t xml:space="preserve">In this Release </w:t>
      </w:r>
      <w:r>
        <w:rPr/>
        <w:t xml:space="preserve">of the specification, no specific custom headers are defined for the Nchf_SpendingLimitControl </w:t>
      </w:r>
      <w:r>
        <w:rPr>
          <w:lang w:eastAsia="zh-CN"/>
        </w:rPr>
        <w:t>API</w:t>
      </w:r>
      <w:r>
        <w:rPr/>
        <w:t>.</w:t>
      </w:r>
    </w:p>
    <w:p>
      <w:pPr>
        <w:pStyle w:val="Heading2"/>
        <w:rPr/>
      </w:pPr>
      <w:bookmarkStart w:id="49" w:name="__RefHeading___Toc75349531"/>
      <w:bookmarkEnd w:id="49"/>
      <w:r>
        <w:rPr/>
        <w:t>5.3</w:t>
        <w:tab/>
        <w:t>Resources</w:t>
      </w:r>
    </w:p>
    <w:p>
      <w:pPr>
        <w:pStyle w:val="Heading3"/>
        <w:rPr/>
      </w:pPr>
      <w:bookmarkStart w:id="50" w:name="__RefHeading___Toc75349532"/>
      <w:bookmarkEnd w:id="50"/>
      <w:r>
        <w:rPr/>
        <w:t>5.3.1</w:t>
        <w:tab/>
        <w:t>Resource Structure</w:t>
      </w:r>
    </w:p>
    <w:p>
      <w:pPr>
        <w:pStyle w:val="Normal"/>
        <w:rPr/>
      </w:pPr>
      <w:r>
        <w:rPr/>
        <w:t>Figure 5.3.1-1 shows the resource structure of the Nchf_SpendingLimitControl API.</w:t>
      </w:r>
    </w:p>
    <w:p>
      <w:pPr>
        <w:pStyle w:val="TH"/>
        <w:rPr>
          <w:lang w:val="en-US"/>
        </w:rPr>
      </w:pPr>
      <w:r>
        <w:rPr/>
        <w:object w:dxaOrig="7694" w:dyaOrig="3434">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384.75pt;height:126.55pt" filled="f" o:ole="">
            <v:imagedata r:id="rId28" o:title=""/>
          </v:shape>
          <o:OLEObject Type="Embed" ProgID="" ShapeID="ole_rId27" DrawAspect="Content" ObjectID="_1277044852" r:id="rId27"/>
        </w:object>
      </w:r>
    </w:p>
    <w:p>
      <w:pPr>
        <w:pStyle w:val="TF"/>
        <w:rPr/>
      </w:pPr>
      <w:r>
        <w:rPr/>
        <w:t xml:space="preserve">Figure 5.3.1-1: Resource URI structure of the </w:t>
      </w:r>
      <w:bookmarkStart w:id="51" w:name="_Hlk513103372"/>
      <w:r>
        <w:rPr/>
        <w:t xml:space="preserve">Nchf_SpendingLimitControl </w:t>
      </w:r>
      <w:bookmarkEnd w:id="51"/>
      <w:r>
        <w:rPr/>
        <w:t>API</w:t>
      </w:r>
    </w:p>
    <w:p>
      <w:pPr>
        <w:pStyle w:val="Normal"/>
        <w:rPr/>
      </w:pPr>
      <w:r>
        <w:rPr/>
        <w:t>Table 5.3.1-1 provides an overview of the resources and applicable HTTP methods.</w:t>
      </w:r>
    </w:p>
    <w:p>
      <w:pPr>
        <w:pStyle w:val="TH"/>
        <w:rPr/>
      </w:pPr>
      <w:r>
        <w:rPr/>
        <w:t>Table 5.3.1-1: Resources and methods overview</w:t>
      </w:r>
    </w:p>
    <w:tbl>
      <w:tblPr>
        <w:tblW w:w="4900" w:type="pct"/>
        <w:jc w:val="center"/>
        <w:tblInd w:w="0" w:type="dxa"/>
        <w:tblLayout w:type="fixed"/>
        <w:tblCellMar>
          <w:top w:w="0" w:type="dxa"/>
          <w:left w:w="28" w:type="dxa"/>
          <w:bottom w:w="0" w:type="dxa"/>
          <w:right w:w="115" w:type="dxa"/>
        </w:tblCellMar>
      </w:tblPr>
      <w:tblGrid>
        <w:gridCol w:w="2204"/>
        <w:gridCol w:w="2736"/>
        <w:gridCol w:w="1375"/>
        <w:gridCol w:w="3132"/>
      </w:tblGrid>
      <w:tr>
        <w:trPr/>
        <w:tc>
          <w:tcPr>
            <w:tcW w:w="2204"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Resource name</w:t>
            </w:r>
          </w:p>
        </w:tc>
        <w:tc>
          <w:tcPr>
            <w:tcW w:w="2736"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Resource URI</w:t>
            </w:r>
          </w:p>
        </w:tc>
        <w:tc>
          <w:tcPr>
            <w:tcW w:w="1375"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HTTP method or custom operation</w:t>
            </w:r>
          </w:p>
        </w:tc>
        <w:tc>
          <w:tcPr>
            <w:tcW w:w="3132"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2204" w:type="dxa"/>
            <w:tcBorders>
              <w:top w:val="single" w:sz="4" w:space="0" w:color="000000"/>
              <w:left w:val="single" w:sz="4" w:space="0" w:color="000000"/>
              <w:bottom w:val="single" w:sz="4" w:space="0" w:color="000000"/>
              <w:right w:val="single" w:sz="4" w:space="0" w:color="000000"/>
            </w:tcBorders>
          </w:tcPr>
          <w:p>
            <w:pPr>
              <w:pStyle w:val="TAL"/>
              <w:rPr/>
            </w:pPr>
            <w:r>
              <w:rPr/>
              <w:t>Spending Limit Retrieval Subscriptions</w:t>
            </w:r>
          </w:p>
        </w:tc>
        <w:tc>
          <w:tcPr>
            <w:tcW w:w="2736" w:type="dxa"/>
            <w:tcBorders>
              <w:top w:val="single" w:sz="4" w:space="0" w:color="000000"/>
              <w:left w:val="single" w:sz="4" w:space="0" w:color="000000"/>
              <w:bottom w:val="single" w:sz="4" w:space="0" w:color="000000"/>
              <w:right w:val="single" w:sz="4" w:space="0" w:color="000000"/>
            </w:tcBorders>
          </w:tcPr>
          <w:p>
            <w:pPr>
              <w:pStyle w:val="TAL"/>
              <w:rPr/>
            </w:pPr>
            <w:r>
              <w:rPr/>
              <w:t>/subscriptions</w:t>
            </w:r>
          </w:p>
        </w:tc>
        <w:tc>
          <w:tcPr>
            <w:tcW w:w="1375" w:type="dxa"/>
            <w:tcBorders>
              <w:top w:val="single" w:sz="4" w:space="0" w:color="000000"/>
              <w:left w:val="single" w:sz="4" w:space="0" w:color="000000"/>
              <w:bottom w:val="single" w:sz="4" w:space="0" w:color="000000"/>
              <w:right w:val="single" w:sz="4" w:space="0" w:color="000000"/>
            </w:tcBorders>
          </w:tcPr>
          <w:p>
            <w:pPr>
              <w:pStyle w:val="TAL"/>
              <w:rPr/>
            </w:pPr>
            <w:r>
              <w:rPr/>
              <w:t>POST</w:t>
            </w:r>
          </w:p>
        </w:tc>
        <w:tc>
          <w:tcPr>
            <w:tcW w:w="3132" w:type="dxa"/>
            <w:tcBorders>
              <w:top w:val="single" w:sz="4" w:space="0" w:color="000000"/>
              <w:left w:val="single" w:sz="4" w:space="0" w:color="000000"/>
              <w:bottom w:val="single" w:sz="4" w:space="0" w:color="000000"/>
              <w:right w:val="single" w:sz="4" w:space="0" w:color="000000"/>
            </w:tcBorders>
          </w:tcPr>
          <w:p>
            <w:pPr>
              <w:pStyle w:val="TAL"/>
              <w:rPr/>
            </w:pPr>
            <w:r>
              <w:rPr/>
              <w:t>Creates a new individual spending limit retrieval subscription.</w:t>
            </w:r>
          </w:p>
        </w:tc>
      </w:tr>
      <w:tr>
        <w:trPr>
          <w:trHeight w:val="828" w:hRule="atLeast"/>
        </w:trPr>
        <w:tc>
          <w:tcPr>
            <w:tcW w:w="2204" w:type="dxa"/>
            <w:vMerge w:val="restart"/>
            <w:tcBorders>
              <w:top w:val="single" w:sz="4" w:space="0" w:color="000000"/>
              <w:left w:val="single" w:sz="4" w:space="0" w:color="000000"/>
              <w:bottom w:val="single" w:sz="4" w:space="0" w:color="000000"/>
              <w:right w:val="single" w:sz="4" w:space="0" w:color="000000"/>
            </w:tcBorders>
          </w:tcPr>
          <w:p>
            <w:pPr>
              <w:pStyle w:val="TAL"/>
              <w:rPr/>
            </w:pPr>
            <w:bookmarkStart w:id="52" w:name="_Hlk512330586"/>
            <w:r>
              <w:rPr/>
              <w:t>Individual Spending Limit Retrieval Subscription</w:t>
            </w:r>
            <w:bookmarkEnd w:id="52"/>
          </w:p>
        </w:tc>
        <w:tc>
          <w:tcPr>
            <w:tcW w:w="2736" w:type="dxa"/>
            <w:vMerge w:val="restart"/>
            <w:tcBorders>
              <w:top w:val="single" w:sz="4" w:space="0" w:color="000000"/>
              <w:left w:val="single" w:sz="4" w:space="0" w:color="000000"/>
              <w:bottom w:val="single" w:sz="4" w:space="0" w:color="000000"/>
              <w:right w:val="single" w:sz="4" w:space="0" w:color="000000"/>
            </w:tcBorders>
          </w:tcPr>
          <w:p>
            <w:pPr>
              <w:pStyle w:val="TAL"/>
              <w:rPr/>
            </w:pPr>
            <w:r>
              <w:rPr/>
              <w:t>/subscriptions/{</w:t>
            </w:r>
            <w:bookmarkStart w:id="53" w:name="_Hlk512582573"/>
            <w:r>
              <w:rPr/>
              <w:t>subscriptionId</w:t>
            </w:r>
            <w:bookmarkEnd w:id="53"/>
            <w:r>
              <w:rPr/>
              <w:t>}</w:t>
            </w:r>
          </w:p>
        </w:tc>
        <w:tc>
          <w:tcPr>
            <w:tcW w:w="1375" w:type="dxa"/>
            <w:tcBorders>
              <w:top w:val="single" w:sz="4" w:space="0" w:color="000000"/>
              <w:left w:val="single" w:sz="4" w:space="0" w:color="000000"/>
              <w:bottom w:val="single" w:sz="4" w:space="0" w:color="000000"/>
              <w:right w:val="single" w:sz="4" w:space="0" w:color="000000"/>
            </w:tcBorders>
          </w:tcPr>
          <w:p>
            <w:pPr>
              <w:pStyle w:val="TAL"/>
              <w:rPr/>
            </w:pPr>
            <w:r>
              <w:rPr/>
              <w:t>PUT</w:t>
            </w:r>
          </w:p>
          <w:p>
            <w:pPr>
              <w:pStyle w:val="TAL"/>
              <w:rPr/>
            </w:pPr>
            <w:r>
              <w:rPr/>
            </w:r>
          </w:p>
        </w:tc>
        <w:tc>
          <w:tcPr>
            <w:tcW w:w="3132" w:type="dxa"/>
            <w:tcBorders>
              <w:top w:val="single" w:sz="4" w:space="0" w:color="000000"/>
              <w:left w:val="single" w:sz="4" w:space="0" w:color="000000"/>
              <w:bottom w:val="single" w:sz="4" w:space="0" w:color="000000"/>
              <w:right w:val="single" w:sz="4" w:space="0" w:color="000000"/>
            </w:tcBorders>
          </w:tcPr>
          <w:p>
            <w:pPr>
              <w:pStyle w:val="TAL"/>
              <w:rPr/>
            </w:pPr>
            <w:r>
              <w:rPr/>
              <w:t>Modifies an existing subscription (e.g. addition of additional policy counters).</w:t>
            </w:r>
          </w:p>
          <w:p>
            <w:pPr>
              <w:pStyle w:val="TAL"/>
              <w:rPr/>
            </w:pPr>
            <w:r>
              <w:rPr/>
            </w:r>
          </w:p>
        </w:tc>
      </w:tr>
      <w:tr>
        <w:trPr/>
        <w:tc>
          <w:tcPr>
            <w:tcW w:w="2204"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eastAsia="es-ES"/>
              </w:rPr>
            </w:pPr>
            <w:r>
              <w:rPr>
                <w:lang w:eastAsia="es-ES"/>
              </w:rPr>
            </w:r>
          </w:p>
        </w:tc>
        <w:tc>
          <w:tcPr>
            <w:tcW w:w="273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75" w:type="dxa"/>
            <w:tcBorders>
              <w:top w:val="single" w:sz="4" w:space="0" w:color="000000"/>
              <w:left w:val="single" w:sz="4" w:space="0" w:color="000000"/>
              <w:bottom w:val="single" w:sz="4" w:space="0" w:color="000000"/>
              <w:right w:val="single" w:sz="4" w:space="0" w:color="000000"/>
            </w:tcBorders>
          </w:tcPr>
          <w:p>
            <w:pPr>
              <w:pStyle w:val="TAL"/>
              <w:rPr/>
            </w:pPr>
            <w:r>
              <w:rPr/>
              <w:t>DELETE</w:t>
            </w:r>
          </w:p>
        </w:tc>
        <w:tc>
          <w:tcPr>
            <w:tcW w:w="3132" w:type="dxa"/>
            <w:tcBorders>
              <w:top w:val="single" w:sz="4" w:space="0" w:color="000000"/>
              <w:left w:val="single" w:sz="4" w:space="0" w:color="000000"/>
              <w:bottom w:val="single" w:sz="4" w:space="0" w:color="000000"/>
              <w:right w:val="single" w:sz="4" w:space="0" w:color="000000"/>
            </w:tcBorders>
          </w:tcPr>
          <w:p>
            <w:pPr>
              <w:pStyle w:val="TAL"/>
              <w:rPr/>
            </w:pPr>
            <w:r>
              <w:rPr/>
              <w:t>Deletes an individual subscription.</w:t>
            </w:r>
          </w:p>
        </w:tc>
      </w:tr>
    </w:tbl>
    <w:p>
      <w:pPr>
        <w:pStyle w:val="Normal"/>
        <w:rPr/>
      </w:pPr>
      <w:r>
        <w:rPr/>
      </w:r>
    </w:p>
    <w:p>
      <w:pPr>
        <w:pStyle w:val="Heading3"/>
        <w:rPr/>
      </w:pPr>
      <w:bookmarkStart w:id="54" w:name="__RefHeading___Toc75349533"/>
      <w:bookmarkEnd w:id="54"/>
      <w:r>
        <w:rPr/>
        <w:t>5.3.2</w:t>
        <w:tab/>
        <w:t>Resource: Spending Limit Retrieval Subscriptions (Collection)</w:t>
      </w:r>
    </w:p>
    <w:p>
      <w:pPr>
        <w:pStyle w:val="Heading4"/>
        <w:ind w:left="1418" w:hanging="1418"/>
        <w:rPr/>
      </w:pPr>
      <w:bookmarkStart w:id="55" w:name="__RefHeading___Toc75349534"/>
      <w:bookmarkEnd w:id="55"/>
      <w:r>
        <w:rPr/>
        <w:t>5.3.2.1</w:t>
        <w:tab/>
        <w:t>Description</w:t>
      </w:r>
    </w:p>
    <w:p>
      <w:pPr>
        <w:pStyle w:val="Normal"/>
        <w:rPr/>
      </w:pPr>
      <w:r>
        <w:rPr/>
        <w:t>This resource represents the collection of Nchf_SpendingLimitControl service subscriptions at a given CHF.</w:t>
      </w:r>
    </w:p>
    <w:p>
      <w:pPr>
        <w:pStyle w:val="Heading4"/>
        <w:ind w:left="1418" w:hanging="1418"/>
        <w:rPr/>
      </w:pPr>
      <w:bookmarkStart w:id="56" w:name="__RefHeading___Toc75349535"/>
      <w:bookmarkEnd w:id="56"/>
      <w:r>
        <w:rPr/>
        <w:t>5.3.2.2</w:t>
        <w:tab/>
        <w:t>Resource definition</w:t>
      </w:r>
    </w:p>
    <w:p>
      <w:pPr>
        <w:pStyle w:val="Normal"/>
        <w:rPr/>
      </w:pPr>
      <w:r>
        <w:rPr/>
        <w:t xml:space="preserve">Resource URI: </w:t>
      </w:r>
      <w:r>
        <w:rPr>
          <w:b/>
        </w:rPr>
        <w:t>{apiRoot}/nchf-spendinglimitcontrol/v1/subscriptions</w:t>
      </w:r>
    </w:p>
    <w:p>
      <w:pPr>
        <w:pStyle w:val="Normal"/>
        <w:rPr/>
      </w:pPr>
      <w:r>
        <w:rPr/>
        <w:t>This resource shall support the resource URI variables defined in table 5.3.2.2-1</w:t>
      </w:r>
      <w:r>
        <w:rPr>
          <w:rFonts w:cs="Arial" w:ascii="Arial" w:hAnsi="Arial"/>
        </w:rPr>
        <w:t>.</w:t>
      </w:r>
    </w:p>
    <w:p>
      <w:pPr>
        <w:pStyle w:val="TH"/>
        <w:rPr>
          <w:rFonts w:cs="Arial"/>
        </w:rPr>
      </w:pPr>
      <w:r>
        <w:rPr>
          <w:rFonts w:cs="Arial"/>
        </w:rPr>
        <w:t>Table 5.3.2.2-1: Resource URI variables for this resource</w:t>
      </w:r>
    </w:p>
    <w:tbl>
      <w:tblPr>
        <w:tblW w:w="5000" w:type="pct"/>
        <w:jc w:val="center"/>
        <w:tblInd w:w="0" w:type="dxa"/>
        <w:tblLayout w:type="fixed"/>
        <w:tblCellMar>
          <w:top w:w="0" w:type="dxa"/>
          <w:left w:w="28" w:type="dxa"/>
          <w:bottom w:w="0" w:type="dxa"/>
          <w:right w:w="108" w:type="dxa"/>
        </w:tblCellMar>
      </w:tblPr>
      <w:tblGrid>
        <w:gridCol w:w="1606"/>
        <w:gridCol w:w="1396"/>
        <w:gridCol w:w="6638"/>
      </w:tblGrid>
      <w:tr>
        <w:trPr/>
        <w:tc>
          <w:tcPr>
            <w:tcW w:w="1606"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Name</w:t>
            </w:r>
          </w:p>
        </w:tc>
        <w:tc>
          <w:tcPr>
            <w:tcW w:w="1396"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Data type</w:t>
            </w:r>
          </w:p>
        </w:tc>
        <w:tc>
          <w:tcPr>
            <w:tcW w:w="6638" w:type="dxa"/>
            <w:tcBorders>
              <w:top w:val="single" w:sz="6" w:space="0" w:color="000000"/>
              <w:left w:val="single" w:sz="6" w:space="0" w:color="000000"/>
              <w:bottom w:val="single" w:sz="6" w:space="0" w:color="000000"/>
              <w:right w:val="single" w:sz="6" w:space="0" w:color="000000"/>
            </w:tcBorders>
            <w:shd w:fill="CCCCCC" w:val="clear"/>
            <w:vAlign w:val="center"/>
          </w:tcPr>
          <w:p>
            <w:pPr>
              <w:pStyle w:val="TAH"/>
              <w:rPr/>
            </w:pPr>
            <w:r>
              <w:rPr/>
              <w:t>Definition</w:t>
            </w:r>
          </w:p>
        </w:tc>
      </w:tr>
      <w:tr>
        <w:trPr/>
        <w:tc>
          <w:tcPr>
            <w:tcW w:w="1606" w:type="dxa"/>
            <w:tcBorders>
              <w:top w:val="single" w:sz="6" w:space="0" w:color="000000"/>
              <w:left w:val="single" w:sz="6" w:space="0" w:color="000000"/>
              <w:bottom w:val="single" w:sz="6" w:space="0" w:color="000000"/>
              <w:right w:val="single" w:sz="6" w:space="0" w:color="000000"/>
            </w:tcBorders>
          </w:tcPr>
          <w:p>
            <w:pPr>
              <w:pStyle w:val="TAL"/>
              <w:rPr/>
            </w:pPr>
            <w:r>
              <w:rPr/>
              <w:t>apiRoot</w:t>
            </w:r>
          </w:p>
        </w:tc>
        <w:tc>
          <w:tcPr>
            <w:tcW w:w="1396"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s</w:t>
            </w:r>
            <w:r>
              <w:rPr>
                <w:lang w:eastAsia="zh-CN"/>
              </w:rPr>
              <w:t>tring</w:t>
            </w:r>
          </w:p>
        </w:tc>
        <w:tc>
          <w:tcPr>
            <w:tcW w:w="6638" w:type="dxa"/>
            <w:tcBorders>
              <w:top w:val="single" w:sz="6" w:space="0" w:color="000000"/>
              <w:left w:val="single" w:sz="6" w:space="0" w:color="000000"/>
              <w:bottom w:val="single" w:sz="6" w:space="0" w:color="000000"/>
              <w:right w:val="single" w:sz="6" w:space="0" w:color="000000"/>
            </w:tcBorders>
            <w:vAlign w:val="center"/>
          </w:tcPr>
          <w:p>
            <w:pPr>
              <w:pStyle w:val="TAL"/>
              <w:rPr/>
            </w:pPr>
            <w:r>
              <w:rPr/>
              <w:t>See subclause</w:t>
            </w:r>
            <w:r>
              <w:rPr>
                <w:lang w:val="en-US" w:eastAsia="zh-CN"/>
              </w:rPr>
              <w:t> </w:t>
            </w:r>
            <w:r>
              <w:rPr/>
              <w:t>5.1</w:t>
            </w:r>
          </w:p>
        </w:tc>
      </w:tr>
    </w:tbl>
    <w:p>
      <w:pPr>
        <w:pStyle w:val="Normal"/>
        <w:rPr/>
      </w:pPr>
      <w:r>
        <w:rPr/>
      </w:r>
    </w:p>
    <w:p>
      <w:pPr>
        <w:pStyle w:val="Heading4"/>
        <w:ind w:left="1418" w:hanging="1418"/>
        <w:rPr/>
      </w:pPr>
      <w:bookmarkStart w:id="57" w:name="__RefHeading___Toc75349536"/>
      <w:bookmarkEnd w:id="57"/>
      <w:r>
        <w:rPr/>
        <w:t>5.3.2.3</w:t>
        <w:tab/>
        <w:t>Resource Standard Methods</w:t>
      </w:r>
    </w:p>
    <w:p>
      <w:pPr>
        <w:pStyle w:val="Heading5"/>
        <w:ind w:left="1701" w:hanging="1701"/>
        <w:rPr/>
      </w:pPr>
      <w:bookmarkStart w:id="58" w:name="__RefHeading___Toc75349537"/>
      <w:bookmarkEnd w:id="58"/>
      <w:r>
        <w:rPr/>
        <w:t>5.3.2.3.1</w:t>
        <w:tab/>
        <w:t>POST</w:t>
      </w:r>
    </w:p>
    <w:p>
      <w:pPr>
        <w:pStyle w:val="Normal"/>
        <w:rPr/>
      </w:pPr>
      <w:r>
        <w:rPr/>
        <w:t>This method shall support the URI query parameters specified in table 5.3.2.3.1-1.</w:t>
      </w:r>
    </w:p>
    <w:p>
      <w:pPr>
        <w:pStyle w:val="TH"/>
        <w:rPr>
          <w:rFonts w:cs="Arial"/>
        </w:rPr>
      </w:pPr>
      <w:r>
        <w:rPr>
          <w:rFonts w:cs="Arial"/>
        </w:rPr>
        <w:t>Table 5.3.2.3.1-1: URI query parameters supported by the POST method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1397"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414"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109"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pPr>
            <w:r>
              <w:rPr/>
            </w:r>
          </w:p>
        </w:tc>
      </w:tr>
    </w:tbl>
    <w:p>
      <w:pPr>
        <w:pStyle w:val="Normal"/>
        <w:rPr/>
      </w:pPr>
      <w:r>
        <w:rPr/>
      </w:r>
    </w:p>
    <w:p>
      <w:pPr>
        <w:pStyle w:val="Normal"/>
        <w:rPr/>
      </w:pPr>
      <w:r>
        <w:rPr/>
        <w:t>This method shall support the request data structures specified in table 5.3.2.3.1-2 and the response data structures and response codes specified in table 5.3.2.3.1-3.</w:t>
      </w:r>
    </w:p>
    <w:p>
      <w:pPr>
        <w:pStyle w:val="TH"/>
        <w:rPr/>
      </w:pPr>
      <w:r>
        <w:rPr/>
        <w:t>Table 5.3.2.3.1-2: Data structures supported by the POST Request Body on this resource</w:t>
      </w:r>
    </w:p>
    <w:tbl>
      <w:tblPr>
        <w:tblW w:w="4950" w:type="pct"/>
        <w:jc w:val="center"/>
        <w:tblInd w:w="0" w:type="dxa"/>
        <w:tblLayout w:type="fixed"/>
        <w:tblCellMar>
          <w:top w:w="0" w:type="dxa"/>
          <w:left w:w="28" w:type="dxa"/>
          <w:bottom w:w="0" w:type="dxa"/>
          <w:right w:w="108" w:type="dxa"/>
        </w:tblCellMar>
      </w:tblPr>
      <w:tblGrid>
        <w:gridCol w:w="1975"/>
        <w:gridCol w:w="419"/>
        <w:gridCol w:w="1258"/>
        <w:gridCol w:w="5891"/>
      </w:tblGrid>
      <w:tr>
        <w:trPr/>
        <w:tc>
          <w:tcPr>
            <w:tcW w:w="197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5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891"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975" w:type="dxa"/>
            <w:tcBorders>
              <w:top w:val="single" w:sz="4" w:space="0" w:color="000000"/>
              <w:left w:val="single" w:sz="6" w:space="0" w:color="000000"/>
              <w:bottom w:val="single" w:sz="6" w:space="0" w:color="000000"/>
              <w:right w:val="single" w:sz="6" w:space="0" w:color="000000"/>
            </w:tcBorders>
          </w:tcPr>
          <w:p>
            <w:pPr>
              <w:pStyle w:val="TAL"/>
              <w:rPr/>
            </w:pPr>
            <w:r>
              <w:rPr/>
              <w:t>SpendingLimitContext</w:t>
            </w:r>
          </w:p>
        </w:tc>
        <w:tc>
          <w:tcPr>
            <w:tcW w:w="419"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1258" w:type="dxa"/>
            <w:tcBorders>
              <w:top w:val="single" w:sz="4" w:space="0" w:color="000000"/>
              <w:left w:val="single" w:sz="6" w:space="0" w:color="000000"/>
              <w:bottom w:val="single" w:sz="6" w:space="0" w:color="000000"/>
              <w:right w:val="single" w:sz="6" w:space="0" w:color="000000"/>
            </w:tcBorders>
          </w:tcPr>
          <w:p>
            <w:pPr>
              <w:pStyle w:val="TAL"/>
              <w:rPr/>
            </w:pPr>
            <w:r>
              <w:rPr/>
              <w:t>1</w:t>
            </w:r>
          </w:p>
        </w:tc>
        <w:tc>
          <w:tcPr>
            <w:tcW w:w="5891" w:type="dxa"/>
            <w:tcBorders>
              <w:top w:val="single" w:sz="4" w:space="0" w:color="000000"/>
              <w:left w:val="single" w:sz="6" w:space="0" w:color="000000"/>
              <w:bottom w:val="single" w:sz="6" w:space="0" w:color="000000"/>
              <w:right w:val="single" w:sz="6" w:space="0" w:color="000000"/>
            </w:tcBorders>
          </w:tcPr>
          <w:p>
            <w:pPr>
              <w:pStyle w:val="TAL"/>
              <w:rPr/>
            </w:pPr>
            <w:r>
              <w:rPr/>
              <w:t>Contains the information for the creation of a new individual spending limit retrieval subscription.</w:t>
            </w:r>
          </w:p>
        </w:tc>
      </w:tr>
    </w:tbl>
    <w:p>
      <w:pPr>
        <w:pStyle w:val="Normal"/>
        <w:rPr>
          <w:lang w:val="es-ES"/>
        </w:rPr>
      </w:pPr>
      <w:r>
        <w:rPr>
          <w:lang w:val="es-ES"/>
        </w:rPr>
      </w:r>
    </w:p>
    <w:p>
      <w:pPr>
        <w:pStyle w:val="TH"/>
        <w:rPr/>
      </w:pPr>
      <w:r>
        <w:rPr/>
        <w:t>Table 5.3.2.3.1-3: Data structures supported by the POST Response Body on this resource</w:t>
      </w:r>
    </w:p>
    <w:tbl>
      <w:tblPr>
        <w:tblW w:w="4950" w:type="pct"/>
        <w:jc w:val="center"/>
        <w:tblInd w:w="0" w:type="dxa"/>
        <w:tblLayout w:type="fixed"/>
        <w:tblCellMar>
          <w:top w:w="0" w:type="dxa"/>
          <w:left w:w="28" w:type="dxa"/>
          <w:bottom w:w="0" w:type="dxa"/>
          <w:right w:w="115" w:type="dxa"/>
        </w:tblCellMar>
      </w:tblPr>
      <w:tblGrid>
        <w:gridCol w:w="1978"/>
        <w:gridCol w:w="418"/>
        <w:gridCol w:w="1258"/>
        <w:gridCol w:w="1777"/>
        <w:gridCol w:w="4112"/>
      </w:tblGrid>
      <w:tr>
        <w:trPr/>
        <w:tc>
          <w:tcPr>
            <w:tcW w:w="197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5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77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 codes</w:t>
            </w:r>
          </w:p>
        </w:tc>
        <w:tc>
          <w:tcPr>
            <w:tcW w:w="411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978" w:type="dxa"/>
            <w:tcBorders>
              <w:top w:val="single" w:sz="4" w:space="0" w:color="000000"/>
              <w:left w:val="single" w:sz="6" w:space="0" w:color="000000"/>
              <w:bottom w:val="single" w:sz="4" w:space="0" w:color="000000"/>
              <w:right w:val="single" w:sz="6" w:space="0" w:color="000000"/>
            </w:tcBorders>
          </w:tcPr>
          <w:p>
            <w:pPr>
              <w:pStyle w:val="TAL"/>
              <w:rPr/>
            </w:pPr>
            <w:r>
              <w:rPr/>
              <w:t>SpendingLimitStatus</w:t>
            </w:r>
          </w:p>
        </w:tc>
        <w:tc>
          <w:tcPr>
            <w:tcW w:w="418"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258"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1777" w:type="dxa"/>
            <w:tcBorders>
              <w:top w:val="single" w:sz="4" w:space="0" w:color="000000"/>
              <w:left w:val="single" w:sz="6" w:space="0" w:color="000000"/>
              <w:bottom w:val="single" w:sz="4" w:space="0" w:color="000000"/>
              <w:right w:val="single" w:sz="6" w:space="0" w:color="000000"/>
            </w:tcBorders>
          </w:tcPr>
          <w:p>
            <w:pPr>
              <w:pStyle w:val="TAL"/>
              <w:rPr/>
            </w:pPr>
            <w:r>
              <w:rPr/>
              <w:t>201 Created</w:t>
            </w:r>
          </w:p>
        </w:tc>
        <w:tc>
          <w:tcPr>
            <w:tcW w:w="4112" w:type="dxa"/>
            <w:tcBorders>
              <w:top w:val="single" w:sz="4" w:space="0" w:color="000000"/>
              <w:left w:val="single" w:sz="6" w:space="0" w:color="000000"/>
              <w:bottom w:val="single" w:sz="4" w:space="0" w:color="000000"/>
              <w:right w:val="single" w:sz="6" w:space="0" w:color="000000"/>
            </w:tcBorders>
          </w:tcPr>
          <w:p>
            <w:pPr>
              <w:pStyle w:val="TAL"/>
              <w:rPr/>
            </w:pPr>
            <w:r>
              <w:rPr/>
              <w:t xml:space="preserve">The spending limit subscription was created and spending limit reports are provided. </w:t>
            </w:r>
          </w:p>
        </w:tc>
      </w:tr>
      <w:tr>
        <w:trPr/>
        <w:tc>
          <w:tcPr>
            <w:tcW w:w="1978" w:type="dxa"/>
            <w:tcBorders>
              <w:top w:val="single" w:sz="4" w:space="0" w:color="000000"/>
              <w:left w:val="single" w:sz="6" w:space="0" w:color="000000"/>
              <w:bottom w:val="single" w:sz="4" w:space="0" w:color="000000"/>
              <w:right w:val="single" w:sz="6" w:space="0" w:color="000000"/>
            </w:tcBorders>
          </w:tcPr>
          <w:p>
            <w:pPr>
              <w:pStyle w:val="TAL"/>
              <w:rPr/>
            </w:pPr>
            <w:r>
              <w:rPr/>
              <w:t>ProblemDetails</w:t>
            </w:r>
          </w:p>
        </w:tc>
        <w:tc>
          <w:tcPr>
            <w:tcW w:w="418" w:type="dxa"/>
            <w:tcBorders>
              <w:top w:val="single" w:sz="4" w:space="0" w:color="000000"/>
              <w:left w:val="single" w:sz="6" w:space="0" w:color="000000"/>
              <w:bottom w:val="single" w:sz="4" w:space="0" w:color="000000"/>
              <w:right w:val="single" w:sz="6" w:space="0" w:color="000000"/>
            </w:tcBorders>
          </w:tcPr>
          <w:p>
            <w:pPr>
              <w:pStyle w:val="TAC"/>
              <w:rPr/>
            </w:pPr>
            <w:r>
              <w:rPr/>
              <w:t>O</w:t>
            </w:r>
          </w:p>
        </w:tc>
        <w:tc>
          <w:tcPr>
            <w:tcW w:w="1258" w:type="dxa"/>
            <w:tcBorders>
              <w:top w:val="single" w:sz="4" w:space="0" w:color="000000"/>
              <w:left w:val="single" w:sz="6" w:space="0" w:color="000000"/>
              <w:bottom w:val="single" w:sz="4" w:space="0" w:color="000000"/>
              <w:right w:val="single" w:sz="6" w:space="0" w:color="000000"/>
            </w:tcBorders>
          </w:tcPr>
          <w:p>
            <w:pPr>
              <w:pStyle w:val="TAL"/>
              <w:rPr/>
            </w:pPr>
            <w:r>
              <w:rPr/>
              <w:t>0..1</w:t>
            </w:r>
          </w:p>
        </w:tc>
        <w:tc>
          <w:tcPr>
            <w:tcW w:w="1777" w:type="dxa"/>
            <w:tcBorders>
              <w:top w:val="single" w:sz="4" w:space="0" w:color="000000"/>
              <w:left w:val="single" w:sz="6" w:space="0" w:color="000000"/>
              <w:bottom w:val="single" w:sz="4" w:space="0" w:color="000000"/>
              <w:right w:val="single" w:sz="6" w:space="0" w:color="000000"/>
            </w:tcBorders>
          </w:tcPr>
          <w:p>
            <w:pPr>
              <w:pStyle w:val="TAL"/>
              <w:rPr/>
            </w:pPr>
            <w:r>
              <w:rPr/>
              <w:t>400 Bad Request</w:t>
            </w:r>
          </w:p>
        </w:tc>
        <w:tc>
          <w:tcPr>
            <w:tcW w:w="4112" w:type="dxa"/>
            <w:tcBorders>
              <w:top w:val="single" w:sz="4" w:space="0" w:color="000000"/>
              <w:left w:val="single" w:sz="6" w:space="0" w:color="000000"/>
              <w:bottom w:val="single" w:sz="4" w:space="0" w:color="000000"/>
              <w:right w:val="single" w:sz="6" w:space="0" w:color="000000"/>
            </w:tcBorders>
          </w:tcPr>
          <w:p>
            <w:pPr>
              <w:pStyle w:val="TAL"/>
              <w:rPr/>
            </w:pPr>
            <w:r>
              <w:rPr/>
              <w:t>(NOTE 2)</w:t>
            </w:r>
          </w:p>
        </w:tc>
      </w:tr>
      <w:tr>
        <w:trPr/>
        <w:tc>
          <w:tcPr>
            <w:tcW w:w="9543" w:type="dxa"/>
            <w:gridSpan w:val="5"/>
            <w:tcBorders>
              <w:top w:val="single" w:sz="4" w:space="0" w:color="000000"/>
              <w:left w:val="single" w:sz="6" w:space="0" w:color="000000"/>
              <w:bottom w:val="single" w:sz="6" w:space="0" w:color="000000"/>
              <w:right w:val="single" w:sz="6" w:space="0" w:color="000000"/>
            </w:tcBorders>
          </w:tcPr>
          <w:p>
            <w:pPr>
              <w:pStyle w:val="TAN"/>
              <w:rPr/>
            </w:pPr>
            <w:r>
              <w:rPr/>
              <w:t>NOTE 1:</w:t>
              <w:tab/>
              <w:t>In addition, t</w:t>
            </w:r>
            <w:r>
              <w:rPr>
                <w:lang w:val="en-US" w:eastAsia="en-US"/>
              </w:rPr>
              <w:t xml:space="preserve">he </w:t>
            </w:r>
            <w:r>
              <w:rPr/>
              <w:t xml:space="preserve">HTTP status codes which are specified as mandatory in table 5.2.7.1-1 of 3GPP TS 29.500 [4] for the POST </w:t>
            </w:r>
            <w:r>
              <w:rPr>
                <w:rFonts w:eastAsia="Times New Roman"/>
              </w:rPr>
              <w:t>method</w:t>
            </w:r>
            <w:r>
              <w:rPr/>
              <w:t xml:space="preserve"> shall also apply.</w:t>
            </w:r>
          </w:p>
          <w:p>
            <w:pPr>
              <w:pStyle w:val="TAN"/>
              <w:rPr/>
            </w:pPr>
            <w:r>
              <w:rPr>
                <w:rFonts w:eastAsia="Times New Roman"/>
              </w:rPr>
              <w:t>NOTE 2:</w:t>
              <w:tab/>
              <w:t>In addition to protocol and application errors which are specified in subclause 5.2.7.2 of 3GPP TS 29.500 [4], specific errors are described in subclause 5.7.</w:t>
            </w:r>
          </w:p>
        </w:tc>
      </w:tr>
    </w:tbl>
    <w:p>
      <w:pPr>
        <w:pStyle w:val="Normal"/>
        <w:rPr>
          <w:lang w:val="en-US" w:eastAsia="en-US"/>
        </w:rPr>
      </w:pPr>
      <w:r>
        <w:rPr>
          <w:lang w:val="en-US" w:eastAsia="en-US"/>
        </w:rPr>
      </w:r>
    </w:p>
    <w:p>
      <w:pPr>
        <w:pStyle w:val="TH"/>
        <w:rPr/>
      </w:pPr>
      <w:r>
        <w:rPr/>
        <w:t>Table</w:t>
      </w:r>
      <w:r>
        <w:rPr>
          <w:lang w:val="en-US" w:eastAsia="en-US"/>
        </w:rPr>
        <w:t> </w:t>
      </w:r>
      <w:r>
        <w:rPr/>
        <w:t>5.3.2.3.1</w:t>
      </w:r>
      <w:r>
        <w:rPr>
          <w:lang w:eastAsia="zh-CN"/>
        </w:rPr>
        <w:t>-</w:t>
      </w:r>
      <w:r>
        <w:rPr/>
        <w:t xml:space="preserve">4: Headers supported by the 201 Response Code on this resource </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6"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6"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CommentText"/>
              <w:spacing w:before="0" w:after="0"/>
              <w:rPr/>
            </w:pPr>
            <w:r>
              <w:rPr>
                <w:rFonts w:cs="Arial" w:ascii="Arial" w:hAnsi="Arial"/>
                <w:sz w:val="18"/>
              </w:rPr>
              <w:t>Contains the URI of the newly created resource, according to the structure: {apiRoot}/nchf-spendinglimitcontrol/v1/subscriptions/{subscriptionId}</w:t>
            </w:r>
          </w:p>
        </w:tc>
      </w:tr>
    </w:tbl>
    <w:p>
      <w:pPr>
        <w:pStyle w:val="Normal"/>
        <w:rPr/>
      </w:pPr>
      <w:r>
        <w:rPr/>
      </w:r>
    </w:p>
    <w:p>
      <w:pPr>
        <w:pStyle w:val="Heading4"/>
        <w:ind w:left="1418" w:hanging="1418"/>
        <w:rPr/>
      </w:pPr>
      <w:bookmarkStart w:id="59" w:name="__RefHeading___Toc75349538"/>
      <w:bookmarkEnd w:id="59"/>
      <w:r>
        <w:rPr/>
        <w:t>5.3.2.4</w:t>
        <w:tab/>
        <w:t>Resource Custom Operations</w:t>
      </w:r>
    </w:p>
    <w:p>
      <w:pPr>
        <w:pStyle w:val="Normal"/>
        <w:rPr/>
      </w:pPr>
      <w:r>
        <w:rPr/>
        <w:t>None.</w:t>
      </w:r>
    </w:p>
    <w:p>
      <w:pPr>
        <w:pStyle w:val="Heading3"/>
        <w:rPr/>
      </w:pPr>
      <w:bookmarkStart w:id="60" w:name="__RefHeading___Toc75349539"/>
      <w:bookmarkEnd w:id="60"/>
      <w:r>
        <w:rPr/>
        <w:t>5.3.3</w:t>
        <w:tab/>
        <w:t>Resource: Individual Spending Limit Retrieval Subscription (Document)</w:t>
      </w:r>
    </w:p>
    <w:p>
      <w:pPr>
        <w:pStyle w:val="Heading4"/>
        <w:ind w:left="1418" w:hanging="1418"/>
        <w:rPr/>
      </w:pPr>
      <w:bookmarkStart w:id="61" w:name="__RefHeading___Toc75349540"/>
      <w:bookmarkEnd w:id="61"/>
      <w:r>
        <w:rPr/>
        <w:t>5.3.3.1</w:t>
        <w:tab/>
        <w:t>Description</w:t>
      </w:r>
    </w:p>
    <w:p>
      <w:pPr>
        <w:pStyle w:val="Normal"/>
        <w:rPr/>
      </w:pPr>
      <w:r>
        <w:rPr/>
        <w:t>This resource represents an individual Nchf_SpendingLimitControl service subscription at a given CHF.</w:t>
      </w:r>
    </w:p>
    <w:p>
      <w:pPr>
        <w:pStyle w:val="Heading4"/>
        <w:ind w:left="1418" w:hanging="1418"/>
        <w:rPr/>
      </w:pPr>
      <w:bookmarkStart w:id="62" w:name="__RefHeading___Toc75349541"/>
      <w:bookmarkEnd w:id="62"/>
      <w:r>
        <w:rPr/>
        <w:t>5.3.3.2</w:t>
        <w:tab/>
        <w:t>Resource definition</w:t>
      </w:r>
    </w:p>
    <w:p>
      <w:pPr>
        <w:pStyle w:val="Normal"/>
        <w:rPr/>
      </w:pPr>
      <w:r>
        <w:rPr/>
        <w:t xml:space="preserve">Resource URI: </w:t>
      </w:r>
      <w:r>
        <w:rPr>
          <w:b/>
        </w:rPr>
        <w:t>{apiRoot}/nchf-spendinglimitcontrol/v1/subscriptions/{subscriptionId}</w:t>
      </w:r>
    </w:p>
    <w:p>
      <w:pPr>
        <w:pStyle w:val="Normal"/>
        <w:rPr>
          <w:rFonts w:ascii="Arial" w:hAnsi="Arial" w:cs="Arial"/>
        </w:rPr>
      </w:pPr>
      <w:r>
        <w:rPr/>
        <w:t>This resource shall support the resource URI variables defined in table 5.3.3.2-1</w:t>
      </w:r>
      <w:r>
        <w:rPr>
          <w:rFonts w:cs="Arial" w:ascii="Arial" w:hAnsi="Arial"/>
        </w:rPr>
        <w:t>.</w:t>
      </w:r>
    </w:p>
    <w:p>
      <w:pPr>
        <w:pStyle w:val="TH"/>
        <w:rPr>
          <w:rFonts w:cs="Arial"/>
        </w:rPr>
      </w:pPr>
      <w:r>
        <w:rPr>
          <w:rFonts w:cs="Arial"/>
        </w:rPr>
        <w:t>Table 5.3.3.2-1: Resource URI variables for this resource</w:t>
      </w:r>
    </w:p>
    <w:tbl>
      <w:tblPr>
        <w:tblW w:w="4950" w:type="pct"/>
        <w:jc w:val="center"/>
        <w:tblInd w:w="0" w:type="dxa"/>
        <w:tblLayout w:type="fixed"/>
        <w:tblCellMar>
          <w:top w:w="0" w:type="dxa"/>
          <w:left w:w="28" w:type="dxa"/>
          <w:bottom w:w="0" w:type="dxa"/>
          <w:right w:w="115" w:type="dxa"/>
        </w:tblCellMar>
      </w:tblPr>
      <w:tblGrid>
        <w:gridCol w:w="1592"/>
        <w:gridCol w:w="1522"/>
        <w:gridCol w:w="6429"/>
      </w:tblGrid>
      <w:tr>
        <w:trPr/>
        <w:tc>
          <w:tcPr>
            <w:tcW w:w="1592"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Name</w:t>
            </w:r>
          </w:p>
        </w:tc>
        <w:tc>
          <w:tcPr>
            <w:tcW w:w="1522"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lang w:eastAsia="zh-CN"/>
              </w:rPr>
              <w:t>D</w:t>
            </w:r>
            <w:r>
              <w:rPr>
                <w:lang w:eastAsia="zh-CN"/>
              </w:rPr>
              <w:t>ata type</w:t>
            </w:r>
          </w:p>
        </w:tc>
        <w:tc>
          <w:tcPr>
            <w:tcW w:w="6429" w:type="dxa"/>
            <w:tcBorders>
              <w:top w:val="single" w:sz="6" w:space="0" w:color="000000"/>
              <w:left w:val="single" w:sz="6" w:space="0" w:color="000000"/>
              <w:bottom w:val="single" w:sz="6" w:space="0" w:color="000000"/>
              <w:right w:val="single" w:sz="6" w:space="0" w:color="000000"/>
            </w:tcBorders>
            <w:shd w:fill="CCCCCC" w:val="clear"/>
            <w:vAlign w:val="center"/>
          </w:tcPr>
          <w:p>
            <w:pPr>
              <w:pStyle w:val="TAH"/>
              <w:rPr/>
            </w:pPr>
            <w:r>
              <w:rPr/>
              <w:t>Definition</w:t>
            </w:r>
          </w:p>
        </w:tc>
      </w:tr>
      <w:tr>
        <w:trPr/>
        <w:tc>
          <w:tcPr>
            <w:tcW w:w="1592" w:type="dxa"/>
            <w:tcBorders>
              <w:top w:val="single" w:sz="6" w:space="0" w:color="000000"/>
              <w:left w:val="single" w:sz="6" w:space="0" w:color="000000"/>
              <w:bottom w:val="single" w:sz="6" w:space="0" w:color="000000"/>
              <w:right w:val="single" w:sz="6" w:space="0" w:color="000000"/>
            </w:tcBorders>
          </w:tcPr>
          <w:p>
            <w:pPr>
              <w:pStyle w:val="TAL"/>
              <w:rPr/>
            </w:pPr>
            <w:r>
              <w:rPr/>
              <w:t>apiRoot</w:t>
            </w:r>
          </w:p>
        </w:tc>
        <w:tc>
          <w:tcPr>
            <w:tcW w:w="1522"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6429" w:type="dxa"/>
            <w:tcBorders>
              <w:top w:val="single" w:sz="6" w:space="0" w:color="000000"/>
              <w:left w:val="single" w:sz="6" w:space="0" w:color="000000"/>
              <w:bottom w:val="single" w:sz="6" w:space="0" w:color="000000"/>
              <w:right w:val="single" w:sz="6" w:space="0" w:color="000000"/>
            </w:tcBorders>
            <w:vAlign w:val="center"/>
          </w:tcPr>
          <w:p>
            <w:pPr>
              <w:pStyle w:val="TAL"/>
              <w:rPr/>
            </w:pPr>
            <w:r>
              <w:rPr/>
              <w:t>See subclause</w:t>
            </w:r>
            <w:r>
              <w:rPr>
                <w:lang w:val="en-US" w:eastAsia="zh-CN"/>
              </w:rPr>
              <w:t> </w:t>
            </w:r>
            <w:r>
              <w:rPr/>
              <w:t>5.1</w:t>
            </w:r>
          </w:p>
        </w:tc>
      </w:tr>
      <w:tr>
        <w:trPr/>
        <w:tc>
          <w:tcPr>
            <w:tcW w:w="1592" w:type="dxa"/>
            <w:tcBorders>
              <w:top w:val="single" w:sz="6" w:space="0" w:color="000000"/>
              <w:left w:val="single" w:sz="6" w:space="0" w:color="000000"/>
              <w:bottom w:val="single" w:sz="6" w:space="0" w:color="000000"/>
              <w:right w:val="single" w:sz="6" w:space="0" w:color="000000"/>
            </w:tcBorders>
          </w:tcPr>
          <w:p>
            <w:pPr>
              <w:pStyle w:val="TAL"/>
              <w:rPr/>
            </w:pPr>
            <w:r>
              <w:rPr/>
              <w:t>subscriptionId</w:t>
            </w:r>
          </w:p>
        </w:tc>
        <w:tc>
          <w:tcPr>
            <w:tcW w:w="1522"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6429" w:type="dxa"/>
            <w:tcBorders>
              <w:top w:val="single" w:sz="6" w:space="0" w:color="000000"/>
              <w:left w:val="single" w:sz="6" w:space="0" w:color="000000"/>
              <w:bottom w:val="single" w:sz="6" w:space="0" w:color="000000"/>
              <w:right w:val="single" w:sz="6" w:space="0" w:color="000000"/>
            </w:tcBorders>
            <w:vAlign w:val="center"/>
          </w:tcPr>
          <w:p>
            <w:pPr>
              <w:pStyle w:val="TAL"/>
              <w:rPr/>
            </w:pPr>
            <w:r>
              <w:rPr/>
              <w:t>Identifies a subscription to the CHF spending limit control retrieval service.</w:t>
            </w:r>
          </w:p>
        </w:tc>
      </w:tr>
    </w:tbl>
    <w:p>
      <w:pPr>
        <w:pStyle w:val="Normal"/>
        <w:rPr/>
      </w:pPr>
      <w:r>
        <w:rPr/>
      </w:r>
    </w:p>
    <w:p>
      <w:pPr>
        <w:pStyle w:val="Heading4"/>
        <w:ind w:left="1418" w:hanging="1418"/>
        <w:rPr/>
      </w:pPr>
      <w:bookmarkStart w:id="63" w:name="__RefHeading___Toc75349542"/>
      <w:bookmarkEnd w:id="63"/>
      <w:r>
        <w:rPr/>
        <w:t>5.3.3.3</w:t>
        <w:tab/>
        <w:t>Resource Standard Methods</w:t>
      </w:r>
    </w:p>
    <w:p>
      <w:pPr>
        <w:pStyle w:val="Heading5"/>
        <w:ind w:left="1701" w:hanging="1701"/>
        <w:rPr/>
      </w:pPr>
      <w:bookmarkStart w:id="64" w:name="__RefHeading___Toc75349543"/>
      <w:bookmarkEnd w:id="64"/>
      <w:r>
        <w:rPr/>
        <w:t>5.3.3.3.1</w:t>
        <w:tab/>
        <w:t>PUT</w:t>
      </w:r>
    </w:p>
    <w:p>
      <w:pPr>
        <w:pStyle w:val="Normal"/>
        <w:rPr/>
      </w:pPr>
      <w:r>
        <w:rPr/>
        <w:t>This method shall support the URI query parameters specified in table 5.3.3.3.1-1.</w:t>
      </w:r>
    </w:p>
    <w:p>
      <w:pPr>
        <w:pStyle w:val="TH"/>
        <w:rPr>
          <w:rFonts w:cs="Arial"/>
        </w:rPr>
      </w:pPr>
      <w:r>
        <w:rPr>
          <w:rFonts w:cs="Arial"/>
        </w:rPr>
        <w:t>Table 5.3.3.3.1-1: URI query parameters supported by the PUT method on this resource</w:t>
      </w:r>
    </w:p>
    <w:tbl>
      <w:tblPr>
        <w:tblW w:w="4950" w:type="pct"/>
        <w:jc w:val="center"/>
        <w:tblInd w:w="0" w:type="dxa"/>
        <w:tblLayout w:type="fixed"/>
        <w:tblCellMar>
          <w:top w:w="0" w:type="dxa"/>
          <w:left w:w="28" w:type="dxa"/>
          <w:bottom w:w="0" w:type="dxa"/>
          <w:right w:w="115" w:type="dxa"/>
        </w:tblCellMar>
      </w:tblPr>
      <w:tblGrid>
        <w:gridCol w:w="1574"/>
        <w:gridCol w:w="1397"/>
        <w:gridCol w:w="414"/>
        <w:gridCol w:w="1160"/>
        <w:gridCol w:w="4998"/>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6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4998"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1397"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414"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160"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4998"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pPr>
            <w:r>
              <w:rPr/>
            </w:r>
          </w:p>
        </w:tc>
      </w:tr>
    </w:tbl>
    <w:p>
      <w:pPr>
        <w:pStyle w:val="Normal"/>
        <w:rPr/>
      </w:pPr>
      <w:r>
        <w:rPr/>
      </w:r>
    </w:p>
    <w:p>
      <w:pPr>
        <w:pStyle w:val="Normal"/>
        <w:rPr/>
      </w:pPr>
      <w:r>
        <w:rPr/>
        <w:t>This method shall support the request data structures specified in table 5.3.3.3.1-2 and the response data structures and response codes specified in table 5.3.3.3.1-3.</w:t>
      </w:r>
    </w:p>
    <w:p>
      <w:pPr>
        <w:pStyle w:val="TH"/>
        <w:rPr/>
      </w:pPr>
      <w:r>
        <w:rPr/>
        <w:t>Table 5.3.3.3.1-2: Data structures supported by the PUT Request Body on this resource</w:t>
      </w:r>
    </w:p>
    <w:tbl>
      <w:tblPr>
        <w:tblW w:w="9677" w:type="dxa"/>
        <w:jc w:val="center"/>
        <w:tblInd w:w="0" w:type="dxa"/>
        <w:tblLayout w:type="fixed"/>
        <w:tblCellMar>
          <w:top w:w="0" w:type="dxa"/>
          <w:left w:w="28" w:type="dxa"/>
          <w:bottom w:w="0" w:type="dxa"/>
          <w:right w:w="115" w:type="dxa"/>
        </w:tblCellMar>
      </w:tblPr>
      <w:tblGrid>
        <w:gridCol w:w="2269"/>
        <w:gridCol w:w="450"/>
        <w:gridCol w:w="1260"/>
        <w:gridCol w:w="5698"/>
      </w:tblGrid>
      <w:tr>
        <w:trPr/>
        <w:tc>
          <w:tcPr>
            <w:tcW w:w="226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5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6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698"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2269" w:type="dxa"/>
            <w:tcBorders>
              <w:top w:val="single" w:sz="4" w:space="0" w:color="000000"/>
              <w:left w:val="single" w:sz="6" w:space="0" w:color="000000"/>
              <w:bottom w:val="single" w:sz="6" w:space="0" w:color="000000"/>
              <w:right w:val="single" w:sz="6" w:space="0" w:color="000000"/>
            </w:tcBorders>
          </w:tcPr>
          <w:p>
            <w:pPr>
              <w:pStyle w:val="TAL"/>
              <w:rPr/>
            </w:pPr>
            <w:r>
              <w:rPr/>
              <w:t>SpendingLimitContext</w:t>
            </w:r>
          </w:p>
        </w:tc>
        <w:tc>
          <w:tcPr>
            <w:tcW w:w="450"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1260" w:type="dxa"/>
            <w:tcBorders>
              <w:top w:val="single" w:sz="4" w:space="0" w:color="000000"/>
              <w:left w:val="single" w:sz="6" w:space="0" w:color="000000"/>
              <w:bottom w:val="single" w:sz="6" w:space="0" w:color="000000"/>
              <w:right w:val="single" w:sz="6" w:space="0" w:color="000000"/>
            </w:tcBorders>
          </w:tcPr>
          <w:p>
            <w:pPr>
              <w:pStyle w:val="TAC"/>
              <w:rPr/>
            </w:pPr>
            <w:r>
              <w:rPr/>
              <w:t>1</w:t>
            </w:r>
          </w:p>
        </w:tc>
        <w:tc>
          <w:tcPr>
            <w:tcW w:w="5698" w:type="dxa"/>
            <w:tcBorders>
              <w:top w:val="single" w:sz="4" w:space="0" w:color="000000"/>
              <w:left w:val="single" w:sz="6" w:space="0" w:color="000000"/>
              <w:bottom w:val="single" w:sz="6" w:space="0" w:color="000000"/>
              <w:right w:val="single" w:sz="6" w:space="0" w:color="000000"/>
            </w:tcBorders>
          </w:tcPr>
          <w:p>
            <w:pPr>
              <w:pStyle w:val="TAL"/>
              <w:rPr/>
            </w:pPr>
            <w:r>
              <w:rPr/>
              <w:t>Modifies the existing individual spending limit retrieval subscription.</w:t>
            </w:r>
          </w:p>
        </w:tc>
      </w:tr>
    </w:tbl>
    <w:p>
      <w:pPr>
        <w:pStyle w:val="Normal"/>
        <w:rPr>
          <w:lang w:val="es-ES"/>
        </w:rPr>
      </w:pPr>
      <w:r>
        <w:rPr>
          <w:lang w:val="es-ES"/>
        </w:rPr>
      </w:r>
    </w:p>
    <w:p>
      <w:pPr>
        <w:pStyle w:val="TH"/>
        <w:rPr/>
      </w:pPr>
      <w:r>
        <w:rPr/>
        <w:t>Table 5.3.3.3.1-3: Data structures supported by the PUT Response Body on this resource</w:t>
      </w:r>
    </w:p>
    <w:tbl>
      <w:tblPr>
        <w:tblW w:w="4900" w:type="pct"/>
        <w:jc w:val="center"/>
        <w:tblInd w:w="0" w:type="dxa"/>
        <w:tblLayout w:type="fixed"/>
        <w:tblCellMar>
          <w:top w:w="0" w:type="dxa"/>
          <w:left w:w="28" w:type="dxa"/>
          <w:bottom w:w="0" w:type="dxa"/>
          <w:right w:w="115" w:type="dxa"/>
        </w:tblCellMar>
      </w:tblPr>
      <w:tblGrid>
        <w:gridCol w:w="1872"/>
        <w:gridCol w:w="350"/>
        <w:gridCol w:w="1143"/>
        <w:gridCol w:w="1755"/>
        <w:gridCol w:w="4327"/>
      </w:tblGrid>
      <w:tr>
        <w:trPr/>
        <w:tc>
          <w:tcPr>
            <w:tcW w:w="187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35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4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75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 codes</w:t>
            </w:r>
          </w:p>
        </w:tc>
        <w:tc>
          <w:tcPr>
            <w:tcW w:w="432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872" w:type="dxa"/>
            <w:tcBorders>
              <w:top w:val="single" w:sz="4" w:space="0" w:color="000000"/>
              <w:left w:val="single" w:sz="6" w:space="0" w:color="000000"/>
              <w:bottom w:val="single" w:sz="4" w:space="0" w:color="000000"/>
              <w:right w:val="single" w:sz="6" w:space="0" w:color="000000"/>
            </w:tcBorders>
          </w:tcPr>
          <w:p>
            <w:pPr>
              <w:pStyle w:val="TAL"/>
              <w:rPr/>
            </w:pPr>
            <w:r>
              <w:rPr/>
              <w:t>SpendingLimitStatus</w:t>
            </w:r>
          </w:p>
        </w:tc>
        <w:tc>
          <w:tcPr>
            <w:tcW w:w="350"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43" w:type="dxa"/>
            <w:tcBorders>
              <w:top w:val="single" w:sz="4" w:space="0" w:color="000000"/>
              <w:left w:val="single" w:sz="6" w:space="0" w:color="000000"/>
              <w:bottom w:val="single" w:sz="4" w:space="0" w:color="000000"/>
              <w:right w:val="single" w:sz="6" w:space="0" w:color="000000"/>
            </w:tcBorders>
          </w:tcPr>
          <w:p>
            <w:pPr>
              <w:pStyle w:val="TAC"/>
              <w:rPr/>
            </w:pPr>
            <w:r>
              <w:rPr/>
              <w:t>1</w:t>
            </w:r>
          </w:p>
        </w:tc>
        <w:tc>
          <w:tcPr>
            <w:tcW w:w="1755" w:type="dxa"/>
            <w:tcBorders>
              <w:top w:val="single" w:sz="4" w:space="0" w:color="000000"/>
              <w:left w:val="single" w:sz="6" w:space="0" w:color="000000"/>
              <w:bottom w:val="single" w:sz="4" w:space="0" w:color="000000"/>
              <w:right w:val="single" w:sz="6" w:space="0" w:color="000000"/>
            </w:tcBorders>
          </w:tcPr>
          <w:p>
            <w:pPr>
              <w:pStyle w:val="TAL"/>
              <w:rPr/>
            </w:pPr>
            <w:r>
              <w:rPr/>
              <w:t>200 OK</w:t>
            </w:r>
          </w:p>
        </w:tc>
        <w:tc>
          <w:tcPr>
            <w:tcW w:w="4327" w:type="dxa"/>
            <w:tcBorders>
              <w:top w:val="single" w:sz="4" w:space="0" w:color="000000"/>
              <w:left w:val="single" w:sz="6" w:space="0" w:color="000000"/>
              <w:bottom w:val="single" w:sz="4" w:space="0" w:color="000000"/>
              <w:right w:val="single" w:sz="6" w:space="0" w:color="000000"/>
            </w:tcBorders>
          </w:tcPr>
          <w:p>
            <w:pPr>
              <w:pStyle w:val="TAL"/>
              <w:rPr/>
            </w:pPr>
            <w:r>
              <w:rPr/>
              <w:t>Successful case: The individual spending limit subscription was modified and spending limit reports are provided.</w:t>
            </w:r>
          </w:p>
        </w:tc>
      </w:tr>
      <w:tr>
        <w:trPr/>
        <w:tc>
          <w:tcPr>
            <w:tcW w:w="1872" w:type="dxa"/>
            <w:tcBorders>
              <w:top w:val="single" w:sz="4" w:space="0" w:color="000000"/>
              <w:left w:val="single" w:sz="6" w:space="0" w:color="000000"/>
              <w:bottom w:val="single" w:sz="4" w:space="0" w:color="000000"/>
              <w:right w:val="single" w:sz="6" w:space="0" w:color="000000"/>
            </w:tcBorders>
          </w:tcPr>
          <w:p>
            <w:pPr>
              <w:pStyle w:val="TAL"/>
              <w:rPr/>
            </w:pPr>
            <w:r>
              <w:rPr/>
              <w:t>RedirectResponse</w:t>
            </w:r>
          </w:p>
        </w:tc>
        <w:tc>
          <w:tcPr>
            <w:tcW w:w="350" w:type="dxa"/>
            <w:tcBorders>
              <w:top w:val="single" w:sz="4" w:space="0" w:color="000000"/>
              <w:left w:val="single" w:sz="6" w:space="0" w:color="000000"/>
              <w:bottom w:val="single" w:sz="4" w:space="0" w:color="000000"/>
              <w:right w:val="single" w:sz="6" w:space="0" w:color="000000"/>
            </w:tcBorders>
          </w:tcPr>
          <w:p>
            <w:pPr>
              <w:pStyle w:val="TAC"/>
              <w:rPr/>
            </w:pPr>
            <w:r>
              <w:rPr/>
              <w:t>O</w:t>
            </w:r>
          </w:p>
        </w:tc>
        <w:tc>
          <w:tcPr>
            <w:tcW w:w="1143" w:type="dxa"/>
            <w:tcBorders>
              <w:top w:val="single" w:sz="4" w:space="0" w:color="000000"/>
              <w:left w:val="single" w:sz="6" w:space="0" w:color="000000"/>
              <w:bottom w:val="single" w:sz="4" w:space="0" w:color="000000"/>
              <w:right w:val="single" w:sz="6" w:space="0" w:color="000000"/>
            </w:tcBorders>
          </w:tcPr>
          <w:p>
            <w:pPr>
              <w:pStyle w:val="TAC"/>
              <w:rPr/>
            </w:pPr>
            <w:r>
              <w:rPr/>
              <w:t>0..1</w:t>
            </w:r>
          </w:p>
        </w:tc>
        <w:tc>
          <w:tcPr>
            <w:tcW w:w="1755" w:type="dxa"/>
            <w:tcBorders>
              <w:top w:val="single" w:sz="4" w:space="0" w:color="000000"/>
              <w:left w:val="single" w:sz="6" w:space="0" w:color="000000"/>
              <w:bottom w:val="single" w:sz="4" w:space="0" w:color="000000"/>
              <w:right w:val="single" w:sz="6" w:space="0" w:color="000000"/>
            </w:tcBorders>
          </w:tcPr>
          <w:p>
            <w:pPr>
              <w:pStyle w:val="TAL"/>
              <w:rPr/>
            </w:pPr>
            <w:r>
              <w:rPr/>
              <w:t>307 Temporary Redirect</w:t>
            </w:r>
          </w:p>
        </w:tc>
        <w:tc>
          <w:tcPr>
            <w:tcW w:w="4327" w:type="dxa"/>
            <w:tcBorders>
              <w:top w:val="single" w:sz="4" w:space="0" w:color="000000"/>
              <w:left w:val="single" w:sz="6" w:space="0" w:color="000000"/>
              <w:bottom w:val="single" w:sz="4" w:space="0" w:color="000000"/>
              <w:right w:val="single" w:sz="6" w:space="0" w:color="000000"/>
            </w:tcBorders>
          </w:tcPr>
          <w:p>
            <w:pPr>
              <w:pStyle w:val="TAL"/>
              <w:rPr/>
            </w:pPr>
            <w:r>
              <w:rPr/>
              <w:t>Temporary redirection, during Individual Spending Limit Retrieval Subscription modification. The response shall include a Location header field containing an alternative URI of the resource located in an alternative CHF (service) instance.</w:t>
            </w:r>
          </w:p>
          <w:p>
            <w:pPr>
              <w:pStyle w:val="TAL"/>
              <w:rPr/>
            </w:pPr>
            <w:r>
              <w:rPr/>
              <w:t xml:space="preserve">Applicable if the feature </w:t>
            </w:r>
            <w:r>
              <w:rPr>
                <w:lang w:eastAsia="zh-CN"/>
              </w:rPr>
              <w:t>"</w:t>
            </w:r>
            <w:r>
              <w:rPr>
                <w:rFonts w:cs="Arial"/>
                <w:szCs w:val="18"/>
              </w:rPr>
              <w:t xml:space="preserve">ES3XX" </w:t>
            </w:r>
            <w:r>
              <w:rPr/>
              <w:t>is supported.</w:t>
            </w:r>
          </w:p>
        </w:tc>
      </w:tr>
      <w:tr>
        <w:trPr/>
        <w:tc>
          <w:tcPr>
            <w:tcW w:w="1872" w:type="dxa"/>
            <w:tcBorders>
              <w:top w:val="single" w:sz="4" w:space="0" w:color="000000"/>
              <w:left w:val="single" w:sz="6" w:space="0" w:color="000000"/>
              <w:bottom w:val="single" w:sz="4" w:space="0" w:color="000000"/>
              <w:right w:val="single" w:sz="6" w:space="0" w:color="000000"/>
            </w:tcBorders>
          </w:tcPr>
          <w:p>
            <w:pPr>
              <w:pStyle w:val="TAL"/>
              <w:rPr/>
            </w:pPr>
            <w:r>
              <w:rPr/>
              <w:t>RedirectResponse</w:t>
            </w:r>
          </w:p>
        </w:tc>
        <w:tc>
          <w:tcPr>
            <w:tcW w:w="350" w:type="dxa"/>
            <w:tcBorders>
              <w:top w:val="single" w:sz="4" w:space="0" w:color="000000"/>
              <w:left w:val="single" w:sz="6" w:space="0" w:color="000000"/>
              <w:bottom w:val="single" w:sz="4" w:space="0" w:color="000000"/>
              <w:right w:val="single" w:sz="6" w:space="0" w:color="000000"/>
            </w:tcBorders>
          </w:tcPr>
          <w:p>
            <w:pPr>
              <w:pStyle w:val="TAC"/>
              <w:rPr/>
            </w:pPr>
            <w:r>
              <w:rPr/>
              <w:t>O</w:t>
            </w:r>
          </w:p>
        </w:tc>
        <w:tc>
          <w:tcPr>
            <w:tcW w:w="1143" w:type="dxa"/>
            <w:tcBorders>
              <w:top w:val="single" w:sz="4" w:space="0" w:color="000000"/>
              <w:left w:val="single" w:sz="6" w:space="0" w:color="000000"/>
              <w:bottom w:val="single" w:sz="4" w:space="0" w:color="000000"/>
              <w:right w:val="single" w:sz="6" w:space="0" w:color="000000"/>
            </w:tcBorders>
          </w:tcPr>
          <w:p>
            <w:pPr>
              <w:pStyle w:val="TAC"/>
              <w:rPr/>
            </w:pPr>
            <w:r>
              <w:rPr/>
              <w:t>0..1</w:t>
            </w:r>
          </w:p>
        </w:tc>
        <w:tc>
          <w:tcPr>
            <w:tcW w:w="1755" w:type="dxa"/>
            <w:tcBorders>
              <w:top w:val="single" w:sz="4" w:space="0" w:color="000000"/>
              <w:left w:val="single" w:sz="6" w:space="0" w:color="000000"/>
              <w:bottom w:val="single" w:sz="4" w:space="0" w:color="000000"/>
              <w:right w:val="single" w:sz="6" w:space="0" w:color="000000"/>
            </w:tcBorders>
          </w:tcPr>
          <w:p>
            <w:pPr>
              <w:pStyle w:val="TAL"/>
              <w:rPr/>
            </w:pPr>
            <w:r>
              <w:rPr/>
              <w:t>308 Permanent Redirect</w:t>
            </w:r>
          </w:p>
        </w:tc>
        <w:tc>
          <w:tcPr>
            <w:tcW w:w="4327" w:type="dxa"/>
            <w:tcBorders>
              <w:top w:val="single" w:sz="4" w:space="0" w:color="000000"/>
              <w:left w:val="single" w:sz="6" w:space="0" w:color="000000"/>
              <w:bottom w:val="single" w:sz="4" w:space="0" w:color="000000"/>
              <w:right w:val="single" w:sz="6" w:space="0" w:color="000000"/>
            </w:tcBorders>
          </w:tcPr>
          <w:p>
            <w:pPr>
              <w:pStyle w:val="TAL"/>
              <w:rPr/>
            </w:pPr>
            <w:r>
              <w:rPr/>
              <w:t>Permanent redirection, during Individual Spending Limit Retrieval Subscription modification. The response shall include a Location header field containing an alternative URI of the resource located in an alternative CHF (service) instance.</w:t>
            </w:r>
          </w:p>
          <w:p>
            <w:pPr>
              <w:pStyle w:val="TAL"/>
              <w:rPr/>
            </w:pPr>
            <w:r>
              <w:rPr/>
              <w:t xml:space="preserve">Applicable if the feature </w:t>
            </w:r>
            <w:r>
              <w:rPr>
                <w:lang w:eastAsia="zh-CN"/>
              </w:rPr>
              <w:t>"</w:t>
            </w:r>
            <w:r>
              <w:rPr>
                <w:rFonts w:cs="Arial"/>
                <w:szCs w:val="18"/>
              </w:rPr>
              <w:t>ES3XX"</w:t>
            </w:r>
            <w:r>
              <w:rPr/>
              <w:t xml:space="preserve"> is supported.</w:t>
            </w:r>
          </w:p>
        </w:tc>
      </w:tr>
      <w:tr>
        <w:trPr/>
        <w:tc>
          <w:tcPr>
            <w:tcW w:w="1872" w:type="dxa"/>
            <w:tcBorders>
              <w:top w:val="single" w:sz="4" w:space="0" w:color="000000"/>
              <w:left w:val="single" w:sz="6" w:space="0" w:color="000000"/>
              <w:bottom w:val="single" w:sz="4" w:space="0" w:color="000000"/>
              <w:right w:val="single" w:sz="6" w:space="0" w:color="000000"/>
            </w:tcBorders>
          </w:tcPr>
          <w:p>
            <w:pPr>
              <w:pStyle w:val="TAL"/>
              <w:rPr/>
            </w:pPr>
            <w:r>
              <w:rPr/>
              <w:t>ProblemDetails</w:t>
            </w:r>
          </w:p>
        </w:tc>
        <w:tc>
          <w:tcPr>
            <w:tcW w:w="350" w:type="dxa"/>
            <w:tcBorders>
              <w:top w:val="single" w:sz="4" w:space="0" w:color="000000"/>
              <w:left w:val="single" w:sz="6" w:space="0" w:color="000000"/>
              <w:bottom w:val="single" w:sz="4" w:space="0" w:color="000000"/>
              <w:right w:val="single" w:sz="6" w:space="0" w:color="000000"/>
            </w:tcBorders>
          </w:tcPr>
          <w:p>
            <w:pPr>
              <w:pStyle w:val="TAC"/>
              <w:rPr/>
            </w:pPr>
            <w:r>
              <w:rPr/>
              <w:t>O</w:t>
            </w:r>
          </w:p>
        </w:tc>
        <w:tc>
          <w:tcPr>
            <w:tcW w:w="1143" w:type="dxa"/>
            <w:tcBorders>
              <w:top w:val="single" w:sz="4" w:space="0" w:color="000000"/>
              <w:left w:val="single" w:sz="6" w:space="0" w:color="000000"/>
              <w:bottom w:val="single" w:sz="4" w:space="0" w:color="000000"/>
              <w:right w:val="single" w:sz="6" w:space="0" w:color="000000"/>
            </w:tcBorders>
          </w:tcPr>
          <w:p>
            <w:pPr>
              <w:pStyle w:val="TAC"/>
              <w:rPr/>
            </w:pPr>
            <w:r>
              <w:rPr/>
              <w:t>0..1</w:t>
            </w:r>
          </w:p>
        </w:tc>
        <w:tc>
          <w:tcPr>
            <w:tcW w:w="1755" w:type="dxa"/>
            <w:tcBorders>
              <w:top w:val="single" w:sz="4" w:space="0" w:color="000000"/>
              <w:left w:val="single" w:sz="6" w:space="0" w:color="000000"/>
              <w:bottom w:val="single" w:sz="4" w:space="0" w:color="000000"/>
              <w:right w:val="single" w:sz="6" w:space="0" w:color="000000"/>
            </w:tcBorders>
          </w:tcPr>
          <w:p>
            <w:pPr>
              <w:pStyle w:val="TAL"/>
              <w:rPr/>
            </w:pPr>
            <w:r>
              <w:rPr/>
              <w:t>400 Bad Request</w:t>
            </w:r>
          </w:p>
        </w:tc>
        <w:tc>
          <w:tcPr>
            <w:tcW w:w="4327" w:type="dxa"/>
            <w:tcBorders>
              <w:top w:val="single" w:sz="4" w:space="0" w:color="000000"/>
              <w:left w:val="single" w:sz="6" w:space="0" w:color="000000"/>
              <w:bottom w:val="single" w:sz="4" w:space="0" w:color="000000"/>
              <w:right w:val="single" w:sz="6" w:space="0" w:color="000000"/>
            </w:tcBorders>
          </w:tcPr>
          <w:p>
            <w:pPr>
              <w:pStyle w:val="TAL"/>
              <w:rPr/>
            </w:pPr>
            <w:r>
              <w:rPr/>
              <w:t>(NOTE 2)</w:t>
            </w:r>
          </w:p>
        </w:tc>
      </w:tr>
      <w:tr>
        <w:trPr/>
        <w:tc>
          <w:tcPr>
            <w:tcW w:w="9447" w:type="dxa"/>
            <w:gridSpan w:val="5"/>
            <w:tcBorders>
              <w:top w:val="single" w:sz="4" w:space="0" w:color="000000"/>
              <w:left w:val="single" w:sz="6" w:space="0" w:color="000000"/>
              <w:bottom w:val="single" w:sz="4" w:space="0" w:color="000000"/>
              <w:right w:val="single" w:sz="6" w:space="0" w:color="000000"/>
            </w:tcBorders>
          </w:tcPr>
          <w:p>
            <w:pPr>
              <w:pStyle w:val="TAN"/>
              <w:rPr/>
            </w:pPr>
            <w:r>
              <w:rPr>
                <w:rFonts w:eastAsia="Times New Roman"/>
              </w:rPr>
              <w:t>NOTE 1:</w:t>
              <w:tab/>
              <w:t>In addition, the HTTP status codes which are specified as mandatory in table 5.2.7.1-1 of 3GPP TS 29.500 [4] for the PUT method shall also apply.</w:t>
            </w:r>
          </w:p>
          <w:p>
            <w:pPr>
              <w:pStyle w:val="TAN"/>
              <w:rPr/>
            </w:pPr>
            <w:r>
              <w:rPr>
                <w:rFonts w:eastAsia="Times New Roman"/>
              </w:rPr>
              <w:t>NOTE 2:</w:t>
              <w:tab/>
              <w:t>In addition to protocol and application errors which are specified in subclause 5.2.7.2 of 3GPP TS 29.500 [4], specific errors are described in subclause 5.7.</w:t>
            </w:r>
          </w:p>
        </w:tc>
      </w:tr>
    </w:tbl>
    <w:p>
      <w:pPr>
        <w:pStyle w:val="Normal"/>
        <w:rPr/>
      </w:pPr>
      <w:r>
        <w:rPr/>
      </w:r>
    </w:p>
    <w:p>
      <w:pPr>
        <w:pStyle w:val="TH"/>
        <w:rPr/>
      </w:pPr>
      <w:r>
        <w:rPr/>
        <w:t>Table 5.3.3.3.1-4: Headers supported by the 307 Response Code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4"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4" w:space="0" w:color="000000"/>
              <w:right w:val="single" w:sz="6" w:space="0" w:color="000000"/>
            </w:tcBorders>
            <w:vAlign w:val="center"/>
          </w:tcPr>
          <w:p>
            <w:pPr>
              <w:pStyle w:val="TAL"/>
              <w:rPr/>
            </w:pPr>
            <w:r>
              <w:rPr/>
              <w:t>An alternative URI of the resource located in an alternative CHF (service) instance.</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lang w:eastAsia="zh-CN"/>
              </w:rPr>
            </w:pPr>
            <w:r>
              <w:rPr>
                <w:lang w:eastAsia="zh-CN"/>
              </w:rPr>
              <w:t>3gpp-Sbi-Target-Nf-Id</w:t>
            </w:r>
          </w:p>
        </w:tc>
        <w:tc>
          <w:tcPr>
            <w:tcW w:w="1397"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9"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0..1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pPr>
            <w:r>
              <w:rPr>
                <w:lang w:eastAsia="fr-FR"/>
              </w:rPr>
              <w:t>Identifier of the target NF (service) instance towards which the request is redirected</w:t>
            </w:r>
          </w:p>
        </w:tc>
      </w:tr>
    </w:tbl>
    <w:p>
      <w:pPr>
        <w:pStyle w:val="Normal"/>
        <w:rPr/>
      </w:pPr>
      <w:r>
        <w:rPr/>
      </w:r>
    </w:p>
    <w:p>
      <w:pPr>
        <w:pStyle w:val="TH"/>
        <w:rPr/>
      </w:pPr>
      <w:r>
        <w:rPr/>
        <w:t>Table 5.3.3.3.1-5: Headers supported by the 308 Response Code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4"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4" w:space="0" w:color="000000"/>
              <w:right w:val="single" w:sz="6" w:space="0" w:color="000000"/>
            </w:tcBorders>
            <w:vAlign w:val="center"/>
          </w:tcPr>
          <w:p>
            <w:pPr>
              <w:pStyle w:val="TAL"/>
              <w:rPr/>
            </w:pPr>
            <w:r>
              <w:rPr/>
              <w:t>An alternative URI of the resource located in an alternative CHF (service) instance.</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lang w:eastAsia="zh-CN"/>
              </w:rPr>
              <w:t>3gpp-Sbi-Target-Nf-Id</w:t>
            </w:r>
          </w:p>
        </w:tc>
        <w:tc>
          <w:tcPr>
            <w:tcW w:w="1397"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9"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0..1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pPr>
            <w:r>
              <w:rPr>
                <w:lang w:eastAsia="fr-FR"/>
              </w:rPr>
              <w:t>Identifier of the target NF (service) instance towards which the request is redirected</w:t>
            </w:r>
          </w:p>
        </w:tc>
      </w:tr>
    </w:tbl>
    <w:p>
      <w:pPr>
        <w:pStyle w:val="Normal"/>
        <w:rPr/>
      </w:pPr>
      <w:r>
        <w:rPr/>
      </w:r>
    </w:p>
    <w:p>
      <w:pPr>
        <w:pStyle w:val="Heading5"/>
        <w:ind w:left="1701" w:hanging="1701"/>
        <w:rPr/>
      </w:pPr>
      <w:bookmarkStart w:id="65" w:name="__RefHeading___Toc75349544"/>
      <w:bookmarkEnd w:id="65"/>
      <w:r>
        <w:rPr/>
        <w:t>5.3.3.3.2</w:t>
        <w:tab/>
        <w:t>DELETE</w:t>
      </w:r>
    </w:p>
    <w:p>
      <w:pPr>
        <w:pStyle w:val="Normal"/>
        <w:rPr/>
      </w:pPr>
      <w:r>
        <w:rPr/>
        <w:t>This method shall support the URI query parameters specified in table 5.3.3.3.2-1.</w:t>
      </w:r>
    </w:p>
    <w:p>
      <w:pPr>
        <w:pStyle w:val="TH"/>
        <w:rPr>
          <w:rFonts w:cs="Arial"/>
        </w:rPr>
      </w:pPr>
      <w:r>
        <w:rPr>
          <w:rFonts w:cs="Arial"/>
        </w:rPr>
        <w:t>Table 5.3.3.3.3-1: URI query parameters supported by the DELETE method on this resource</w:t>
      </w:r>
    </w:p>
    <w:tbl>
      <w:tblPr>
        <w:tblW w:w="4950" w:type="pct"/>
        <w:jc w:val="center"/>
        <w:tblInd w:w="0" w:type="dxa"/>
        <w:tblLayout w:type="fixed"/>
        <w:tblCellMar>
          <w:top w:w="0" w:type="dxa"/>
          <w:left w:w="28" w:type="dxa"/>
          <w:bottom w:w="0" w:type="dxa"/>
          <w:right w:w="115" w:type="dxa"/>
        </w:tblCellMar>
      </w:tblPr>
      <w:tblGrid>
        <w:gridCol w:w="1575"/>
        <w:gridCol w:w="1464"/>
        <w:gridCol w:w="442"/>
        <w:gridCol w:w="1153"/>
        <w:gridCol w:w="4909"/>
      </w:tblGrid>
      <w:tr>
        <w:trPr/>
        <w:tc>
          <w:tcPr>
            <w:tcW w:w="157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46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4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5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490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5"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1464"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442"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153"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4909"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pPr>
            <w:r>
              <w:rPr/>
            </w:r>
          </w:p>
        </w:tc>
      </w:tr>
    </w:tbl>
    <w:p>
      <w:pPr>
        <w:pStyle w:val="Normal"/>
        <w:rPr/>
      </w:pPr>
      <w:r>
        <w:rPr/>
      </w:r>
    </w:p>
    <w:p>
      <w:pPr>
        <w:pStyle w:val="Normal"/>
        <w:rPr/>
      </w:pPr>
      <w:r>
        <w:rPr/>
        <w:t>This method shall support the request data structures specified in table 5.3.3.3.2-2 and the response data structures and response codes specified in table 5.3.3.3.2-3.</w:t>
      </w:r>
    </w:p>
    <w:p>
      <w:pPr>
        <w:pStyle w:val="TH"/>
        <w:rPr/>
      </w:pPr>
      <w:r>
        <w:rPr/>
        <w:t>Table 5.3.3.3.2-2: Data structures supported by the DELETE Request Body on this resource</w:t>
      </w:r>
    </w:p>
    <w:tbl>
      <w:tblPr>
        <w:tblW w:w="4900" w:type="pct"/>
        <w:jc w:val="center"/>
        <w:tblInd w:w="0" w:type="dxa"/>
        <w:tblLayout w:type="fixed"/>
        <w:tblCellMar>
          <w:top w:w="0" w:type="dxa"/>
          <w:left w:w="28" w:type="dxa"/>
          <w:bottom w:w="0" w:type="dxa"/>
          <w:right w:w="115" w:type="dxa"/>
        </w:tblCellMar>
      </w:tblPr>
      <w:tblGrid>
        <w:gridCol w:w="2126"/>
        <w:gridCol w:w="352"/>
        <w:gridCol w:w="1142"/>
        <w:gridCol w:w="5827"/>
      </w:tblGrid>
      <w:tr>
        <w:trPr/>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35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4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827"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2126"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352"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142"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5827"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r>
    </w:tbl>
    <w:p>
      <w:pPr>
        <w:pStyle w:val="Normal"/>
        <w:rPr>
          <w:lang w:val="es-ES"/>
        </w:rPr>
      </w:pPr>
      <w:r>
        <w:rPr>
          <w:lang w:val="es-ES"/>
        </w:rPr>
      </w:r>
    </w:p>
    <w:p>
      <w:pPr>
        <w:pStyle w:val="TH"/>
        <w:rPr/>
      </w:pPr>
      <w:r>
        <w:rPr/>
        <w:t>Table 5.3.3.3.2-3: Data structures supported by the DELETE Response Body on this resource</w:t>
      </w:r>
    </w:p>
    <w:tbl>
      <w:tblPr>
        <w:tblW w:w="4950" w:type="pct"/>
        <w:jc w:val="center"/>
        <w:tblInd w:w="0" w:type="dxa"/>
        <w:tblLayout w:type="fixed"/>
        <w:tblCellMar>
          <w:top w:w="0" w:type="dxa"/>
          <w:left w:w="28" w:type="dxa"/>
          <w:bottom w:w="0" w:type="dxa"/>
          <w:right w:w="115" w:type="dxa"/>
        </w:tblCellMar>
      </w:tblPr>
      <w:tblGrid>
        <w:gridCol w:w="1716"/>
        <w:gridCol w:w="353"/>
        <w:gridCol w:w="1155"/>
        <w:gridCol w:w="1683"/>
        <w:gridCol w:w="4636"/>
      </w:tblGrid>
      <w:tr>
        <w:trPr/>
        <w:tc>
          <w:tcPr>
            <w:tcW w:w="171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35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5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68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 codes</w:t>
            </w:r>
          </w:p>
        </w:tc>
        <w:tc>
          <w:tcPr>
            <w:tcW w:w="463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716" w:type="dxa"/>
            <w:tcBorders>
              <w:top w:val="single" w:sz="4" w:space="0" w:color="000000"/>
              <w:left w:val="single" w:sz="6" w:space="0" w:color="000000"/>
              <w:bottom w:val="single" w:sz="4" w:space="0" w:color="000000"/>
              <w:right w:val="single" w:sz="6" w:space="0" w:color="000000"/>
            </w:tcBorders>
          </w:tcPr>
          <w:p>
            <w:pPr>
              <w:pStyle w:val="TAL"/>
              <w:rPr/>
            </w:pPr>
            <w:r>
              <w:rPr/>
              <w:t>n/a</w:t>
            </w:r>
          </w:p>
        </w:tc>
        <w:tc>
          <w:tcPr>
            <w:tcW w:w="353" w:type="dxa"/>
            <w:tcBorders>
              <w:top w:val="single" w:sz="4" w:space="0" w:color="000000"/>
              <w:left w:val="single" w:sz="6" w:space="0" w:color="000000"/>
              <w:bottom w:val="single" w:sz="4" w:space="0" w:color="000000"/>
              <w:right w:val="single" w:sz="6" w:space="0" w:color="000000"/>
            </w:tcBorders>
          </w:tcPr>
          <w:p>
            <w:pPr>
              <w:pStyle w:val="TAC"/>
              <w:snapToGrid w:val="false"/>
              <w:rPr/>
            </w:pPr>
            <w:r>
              <w:rPr/>
            </w:r>
          </w:p>
        </w:tc>
        <w:tc>
          <w:tcPr>
            <w:tcW w:w="1155" w:type="dxa"/>
            <w:tcBorders>
              <w:top w:val="single" w:sz="4" w:space="0" w:color="000000"/>
              <w:left w:val="single" w:sz="6" w:space="0" w:color="000000"/>
              <w:bottom w:val="single" w:sz="4" w:space="0" w:color="000000"/>
              <w:right w:val="single" w:sz="6" w:space="0" w:color="000000"/>
            </w:tcBorders>
          </w:tcPr>
          <w:p>
            <w:pPr>
              <w:pStyle w:val="TAC"/>
              <w:snapToGrid w:val="false"/>
              <w:rPr/>
            </w:pPr>
            <w:r>
              <w:rPr/>
            </w:r>
          </w:p>
        </w:tc>
        <w:tc>
          <w:tcPr>
            <w:tcW w:w="1683" w:type="dxa"/>
            <w:tcBorders>
              <w:top w:val="single" w:sz="4" w:space="0" w:color="000000"/>
              <w:left w:val="single" w:sz="6" w:space="0" w:color="000000"/>
              <w:bottom w:val="single" w:sz="4" w:space="0" w:color="000000"/>
              <w:right w:val="single" w:sz="6" w:space="0" w:color="000000"/>
            </w:tcBorders>
          </w:tcPr>
          <w:p>
            <w:pPr>
              <w:pStyle w:val="TAL"/>
              <w:rPr/>
            </w:pPr>
            <w:r>
              <w:rPr/>
              <w:t>204 No Content</w:t>
            </w:r>
          </w:p>
        </w:tc>
        <w:tc>
          <w:tcPr>
            <w:tcW w:w="4636" w:type="dxa"/>
            <w:tcBorders>
              <w:top w:val="single" w:sz="4" w:space="0" w:color="000000"/>
              <w:left w:val="single" w:sz="6" w:space="0" w:color="000000"/>
              <w:bottom w:val="single" w:sz="4" w:space="0" w:color="000000"/>
              <w:right w:val="single" w:sz="6" w:space="0" w:color="000000"/>
            </w:tcBorders>
          </w:tcPr>
          <w:p>
            <w:pPr>
              <w:pStyle w:val="TAL"/>
              <w:rPr/>
            </w:pPr>
            <w:r>
              <w:rPr/>
              <w:t>Successful case: The individual spending limit subscription matching the subscriptionId was deleted.</w:t>
            </w:r>
          </w:p>
        </w:tc>
      </w:tr>
      <w:tr>
        <w:trPr/>
        <w:tc>
          <w:tcPr>
            <w:tcW w:w="1716" w:type="dxa"/>
            <w:tcBorders>
              <w:top w:val="single" w:sz="4" w:space="0" w:color="000000"/>
              <w:left w:val="single" w:sz="6" w:space="0" w:color="000000"/>
              <w:bottom w:val="single" w:sz="4" w:space="0" w:color="000000"/>
              <w:right w:val="single" w:sz="6" w:space="0" w:color="000000"/>
            </w:tcBorders>
          </w:tcPr>
          <w:p>
            <w:pPr>
              <w:pStyle w:val="TAL"/>
              <w:rPr/>
            </w:pPr>
            <w:r>
              <w:rPr/>
              <w:t>RedirectResponse</w:t>
            </w:r>
          </w:p>
        </w:tc>
        <w:tc>
          <w:tcPr>
            <w:tcW w:w="353" w:type="dxa"/>
            <w:tcBorders>
              <w:top w:val="single" w:sz="4" w:space="0" w:color="000000"/>
              <w:left w:val="single" w:sz="6" w:space="0" w:color="000000"/>
              <w:bottom w:val="single" w:sz="4" w:space="0" w:color="000000"/>
              <w:right w:val="single" w:sz="6" w:space="0" w:color="000000"/>
            </w:tcBorders>
          </w:tcPr>
          <w:p>
            <w:pPr>
              <w:pStyle w:val="TAC"/>
              <w:rPr/>
            </w:pPr>
            <w:r>
              <w:rPr/>
              <w:t>O</w:t>
            </w:r>
          </w:p>
        </w:tc>
        <w:tc>
          <w:tcPr>
            <w:tcW w:w="1155" w:type="dxa"/>
            <w:tcBorders>
              <w:top w:val="single" w:sz="4" w:space="0" w:color="000000"/>
              <w:left w:val="single" w:sz="6" w:space="0" w:color="000000"/>
              <w:bottom w:val="single" w:sz="4" w:space="0" w:color="000000"/>
              <w:right w:val="single" w:sz="6" w:space="0" w:color="000000"/>
            </w:tcBorders>
          </w:tcPr>
          <w:p>
            <w:pPr>
              <w:pStyle w:val="TAC"/>
              <w:rPr/>
            </w:pPr>
            <w:r>
              <w:rPr/>
              <w:t>0..1</w:t>
            </w:r>
          </w:p>
        </w:tc>
        <w:tc>
          <w:tcPr>
            <w:tcW w:w="1683" w:type="dxa"/>
            <w:tcBorders>
              <w:top w:val="single" w:sz="4" w:space="0" w:color="000000"/>
              <w:left w:val="single" w:sz="6" w:space="0" w:color="000000"/>
              <w:bottom w:val="single" w:sz="4" w:space="0" w:color="000000"/>
              <w:right w:val="single" w:sz="6" w:space="0" w:color="000000"/>
            </w:tcBorders>
          </w:tcPr>
          <w:p>
            <w:pPr>
              <w:pStyle w:val="TAL"/>
              <w:rPr/>
            </w:pPr>
            <w:r>
              <w:rPr/>
              <w:t>307 Temporary Redirect</w:t>
            </w:r>
          </w:p>
        </w:tc>
        <w:tc>
          <w:tcPr>
            <w:tcW w:w="4636" w:type="dxa"/>
            <w:tcBorders>
              <w:top w:val="single" w:sz="4" w:space="0" w:color="000000"/>
              <w:left w:val="single" w:sz="6" w:space="0" w:color="000000"/>
              <w:bottom w:val="single" w:sz="4" w:space="0" w:color="000000"/>
              <w:right w:val="single" w:sz="6" w:space="0" w:color="000000"/>
            </w:tcBorders>
          </w:tcPr>
          <w:p>
            <w:pPr>
              <w:pStyle w:val="TAL"/>
              <w:rPr/>
            </w:pPr>
            <w:r>
              <w:rPr/>
              <w:t>Temporary redirection, during Individual Spending Limit Retrieval Subscription deletion. The response shall include a Location header field containing an alternative URI of the resource located in an alternative CHF (service) instance.</w:t>
            </w:r>
          </w:p>
          <w:p>
            <w:pPr>
              <w:pStyle w:val="TAL"/>
              <w:rPr/>
            </w:pPr>
            <w:r>
              <w:rPr/>
              <w:t xml:space="preserve">Applicable if the feature </w:t>
            </w:r>
            <w:r>
              <w:rPr>
                <w:lang w:eastAsia="zh-CN"/>
              </w:rPr>
              <w:t>"</w:t>
            </w:r>
            <w:r>
              <w:rPr>
                <w:rFonts w:cs="Arial"/>
                <w:szCs w:val="18"/>
              </w:rPr>
              <w:t xml:space="preserve">ES3XX" </w:t>
            </w:r>
            <w:r>
              <w:rPr/>
              <w:t>is supported.</w:t>
            </w:r>
          </w:p>
        </w:tc>
      </w:tr>
      <w:tr>
        <w:trPr/>
        <w:tc>
          <w:tcPr>
            <w:tcW w:w="1716" w:type="dxa"/>
            <w:tcBorders>
              <w:top w:val="single" w:sz="4" w:space="0" w:color="000000"/>
              <w:left w:val="single" w:sz="6" w:space="0" w:color="000000"/>
              <w:bottom w:val="single" w:sz="4" w:space="0" w:color="000000"/>
              <w:right w:val="single" w:sz="6" w:space="0" w:color="000000"/>
            </w:tcBorders>
          </w:tcPr>
          <w:p>
            <w:pPr>
              <w:pStyle w:val="TAL"/>
              <w:rPr/>
            </w:pPr>
            <w:r>
              <w:rPr/>
              <w:t>RedirectResponse</w:t>
            </w:r>
          </w:p>
        </w:tc>
        <w:tc>
          <w:tcPr>
            <w:tcW w:w="353" w:type="dxa"/>
            <w:tcBorders>
              <w:top w:val="single" w:sz="4" w:space="0" w:color="000000"/>
              <w:left w:val="single" w:sz="6" w:space="0" w:color="000000"/>
              <w:bottom w:val="single" w:sz="4" w:space="0" w:color="000000"/>
              <w:right w:val="single" w:sz="6" w:space="0" w:color="000000"/>
            </w:tcBorders>
          </w:tcPr>
          <w:p>
            <w:pPr>
              <w:pStyle w:val="TAC"/>
              <w:rPr/>
            </w:pPr>
            <w:r>
              <w:rPr/>
              <w:t>O</w:t>
            </w:r>
          </w:p>
        </w:tc>
        <w:tc>
          <w:tcPr>
            <w:tcW w:w="1155" w:type="dxa"/>
            <w:tcBorders>
              <w:top w:val="single" w:sz="4" w:space="0" w:color="000000"/>
              <w:left w:val="single" w:sz="6" w:space="0" w:color="000000"/>
              <w:bottom w:val="single" w:sz="4" w:space="0" w:color="000000"/>
              <w:right w:val="single" w:sz="6" w:space="0" w:color="000000"/>
            </w:tcBorders>
          </w:tcPr>
          <w:p>
            <w:pPr>
              <w:pStyle w:val="TAC"/>
              <w:rPr/>
            </w:pPr>
            <w:r>
              <w:rPr/>
              <w:t>0..1</w:t>
            </w:r>
          </w:p>
        </w:tc>
        <w:tc>
          <w:tcPr>
            <w:tcW w:w="1683" w:type="dxa"/>
            <w:tcBorders>
              <w:top w:val="single" w:sz="4" w:space="0" w:color="000000"/>
              <w:left w:val="single" w:sz="6" w:space="0" w:color="000000"/>
              <w:bottom w:val="single" w:sz="4" w:space="0" w:color="000000"/>
              <w:right w:val="single" w:sz="6" w:space="0" w:color="000000"/>
            </w:tcBorders>
          </w:tcPr>
          <w:p>
            <w:pPr>
              <w:pStyle w:val="TAL"/>
              <w:rPr/>
            </w:pPr>
            <w:r>
              <w:rPr/>
              <w:t>308 Permanent Redirect</w:t>
            </w:r>
          </w:p>
        </w:tc>
        <w:tc>
          <w:tcPr>
            <w:tcW w:w="4636" w:type="dxa"/>
            <w:tcBorders>
              <w:top w:val="single" w:sz="4" w:space="0" w:color="000000"/>
              <w:left w:val="single" w:sz="6" w:space="0" w:color="000000"/>
              <w:bottom w:val="single" w:sz="4" w:space="0" w:color="000000"/>
              <w:right w:val="single" w:sz="6" w:space="0" w:color="000000"/>
            </w:tcBorders>
          </w:tcPr>
          <w:p>
            <w:pPr>
              <w:pStyle w:val="TAL"/>
              <w:rPr/>
            </w:pPr>
            <w:r>
              <w:rPr/>
              <w:t>Permanent redirection, during Individual Spending Limit Retrieval Subscription deletion. The response shall include a Location header field containing an alternative URI of the resource located in an alternative CHF (service) instance.</w:t>
            </w:r>
          </w:p>
          <w:p>
            <w:pPr>
              <w:pStyle w:val="TAL"/>
              <w:rPr/>
            </w:pPr>
            <w:r>
              <w:rPr/>
              <w:t xml:space="preserve">Applicable if the feature </w:t>
            </w:r>
            <w:r>
              <w:rPr>
                <w:lang w:eastAsia="zh-CN"/>
              </w:rPr>
              <w:t>"</w:t>
            </w:r>
            <w:r>
              <w:rPr>
                <w:rFonts w:cs="Arial"/>
                <w:szCs w:val="18"/>
              </w:rPr>
              <w:t>ES3XX"</w:t>
            </w:r>
            <w:r>
              <w:rPr/>
              <w:t xml:space="preserve"> is supported.</w:t>
            </w:r>
          </w:p>
        </w:tc>
      </w:tr>
      <w:tr>
        <w:trPr/>
        <w:tc>
          <w:tcPr>
            <w:tcW w:w="9543" w:type="dxa"/>
            <w:gridSpan w:val="5"/>
            <w:tcBorders>
              <w:top w:val="single" w:sz="4" w:space="0" w:color="000000"/>
              <w:left w:val="single" w:sz="6" w:space="0" w:color="000000"/>
              <w:bottom w:val="single" w:sz="6" w:space="0" w:color="000000"/>
              <w:right w:val="single" w:sz="6" w:space="0" w:color="000000"/>
            </w:tcBorders>
          </w:tcPr>
          <w:p>
            <w:pPr>
              <w:pStyle w:val="TAN"/>
              <w:rPr/>
            </w:pPr>
            <w:r>
              <w:rPr/>
              <w:t>NOTE:</w:t>
              <w:tab/>
              <w:t>In addition, the HTTP status codes which are specified as mandatory in table 5.2.7.1-1 of 3GPP TS 29.500 [4] for the DELETE method shall also apply.</w:t>
            </w:r>
          </w:p>
        </w:tc>
      </w:tr>
    </w:tbl>
    <w:p>
      <w:pPr>
        <w:pStyle w:val="Normal"/>
        <w:rPr/>
      </w:pPr>
      <w:r>
        <w:rPr/>
      </w:r>
    </w:p>
    <w:p>
      <w:pPr>
        <w:pStyle w:val="TH"/>
        <w:rPr/>
      </w:pPr>
      <w:r>
        <w:rPr/>
        <w:t>Table 5.3.3.3.2-4: Headers supported by the 307 Response Code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4"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4" w:space="0" w:color="000000"/>
              <w:right w:val="single" w:sz="6" w:space="0" w:color="000000"/>
            </w:tcBorders>
            <w:vAlign w:val="center"/>
          </w:tcPr>
          <w:p>
            <w:pPr>
              <w:pStyle w:val="TAL"/>
              <w:rPr/>
            </w:pPr>
            <w:r>
              <w:rPr/>
              <w:t>An alternative URI of the resource located in an alternative CHF (service) instance.</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lang w:eastAsia="zh-CN"/>
              </w:rPr>
            </w:pPr>
            <w:r>
              <w:rPr>
                <w:lang w:eastAsia="zh-CN"/>
              </w:rPr>
              <w:t>3gpp-Sbi-Target-Nf-Id</w:t>
            </w:r>
          </w:p>
        </w:tc>
        <w:tc>
          <w:tcPr>
            <w:tcW w:w="1397"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9"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0..1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pPr>
            <w:r>
              <w:rPr>
                <w:lang w:eastAsia="fr-FR"/>
              </w:rPr>
              <w:t>Identifier of the target NF (service) instance towards which the request is redirected</w:t>
            </w:r>
          </w:p>
        </w:tc>
      </w:tr>
    </w:tbl>
    <w:p>
      <w:pPr>
        <w:pStyle w:val="Normal"/>
        <w:rPr/>
      </w:pPr>
      <w:r>
        <w:rPr/>
      </w:r>
    </w:p>
    <w:p>
      <w:pPr>
        <w:pStyle w:val="TH"/>
        <w:rPr/>
      </w:pPr>
      <w:r>
        <w:rPr/>
        <w:t>Table 5.3.3.3.2-5: Headers supported by the 308 Response Code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4"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4" w:space="0" w:color="000000"/>
              <w:right w:val="single" w:sz="6" w:space="0" w:color="000000"/>
            </w:tcBorders>
            <w:vAlign w:val="center"/>
          </w:tcPr>
          <w:p>
            <w:pPr>
              <w:pStyle w:val="TAL"/>
              <w:rPr/>
            </w:pPr>
            <w:r>
              <w:rPr/>
              <w:t>An alternative URI of the resource located in an alternative CHF (service) instance.</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lang w:eastAsia="zh-CN"/>
              </w:rPr>
            </w:pPr>
            <w:r>
              <w:rPr>
                <w:lang w:eastAsia="zh-CN"/>
              </w:rPr>
              <w:t>3gpp-Sbi-Target-Nf-Id</w:t>
            </w:r>
          </w:p>
        </w:tc>
        <w:tc>
          <w:tcPr>
            <w:tcW w:w="1397"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9"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0..1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pPr>
            <w:r>
              <w:rPr>
                <w:lang w:eastAsia="fr-FR"/>
              </w:rPr>
              <w:t>Identifier of the target NF (service) instance towards which the request is redirected</w:t>
            </w:r>
          </w:p>
        </w:tc>
      </w:tr>
    </w:tbl>
    <w:p>
      <w:pPr>
        <w:pStyle w:val="Normal"/>
        <w:rPr/>
      </w:pPr>
      <w:r>
        <w:rPr/>
      </w:r>
    </w:p>
    <w:p>
      <w:pPr>
        <w:pStyle w:val="Heading2"/>
        <w:rPr/>
      </w:pPr>
      <w:bookmarkStart w:id="66" w:name="__RefHeading___Toc75349545"/>
      <w:bookmarkEnd w:id="66"/>
      <w:r>
        <w:rPr/>
        <w:t>5.4</w:t>
        <w:tab/>
        <w:t>Custom Operations without associated resources</w:t>
      </w:r>
    </w:p>
    <w:p>
      <w:pPr>
        <w:pStyle w:val="Normal"/>
        <w:rPr/>
      </w:pPr>
      <w:r>
        <w:rPr/>
        <w:t>None.</w:t>
      </w:r>
    </w:p>
    <w:p>
      <w:pPr>
        <w:pStyle w:val="Heading2"/>
        <w:rPr/>
      </w:pPr>
      <w:bookmarkStart w:id="67" w:name="__RefHeading___Toc75349546"/>
      <w:bookmarkEnd w:id="67"/>
      <w:r>
        <w:rPr/>
        <w:t>5.5</w:t>
        <w:tab/>
        <w:t>Notifications</w:t>
      </w:r>
    </w:p>
    <w:p>
      <w:pPr>
        <w:pStyle w:val="Heading3"/>
        <w:rPr/>
      </w:pPr>
      <w:bookmarkStart w:id="68" w:name="__RefHeading___Toc75349547"/>
      <w:bookmarkEnd w:id="68"/>
      <w:r>
        <w:rPr/>
        <w:t>5.5.1</w:t>
        <w:tab/>
        <w:t>General</w:t>
      </w:r>
    </w:p>
    <w:p>
      <w:pPr>
        <w:pStyle w:val="Normal"/>
        <w:rPr/>
      </w:pPr>
      <w:r>
        <w:rPr/>
        <w:t>Notification shall comply with subclause 6.2 of 3GPP TS 29.500 [4] and subclause 4.6.2.3 of 3GPP TS 29.501 [5].</w:t>
      </w:r>
    </w:p>
    <w:p>
      <w:pPr>
        <w:pStyle w:val="TH"/>
        <w:rPr/>
      </w:pPr>
      <w:r>
        <w:rPr/>
        <w:t>Table 5.5.1-1: Notifications overview</w:t>
      </w:r>
    </w:p>
    <w:tbl>
      <w:tblPr>
        <w:tblW w:w="4950" w:type="pct"/>
        <w:jc w:val="center"/>
        <w:tblInd w:w="0" w:type="dxa"/>
        <w:tblLayout w:type="fixed"/>
        <w:tblCellMar>
          <w:top w:w="0" w:type="dxa"/>
          <w:left w:w="28" w:type="dxa"/>
          <w:bottom w:w="0" w:type="dxa"/>
          <w:right w:w="108" w:type="dxa"/>
        </w:tblCellMar>
      </w:tblPr>
      <w:tblGrid>
        <w:gridCol w:w="2346"/>
        <w:gridCol w:w="2348"/>
        <w:gridCol w:w="1707"/>
        <w:gridCol w:w="3142"/>
      </w:tblGrid>
      <w:tr>
        <w:trPr/>
        <w:tc>
          <w:tcPr>
            <w:tcW w:w="234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Notification</w:t>
            </w:r>
          </w:p>
        </w:tc>
        <w:tc>
          <w:tcPr>
            <w:tcW w:w="2348"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Callback URI</w:t>
            </w:r>
          </w:p>
        </w:tc>
        <w:tc>
          <w:tcPr>
            <w:tcW w:w="1707"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HTTP method or custom operation</w:t>
            </w:r>
          </w:p>
        </w:tc>
        <w:tc>
          <w:tcPr>
            <w:tcW w:w="3142"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 (service operation)</w:t>
            </w:r>
          </w:p>
        </w:tc>
      </w:tr>
      <w:tr>
        <w:trPr/>
        <w:tc>
          <w:tcPr>
            <w:tcW w:w="2346"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US"/>
              </w:rPr>
              <w:t>Spending limit notification</w:t>
            </w:r>
          </w:p>
        </w:tc>
        <w:tc>
          <w:tcPr>
            <w:tcW w:w="2348" w:type="dxa"/>
            <w:tcBorders>
              <w:top w:val="single" w:sz="4" w:space="0" w:color="000000"/>
              <w:left w:val="single" w:sz="4" w:space="0" w:color="000000"/>
              <w:bottom w:val="single" w:sz="4" w:space="0" w:color="000000"/>
              <w:right w:val="single" w:sz="4" w:space="0" w:color="000000"/>
            </w:tcBorders>
          </w:tcPr>
          <w:p>
            <w:pPr>
              <w:pStyle w:val="TAL"/>
              <w:rPr/>
            </w:pPr>
            <w:r>
              <w:rPr/>
              <w:t>{notifUri}/notify</w:t>
            </w:r>
          </w:p>
        </w:tc>
        <w:tc>
          <w:tcPr>
            <w:tcW w:w="1707" w:type="dxa"/>
            <w:tcBorders>
              <w:top w:val="single" w:sz="4" w:space="0" w:color="000000"/>
              <w:left w:val="single" w:sz="4" w:space="0" w:color="000000"/>
              <w:bottom w:val="single" w:sz="4" w:space="0" w:color="000000"/>
              <w:right w:val="single" w:sz="4" w:space="0" w:color="000000"/>
            </w:tcBorders>
          </w:tcPr>
          <w:p>
            <w:pPr>
              <w:pStyle w:val="TAL"/>
              <w:rPr/>
            </w:pPr>
            <w:r>
              <w:rPr/>
              <w:t>notify (POST)</w:t>
            </w:r>
          </w:p>
        </w:tc>
        <w:tc>
          <w:tcPr>
            <w:tcW w:w="3142" w:type="dxa"/>
            <w:tcBorders>
              <w:top w:val="single" w:sz="4" w:space="0" w:color="000000"/>
              <w:left w:val="single" w:sz="4" w:space="0" w:color="000000"/>
              <w:bottom w:val="single" w:sz="4" w:space="0" w:color="000000"/>
              <w:right w:val="single" w:sz="4" w:space="0" w:color="000000"/>
            </w:tcBorders>
          </w:tcPr>
          <w:p>
            <w:pPr>
              <w:pStyle w:val="TAL"/>
              <w:rPr/>
            </w:pPr>
            <w:r>
              <w:rPr/>
              <w:t>Counter Status changes notification.</w:t>
            </w:r>
          </w:p>
        </w:tc>
      </w:tr>
      <w:tr>
        <w:trPr/>
        <w:tc>
          <w:tcPr>
            <w:tcW w:w="2346"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US"/>
              </w:rPr>
              <w:t>Subscription Termination</w:t>
            </w:r>
          </w:p>
        </w:tc>
        <w:tc>
          <w:tcPr>
            <w:tcW w:w="2348" w:type="dxa"/>
            <w:tcBorders>
              <w:top w:val="single" w:sz="4" w:space="0" w:color="000000"/>
              <w:left w:val="single" w:sz="4" w:space="0" w:color="000000"/>
              <w:bottom w:val="single" w:sz="4" w:space="0" w:color="000000"/>
              <w:right w:val="single" w:sz="4" w:space="0" w:color="000000"/>
            </w:tcBorders>
          </w:tcPr>
          <w:p>
            <w:pPr>
              <w:pStyle w:val="TAL"/>
              <w:rPr/>
            </w:pPr>
            <w:r>
              <w:rPr/>
              <w:t>{notifUri}/terminate</w:t>
            </w:r>
          </w:p>
        </w:tc>
        <w:tc>
          <w:tcPr>
            <w:tcW w:w="1707" w:type="dxa"/>
            <w:tcBorders>
              <w:top w:val="single" w:sz="4" w:space="0" w:color="000000"/>
              <w:left w:val="single" w:sz="4" w:space="0" w:color="000000"/>
              <w:bottom w:val="single" w:sz="4" w:space="0" w:color="000000"/>
              <w:right w:val="single" w:sz="4" w:space="0" w:color="000000"/>
            </w:tcBorders>
          </w:tcPr>
          <w:p>
            <w:pPr>
              <w:pStyle w:val="TAL"/>
              <w:rPr/>
            </w:pPr>
            <w:r>
              <w:rPr/>
              <w:t>terminate (POST)</w:t>
            </w:r>
          </w:p>
        </w:tc>
        <w:tc>
          <w:tcPr>
            <w:tcW w:w="3142" w:type="dxa"/>
            <w:tcBorders>
              <w:top w:val="single" w:sz="4" w:space="0" w:color="000000"/>
              <w:left w:val="single" w:sz="4" w:space="0" w:color="000000"/>
              <w:bottom w:val="single" w:sz="4" w:space="0" w:color="000000"/>
              <w:right w:val="single" w:sz="4" w:space="0" w:color="000000"/>
            </w:tcBorders>
          </w:tcPr>
          <w:p>
            <w:pPr>
              <w:pStyle w:val="TAL"/>
              <w:rPr/>
            </w:pPr>
            <w:r>
              <w:rPr/>
              <w:t>Indication of subscription termination.</w:t>
            </w:r>
          </w:p>
        </w:tc>
      </w:tr>
    </w:tbl>
    <w:p>
      <w:pPr>
        <w:pStyle w:val="Normal"/>
        <w:rPr/>
      </w:pPr>
      <w:r>
        <w:rPr/>
      </w:r>
    </w:p>
    <w:p>
      <w:pPr>
        <w:pStyle w:val="Heading3"/>
        <w:rPr/>
      </w:pPr>
      <w:bookmarkStart w:id="69" w:name="__RefHeading___Toc75349548"/>
      <w:bookmarkEnd w:id="69"/>
      <w:r>
        <w:rPr/>
        <w:t>5.5.2</w:t>
        <w:tab/>
        <w:t>Spending limit notification</w:t>
      </w:r>
    </w:p>
    <w:p>
      <w:pPr>
        <w:pStyle w:val="Heading4"/>
        <w:ind w:left="1418" w:hanging="1418"/>
        <w:rPr/>
      </w:pPr>
      <w:bookmarkStart w:id="70" w:name="__RefHeading___Toc75349549"/>
      <w:bookmarkEnd w:id="70"/>
      <w:r>
        <w:rPr/>
        <w:t>5.5.2.1</w:t>
        <w:tab/>
        <w:t>Description</w:t>
      </w:r>
    </w:p>
    <w:p>
      <w:pPr>
        <w:pStyle w:val="Normal"/>
        <w:rPr/>
      </w:pPr>
      <w:r>
        <w:rPr/>
        <w:t>The spending limit notification is used by the CHF to notify the change of the status of the subscribed policy counters for a subscriber and/or to provide one or more pending statuses for a subscribed policy counter together with the time they shall be applied.</w:t>
      </w:r>
    </w:p>
    <w:p>
      <w:pPr>
        <w:pStyle w:val="Heading4"/>
        <w:ind w:left="1418" w:hanging="1418"/>
        <w:rPr/>
      </w:pPr>
      <w:bookmarkStart w:id="71" w:name="__RefHeading___Toc75349550"/>
      <w:bookmarkEnd w:id="71"/>
      <w:r>
        <w:rPr/>
        <w:t>5.5.2.2</w:t>
        <w:tab/>
        <w:t>Target URI</w:t>
      </w:r>
    </w:p>
    <w:p>
      <w:pPr>
        <w:pStyle w:val="Normal"/>
        <w:rPr/>
      </w:pPr>
      <w:r>
        <w:rPr/>
        <w:t xml:space="preserve">The Callback URI </w:t>
      </w:r>
      <w:r>
        <w:rPr>
          <w:b/>
        </w:rPr>
        <w:t>{notifUri}/notify</w:t>
      </w:r>
      <w:r>
        <w:rPr/>
        <w:t xml:space="preserve"> shall be used with the callback URI variables defined in table 5.5.2.2-1.</w:t>
      </w:r>
    </w:p>
    <w:p>
      <w:pPr>
        <w:pStyle w:val="TH"/>
        <w:rPr>
          <w:rFonts w:cs="Arial"/>
          <w:lang w:val="en-US" w:eastAsia="en-US"/>
        </w:rPr>
      </w:pPr>
      <w:r>
        <w:rPr>
          <w:rFonts w:cs="Arial"/>
          <w:lang w:val="en-US" w:eastAsia="en-US"/>
        </w:rPr>
        <w:t>Table 5.5.2.2-1: Callback URI variables</w:t>
      </w:r>
    </w:p>
    <w:tbl>
      <w:tblPr>
        <w:tblW w:w="9506" w:type="dxa"/>
        <w:jc w:val="center"/>
        <w:tblInd w:w="0" w:type="dxa"/>
        <w:tblLayout w:type="fixed"/>
        <w:tblCellMar>
          <w:top w:w="0" w:type="dxa"/>
          <w:left w:w="28" w:type="dxa"/>
          <w:bottom w:w="0" w:type="dxa"/>
          <w:right w:w="115" w:type="dxa"/>
        </w:tblCellMar>
      </w:tblPr>
      <w:tblGrid>
        <w:gridCol w:w="1493"/>
        <w:gridCol w:w="1275"/>
        <w:gridCol w:w="6738"/>
      </w:tblGrid>
      <w:tr>
        <w:trPr/>
        <w:tc>
          <w:tcPr>
            <w:tcW w:w="1493" w:type="dxa"/>
            <w:tcBorders>
              <w:top w:val="single" w:sz="6" w:space="0" w:color="000000"/>
              <w:left w:val="single" w:sz="6" w:space="0" w:color="000000"/>
              <w:bottom w:val="single" w:sz="6" w:space="0" w:color="000000"/>
              <w:right w:val="single" w:sz="6" w:space="0" w:color="000000"/>
            </w:tcBorders>
            <w:shd w:fill="CCCCCC" w:val="clear"/>
          </w:tcPr>
          <w:p>
            <w:pPr>
              <w:pStyle w:val="TAH"/>
              <w:rPr>
                <w:lang w:val="en-US" w:eastAsia="en-US"/>
              </w:rPr>
            </w:pPr>
            <w:r>
              <w:rPr>
                <w:lang w:val="en-US" w:eastAsia="en-US"/>
              </w:rPr>
              <w:t>Name</w:t>
            </w:r>
          </w:p>
        </w:tc>
        <w:tc>
          <w:tcPr>
            <w:tcW w:w="1275" w:type="dxa"/>
            <w:tcBorders>
              <w:top w:val="single" w:sz="6" w:space="0" w:color="000000"/>
              <w:left w:val="single" w:sz="6" w:space="0" w:color="000000"/>
              <w:bottom w:val="single" w:sz="6" w:space="0" w:color="000000"/>
              <w:right w:val="single" w:sz="6" w:space="0" w:color="000000"/>
            </w:tcBorders>
            <w:shd w:fill="CCCCCC" w:val="clear"/>
          </w:tcPr>
          <w:p>
            <w:pPr>
              <w:pStyle w:val="TAH"/>
              <w:rPr>
                <w:lang w:val="en-US" w:eastAsia="en-US"/>
              </w:rPr>
            </w:pPr>
            <w:r>
              <w:rPr>
                <w:lang w:val="en-US" w:eastAsia="en-US"/>
              </w:rPr>
              <w:t>D</w:t>
            </w:r>
            <w:r>
              <w:rPr>
                <w:lang w:val="en-US" w:eastAsia="en-US"/>
              </w:rPr>
              <w:t>ata type</w:t>
            </w:r>
          </w:p>
        </w:tc>
        <w:tc>
          <w:tcPr>
            <w:tcW w:w="6738" w:type="dxa"/>
            <w:tcBorders>
              <w:top w:val="single" w:sz="6" w:space="0" w:color="000000"/>
              <w:left w:val="single" w:sz="6" w:space="0" w:color="000000"/>
              <w:bottom w:val="single" w:sz="6" w:space="0" w:color="000000"/>
              <w:right w:val="single" w:sz="6" w:space="0" w:color="000000"/>
            </w:tcBorders>
            <w:shd w:fill="CCCCCC" w:val="clear"/>
            <w:vAlign w:val="center"/>
          </w:tcPr>
          <w:p>
            <w:pPr>
              <w:pStyle w:val="TAH"/>
              <w:rPr>
                <w:lang w:val="en-US" w:eastAsia="en-US"/>
              </w:rPr>
            </w:pPr>
            <w:r>
              <w:rPr>
                <w:lang w:val="en-US" w:eastAsia="en-US"/>
              </w:rPr>
              <w:t>Definition</w:t>
            </w:r>
          </w:p>
        </w:tc>
      </w:tr>
      <w:tr>
        <w:trPr/>
        <w:tc>
          <w:tcPr>
            <w:tcW w:w="1493"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notifUri</w:t>
            </w:r>
          </w:p>
        </w:tc>
        <w:tc>
          <w:tcPr>
            <w:tcW w:w="127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U</w:t>
            </w:r>
            <w:r>
              <w:rPr>
                <w:lang w:val="en-US" w:eastAsia="en-US"/>
              </w:rPr>
              <w:t>ri</w:t>
            </w:r>
          </w:p>
        </w:tc>
        <w:tc>
          <w:tcPr>
            <w:tcW w:w="6738" w:type="dxa"/>
            <w:tcBorders>
              <w:top w:val="single" w:sz="6" w:space="0" w:color="000000"/>
              <w:left w:val="single" w:sz="6" w:space="0" w:color="000000"/>
              <w:bottom w:val="single" w:sz="6" w:space="0" w:color="000000"/>
              <w:right w:val="single" w:sz="6" w:space="0" w:color="000000"/>
            </w:tcBorders>
            <w:vAlign w:val="center"/>
          </w:tcPr>
          <w:p>
            <w:pPr>
              <w:pStyle w:val="TAL"/>
              <w:rPr/>
            </w:pPr>
            <w:r>
              <w:rPr>
                <w:lang w:val="en-US" w:eastAsia="en-US"/>
              </w:rPr>
              <w:t xml:space="preserve">The Notification Uri as assigned by the NF service consumer during the subscription service operation and described within the </w:t>
            </w:r>
            <w:r>
              <w:rPr/>
              <w:t>SpendingLimitContext data type</w:t>
            </w:r>
            <w:r>
              <w:rPr>
                <w:lang w:val="en-US" w:eastAsia="en-US"/>
              </w:rPr>
              <w:t xml:space="preserve"> (see table 5.6.2.2-1).</w:t>
            </w:r>
          </w:p>
        </w:tc>
      </w:tr>
    </w:tbl>
    <w:p>
      <w:pPr>
        <w:pStyle w:val="Normal"/>
        <w:rPr>
          <w:lang w:val="en-US" w:eastAsia="en-US"/>
        </w:rPr>
      </w:pPr>
      <w:r>
        <w:rPr>
          <w:lang w:val="en-US" w:eastAsia="en-US"/>
        </w:rPr>
      </w:r>
    </w:p>
    <w:p>
      <w:pPr>
        <w:pStyle w:val="Heading4"/>
        <w:ind w:left="1418" w:hanging="1418"/>
        <w:rPr>
          <w:lang w:val="en-US" w:eastAsia="en-US"/>
        </w:rPr>
      </w:pPr>
      <w:bookmarkStart w:id="72" w:name="__RefHeading___Toc75349551"/>
      <w:bookmarkEnd w:id="72"/>
      <w:r>
        <w:rPr>
          <w:lang w:val="en-US" w:eastAsia="en-US"/>
        </w:rPr>
        <w:t>5.5.2.3</w:t>
        <w:tab/>
        <w:t>Standard Methods</w:t>
      </w:r>
    </w:p>
    <w:p>
      <w:pPr>
        <w:pStyle w:val="Heading5"/>
        <w:ind w:left="1701" w:hanging="1701"/>
        <w:rPr/>
      </w:pPr>
      <w:bookmarkStart w:id="73" w:name="__RefHeading___Toc75349552"/>
      <w:bookmarkEnd w:id="73"/>
      <w:r>
        <w:rPr>
          <w:lang w:val="en-US" w:eastAsia="en-US"/>
        </w:rPr>
        <w:t>5.5.2.3.1</w:t>
        <w:tab/>
        <w:t>POST</w:t>
      </w:r>
    </w:p>
    <w:p>
      <w:pPr>
        <w:pStyle w:val="Normal"/>
        <w:rPr/>
      </w:pPr>
      <w:r>
        <w:rPr>
          <w:lang w:val="en-US" w:eastAsia="en-US"/>
        </w:rPr>
        <w:t>This method shall support the URI query parameters specified in table 5.5.2.3.1-1.</w:t>
      </w:r>
    </w:p>
    <w:p>
      <w:pPr>
        <w:pStyle w:val="TH"/>
        <w:rPr>
          <w:rFonts w:cs="Arial"/>
          <w:lang w:val="en-US" w:eastAsia="en-US"/>
        </w:rPr>
      </w:pPr>
      <w:r>
        <w:rPr>
          <w:rFonts w:cs="Arial"/>
          <w:lang w:val="en-US" w:eastAsia="en-US"/>
        </w:rPr>
        <w:t>Table 5.5.2.3.1-1: URI query parameters supported by the POST method on this resource</w:t>
      </w:r>
    </w:p>
    <w:tbl>
      <w:tblPr>
        <w:tblW w:w="9679" w:type="dxa"/>
        <w:jc w:val="center"/>
        <w:tblInd w:w="0" w:type="dxa"/>
        <w:tblLayout w:type="fixed"/>
        <w:tblCellMar>
          <w:top w:w="0" w:type="dxa"/>
          <w:left w:w="28" w:type="dxa"/>
          <w:bottom w:w="0" w:type="dxa"/>
          <w:right w:w="115" w:type="dxa"/>
        </w:tblCellMar>
      </w:tblPr>
      <w:tblGrid>
        <w:gridCol w:w="1597"/>
        <w:gridCol w:w="1417"/>
        <w:gridCol w:w="420"/>
        <w:gridCol w:w="1265"/>
        <w:gridCol w:w="4980"/>
      </w:tblGrid>
      <w:tr>
        <w:trPr/>
        <w:tc>
          <w:tcPr>
            <w:tcW w:w="1597"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Name</w:t>
            </w:r>
          </w:p>
        </w:tc>
        <w:tc>
          <w:tcPr>
            <w:tcW w:w="141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Data type</w:t>
            </w:r>
          </w:p>
        </w:tc>
        <w:tc>
          <w:tcPr>
            <w:tcW w:w="42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265"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Cardinality</w:t>
            </w:r>
          </w:p>
        </w:tc>
        <w:tc>
          <w:tcPr>
            <w:tcW w:w="4980"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lang w:val="en-US" w:eastAsia="en-US"/>
              </w:rPr>
            </w:pPr>
            <w:r>
              <w:rPr>
                <w:lang w:val="en-US" w:eastAsia="en-US"/>
              </w:rPr>
              <w:t>Description</w:t>
            </w:r>
          </w:p>
        </w:tc>
      </w:tr>
      <w:tr>
        <w:trPr/>
        <w:tc>
          <w:tcPr>
            <w:tcW w:w="1597"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n/a</w:t>
            </w:r>
          </w:p>
        </w:tc>
        <w:tc>
          <w:tcPr>
            <w:tcW w:w="1417" w:type="dxa"/>
            <w:tcBorders>
              <w:top w:val="single" w:sz="4" w:space="0" w:color="000000"/>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c>
          <w:tcPr>
            <w:tcW w:w="420" w:type="dxa"/>
            <w:tcBorders>
              <w:top w:val="single" w:sz="4"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1265" w:type="dxa"/>
            <w:tcBorders>
              <w:top w:val="single" w:sz="4"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4980"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lang w:val="en-US" w:eastAsia="en-US"/>
              </w:rPr>
            </w:pPr>
            <w:r>
              <w:rPr>
                <w:lang w:val="en-US" w:eastAsia="en-US"/>
              </w:rPr>
            </w:r>
          </w:p>
        </w:tc>
      </w:tr>
    </w:tbl>
    <w:p>
      <w:pPr>
        <w:pStyle w:val="Normal"/>
        <w:rPr>
          <w:lang w:val="en-US" w:eastAsia="en-US"/>
        </w:rPr>
      </w:pPr>
      <w:r>
        <w:rPr>
          <w:lang w:val="en-US" w:eastAsia="en-US"/>
        </w:rPr>
      </w:r>
    </w:p>
    <w:p>
      <w:pPr>
        <w:pStyle w:val="Normal"/>
        <w:rPr/>
      </w:pPr>
      <w:r>
        <w:rPr>
          <w:lang w:val="en-US" w:eastAsia="en-US"/>
        </w:rPr>
        <w:t>This method shall support the request data structures specified in table 5.5.2.3.1-2 and the response data structures and response codes specified in table 5.5.2.3.1-3.</w:t>
      </w:r>
    </w:p>
    <w:p>
      <w:pPr>
        <w:pStyle w:val="TH"/>
        <w:rPr/>
      </w:pPr>
      <w:r>
        <w:rPr>
          <w:lang w:val="en-US" w:eastAsia="en-US"/>
        </w:rPr>
        <w:t xml:space="preserve">Table 5.5.2.3.1-2: Data structures supported by the </w:t>
      </w:r>
      <w:r>
        <w:rPr/>
        <w:t>POST Request Body on this resource</w:t>
      </w:r>
    </w:p>
    <w:tbl>
      <w:tblPr>
        <w:tblW w:w="9679" w:type="dxa"/>
        <w:jc w:val="center"/>
        <w:tblInd w:w="0" w:type="dxa"/>
        <w:tblLayout w:type="fixed"/>
        <w:tblCellMar>
          <w:top w:w="0" w:type="dxa"/>
          <w:left w:w="28" w:type="dxa"/>
          <w:bottom w:w="0" w:type="dxa"/>
          <w:right w:w="115" w:type="dxa"/>
        </w:tblCellMar>
      </w:tblPr>
      <w:tblGrid>
        <w:gridCol w:w="2899"/>
        <w:gridCol w:w="450"/>
        <w:gridCol w:w="1170"/>
        <w:gridCol w:w="5160"/>
      </w:tblGrid>
      <w:tr>
        <w:trPr/>
        <w:tc>
          <w:tcPr>
            <w:tcW w:w="2899"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Data type</w:t>
            </w:r>
          </w:p>
        </w:tc>
        <w:tc>
          <w:tcPr>
            <w:tcW w:w="45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17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Cardinality</w:t>
            </w:r>
          </w:p>
        </w:tc>
        <w:tc>
          <w:tcPr>
            <w:tcW w:w="5160"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lang w:val="en-US" w:eastAsia="en-US"/>
              </w:rPr>
              <w:t>Description</w:t>
            </w:r>
          </w:p>
        </w:tc>
      </w:tr>
      <w:tr>
        <w:trPr/>
        <w:tc>
          <w:tcPr>
            <w:tcW w:w="2899"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SpendingLimitStatus</w:t>
            </w:r>
          </w:p>
        </w:tc>
        <w:tc>
          <w:tcPr>
            <w:tcW w:w="450"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1170"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w:t>
            </w:r>
          </w:p>
        </w:tc>
        <w:tc>
          <w:tcPr>
            <w:tcW w:w="5160" w:type="dxa"/>
            <w:tcBorders>
              <w:top w:val="single" w:sz="4" w:space="0" w:color="000000"/>
              <w:left w:val="single" w:sz="6" w:space="0" w:color="000000"/>
              <w:bottom w:val="single" w:sz="6" w:space="0" w:color="000000"/>
              <w:right w:val="single" w:sz="6" w:space="0" w:color="000000"/>
            </w:tcBorders>
          </w:tcPr>
          <w:p>
            <w:pPr>
              <w:pStyle w:val="TAL"/>
              <w:rPr/>
            </w:pPr>
            <w:r>
              <w:rPr>
                <w:lang w:val="en-US" w:eastAsia="en-US"/>
              </w:rPr>
              <w:t>Provides information about the statuses of policy counters.</w:t>
            </w:r>
          </w:p>
        </w:tc>
      </w:tr>
    </w:tbl>
    <w:p>
      <w:pPr>
        <w:pStyle w:val="Normal"/>
        <w:rPr>
          <w:lang w:val="en-US" w:eastAsia="en-US"/>
        </w:rPr>
      </w:pPr>
      <w:r>
        <w:rPr>
          <w:lang w:val="en-US" w:eastAsia="en-US"/>
        </w:rPr>
      </w:r>
    </w:p>
    <w:p>
      <w:pPr>
        <w:pStyle w:val="TH"/>
        <w:rPr/>
      </w:pPr>
      <w:r>
        <w:rPr>
          <w:lang w:val="en-US" w:eastAsia="en-US"/>
        </w:rPr>
        <w:t>Table 5.5.2.3.1-3: Data structures supported by the POST Response Body on</w:t>
      </w:r>
      <w:r>
        <w:rPr/>
        <w:t xml:space="preserve"> this resource</w:t>
      </w:r>
    </w:p>
    <w:tbl>
      <w:tblPr>
        <w:tblW w:w="9679" w:type="dxa"/>
        <w:jc w:val="center"/>
        <w:tblInd w:w="0" w:type="dxa"/>
        <w:tblLayout w:type="fixed"/>
        <w:tblCellMar>
          <w:top w:w="0" w:type="dxa"/>
          <w:left w:w="28" w:type="dxa"/>
          <w:bottom w:w="0" w:type="dxa"/>
          <w:right w:w="115" w:type="dxa"/>
        </w:tblCellMar>
      </w:tblPr>
      <w:tblGrid>
        <w:gridCol w:w="1730"/>
        <w:gridCol w:w="450"/>
        <w:gridCol w:w="1350"/>
        <w:gridCol w:w="1710"/>
        <w:gridCol w:w="4439"/>
      </w:tblGrid>
      <w:tr>
        <w:trPr/>
        <w:tc>
          <w:tcPr>
            <w:tcW w:w="173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Data type</w:t>
            </w:r>
          </w:p>
        </w:tc>
        <w:tc>
          <w:tcPr>
            <w:tcW w:w="45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35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Cardinality</w:t>
            </w:r>
          </w:p>
        </w:tc>
        <w:tc>
          <w:tcPr>
            <w:tcW w:w="171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Response codes</w:t>
            </w:r>
          </w:p>
        </w:tc>
        <w:tc>
          <w:tcPr>
            <w:tcW w:w="4439"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Description</w:t>
            </w:r>
          </w:p>
        </w:tc>
      </w:tr>
      <w:tr>
        <w:trPr/>
        <w:tc>
          <w:tcPr>
            <w:tcW w:w="1730"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n/a</w:t>
            </w:r>
          </w:p>
        </w:tc>
        <w:tc>
          <w:tcPr>
            <w:tcW w:w="450" w:type="dxa"/>
            <w:tcBorders>
              <w:top w:val="single" w:sz="4" w:space="0" w:color="000000"/>
              <w:left w:val="single" w:sz="6" w:space="0" w:color="000000"/>
              <w:bottom w:val="single" w:sz="4" w:space="0" w:color="000000"/>
              <w:right w:val="single" w:sz="6" w:space="0" w:color="000000"/>
            </w:tcBorders>
          </w:tcPr>
          <w:p>
            <w:pPr>
              <w:pStyle w:val="TAC"/>
              <w:snapToGrid w:val="false"/>
              <w:rPr>
                <w:lang w:val="en-US" w:eastAsia="en-US"/>
              </w:rPr>
            </w:pPr>
            <w:r>
              <w:rPr>
                <w:lang w:val="en-US" w:eastAsia="en-US"/>
              </w:rPr>
            </w:r>
          </w:p>
        </w:tc>
        <w:tc>
          <w:tcPr>
            <w:tcW w:w="1350" w:type="dxa"/>
            <w:tcBorders>
              <w:top w:val="single" w:sz="4" w:space="0" w:color="000000"/>
              <w:left w:val="single" w:sz="6" w:space="0" w:color="000000"/>
              <w:bottom w:val="single" w:sz="4" w:space="0" w:color="000000"/>
              <w:right w:val="single" w:sz="6" w:space="0" w:color="000000"/>
            </w:tcBorders>
          </w:tcPr>
          <w:p>
            <w:pPr>
              <w:pStyle w:val="TAC"/>
              <w:snapToGrid w:val="false"/>
              <w:rPr>
                <w:lang w:val="en-US" w:eastAsia="en-US"/>
              </w:rPr>
            </w:pPr>
            <w:r>
              <w:rPr>
                <w:lang w:val="en-US" w:eastAsia="en-US"/>
              </w:rPr>
            </w:r>
          </w:p>
        </w:tc>
        <w:tc>
          <w:tcPr>
            <w:tcW w:w="1710"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204 No Content</w:t>
            </w:r>
          </w:p>
        </w:tc>
        <w:tc>
          <w:tcPr>
            <w:tcW w:w="4439" w:type="dxa"/>
            <w:tcBorders>
              <w:top w:val="single" w:sz="4" w:space="0" w:color="000000"/>
              <w:left w:val="single" w:sz="6" w:space="0" w:color="000000"/>
              <w:bottom w:val="single" w:sz="4" w:space="0" w:color="000000"/>
              <w:right w:val="single" w:sz="6" w:space="0" w:color="000000"/>
            </w:tcBorders>
          </w:tcPr>
          <w:p>
            <w:pPr>
              <w:pStyle w:val="TAL"/>
              <w:rPr/>
            </w:pPr>
            <w:r>
              <w:rPr>
                <w:lang w:val="en-US" w:eastAsia="en-US"/>
              </w:rPr>
              <w:t>The receipt of the notification is acknowledged.</w:t>
            </w:r>
          </w:p>
        </w:tc>
      </w:tr>
      <w:tr>
        <w:trPr/>
        <w:tc>
          <w:tcPr>
            <w:tcW w:w="1730"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t>RedirectResponse</w:t>
            </w:r>
          </w:p>
        </w:tc>
        <w:tc>
          <w:tcPr>
            <w:tcW w:w="450"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t>O</w:t>
            </w:r>
          </w:p>
        </w:tc>
        <w:tc>
          <w:tcPr>
            <w:tcW w:w="1350"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t>0..1</w:t>
            </w:r>
          </w:p>
        </w:tc>
        <w:tc>
          <w:tcPr>
            <w:tcW w:w="1710"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t>307 Temporary Redirect</w:t>
            </w:r>
          </w:p>
        </w:tc>
        <w:tc>
          <w:tcPr>
            <w:tcW w:w="4439" w:type="dxa"/>
            <w:tcBorders>
              <w:top w:val="single" w:sz="4" w:space="0" w:color="000000"/>
              <w:left w:val="single" w:sz="6" w:space="0" w:color="000000"/>
              <w:bottom w:val="single" w:sz="4" w:space="0" w:color="000000"/>
              <w:right w:val="single" w:sz="6" w:space="0" w:color="000000"/>
            </w:tcBorders>
          </w:tcPr>
          <w:p>
            <w:pPr>
              <w:pStyle w:val="TAL"/>
              <w:rPr/>
            </w:pPr>
            <w:r>
              <w:rPr/>
              <w:t>Temporary redirection, during Spending limit report. The response shall include a Location header field containing an alternative URI representing the end point of an alternative NF consumer (service) instance where the notification should be sent.</w:t>
            </w:r>
          </w:p>
          <w:p>
            <w:pPr>
              <w:pStyle w:val="TAL"/>
              <w:rPr>
                <w:lang w:val="en-US" w:eastAsia="en-US"/>
              </w:rPr>
            </w:pPr>
            <w:r>
              <w:rPr/>
              <w:t xml:space="preserve">Applicable if the feature </w:t>
            </w:r>
            <w:r>
              <w:rPr>
                <w:lang w:eastAsia="zh-CN"/>
              </w:rPr>
              <w:t>"</w:t>
            </w:r>
            <w:r>
              <w:rPr>
                <w:rFonts w:cs="Arial"/>
                <w:szCs w:val="18"/>
              </w:rPr>
              <w:t>ES3XX"</w:t>
            </w:r>
            <w:r>
              <w:rPr/>
              <w:t xml:space="preserve"> is supported.</w:t>
            </w:r>
          </w:p>
        </w:tc>
      </w:tr>
      <w:tr>
        <w:trPr/>
        <w:tc>
          <w:tcPr>
            <w:tcW w:w="1730"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t>RedirectResponse</w:t>
            </w:r>
          </w:p>
        </w:tc>
        <w:tc>
          <w:tcPr>
            <w:tcW w:w="450"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t>O</w:t>
            </w:r>
          </w:p>
        </w:tc>
        <w:tc>
          <w:tcPr>
            <w:tcW w:w="1350"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t>0..1</w:t>
            </w:r>
          </w:p>
        </w:tc>
        <w:tc>
          <w:tcPr>
            <w:tcW w:w="1710"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t>308 Permanent Redirect</w:t>
            </w:r>
          </w:p>
        </w:tc>
        <w:tc>
          <w:tcPr>
            <w:tcW w:w="4439" w:type="dxa"/>
            <w:tcBorders>
              <w:top w:val="single" w:sz="4" w:space="0" w:color="000000"/>
              <w:left w:val="single" w:sz="6" w:space="0" w:color="000000"/>
              <w:bottom w:val="single" w:sz="4" w:space="0" w:color="000000"/>
              <w:right w:val="single" w:sz="6" w:space="0" w:color="000000"/>
            </w:tcBorders>
          </w:tcPr>
          <w:p>
            <w:pPr>
              <w:pStyle w:val="TAL"/>
              <w:rPr/>
            </w:pPr>
            <w:r>
              <w:rPr/>
              <w:t>Permanent redirection, during Spending limit report. The response shall include a Location header field containing an alternative URI representing the end point of an alternative NF consumer (service) instance where the notification should be sent.</w:t>
            </w:r>
          </w:p>
          <w:p>
            <w:pPr>
              <w:pStyle w:val="TAL"/>
              <w:rPr>
                <w:lang w:val="en-US" w:eastAsia="en-US"/>
              </w:rPr>
            </w:pPr>
            <w:r>
              <w:rPr/>
              <w:t xml:space="preserve">Applicable if the feature </w:t>
            </w:r>
            <w:r>
              <w:rPr>
                <w:lang w:eastAsia="zh-CN"/>
              </w:rPr>
              <w:t>"</w:t>
            </w:r>
            <w:r>
              <w:rPr>
                <w:rFonts w:cs="Arial"/>
                <w:szCs w:val="18"/>
              </w:rPr>
              <w:t>ES3XX"</w:t>
            </w:r>
            <w:r>
              <w:rPr/>
              <w:t xml:space="preserve"> is supported.</w:t>
            </w:r>
          </w:p>
        </w:tc>
      </w:tr>
      <w:tr>
        <w:trPr/>
        <w:tc>
          <w:tcPr>
            <w:tcW w:w="9679" w:type="dxa"/>
            <w:gridSpan w:val="5"/>
            <w:tcBorders>
              <w:top w:val="single" w:sz="4" w:space="0" w:color="000000"/>
              <w:left w:val="single" w:sz="6" w:space="0" w:color="000000"/>
              <w:bottom w:val="single" w:sz="6" w:space="0" w:color="000000"/>
              <w:right w:val="single" w:sz="6" w:space="0" w:color="000000"/>
            </w:tcBorders>
          </w:tcPr>
          <w:p>
            <w:pPr>
              <w:pStyle w:val="TAN"/>
              <w:rPr/>
            </w:pPr>
            <w:r>
              <w:rPr/>
              <w:t>NOTE:</w:t>
              <w:tab/>
              <w:t>In addition, t</w:t>
            </w:r>
            <w:r>
              <w:rPr>
                <w:lang w:val="en-US" w:eastAsia="en-US"/>
              </w:rPr>
              <w:t xml:space="preserve">he </w:t>
            </w:r>
            <w:r>
              <w:rPr/>
              <w:t>HTTP status codes which are specified as mandatory in table 5.2.7.1-1 of 3GPP TS 29.500 [4] for the POST method shall also apply.</w:t>
            </w:r>
          </w:p>
        </w:tc>
      </w:tr>
    </w:tbl>
    <w:p>
      <w:pPr>
        <w:pStyle w:val="Normal"/>
        <w:rPr/>
      </w:pPr>
      <w:r>
        <w:rPr/>
      </w:r>
    </w:p>
    <w:p>
      <w:pPr>
        <w:pStyle w:val="TH"/>
        <w:rPr/>
      </w:pPr>
      <w:r>
        <w:rPr/>
        <w:t>Table 5.3.3.3.2-4: Headers supported by the 307 Response Code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4"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4" w:space="0" w:color="000000"/>
              <w:right w:val="single" w:sz="6" w:space="0" w:color="000000"/>
            </w:tcBorders>
            <w:vAlign w:val="center"/>
          </w:tcPr>
          <w:p>
            <w:pPr>
              <w:pStyle w:val="TAL"/>
              <w:rPr/>
            </w:pPr>
            <w:r>
              <w:rPr>
                <w:lang w:eastAsia="fr-FR"/>
              </w:rPr>
              <w:t>An alternative URI representing the end point of an alternative NF consumer (service) instance towards which the notification should be redirected</w:t>
            </w:r>
            <w:r>
              <w:rPr/>
              <w:t>.</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lang w:eastAsia="zh-CN"/>
              </w:rPr>
              <w:t>3gpp-Sbi-Target-Nf-Id</w:t>
            </w:r>
          </w:p>
        </w:tc>
        <w:tc>
          <w:tcPr>
            <w:tcW w:w="1397"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9"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0..1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pPr>
            <w:r>
              <w:rPr>
                <w:lang w:eastAsia="fr-FR"/>
              </w:rPr>
              <w:t>Identifier of the target NF (service) instance towards which the notification request is redirected</w:t>
            </w:r>
          </w:p>
        </w:tc>
      </w:tr>
    </w:tbl>
    <w:p>
      <w:pPr>
        <w:pStyle w:val="Normal"/>
        <w:rPr/>
      </w:pPr>
      <w:r>
        <w:rPr/>
      </w:r>
    </w:p>
    <w:p>
      <w:pPr>
        <w:pStyle w:val="TH"/>
        <w:rPr/>
      </w:pPr>
      <w:r>
        <w:rPr/>
        <w:t>Table 5.3.3.3.2-5: Headers supported by the 308 Response Code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4"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4" w:space="0" w:color="000000"/>
              <w:right w:val="single" w:sz="6" w:space="0" w:color="000000"/>
            </w:tcBorders>
            <w:vAlign w:val="center"/>
          </w:tcPr>
          <w:p>
            <w:pPr>
              <w:pStyle w:val="TAL"/>
              <w:rPr/>
            </w:pPr>
            <w:r>
              <w:rPr/>
              <w:t xml:space="preserve">An alternative URI </w:t>
            </w:r>
            <w:r>
              <w:rPr>
                <w:lang w:eastAsia="fr-FR"/>
              </w:rPr>
              <w:t>representing the end point of an alternative NF consumer (service) instance towards which the notification should be redirected</w:t>
            </w:r>
            <w:r>
              <w:rPr/>
              <w:t>.</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lang w:eastAsia="zh-CN"/>
              </w:rPr>
              <w:t>3gpp-Sbi-Target-Nf-Id</w:t>
            </w:r>
          </w:p>
        </w:tc>
        <w:tc>
          <w:tcPr>
            <w:tcW w:w="1397"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9"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0..1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pPr>
            <w:r>
              <w:rPr>
                <w:lang w:eastAsia="fr-FR"/>
              </w:rPr>
              <w:t>Identifier of the target NF (service) instance towards which the notification request is redirected</w:t>
            </w:r>
          </w:p>
        </w:tc>
      </w:tr>
    </w:tbl>
    <w:p>
      <w:pPr>
        <w:pStyle w:val="Normal"/>
        <w:rPr/>
      </w:pPr>
      <w:r>
        <w:rPr/>
      </w:r>
    </w:p>
    <w:p>
      <w:pPr>
        <w:pStyle w:val="Heading3"/>
        <w:rPr/>
      </w:pPr>
      <w:bookmarkStart w:id="74" w:name="__RefHeading___Toc75349553"/>
      <w:r>
        <w:rPr/>
        <w:t>5.5.3</w:t>
        <w:tab/>
        <w:t>Subscription Termination</w:t>
      </w:r>
      <w:bookmarkEnd w:id="74"/>
      <w:r>
        <w:rPr/>
        <w:t xml:space="preserve"> </w:t>
      </w:r>
    </w:p>
    <w:p>
      <w:pPr>
        <w:pStyle w:val="Heading4"/>
        <w:ind w:left="1418" w:hanging="1418"/>
        <w:rPr/>
      </w:pPr>
      <w:bookmarkStart w:id="75" w:name="__RefHeading___Toc75349554"/>
      <w:bookmarkEnd w:id="75"/>
      <w:r>
        <w:rPr/>
        <w:t>5.5.3.1</w:t>
        <w:tab/>
        <w:t>Description</w:t>
      </w:r>
    </w:p>
    <w:p>
      <w:pPr>
        <w:pStyle w:val="Normal"/>
        <w:rPr/>
      </w:pPr>
      <w:r>
        <w:rPr/>
        <w:t>The Subscription Termination request is used by the CHF to request the NF service consumer the termination of the subscription to policy counter status changes.</w:t>
      </w:r>
    </w:p>
    <w:p>
      <w:pPr>
        <w:pStyle w:val="Heading4"/>
        <w:ind w:left="1418" w:hanging="1418"/>
        <w:rPr/>
      </w:pPr>
      <w:bookmarkStart w:id="76" w:name="__RefHeading___Toc75349555"/>
      <w:bookmarkEnd w:id="76"/>
      <w:r>
        <w:rPr/>
        <w:t>5.5.3.2</w:t>
        <w:tab/>
        <w:t>Target URI</w:t>
      </w:r>
    </w:p>
    <w:p>
      <w:pPr>
        <w:pStyle w:val="Normal"/>
        <w:rPr/>
      </w:pPr>
      <w:r>
        <w:rPr/>
        <w:t xml:space="preserve">The Callback URI </w:t>
      </w:r>
      <w:r>
        <w:rPr>
          <w:b/>
        </w:rPr>
        <w:t>{notifUri}/terminate</w:t>
      </w:r>
      <w:r>
        <w:rPr/>
        <w:t xml:space="preserve"> shall be used with the callback URI variables defined in table 5.5.3.2-1</w:t>
      </w:r>
      <w:r>
        <w:rPr>
          <w:rFonts w:cs="Arial" w:ascii="Arial" w:hAnsi="Arial"/>
        </w:rPr>
        <w:t>.</w:t>
      </w:r>
    </w:p>
    <w:p>
      <w:pPr>
        <w:pStyle w:val="TH"/>
        <w:rPr>
          <w:rFonts w:cs="Arial"/>
        </w:rPr>
      </w:pPr>
      <w:r>
        <w:rPr>
          <w:rFonts w:cs="Arial"/>
        </w:rPr>
        <w:t>Table 5.5.3.2-1: Callback URI variables</w:t>
      </w:r>
    </w:p>
    <w:tbl>
      <w:tblPr>
        <w:tblW w:w="9748" w:type="dxa"/>
        <w:jc w:val="center"/>
        <w:tblInd w:w="0" w:type="dxa"/>
        <w:tblLayout w:type="fixed"/>
        <w:tblCellMar>
          <w:top w:w="0" w:type="dxa"/>
          <w:left w:w="28" w:type="dxa"/>
          <w:bottom w:w="0" w:type="dxa"/>
          <w:right w:w="115" w:type="dxa"/>
        </w:tblCellMar>
      </w:tblPr>
      <w:tblGrid>
        <w:gridCol w:w="1755"/>
        <w:gridCol w:w="1276"/>
        <w:gridCol w:w="6717"/>
      </w:tblGrid>
      <w:tr>
        <w:trPr/>
        <w:tc>
          <w:tcPr>
            <w:tcW w:w="1755"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Name</w:t>
            </w:r>
          </w:p>
        </w:tc>
        <w:tc>
          <w:tcPr>
            <w:tcW w:w="1276"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lang w:eastAsia="zh-CN"/>
              </w:rPr>
              <w:t>D</w:t>
            </w:r>
            <w:r>
              <w:rPr>
                <w:lang w:eastAsia="zh-CN"/>
              </w:rPr>
              <w:t>ata type</w:t>
            </w:r>
          </w:p>
        </w:tc>
        <w:tc>
          <w:tcPr>
            <w:tcW w:w="6717" w:type="dxa"/>
            <w:tcBorders>
              <w:top w:val="single" w:sz="6" w:space="0" w:color="000000"/>
              <w:left w:val="single" w:sz="6" w:space="0" w:color="000000"/>
              <w:bottom w:val="single" w:sz="6" w:space="0" w:color="000000"/>
              <w:right w:val="single" w:sz="6" w:space="0" w:color="000000"/>
            </w:tcBorders>
            <w:shd w:fill="CCCCCC" w:val="clear"/>
            <w:vAlign w:val="center"/>
          </w:tcPr>
          <w:p>
            <w:pPr>
              <w:pStyle w:val="TAH"/>
              <w:rPr/>
            </w:pPr>
            <w:r>
              <w:rPr/>
              <w:t>Definition</w:t>
            </w:r>
          </w:p>
        </w:tc>
      </w:tr>
      <w:tr>
        <w:trPr/>
        <w:tc>
          <w:tcPr>
            <w:tcW w:w="1755" w:type="dxa"/>
            <w:tcBorders>
              <w:top w:val="single" w:sz="6" w:space="0" w:color="000000"/>
              <w:left w:val="single" w:sz="6" w:space="0" w:color="000000"/>
              <w:bottom w:val="single" w:sz="6" w:space="0" w:color="000000"/>
              <w:right w:val="single" w:sz="6" w:space="0" w:color="000000"/>
            </w:tcBorders>
          </w:tcPr>
          <w:p>
            <w:pPr>
              <w:pStyle w:val="TAL"/>
              <w:rPr/>
            </w:pPr>
            <w:r>
              <w:rPr/>
              <w:t>notifUri</w:t>
            </w:r>
          </w:p>
        </w:tc>
        <w:tc>
          <w:tcPr>
            <w:tcW w:w="1276"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Uri</w:t>
            </w:r>
          </w:p>
        </w:tc>
        <w:tc>
          <w:tcPr>
            <w:tcW w:w="6717" w:type="dxa"/>
            <w:tcBorders>
              <w:top w:val="single" w:sz="6" w:space="0" w:color="000000"/>
              <w:left w:val="single" w:sz="6" w:space="0" w:color="000000"/>
              <w:bottom w:val="single" w:sz="6" w:space="0" w:color="000000"/>
              <w:right w:val="single" w:sz="6" w:space="0" w:color="000000"/>
            </w:tcBorders>
            <w:vAlign w:val="center"/>
          </w:tcPr>
          <w:p>
            <w:pPr>
              <w:pStyle w:val="TAL"/>
              <w:rPr/>
            </w:pPr>
            <w:r>
              <w:rPr/>
              <w:t xml:space="preserve">The Notification Uri </w:t>
            </w:r>
            <w:r>
              <w:rPr>
                <w:lang w:val="en-US" w:eastAsia="en-US"/>
              </w:rPr>
              <w:t xml:space="preserve">as assigned by the NF service consumer during the subscription service operation and described within the </w:t>
            </w:r>
            <w:r>
              <w:rPr/>
              <w:t>SpendingLimitContext data type</w:t>
            </w:r>
            <w:r>
              <w:rPr>
                <w:lang w:val="en-US" w:eastAsia="en-US"/>
              </w:rPr>
              <w:t xml:space="preserve"> (see table 5.6.2.2-1).</w:t>
            </w:r>
          </w:p>
        </w:tc>
      </w:tr>
    </w:tbl>
    <w:p>
      <w:pPr>
        <w:pStyle w:val="Normal"/>
        <w:rPr/>
      </w:pPr>
      <w:r>
        <w:rPr/>
      </w:r>
    </w:p>
    <w:p>
      <w:pPr>
        <w:pStyle w:val="Heading4"/>
        <w:ind w:left="1418" w:hanging="1418"/>
        <w:rPr/>
      </w:pPr>
      <w:bookmarkStart w:id="77" w:name="__RefHeading___Toc75349556"/>
      <w:bookmarkEnd w:id="77"/>
      <w:r>
        <w:rPr/>
        <w:t>5.5.3.3</w:t>
        <w:tab/>
        <w:t>Standard Methods</w:t>
      </w:r>
    </w:p>
    <w:p>
      <w:pPr>
        <w:pStyle w:val="Heading5"/>
        <w:ind w:left="1701" w:hanging="1701"/>
        <w:rPr/>
      </w:pPr>
      <w:bookmarkStart w:id="78" w:name="__RefHeading___Toc75349557"/>
      <w:bookmarkEnd w:id="78"/>
      <w:r>
        <w:rPr/>
        <w:t>5.5.3.3.1</w:t>
        <w:tab/>
        <w:t>POST</w:t>
      </w:r>
    </w:p>
    <w:p>
      <w:pPr>
        <w:pStyle w:val="Normal"/>
        <w:rPr/>
      </w:pPr>
      <w:r>
        <w:rPr/>
        <w:t>This method shall support the URI query parameters specified in table 5.5.3.3.1-1.</w:t>
      </w:r>
    </w:p>
    <w:p>
      <w:pPr>
        <w:pStyle w:val="TH"/>
        <w:rPr>
          <w:rFonts w:cs="Arial"/>
        </w:rPr>
      </w:pPr>
      <w:r>
        <w:rPr>
          <w:rFonts w:cs="Arial"/>
        </w:rPr>
        <w:t>Table 5.5.3.3.1-1: URI query parameters supported by the POST method on this resource</w:t>
      </w:r>
    </w:p>
    <w:tbl>
      <w:tblPr>
        <w:tblW w:w="9677" w:type="dxa"/>
        <w:jc w:val="center"/>
        <w:tblInd w:w="0" w:type="dxa"/>
        <w:tblLayout w:type="fixed"/>
        <w:tblCellMar>
          <w:top w:w="0" w:type="dxa"/>
          <w:left w:w="28" w:type="dxa"/>
          <w:bottom w:w="0" w:type="dxa"/>
          <w:right w:w="115" w:type="dxa"/>
        </w:tblCellMar>
      </w:tblPr>
      <w:tblGrid>
        <w:gridCol w:w="1597"/>
        <w:gridCol w:w="1417"/>
        <w:gridCol w:w="420"/>
        <w:gridCol w:w="1265"/>
        <w:gridCol w:w="4978"/>
      </w:tblGrid>
      <w:tr>
        <w:trPr/>
        <w:tc>
          <w:tcPr>
            <w:tcW w:w="15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41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6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4978"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97"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1417"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420"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265"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4978"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pPr>
            <w:r>
              <w:rPr/>
            </w:r>
          </w:p>
        </w:tc>
      </w:tr>
    </w:tbl>
    <w:p>
      <w:pPr>
        <w:pStyle w:val="Normal"/>
        <w:rPr/>
      </w:pPr>
      <w:r>
        <w:rPr/>
      </w:r>
    </w:p>
    <w:p>
      <w:pPr>
        <w:pStyle w:val="Normal"/>
        <w:rPr/>
      </w:pPr>
      <w:r>
        <w:rPr/>
        <w:t>This method shall support the request data structures specified in table 5.5.3.3.1-2 and the response data structures and response codes specified in table 5.5.3.3.1-3.</w:t>
      </w:r>
    </w:p>
    <w:p>
      <w:pPr>
        <w:pStyle w:val="TH"/>
        <w:rPr/>
      </w:pPr>
      <w:r>
        <w:rPr/>
        <w:t>Table 5.5.3.3.1-2: Data structures supported by the POST Request Body on this resource</w:t>
      </w:r>
    </w:p>
    <w:tbl>
      <w:tblPr>
        <w:tblW w:w="9677" w:type="dxa"/>
        <w:jc w:val="center"/>
        <w:tblInd w:w="0" w:type="dxa"/>
        <w:tblLayout w:type="fixed"/>
        <w:tblCellMar>
          <w:top w:w="0" w:type="dxa"/>
          <w:left w:w="28" w:type="dxa"/>
          <w:bottom w:w="0" w:type="dxa"/>
          <w:right w:w="115" w:type="dxa"/>
        </w:tblCellMar>
      </w:tblPr>
      <w:tblGrid>
        <w:gridCol w:w="2719"/>
        <w:gridCol w:w="450"/>
        <w:gridCol w:w="1170"/>
        <w:gridCol w:w="5338"/>
      </w:tblGrid>
      <w:tr>
        <w:trPr/>
        <w:tc>
          <w:tcPr>
            <w:tcW w:w="271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5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7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338"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2719" w:type="dxa"/>
            <w:tcBorders>
              <w:top w:val="single" w:sz="4" w:space="0" w:color="000000"/>
              <w:left w:val="single" w:sz="6" w:space="0" w:color="000000"/>
              <w:bottom w:val="single" w:sz="6" w:space="0" w:color="000000"/>
              <w:right w:val="single" w:sz="6" w:space="0" w:color="000000"/>
            </w:tcBorders>
          </w:tcPr>
          <w:p>
            <w:pPr>
              <w:pStyle w:val="TAL"/>
              <w:rPr/>
            </w:pPr>
            <w:r>
              <w:rPr/>
              <w:t>SubscriptionTerminationInfo</w:t>
            </w:r>
          </w:p>
        </w:tc>
        <w:tc>
          <w:tcPr>
            <w:tcW w:w="450"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1170" w:type="dxa"/>
            <w:tcBorders>
              <w:top w:val="single" w:sz="4" w:space="0" w:color="000000"/>
              <w:left w:val="single" w:sz="6" w:space="0" w:color="000000"/>
              <w:bottom w:val="single" w:sz="6" w:space="0" w:color="000000"/>
              <w:right w:val="single" w:sz="6" w:space="0" w:color="000000"/>
            </w:tcBorders>
          </w:tcPr>
          <w:p>
            <w:pPr>
              <w:pStyle w:val="TAC"/>
              <w:rPr/>
            </w:pPr>
            <w:r>
              <w:rPr/>
              <w:t>1</w:t>
            </w:r>
          </w:p>
        </w:tc>
        <w:tc>
          <w:tcPr>
            <w:tcW w:w="5338" w:type="dxa"/>
            <w:tcBorders>
              <w:top w:val="single" w:sz="4" w:space="0" w:color="000000"/>
              <w:left w:val="single" w:sz="6" w:space="0" w:color="000000"/>
              <w:bottom w:val="single" w:sz="6" w:space="0" w:color="000000"/>
              <w:right w:val="single" w:sz="6" w:space="0" w:color="000000"/>
            </w:tcBorders>
          </w:tcPr>
          <w:p>
            <w:pPr>
              <w:pStyle w:val="TAL"/>
              <w:rPr/>
            </w:pPr>
            <w:r>
              <w:rPr/>
              <w:t>Provides information about the deletion of the resource.</w:t>
            </w:r>
          </w:p>
        </w:tc>
      </w:tr>
    </w:tbl>
    <w:p>
      <w:pPr>
        <w:pStyle w:val="Normal"/>
        <w:rPr/>
      </w:pPr>
      <w:r>
        <w:rPr/>
      </w:r>
    </w:p>
    <w:p>
      <w:pPr>
        <w:pStyle w:val="TH"/>
        <w:rPr/>
      </w:pPr>
      <w:r>
        <w:rPr/>
        <w:t>Table 5.5.3.3.1-3: Data structures supported by the POST Response Body on this resource</w:t>
      </w:r>
    </w:p>
    <w:tbl>
      <w:tblPr>
        <w:tblW w:w="9677" w:type="dxa"/>
        <w:jc w:val="center"/>
        <w:tblInd w:w="0" w:type="dxa"/>
        <w:tblLayout w:type="fixed"/>
        <w:tblCellMar>
          <w:top w:w="0" w:type="dxa"/>
          <w:left w:w="28" w:type="dxa"/>
          <w:bottom w:w="0" w:type="dxa"/>
          <w:right w:w="115" w:type="dxa"/>
        </w:tblCellMar>
      </w:tblPr>
      <w:tblGrid>
        <w:gridCol w:w="1729"/>
        <w:gridCol w:w="450"/>
        <w:gridCol w:w="1170"/>
        <w:gridCol w:w="1800"/>
        <w:gridCol w:w="4528"/>
      </w:tblGrid>
      <w:tr>
        <w:trPr/>
        <w:tc>
          <w:tcPr>
            <w:tcW w:w="172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5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7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80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 codes</w:t>
            </w:r>
          </w:p>
        </w:tc>
        <w:tc>
          <w:tcPr>
            <w:tcW w:w="452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729" w:type="dxa"/>
            <w:tcBorders>
              <w:top w:val="single" w:sz="4" w:space="0" w:color="000000"/>
              <w:left w:val="single" w:sz="6" w:space="0" w:color="000000"/>
              <w:bottom w:val="single" w:sz="4" w:space="0" w:color="000000"/>
              <w:right w:val="single" w:sz="6" w:space="0" w:color="000000"/>
            </w:tcBorders>
          </w:tcPr>
          <w:p>
            <w:pPr>
              <w:pStyle w:val="TAL"/>
              <w:rPr/>
            </w:pPr>
            <w:r>
              <w:rPr/>
              <w:t>n/a</w:t>
            </w:r>
          </w:p>
        </w:tc>
        <w:tc>
          <w:tcPr>
            <w:tcW w:w="450" w:type="dxa"/>
            <w:tcBorders>
              <w:top w:val="single" w:sz="4" w:space="0" w:color="000000"/>
              <w:left w:val="single" w:sz="6" w:space="0" w:color="000000"/>
              <w:bottom w:val="single" w:sz="4" w:space="0" w:color="000000"/>
              <w:right w:val="single" w:sz="6" w:space="0" w:color="000000"/>
            </w:tcBorders>
          </w:tcPr>
          <w:p>
            <w:pPr>
              <w:pStyle w:val="TAC"/>
              <w:snapToGrid w:val="false"/>
              <w:rPr/>
            </w:pPr>
            <w:r>
              <w:rPr/>
            </w:r>
          </w:p>
        </w:tc>
        <w:tc>
          <w:tcPr>
            <w:tcW w:w="1170" w:type="dxa"/>
            <w:tcBorders>
              <w:top w:val="single" w:sz="4" w:space="0" w:color="000000"/>
              <w:left w:val="single" w:sz="6" w:space="0" w:color="000000"/>
              <w:bottom w:val="single" w:sz="4" w:space="0" w:color="000000"/>
              <w:right w:val="single" w:sz="6" w:space="0" w:color="000000"/>
            </w:tcBorders>
          </w:tcPr>
          <w:p>
            <w:pPr>
              <w:pStyle w:val="TAC"/>
              <w:snapToGrid w:val="false"/>
              <w:rPr/>
            </w:pPr>
            <w:r>
              <w:rPr/>
            </w:r>
          </w:p>
        </w:tc>
        <w:tc>
          <w:tcPr>
            <w:tcW w:w="1800" w:type="dxa"/>
            <w:tcBorders>
              <w:top w:val="single" w:sz="4" w:space="0" w:color="000000"/>
              <w:left w:val="single" w:sz="6" w:space="0" w:color="000000"/>
              <w:bottom w:val="single" w:sz="4" w:space="0" w:color="000000"/>
              <w:right w:val="single" w:sz="6" w:space="0" w:color="000000"/>
            </w:tcBorders>
          </w:tcPr>
          <w:p>
            <w:pPr>
              <w:pStyle w:val="TAL"/>
              <w:rPr/>
            </w:pPr>
            <w:r>
              <w:rPr/>
              <w:t>204 No Content</w:t>
            </w:r>
          </w:p>
        </w:tc>
        <w:tc>
          <w:tcPr>
            <w:tcW w:w="4528" w:type="dxa"/>
            <w:tcBorders>
              <w:top w:val="single" w:sz="4" w:space="0" w:color="000000"/>
              <w:left w:val="single" w:sz="6" w:space="0" w:color="000000"/>
              <w:bottom w:val="single" w:sz="4" w:space="0" w:color="000000"/>
              <w:right w:val="single" w:sz="6" w:space="0" w:color="000000"/>
            </w:tcBorders>
          </w:tcPr>
          <w:p>
            <w:pPr>
              <w:pStyle w:val="TAL"/>
              <w:rPr/>
            </w:pPr>
            <w:r>
              <w:rPr/>
              <w:t>The receipt of the Notification is acknowledged.</w:t>
            </w:r>
          </w:p>
        </w:tc>
      </w:tr>
      <w:tr>
        <w:trPr/>
        <w:tc>
          <w:tcPr>
            <w:tcW w:w="1729" w:type="dxa"/>
            <w:tcBorders>
              <w:top w:val="single" w:sz="4" w:space="0" w:color="000000"/>
              <w:left w:val="single" w:sz="6" w:space="0" w:color="000000"/>
              <w:bottom w:val="single" w:sz="4" w:space="0" w:color="000000"/>
              <w:right w:val="single" w:sz="6" w:space="0" w:color="000000"/>
            </w:tcBorders>
          </w:tcPr>
          <w:p>
            <w:pPr>
              <w:pStyle w:val="TAL"/>
              <w:rPr/>
            </w:pPr>
            <w:r>
              <w:rPr/>
              <w:t>RedirectResponse</w:t>
            </w:r>
          </w:p>
        </w:tc>
        <w:tc>
          <w:tcPr>
            <w:tcW w:w="450" w:type="dxa"/>
            <w:tcBorders>
              <w:top w:val="single" w:sz="4" w:space="0" w:color="000000"/>
              <w:left w:val="single" w:sz="6" w:space="0" w:color="000000"/>
              <w:bottom w:val="single" w:sz="4" w:space="0" w:color="000000"/>
              <w:right w:val="single" w:sz="6" w:space="0" w:color="000000"/>
            </w:tcBorders>
          </w:tcPr>
          <w:p>
            <w:pPr>
              <w:pStyle w:val="TAC"/>
              <w:rPr/>
            </w:pPr>
            <w:r>
              <w:rPr/>
              <w:t>O</w:t>
            </w:r>
          </w:p>
        </w:tc>
        <w:tc>
          <w:tcPr>
            <w:tcW w:w="1170" w:type="dxa"/>
            <w:tcBorders>
              <w:top w:val="single" w:sz="4" w:space="0" w:color="000000"/>
              <w:left w:val="single" w:sz="6" w:space="0" w:color="000000"/>
              <w:bottom w:val="single" w:sz="4" w:space="0" w:color="000000"/>
              <w:right w:val="single" w:sz="6" w:space="0" w:color="000000"/>
            </w:tcBorders>
          </w:tcPr>
          <w:p>
            <w:pPr>
              <w:pStyle w:val="TAC"/>
              <w:rPr/>
            </w:pPr>
            <w:r>
              <w:rPr/>
              <w:t>0..1</w:t>
            </w:r>
          </w:p>
        </w:tc>
        <w:tc>
          <w:tcPr>
            <w:tcW w:w="1800" w:type="dxa"/>
            <w:tcBorders>
              <w:top w:val="single" w:sz="4" w:space="0" w:color="000000"/>
              <w:left w:val="single" w:sz="6" w:space="0" w:color="000000"/>
              <w:bottom w:val="single" w:sz="4" w:space="0" w:color="000000"/>
              <w:right w:val="single" w:sz="6" w:space="0" w:color="000000"/>
            </w:tcBorders>
          </w:tcPr>
          <w:p>
            <w:pPr>
              <w:pStyle w:val="TAL"/>
              <w:rPr/>
            </w:pPr>
            <w:r>
              <w:rPr/>
              <w:t>307 Temporary Redirect</w:t>
            </w:r>
          </w:p>
        </w:tc>
        <w:tc>
          <w:tcPr>
            <w:tcW w:w="4528" w:type="dxa"/>
            <w:tcBorders>
              <w:top w:val="single" w:sz="4" w:space="0" w:color="000000"/>
              <w:left w:val="single" w:sz="6" w:space="0" w:color="000000"/>
              <w:bottom w:val="single" w:sz="4" w:space="0" w:color="000000"/>
              <w:right w:val="single" w:sz="6" w:space="0" w:color="000000"/>
            </w:tcBorders>
          </w:tcPr>
          <w:p>
            <w:pPr>
              <w:pStyle w:val="TAL"/>
              <w:rPr/>
            </w:pPr>
            <w:r>
              <w:rPr/>
              <w:t>Temporary redirection, during subscription termination. The response shall include a Location header field containing an alternative URI representing the end point of an alternative NF consumer (service) instance where the notification should be sent.</w:t>
            </w:r>
          </w:p>
          <w:p>
            <w:pPr>
              <w:pStyle w:val="TAL"/>
              <w:rPr/>
            </w:pPr>
            <w:r>
              <w:rPr/>
              <w:t>Applicable if the feature "ES3XX" is supported.</w:t>
            </w:r>
          </w:p>
        </w:tc>
      </w:tr>
      <w:tr>
        <w:trPr/>
        <w:tc>
          <w:tcPr>
            <w:tcW w:w="1729" w:type="dxa"/>
            <w:tcBorders>
              <w:top w:val="single" w:sz="4" w:space="0" w:color="000000"/>
              <w:left w:val="single" w:sz="6" w:space="0" w:color="000000"/>
              <w:bottom w:val="single" w:sz="4" w:space="0" w:color="000000"/>
              <w:right w:val="single" w:sz="6" w:space="0" w:color="000000"/>
            </w:tcBorders>
          </w:tcPr>
          <w:p>
            <w:pPr>
              <w:pStyle w:val="TAL"/>
              <w:rPr/>
            </w:pPr>
            <w:r>
              <w:rPr/>
              <w:t>RedirectResponse</w:t>
            </w:r>
          </w:p>
        </w:tc>
        <w:tc>
          <w:tcPr>
            <w:tcW w:w="450" w:type="dxa"/>
            <w:tcBorders>
              <w:top w:val="single" w:sz="4" w:space="0" w:color="000000"/>
              <w:left w:val="single" w:sz="6" w:space="0" w:color="000000"/>
              <w:bottom w:val="single" w:sz="4" w:space="0" w:color="000000"/>
              <w:right w:val="single" w:sz="6" w:space="0" w:color="000000"/>
            </w:tcBorders>
          </w:tcPr>
          <w:p>
            <w:pPr>
              <w:pStyle w:val="TAC"/>
              <w:rPr/>
            </w:pPr>
            <w:r>
              <w:rPr/>
              <w:t>O</w:t>
            </w:r>
          </w:p>
        </w:tc>
        <w:tc>
          <w:tcPr>
            <w:tcW w:w="1170" w:type="dxa"/>
            <w:tcBorders>
              <w:top w:val="single" w:sz="4" w:space="0" w:color="000000"/>
              <w:left w:val="single" w:sz="6" w:space="0" w:color="000000"/>
              <w:bottom w:val="single" w:sz="4" w:space="0" w:color="000000"/>
              <w:right w:val="single" w:sz="6" w:space="0" w:color="000000"/>
            </w:tcBorders>
          </w:tcPr>
          <w:p>
            <w:pPr>
              <w:pStyle w:val="TAC"/>
              <w:rPr/>
            </w:pPr>
            <w:r>
              <w:rPr/>
              <w:t>0..1</w:t>
            </w:r>
          </w:p>
        </w:tc>
        <w:tc>
          <w:tcPr>
            <w:tcW w:w="1800" w:type="dxa"/>
            <w:tcBorders>
              <w:top w:val="single" w:sz="4" w:space="0" w:color="000000"/>
              <w:left w:val="single" w:sz="6" w:space="0" w:color="000000"/>
              <w:bottom w:val="single" w:sz="4" w:space="0" w:color="000000"/>
              <w:right w:val="single" w:sz="6" w:space="0" w:color="000000"/>
            </w:tcBorders>
          </w:tcPr>
          <w:p>
            <w:pPr>
              <w:pStyle w:val="TAL"/>
              <w:rPr/>
            </w:pPr>
            <w:r>
              <w:rPr/>
              <w:t>308 Permanent Redirect</w:t>
            </w:r>
          </w:p>
        </w:tc>
        <w:tc>
          <w:tcPr>
            <w:tcW w:w="4528" w:type="dxa"/>
            <w:tcBorders>
              <w:top w:val="single" w:sz="4" w:space="0" w:color="000000"/>
              <w:left w:val="single" w:sz="6" w:space="0" w:color="000000"/>
              <w:bottom w:val="single" w:sz="4" w:space="0" w:color="000000"/>
              <w:right w:val="single" w:sz="6" w:space="0" w:color="000000"/>
            </w:tcBorders>
          </w:tcPr>
          <w:p>
            <w:pPr>
              <w:pStyle w:val="TAL"/>
              <w:rPr/>
            </w:pPr>
            <w:r>
              <w:rPr/>
              <w:t>Permanent redirection, during subscription termination. The response shall include a Location header field containing an alternative URI representing the end point of an alternative NF consumer (service) instance where the notification should be sent.</w:t>
            </w:r>
          </w:p>
          <w:p>
            <w:pPr>
              <w:pStyle w:val="TAL"/>
              <w:rPr/>
            </w:pPr>
            <w:r>
              <w:rPr/>
              <w:t>Applicable if the feature "ES3XX" is supported.</w:t>
            </w:r>
          </w:p>
        </w:tc>
      </w:tr>
      <w:tr>
        <w:trPr/>
        <w:tc>
          <w:tcPr>
            <w:tcW w:w="9677" w:type="dxa"/>
            <w:gridSpan w:val="5"/>
            <w:tcBorders>
              <w:top w:val="single" w:sz="4" w:space="0" w:color="000000"/>
              <w:left w:val="single" w:sz="6" w:space="0" w:color="000000"/>
              <w:bottom w:val="single" w:sz="4" w:space="0" w:color="000000"/>
              <w:right w:val="single" w:sz="6" w:space="0" w:color="000000"/>
            </w:tcBorders>
          </w:tcPr>
          <w:p>
            <w:pPr>
              <w:pStyle w:val="TAN"/>
              <w:rPr/>
            </w:pPr>
            <w:r>
              <w:rPr/>
              <w:t>NOTE:</w:t>
              <w:tab/>
              <w:t>In addition, the HTTP status codes which are specified as mandatory in table 5.2.7.1-1 of 3GPP TS 29.500 [4] for the POST method shall also apply.</w:t>
            </w:r>
          </w:p>
        </w:tc>
      </w:tr>
    </w:tbl>
    <w:p>
      <w:pPr>
        <w:pStyle w:val="Normal"/>
        <w:rPr/>
      </w:pPr>
      <w:r>
        <w:rPr/>
      </w:r>
    </w:p>
    <w:p>
      <w:pPr>
        <w:pStyle w:val="Normal"/>
        <w:rPr>
          <w:rFonts w:eastAsia="Times New Roman"/>
        </w:rPr>
      </w:pPr>
      <w:r>
        <w:rPr>
          <w:rFonts w:eastAsia="Times New Roman"/>
        </w:rPr>
        <w:t xml:space="preserve"> </w:t>
      </w:r>
    </w:p>
    <w:p>
      <w:pPr>
        <w:pStyle w:val="TH"/>
        <w:rPr/>
      </w:pPr>
      <w:r>
        <w:rPr/>
        <w:t>Table 5.5.3.3.1-4: Headers supported by the 307 Response Code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4"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4" w:space="0" w:color="000000"/>
              <w:right w:val="single" w:sz="6" w:space="0" w:color="000000"/>
            </w:tcBorders>
            <w:vAlign w:val="center"/>
          </w:tcPr>
          <w:p>
            <w:pPr>
              <w:pStyle w:val="TAL"/>
              <w:rPr/>
            </w:pPr>
            <w:r>
              <w:rPr/>
              <w:t xml:space="preserve">An alternative URI </w:t>
            </w:r>
            <w:r>
              <w:rPr>
                <w:lang w:eastAsia="fr-FR"/>
              </w:rPr>
              <w:t>representing the end point of an alternative NF consumer (service) instance towards which the notification should be redirected</w:t>
            </w:r>
            <w:r>
              <w:rPr/>
              <w:t>.</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lang w:eastAsia="zh-CN"/>
              </w:rPr>
              <w:t>3gpp-Sbi-Target-Nf-Id</w:t>
            </w:r>
          </w:p>
        </w:tc>
        <w:tc>
          <w:tcPr>
            <w:tcW w:w="1397"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9"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0..1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pPr>
            <w:r>
              <w:rPr>
                <w:lang w:eastAsia="fr-FR"/>
              </w:rPr>
              <w:t>Identifier of the target NF (service) instance towards which the notification request is redirected</w:t>
            </w:r>
          </w:p>
        </w:tc>
      </w:tr>
    </w:tbl>
    <w:p>
      <w:pPr>
        <w:pStyle w:val="Normal"/>
        <w:rPr/>
      </w:pPr>
      <w:r>
        <w:rPr/>
      </w:r>
    </w:p>
    <w:p>
      <w:pPr>
        <w:pStyle w:val="TH"/>
        <w:rPr/>
      </w:pPr>
      <w:r>
        <w:rPr/>
        <w:t>Table 5.5.3.3.1-5: Headers supported by the 308 Response Code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4"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4" w:space="0" w:color="000000"/>
              <w:right w:val="single" w:sz="6" w:space="0" w:color="000000"/>
            </w:tcBorders>
            <w:vAlign w:val="center"/>
          </w:tcPr>
          <w:p>
            <w:pPr>
              <w:pStyle w:val="TAL"/>
              <w:rPr/>
            </w:pPr>
            <w:r>
              <w:rPr/>
              <w:t xml:space="preserve">An alternative URI </w:t>
            </w:r>
            <w:r>
              <w:rPr>
                <w:lang w:eastAsia="fr-FR"/>
              </w:rPr>
              <w:t>representing the end point of an alternative NF consumer (service) instance towards which the notification should be redirected</w:t>
            </w:r>
            <w:r>
              <w:rPr/>
              <w:t>.</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lang w:eastAsia="zh-CN"/>
              </w:rPr>
            </w:pPr>
            <w:r>
              <w:rPr>
                <w:lang w:eastAsia="zh-CN"/>
              </w:rPr>
              <w:t>3gpp-Sbi-Target-Nf-Id</w:t>
            </w:r>
          </w:p>
        </w:tc>
        <w:tc>
          <w:tcPr>
            <w:tcW w:w="1397"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9"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0..1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pPr>
            <w:r>
              <w:rPr>
                <w:lang w:eastAsia="fr-FR"/>
              </w:rPr>
              <w:t>Identifier of the target NF (service) instance towards which the notification request is redirected</w:t>
            </w:r>
          </w:p>
        </w:tc>
      </w:tr>
    </w:tbl>
    <w:p>
      <w:pPr>
        <w:pStyle w:val="Heading2"/>
        <w:rPr/>
      </w:pPr>
      <w:bookmarkStart w:id="79" w:name="__RefHeading___Toc75349558"/>
      <w:bookmarkEnd w:id="79"/>
      <w:r>
        <w:rPr/>
        <w:t>5.6</w:t>
        <w:tab/>
        <w:t>Data Model</w:t>
      </w:r>
    </w:p>
    <w:p>
      <w:pPr>
        <w:pStyle w:val="Heading3"/>
        <w:rPr/>
      </w:pPr>
      <w:bookmarkStart w:id="80" w:name="__RefHeading___Toc75349559"/>
      <w:bookmarkEnd w:id="80"/>
      <w:r>
        <w:rPr/>
        <w:t>5.6.1</w:t>
        <w:tab/>
        <w:t>General</w:t>
      </w:r>
    </w:p>
    <w:p>
      <w:pPr>
        <w:pStyle w:val="Normal"/>
        <w:rPr/>
      </w:pPr>
      <w:r>
        <w:rPr/>
        <w:t>This subclause specifies the application data model supported by the API.</w:t>
      </w:r>
    </w:p>
    <w:p>
      <w:pPr>
        <w:pStyle w:val="Normal"/>
        <w:rPr/>
      </w:pPr>
      <w:r>
        <w:rPr/>
        <w:t>Table 5.6.1-1 specifies the data types defined for the Nchf_SpendingLimitControl service based interface protocol.</w:t>
      </w:r>
    </w:p>
    <w:p>
      <w:pPr>
        <w:pStyle w:val="TH"/>
        <w:rPr/>
      </w:pPr>
      <w:r>
        <w:rPr/>
        <w:t>Table 5.6.1-1: Nchf_SpendingLimitControl specific Data Types</w:t>
      </w:r>
    </w:p>
    <w:tbl>
      <w:tblPr>
        <w:tblW w:w="9348" w:type="dxa"/>
        <w:jc w:val="center"/>
        <w:tblInd w:w="0" w:type="dxa"/>
        <w:tblLayout w:type="fixed"/>
        <w:tblCellMar>
          <w:top w:w="0" w:type="dxa"/>
          <w:left w:w="28" w:type="dxa"/>
          <w:bottom w:w="0" w:type="dxa"/>
          <w:right w:w="108" w:type="dxa"/>
        </w:tblCellMar>
      </w:tblPr>
      <w:tblGrid>
        <w:gridCol w:w="2427"/>
        <w:gridCol w:w="1555"/>
        <w:gridCol w:w="3812"/>
        <w:gridCol w:w="1554"/>
      </w:tblGrid>
      <w:tr>
        <w:trPr/>
        <w:tc>
          <w:tcPr>
            <w:tcW w:w="242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155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Section defined</w:t>
            </w:r>
          </w:p>
        </w:tc>
        <w:tc>
          <w:tcPr>
            <w:tcW w:w="381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c>
          <w:tcPr>
            <w:tcW w:w="155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Applicability</w:t>
            </w:r>
          </w:p>
        </w:tc>
      </w:tr>
      <w:tr>
        <w:trPr/>
        <w:tc>
          <w:tcPr>
            <w:tcW w:w="2427" w:type="dxa"/>
            <w:tcBorders>
              <w:top w:val="single" w:sz="4" w:space="0" w:color="000000"/>
              <w:left w:val="single" w:sz="4" w:space="0" w:color="000000"/>
              <w:bottom w:val="single" w:sz="4" w:space="0" w:color="000000"/>
              <w:right w:val="single" w:sz="4" w:space="0" w:color="000000"/>
            </w:tcBorders>
          </w:tcPr>
          <w:p>
            <w:pPr>
              <w:pStyle w:val="TAL"/>
              <w:rPr/>
            </w:pPr>
            <w:r>
              <w:rPr/>
              <w:t>SpendingLimitContext</w:t>
            </w:r>
          </w:p>
        </w:tc>
        <w:tc>
          <w:tcPr>
            <w:tcW w:w="1555" w:type="dxa"/>
            <w:tcBorders>
              <w:top w:val="single" w:sz="4" w:space="0" w:color="000000"/>
              <w:left w:val="single" w:sz="4" w:space="0" w:color="000000"/>
              <w:bottom w:val="single" w:sz="4" w:space="0" w:color="000000"/>
              <w:right w:val="single" w:sz="4" w:space="0" w:color="000000"/>
            </w:tcBorders>
          </w:tcPr>
          <w:p>
            <w:pPr>
              <w:pStyle w:val="TAL"/>
              <w:rPr/>
            </w:pPr>
            <w:r>
              <w:rPr/>
              <w:t>5.6.2.2</w:t>
            </w:r>
          </w:p>
        </w:tc>
        <w:tc>
          <w:tcPr>
            <w:tcW w:w="3812"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Describes the subscription data structure required for an individual CHF spending limit subscription.</w:t>
            </w:r>
          </w:p>
        </w:tc>
        <w:tc>
          <w:tcPr>
            <w:tcW w:w="155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42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SpendingLimitStatus</w:t>
            </w:r>
          </w:p>
        </w:tc>
        <w:tc>
          <w:tcPr>
            <w:tcW w:w="1555" w:type="dxa"/>
            <w:tcBorders>
              <w:top w:val="single" w:sz="4" w:space="0" w:color="000000"/>
              <w:left w:val="single" w:sz="4" w:space="0" w:color="000000"/>
              <w:bottom w:val="single" w:sz="4" w:space="0" w:color="000000"/>
              <w:right w:val="single" w:sz="4" w:space="0" w:color="000000"/>
            </w:tcBorders>
          </w:tcPr>
          <w:p>
            <w:pPr>
              <w:pStyle w:val="TAL"/>
              <w:rPr/>
            </w:pPr>
            <w:r>
              <w:rPr/>
              <w:t>5.6.2.3</w:t>
            </w:r>
          </w:p>
        </w:tc>
        <w:tc>
          <w:tcPr>
            <w:tcW w:w="3812"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Describes the data structure presenting the statuses of policy counters.</w:t>
            </w:r>
          </w:p>
        </w:tc>
        <w:tc>
          <w:tcPr>
            <w:tcW w:w="155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42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PolicyCounterInfo</w:t>
            </w:r>
          </w:p>
        </w:tc>
        <w:tc>
          <w:tcPr>
            <w:tcW w:w="1555" w:type="dxa"/>
            <w:tcBorders>
              <w:top w:val="single" w:sz="4" w:space="0" w:color="000000"/>
              <w:left w:val="single" w:sz="4" w:space="0" w:color="000000"/>
              <w:bottom w:val="single" w:sz="4" w:space="0" w:color="000000"/>
              <w:right w:val="single" w:sz="4" w:space="0" w:color="000000"/>
            </w:tcBorders>
          </w:tcPr>
          <w:p>
            <w:pPr>
              <w:pStyle w:val="TAL"/>
              <w:rPr/>
            </w:pPr>
            <w:r>
              <w:rPr/>
              <w:t>5.6.2.4</w:t>
            </w:r>
          </w:p>
        </w:tc>
        <w:tc>
          <w:tcPr>
            <w:tcW w:w="3812"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Describes the data structure presenting the policy counter status.</w:t>
            </w:r>
          </w:p>
        </w:tc>
        <w:tc>
          <w:tcPr>
            <w:tcW w:w="155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427" w:type="dxa"/>
            <w:tcBorders>
              <w:top w:val="single" w:sz="4" w:space="0" w:color="000000"/>
              <w:left w:val="single" w:sz="4" w:space="0" w:color="000000"/>
              <w:bottom w:val="single" w:sz="4" w:space="0" w:color="000000"/>
              <w:right w:val="single" w:sz="4" w:space="0" w:color="000000"/>
            </w:tcBorders>
          </w:tcPr>
          <w:p>
            <w:pPr>
              <w:pStyle w:val="TAL"/>
              <w:rPr/>
            </w:pPr>
            <w:r>
              <w:rPr/>
              <w:t>PendingPolicyCounterStatus</w:t>
            </w:r>
          </w:p>
        </w:tc>
        <w:tc>
          <w:tcPr>
            <w:tcW w:w="1555" w:type="dxa"/>
            <w:tcBorders>
              <w:top w:val="single" w:sz="4" w:space="0" w:color="000000"/>
              <w:left w:val="single" w:sz="4" w:space="0" w:color="000000"/>
              <w:bottom w:val="single" w:sz="4" w:space="0" w:color="000000"/>
              <w:right w:val="single" w:sz="4" w:space="0" w:color="000000"/>
            </w:tcBorders>
          </w:tcPr>
          <w:p>
            <w:pPr>
              <w:pStyle w:val="TAL"/>
              <w:rPr/>
            </w:pPr>
            <w:r>
              <w:rPr/>
              <w:t>5.6.2.5</w:t>
            </w:r>
          </w:p>
        </w:tc>
        <w:tc>
          <w:tcPr>
            <w:tcW w:w="3812"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Describes the data structure presenting the pending policy counter status.</w:t>
            </w:r>
          </w:p>
        </w:tc>
        <w:tc>
          <w:tcPr>
            <w:tcW w:w="155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42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PolicyCounterId</w:t>
            </w:r>
          </w:p>
        </w:tc>
        <w:tc>
          <w:tcPr>
            <w:tcW w:w="1555" w:type="dxa"/>
            <w:tcBorders>
              <w:top w:val="single" w:sz="4" w:space="0" w:color="000000"/>
              <w:left w:val="single" w:sz="4" w:space="0" w:color="000000"/>
              <w:bottom w:val="single" w:sz="4" w:space="0" w:color="000000"/>
              <w:right w:val="single" w:sz="4" w:space="0" w:color="000000"/>
            </w:tcBorders>
          </w:tcPr>
          <w:p>
            <w:pPr>
              <w:pStyle w:val="TAL"/>
              <w:rPr/>
            </w:pPr>
            <w:r>
              <w:rPr/>
              <w:t>5.6.3.2</w:t>
            </w:r>
          </w:p>
        </w:tc>
        <w:tc>
          <w:tcPr>
            <w:tcW w:w="3812"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Identifies a policy counter.</w:t>
            </w:r>
          </w:p>
        </w:tc>
        <w:tc>
          <w:tcPr>
            <w:tcW w:w="155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427"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SubscriptionTerminationInfo</w:t>
            </w:r>
          </w:p>
        </w:tc>
        <w:tc>
          <w:tcPr>
            <w:tcW w:w="1555" w:type="dxa"/>
            <w:tcBorders>
              <w:top w:val="single" w:sz="4" w:space="0" w:color="000000"/>
              <w:left w:val="single" w:sz="4" w:space="0" w:color="000000"/>
              <w:bottom w:val="single" w:sz="4" w:space="0" w:color="000000"/>
              <w:right w:val="single" w:sz="4" w:space="0" w:color="000000"/>
            </w:tcBorders>
          </w:tcPr>
          <w:p>
            <w:pPr>
              <w:pStyle w:val="TAL"/>
              <w:rPr/>
            </w:pPr>
            <w:r>
              <w:rPr/>
              <w:t>5.6.2.6</w:t>
            </w:r>
          </w:p>
        </w:tc>
        <w:tc>
          <w:tcPr>
            <w:tcW w:w="3812"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Describes the data structure presenting the indication of the termination of the subscription.</w:t>
            </w:r>
          </w:p>
        </w:tc>
        <w:tc>
          <w:tcPr>
            <w:tcW w:w="155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427"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TerminationCause</w:t>
            </w:r>
          </w:p>
        </w:tc>
        <w:tc>
          <w:tcPr>
            <w:tcW w:w="1555" w:type="dxa"/>
            <w:tcBorders>
              <w:top w:val="single" w:sz="4" w:space="0" w:color="000000"/>
              <w:left w:val="single" w:sz="4" w:space="0" w:color="000000"/>
              <w:bottom w:val="single" w:sz="4" w:space="0" w:color="000000"/>
              <w:right w:val="single" w:sz="4" w:space="0" w:color="000000"/>
            </w:tcBorders>
          </w:tcPr>
          <w:p>
            <w:pPr>
              <w:pStyle w:val="TAL"/>
              <w:rPr/>
            </w:pPr>
            <w:r>
              <w:rPr/>
              <w:t>5.6.3.3</w:t>
            </w:r>
          </w:p>
        </w:tc>
        <w:tc>
          <w:tcPr>
            <w:tcW w:w="3812"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Represents the types of causes for requesting the termination of the subscription.</w:t>
            </w:r>
          </w:p>
        </w:tc>
        <w:tc>
          <w:tcPr>
            <w:tcW w:w="155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pPr>
      <w:r>
        <w:rPr/>
      </w:r>
    </w:p>
    <w:p>
      <w:pPr>
        <w:pStyle w:val="Normal"/>
        <w:rPr/>
      </w:pPr>
      <w:r>
        <w:rPr/>
        <w:t xml:space="preserve">Table 5.6.1-2 specifies data types re-used by the Nchf_SpendingLimitControl service based interface protocol from other specifications, including a reference to their respective specifications and when needed, a short description of their use within the Nchf_SpendingLimitControl service based interface. </w:t>
      </w:r>
    </w:p>
    <w:p>
      <w:pPr>
        <w:pStyle w:val="TH"/>
        <w:rPr/>
      </w:pPr>
      <w:r>
        <w:rPr/>
        <w:t>Table 5.6.1-2: Nchf_SpendingLimitControl re-used Data Types</w:t>
      </w:r>
    </w:p>
    <w:tbl>
      <w:tblPr>
        <w:tblW w:w="9348" w:type="dxa"/>
        <w:jc w:val="center"/>
        <w:tblInd w:w="0" w:type="dxa"/>
        <w:tblLayout w:type="fixed"/>
        <w:tblCellMar>
          <w:top w:w="0" w:type="dxa"/>
          <w:left w:w="28" w:type="dxa"/>
          <w:bottom w:w="0" w:type="dxa"/>
          <w:right w:w="108" w:type="dxa"/>
        </w:tblCellMar>
      </w:tblPr>
      <w:tblGrid>
        <w:gridCol w:w="2029"/>
        <w:gridCol w:w="1848"/>
        <w:gridCol w:w="3778"/>
        <w:gridCol w:w="1693"/>
      </w:tblGrid>
      <w:tr>
        <w:trPr/>
        <w:tc>
          <w:tcPr>
            <w:tcW w:w="202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184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Reference</w:t>
            </w:r>
          </w:p>
        </w:tc>
        <w:tc>
          <w:tcPr>
            <w:tcW w:w="377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Comments</w:t>
            </w:r>
          </w:p>
        </w:tc>
        <w:tc>
          <w:tcPr>
            <w:tcW w:w="169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Applicability</w:t>
            </w:r>
          </w:p>
        </w:tc>
      </w:tr>
      <w:tr>
        <w:trPr/>
        <w:tc>
          <w:tcPr>
            <w:tcW w:w="2029" w:type="dxa"/>
            <w:tcBorders>
              <w:top w:val="single" w:sz="4" w:space="0" w:color="000000"/>
              <w:left w:val="single" w:sz="4" w:space="0" w:color="000000"/>
              <w:bottom w:val="single" w:sz="4" w:space="0" w:color="000000"/>
              <w:right w:val="single" w:sz="4" w:space="0" w:color="000000"/>
            </w:tcBorders>
          </w:tcPr>
          <w:p>
            <w:pPr>
              <w:pStyle w:val="TAL"/>
              <w:rPr>
                <w:lang w:val="es-ES"/>
              </w:rPr>
            </w:pPr>
            <w:r>
              <w:rPr>
                <w:lang w:val="en-US" w:eastAsia="zh-CN"/>
              </w:rPr>
              <w:t>DateTime</w:t>
            </w:r>
          </w:p>
        </w:tc>
        <w:tc>
          <w:tcPr>
            <w:tcW w:w="1848" w:type="dxa"/>
            <w:tcBorders>
              <w:top w:val="single" w:sz="4" w:space="0" w:color="000000"/>
              <w:left w:val="single" w:sz="4" w:space="0" w:color="000000"/>
              <w:bottom w:val="single" w:sz="4" w:space="0" w:color="000000"/>
              <w:right w:val="single" w:sz="4" w:space="0" w:color="000000"/>
            </w:tcBorders>
          </w:tcPr>
          <w:p>
            <w:pPr>
              <w:pStyle w:val="TAL"/>
              <w:rPr/>
            </w:pPr>
            <w:r>
              <w:rPr/>
              <w:t>3GPP TS 29.571 [11]</w:t>
            </w:r>
          </w:p>
        </w:tc>
        <w:tc>
          <w:tcPr>
            <w:tcW w:w="377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String with format "date-time" as defined in OpenAPI Specification [9].</w:t>
            </w:r>
          </w:p>
        </w:tc>
        <w:tc>
          <w:tcPr>
            <w:tcW w:w="16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029" w:type="dxa"/>
            <w:tcBorders>
              <w:top w:val="single" w:sz="4" w:space="0" w:color="000000"/>
              <w:left w:val="single" w:sz="4" w:space="0" w:color="000000"/>
              <w:bottom w:val="single" w:sz="4" w:space="0" w:color="000000"/>
              <w:right w:val="single" w:sz="4" w:space="0" w:color="000000"/>
            </w:tcBorders>
          </w:tcPr>
          <w:p>
            <w:pPr>
              <w:pStyle w:val="TAL"/>
              <w:rPr/>
            </w:pPr>
            <w:r>
              <w:rPr/>
              <w:t>Uri</w:t>
            </w:r>
          </w:p>
        </w:tc>
        <w:tc>
          <w:tcPr>
            <w:tcW w:w="1848" w:type="dxa"/>
            <w:tcBorders>
              <w:top w:val="single" w:sz="4" w:space="0" w:color="000000"/>
              <w:left w:val="single" w:sz="4" w:space="0" w:color="000000"/>
              <w:bottom w:val="single" w:sz="4" w:space="0" w:color="000000"/>
              <w:right w:val="single" w:sz="4" w:space="0" w:color="000000"/>
            </w:tcBorders>
          </w:tcPr>
          <w:p>
            <w:pPr>
              <w:pStyle w:val="TAL"/>
              <w:rPr/>
            </w:pPr>
            <w:r>
              <w:rPr/>
              <w:t>3GPP TS 29.571 [11]</w:t>
            </w:r>
          </w:p>
        </w:tc>
        <w:tc>
          <w:tcPr>
            <w:tcW w:w="377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16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029" w:type="dxa"/>
            <w:tcBorders>
              <w:top w:val="single" w:sz="4" w:space="0" w:color="000000"/>
              <w:left w:val="single" w:sz="4" w:space="0" w:color="000000"/>
              <w:bottom w:val="single" w:sz="4" w:space="0" w:color="000000"/>
              <w:right w:val="single" w:sz="4" w:space="0" w:color="000000"/>
            </w:tcBorders>
          </w:tcPr>
          <w:p>
            <w:pPr>
              <w:pStyle w:val="TAL"/>
              <w:rPr/>
            </w:pPr>
            <w:r>
              <w:rPr/>
              <w:t>Supi</w:t>
            </w:r>
          </w:p>
        </w:tc>
        <w:tc>
          <w:tcPr>
            <w:tcW w:w="1848" w:type="dxa"/>
            <w:tcBorders>
              <w:top w:val="single" w:sz="4" w:space="0" w:color="000000"/>
              <w:left w:val="single" w:sz="4" w:space="0" w:color="000000"/>
              <w:bottom w:val="single" w:sz="4" w:space="0" w:color="000000"/>
              <w:right w:val="single" w:sz="4" w:space="0" w:color="000000"/>
            </w:tcBorders>
          </w:tcPr>
          <w:p>
            <w:pPr>
              <w:pStyle w:val="TAL"/>
              <w:rPr/>
            </w:pPr>
            <w:r>
              <w:rPr/>
              <w:t>3GPP TS 29.571 [11]</w:t>
            </w:r>
          </w:p>
        </w:tc>
        <w:tc>
          <w:tcPr>
            <w:tcW w:w="377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16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029" w:type="dxa"/>
            <w:tcBorders>
              <w:top w:val="single" w:sz="4" w:space="0" w:color="000000"/>
              <w:left w:val="single" w:sz="4" w:space="0" w:color="000000"/>
              <w:bottom w:val="single" w:sz="4" w:space="0" w:color="000000"/>
              <w:right w:val="single" w:sz="4" w:space="0" w:color="000000"/>
            </w:tcBorders>
          </w:tcPr>
          <w:p>
            <w:pPr>
              <w:pStyle w:val="TAL"/>
              <w:rPr/>
            </w:pPr>
            <w:r>
              <w:rPr/>
              <w:t>Gpsi</w:t>
            </w:r>
          </w:p>
        </w:tc>
        <w:tc>
          <w:tcPr>
            <w:tcW w:w="1848" w:type="dxa"/>
            <w:tcBorders>
              <w:top w:val="single" w:sz="4" w:space="0" w:color="000000"/>
              <w:left w:val="single" w:sz="4" w:space="0" w:color="000000"/>
              <w:bottom w:val="single" w:sz="4" w:space="0" w:color="000000"/>
              <w:right w:val="single" w:sz="4" w:space="0" w:color="000000"/>
            </w:tcBorders>
          </w:tcPr>
          <w:p>
            <w:pPr>
              <w:pStyle w:val="TAL"/>
              <w:rPr/>
            </w:pPr>
            <w:r>
              <w:rPr/>
              <w:t>3GPP TS 29.571 [11]</w:t>
            </w:r>
          </w:p>
        </w:tc>
        <w:tc>
          <w:tcPr>
            <w:tcW w:w="377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16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029" w:type="dxa"/>
            <w:tcBorders>
              <w:top w:val="single" w:sz="4" w:space="0" w:color="000000"/>
              <w:left w:val="single" w:sz="4" w:space="0" w:color="000000"/>
              <w:bottom w:val="single" w:sz="4" w:space="0" w:color="000000"/>
              <w:right w:val="single" w:sz="4" w:space="0" w:color="000000"/>
            </w:tcBorders>
          </w:tcPr>
          <w:p>
            <w:pPr>
              <w:pStyle w:val="TAL"/>
              <w:rPr/>
            </w:pPr>
            <w:r>
              <w:rPr/>
              <w:t>RedirectResponse</w:t>
            </w:r>
          </w:p>
        </w:tc>
        <w:tc>
          <w:tcPr>
            <w:tcW w:w="1848" w:type="dxa"/>
            <w:tcBorders>
              <w:top w:val="single" w:sz="4" w:space="0" w:color="000000"/>
              <w:left w:val="single" w:sz="4" w:space="0" w:color="000000"/>
              <w:bottom w:val="single" w:sz="4" w:space="0" w:color="000000"/>
              <w:right w:val="single" w:sz="4" w:space="0" w:color="000000"/>
            </w:tcBorders>
          </w:tcPr>
          <w:p>
            <w:pPr>
              <w:pStyle w:val="TAL"/>
              <w:rPr/>
            </w:pPr>
            <w:r>
              <w:rPr/>
              <w:t>3GPP TS 29.571 [11]</w:t>
            </w:r>
          </w:p>
        </w:tc>
        <w:tc>
          <w:tcPr>
            <w:tcW w:w="377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Contains</w:t>
            </w:r>
            <w:r>
              <w:rPr>
                <w:rFonts w:cs="Arial"/>
                <w:szCs w:val="18"/>
                <w:lang w:eastAsia="zh-CN"/>
              </w:rPr>
              <w:t xml:space="preserve"> redirection related information.</w:t>
            </w:r>
          </w:p>
        </w:tc>
        <w:tc>
          <w:tcPr>
            <w:tcW w:w="169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ES3XX</w:t>
            </w:r>
          </w:p>
        </w:tc>
      </w:tr>
      <w:tr>
        <w:trPr/>
        <w:tc>
          <w:tcPr>
            <w:tcW w:w="2029" w:type="dxa"/>
            <w:tcBorders>
              <w:top w:val="single" w:sz="4" w:space="0" w:color="000000"/>
              <w:left w:val="single" w:sz="4" w:space="0" w:color="000000"/>
              <w:bottom w:val="single" w:sz="4" w:space="0" w:color="000000"/>
              <w:right w:val="single" w:sz="4" w:space="0" w:color="000000"/>
            </w:tcBorders>
          </w:tcPr>
          <w:p>
            <w:pPr>
              <w:pStyle w:val="TAL"/>
              <w:rPr/>
            </w:pPr>
            <w:r>
              <w:rPr/>
              <w:t>SupportedFeatures</w:t>
            </w:r>
          </w:p>
        </w:tc>
        <w:tc>
          <w:tcPr>
            <w:tcW w:w="1848" w:type="dxa"/>
            <w:tcBorders>
              <w:top w:val="single" w:sz="4" w:space="0" w:color="000000"/>
              <w:left w:val="single" w:sz="4" w:space="0" w:color="000000"/>
              <w:bottom w:val="single" w:sz="4" w:space="0" w:color="000000"/>
              <w:right w:val="single" w:sz="4" w:space="0" w:color="000000"/>
            </w:tcBorders>
          </w:tcPr>
          <w:p>
            <w:pPr>
              <w:pStyle w:val="TAL"/>
              <w:rPr/>
            </w:pPr>
            <w:r>
              <w:rPr/>
              <w:t>3GPP TS 29.571 [11]</w:t>
            </w:r>
          </w:p>
        </w:tc>
        <w:tc>
          <w:tcPr>
            <w:tcW w:w="377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Used to negotiate the applicability of the optional features defined in table 5.8-1.</w:t>
            </w:r>
          </w:p>
        </w:tc>
        <w:tc>
          <w:tcPr>
            <w:tcW w:w="16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pPr>
      <w:r>
        <w:rPr/>
      </w:r>
    </w:p>
    <w:p>
      <w:pPr>
        <w:pStyle w:val="Heading3"/>
        <w:rPr/>
      </w:pPr>
      <w:bookmarkStart w:id="81" w:name="__RefHeading___Toc75349560"/>
      <w:bookmarkEnd w:id="81"/>
      <w:r>
        <w:rPr>
          <w:lang w:val="en-US"/>
        </w:rPr>
        <w:t>5.6.2</w:t>
        <w:tab/>
        <w:t>Structured data types</w:t>
      </w:r>
    </w:p>
    <w:p>
      <w:pPr>
        <w:pStyle w:val="Heading4"/>
        <w:ind w:left="1418" w:hanging="1418"/>
        <w:rPr/>
      </w:pPr>
      <w:bookmarkStart w:id="82" w:name="__RefHeading___Toc75349561"/>
      <w:bookmarkEnd w:id="82"/>
      <w:r>
        <w:rPr/>
        <w:t>5.6.2.1</w:t>
        <w:tab/>
        <w:t>Introduction</w:t>
      </w:r>
    </w:p>
    <w:p>
      <w:pPr>
        <w:pStyle w:val="Normal"/>
        <w:rPr/>
      </w:pPr>
      <w:r>
        <w:rPr/>
        <w:t>This subclause defines the structures to be used in resource representations.</w:t>
      </w:r>
    </w:p>
    <w:p>
      <w:pPr>
        <w:pStyle w:val="Heading4"/>
        <w:ind w:left="1418" w:hanging="1418"/>
        <w:rPr/>
      </w:pPr>
      <w:bookmarkStart w:id="83" w:name="__RefHeading___Toc75349562"/>
      <w:bookmarkEnd w:id="83"/>
      <w:r>
        <w:rPr/>
        <w:t>5.6.2.2</w:t>
        <w:tab/>
        <w:t>Type SpendingLimitContext</w:t>
      </w:r>
    </w:p>
    <w:p>
      <w:pPr>
        <w:pStyle w:val="TH"/>
        <w:rPr/>
      </w:pPr>
      <w:r>
        <w:rPr>
          <w:lang w:val="en-US" w:eastAsia="en-US"/>
        </w:rPr>
        <w:t>Table </w:t>
      </w:r>
      <w:r>
        <w:rPr/>
        <w:t xml:space="preserve">5.6.2.2-1: </w:t>
      </w:r>
      <w:r>
        <w:rPr>
          <w:lang w:val="en-US" w:eastAsia="en-US"/>
        </w:rPr>
        <w:t>Definition of type SpendingLimitContext</w:t>
      </w:r>
    </w:p>
    <w:tbl>
      <w:tblPr>
        <w:tblW w:w="9348" w:type="dxa"/>
        <w:jc w:val="center"/>
        <w:tblInd w:w="0" w:type="dxa"/>
        <w:tblLayout w:type="fixed"/>
        <w:tblCellMar>
          <w:top w:w="0" w:type="dxa"/>
          <w:left w:w="28" w:type="dxa"/>
          <w:bottom w:w="0" w:type="dxa"/>
          <w:right w:w="108" w:type="dxa"/>
        </w:tblCellMar>
      </w:tblPr>
      <w:tblGrid>
        <w:gridCol w:w="1697"/>
        <w:gridCol w:w="1701"/>
        <w:gridCol w:w="425"/>
        <w:gridCol w:w="1134"/>
        <w:gridCol w:w="2548"/>
        <w:gridCol w:w="1843"/>
      </w:tblGrid>
      <w:tr>
        <w:trPr/>
        <w:tc>
          <w:tcPr>
            <w:tcW w:w="16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70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54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Applicability</w:t>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pPr>
            <w:r>
              <w:rPr/>
              <w:t>supi</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Supi</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254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 xml:space="preserve">The Subscription Permanent Identifier (Supi) </w:t>
            </w:r>
            <w:r>
              <w:rPr>
                <w:rStyle w:val="Innerobject"/>
              </w:rPr>
              <w:t xml:space="preserve">shall be present within the initial spending limit retrieval procedure (creation of a new individual subscription) and </w:t>
            </w:r>
            <w:r>
              <w:rPr>
                <w:rFonts w:cs="Arial"/>
                <w:szCs w:val="18"/>
              </w:rPr>
              <w:t>intermediate spending limit retrieval procedure (modification of an existing subscription)</w:t>
            </w:r>
            <w:r>
              <w:rPr>
                <w:rStyle w:val="Innerobject"/>
              </w:rPr>
              <w:t>.</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pPr>
            <w:r>
              <w:rPr/>
              <w:t>gpsi</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Gpsi</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254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eastAsia="zh-CN"/>
              </w:rPr>
              <w:t xml:space="preserve">The Generic Public Subscription Identifier (Gpsi) shall contain either an External Id or an MSISDN. </w:t>
            </w:r>
            <w:r>
              <w:rPr>
                <w:rStyle w:val="Innerobject"/>
              </w:rPr>
              <w:t xml:space="preserve">It may be present within the initial spending limit retrieval procedure (creation of a new individual subscription) and </w:t>
            </w:r>
            <w:r>
              <w:rPr>
                <w:rFonts w:cs="Arial"/>
                <w:szCs w:val="18"/>
              </w:rPr>
              <w:t>intermediate spending limit retrieval procedure (modification of an existing subscription)</w:t>
            </w:r>
            <w:r>
              <w:rPr>
                <w:rStyle w:val="Innerobject"/>
              </w:rPr>
              <w:t>.</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pPr>
            <w:r>
              <w:rPr/>
              <w:t>policyCounterIds</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array(PolicyCounterId)</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1..N</w:t>
            </w:r>
          </w:p>
        </w:tc>
        <w:tc>
          <w:tcPr>
            <w:tcW w:w="254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This is a list of policy counter identifier(s), which identifies policy counters maintained per subscriber within the CHF.</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pPr>
            <w:r>
              <w:rPr/>
              <w:t>notifUri</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Uri</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254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This attribute identifies the recipient of spending limit notifications sent to the NF service consumer by the CHF. The notifUri shall be present within the initial spending limit retrieval procedure (creation of a new individual subscription and within the intermediate spending limit retrieval procedure (modification of an existing subscription).</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lang w:eastAsia="fr-FR"/>
              </w:rPr>
            </w:pPr>
            <w:r>
              <w:rPr>
                <w:lang w:eastAsia="fr-FR"/>
              </w:rPr>
              <w:t>notifId</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254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 xml:space="preserve">Notification Correlation ID assigned by the NF service consumer. It shall be included if the NotificationCorrelation feature is supported, the notifUri does not encode the notification correlation Id, and the PCF(s) requires multiple subscriptions for the same SUPI, e.g. UE accesses multiple network slices. </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NotificationCorrelation</w:t>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pPr>
            <w:r>
              <w:rPr>
                <w:lang w:val="en-US" w:eastAsia="zh-CN"/>
              </w:rPr>
              <w:t>expiry</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lang w:val="en-US" w:eastAsia="zh-CN"/>
              </w:rPr>
              <w:t>DateTime</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val="en-US" w:eastAsia="zh-CN"/>
              </w:rPr>
            </w:pPr>
            <w:r>
              <w:rPr>
                <w:lang w:val="en-US" w:eastAsia="zh-CN"/>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0..1</w:t>
            </w:r>
          </w:p>
        </w:tc>
        <w:tc>
          <w:tcPr>
            <w:tcW w:w="254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lang w:val="en-US" w:eastAsia="zh-CN"/>
              </w:rPr>
              <w:t>The expiry time may be included in a subscription request. When present, this IE shall represent the longest duration time</w:t>
            </w:r>
            <w:r>
              <w:rPr>
                <w:lang w:val="en-US" w:eastAsia="zh-CN"/>
              </w:rPr>
              <w:t xml:space="preserve"> after which the subscription shall become invalid.</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SubscriptionExpirationTimeControl</w:t>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pPr>
            <w:r>
              <w:rPr/>
              <w:t>supportedFeatures</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SupportedFeatures</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254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The list of supported features as described in subclause 5.8  shall be supplied by the NF service consumer in the POST request that request the creation of a spending limit report resource</w:t>
            </w:r>
            <w:r>
              <w:rPr>
                <w:rStyle w:val="Innerobject"/>
              </w:rPr>
              <w:t xml:space="preserve"> and </w:t>
            </w:r>
            <w:r>
              <w:rPr>
                <w:rFonts w:cs="Arial"/>
                <w:szCs w:val="18"/>
              </w:rPr>
              <w:t xml:space="preserve">intermediate spending limit retrieval procedure (modification of an existing subscription). </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pPr>
      <w:r>
        <w:rPr/>
      </w:r>
    </w:p>
    <w:p>
      <w:pPr>
        <w:pStyle w:val="Heading4"/>
        <w:ind w:left="1418" w:hanging="1418"/>
        <w:rPr/>
      </w:pPr>
      <w:bookmarkStart w:id="84" w:name="__RefHeading___Toc75349563"/>
      <w:bookmarkEnd w:id="84"/>
      <w:r>
        <w:rPr/>
        <w:t>5.6.2.3</w:t>
        <w:tab/>
        <w:t>Type SpendingLimitStatus</w:t>
      </w:r>
    </w:p>
    <w:p>
      <w:pPr>
        <w:pStyle w:val="TH"/>
        <w:rPr>
          <w:lang w:val="en-US" w:eastAsia="en-US"/>
        </w:rPr>
      </w:pPr>
      <w:r>
        <w:rPr>
          <w:lang w:val="en-US" w:eastAsia="en-US"/>
        </w:rPr>
        <w:t>Table 5.6.2.3-1: Definition of type SpendingLimitStatus</w:t>
      </w:r>
    </w:p>
    <w:tbl>
      <w:tblPr>
        <w:tblW w:w="9348" w:type="dxa"/>
        <w:jc w:val="center"/>
        <w:tblInd w:w="0" w:type="dxa"/>
        <w:tblLayout w:type="fixed"/>
        <w:tblCellMar>
          <w:top w:w="0" w:type="dxa"/>
          <w:left w:w="28" w:type="dxa"/>
          <w:bottom w:w="0" w:type="dxa"/>
          <w:right w:w="108" w:type="dxa"/>
        </w:tblCellMar>
      </w:tblPr>
      <w:tblGrid>
        <w:gridCol w:w="1697"/>
        <w:gridCol w:w="1559"/>
        <w:gridCol w:w="426"/>
        <w:gridCol w:w="1134"/>
        <w:gridCol w:w="2689"/>
        <w:gridCol w:w="1843"/>
      </w:tblGrid>
      <w:tr>
        <w:trPr/>
        <w:tc>
          <w:tcPr>
            <w:tcW w:w="16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55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68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Arial"/>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Applicability</w:t>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pPr>
            <w:r>
              <w:rPr/>
              <w:t>supi</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Supi</w:t>
            </w:r>
          </w:p>
        </w:tc>
        <w:tc>
          <w:tcPr>
            <w:tcW w:w="426"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2689"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 xml:space="preserve">The Subscription Permanent Identifier (Supi) </w:t>
            </w:r>
            <w:r>
              <w:rPr>
                <w:rStyle w:val="Innerobject"/>
              </w:rPr>
              <w:t>shall be present within the callback notify service operation (notification of the status of subscribed policy counters)</w:t>
            </w:r>
            <w:r>
              <w:rPr>
                <w:rFonts w:cs="Arial"/>
                <w:szCs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pPr>
            <w:r>
              <w:rPr/>
              <w:t>notifId</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426"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2689"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Notification Correlation ID assigned by the NF service consumer. It shall be included if provided during the subscription within the SpendingLimitContext data type.</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NotificationCorrelation</w:t>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pPr>
            <w:r>
              <w:rPr/>
              <w:t>statusInfos</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map(PolicyCounterInfo)</w:t>
            </w:r>
          </w:p>
        </w:tc>
        <w:tc>
          <w:tcPr>
            <w:tcW w:w="426"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1..N</w:t>
            </w:r>
          </w:p>
        </w:tc>
        <w:tc>
          <w:tcPr>
            <w:tcW w:w="2689"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 xml:space="preserve">Status of the requested policy counters. The key of the map is the attribute </w:t>
            </w:r>
            <w:r>
              <w:rPr/>
              <w:t xml:space="preserve">"policyCounterId". </w:t>
            </w:r>
          </w:p>
          <w:p>
            <w:pPr>
              <w:pStyle w:val="TAL"/>
              <w:rPr>
                <w:rFonts w:cs="Arial"/>
                <w:szCs w:val="18"/>
              </w:rPr>
            </w:pPr>
            <w:r>
              <w:rPr/>
              <w:t>It may be omitted when the feature SubscriptionExpirationTimeControl is supported and the CHF only requires to update the "expiry" attribute.</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pPr>
            <w:r>
              <w:rPr>
                <w:lang w:val="en-US" w:eastAsia="zh-CN"/>
              </w:rPr>
              <w:t>expiry</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DateTime</w:t>
            </w:r>
          </w:p>
        </w:tc>
        <w:tc>
          <w:tcPr>
            <w:tcW w:w="426" w:type="dxa"/>
            <w:tcBorders>
              <w:top w:val="single" w:sz="4" w:space="0" w:color="000000"/>
              <w:left w:val="single" w:sz="4" w:space="0" w:color="000000"/>
              <w:bottom w:val="single" w:sz="4" w:space="0" w:color="000000"/>
              <w:right w:val="single" w:sz="4" w:space="0" w:color="000000"/>
            </w:tcBorders>
          </w:tcPr>
          <w:p>
            <w:pPr>
              <w:pStyle w:val="TAC"/>
              <w:rPr>
                <w:lang w:val="en-US" w:eastAsia="zh-CN"/>
              </w:rPr>
            </w:pPr>
            <w:r>
              <w:rPr>
                <w:lang w:val="en-US" w:eastAsia="zh-CN"/>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lang w:val="en-US" w:eastAsia="zh-CN"/>
              </w:rPr>
              <w:t>0..1</w:t>
            </w:r>
          </w:p>
        </w:tc>
        <w:tc>
          <w:tcPr>
            <w:tcW w:w="2689" w:type="dxa"/>
            <w:tcBorders>
              <w:top w:val="single" w:sz="4" w:space="0" w:color="000000"/>
              <w:left w:val="single" w:sz="4" w:space="0" w:color="000000"/>
              <w:bottom w:val="single" w:sz="4" w:space="0" w:color="000000"/>
              <w:right w:val="single" w:sz="4" w:space="0" w:color="000000"/>
            </w:tcBorders>
          </w:tcPr>
          <w:p>
            <w:pPr>
              <w:pStyle w:val="TAL"/>
              <w:rPr/>
            </w:pPr>
            <w:r>
              <w:rPr/>
              <w:t>This expiry time shall be included in a subscription response, if the expiry time was included in the request.</w:t>
            </w:r>
          </w:p>
          <w:p>
            <w:pPr>
              <w:pStyle w:val="TAL"/>
              <w:rPr>
                <w:rFonts w:cs="Arial"/>
                <w:szCs w:val="18"/>
              </w:rPr>
            </w:pPr>
            <w:r>
              <w:rPr/>
              <w:t>It may be included in a subscription response and notification request based on operator policies for the control in the CHF of the subscription duration.</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SubscriptionExpirationTimeControl</w:t>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pPr>
            <w:r>
              <w:rPr/>
              <w:t>supportedFeatures</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SupportedFeatures</w:t>
            </w:r>
          </w:p>
        </w:tc>
        <w:tc>
          <w:tcPr>
            <w:tcW w:w="426"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2689"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If the supportedFeatures is included in the request by the NF service consumer, it shall be supplied in the reply of the corresponding request by the CHF.</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pPr>
      <w:r>
        <w:rPr/>
      </w:r>
    </w:p>
    <w:p>
      <w:pPr>
        <w:pStyle w:val="Heading4"/>
        <w:ind w:left="1418" w:hanging="1418"/>
        <w:rPr/>
      </w:pPr>
      <w:bookmarkStart w:id="85" w:name="__RefHeading___Toc75349564"/>
      <w:bookmarkEnd w:id="85"/>
      <w:r>
        <w:rPr/>
        <w:t>5.6.2.4</w:t>
        <w:tab/>
        <w:t xml:space="preserve">Type </w:t>
      </w:r>
      <w:bookmarkStart w:id="86" w:name="_Hlk514925453"/>
      <w:r>
        <w:rPr/>
        <w:t>PolicyCounterInfo</w:t>
      </w:r>
      <w:bookmarkEnd w:id="86"/>
    </w:p>
    <w:p>
      <w:pPr>
        <w:pStyle w:val="TH"/>
        <w:rPr>
          <w:lang w:val="en-US" w:eastAsia="en-US"/>
        </w:rPr>
      </w:pPr>
      <w:r>
        <w:rPr>
          <w:lang w:val="en-US" w:eastAsia="en-US"/>
        </w:rPr>
        <w:t>Table 5.6.2.4-1: Definition of type PolicyCounterInfo</w:t>
      </w:r>
    </w:p>
    <w:tbl>
      <w:tblPr>
        <w:tblW w:w="9348" w:type="dxa"/>
        <w:jc w:val="center"/>
        <w:tblInd w:w="0" w:type="dxa"/>
        <w:tblLayout w:type="fixed"/>
        <w:tblCellMar>
          <w:top w:w="0" w:type="dxa"/>
          <w:left w:w="28" w:type="dxa"/>
          <w:bottom w:w="0" w:type="dxa"/>
          <w:right w:w="108" w:type="dxa"/>
        </w:tblCellMar>
      </w:tblPr>
      <w:tblGrid>
        <w:gridCol w:w="2264"/>
        <w:gridCol w:w="992"/>
        <w:gridCol w:w="426"/>
        <w:gridCol w:w="1134"/>
        <w:gridCol w:w="2689"/>
        <w:gridCol w:w="1843"/>
      </w:tblGrid>
      <w:tr>
        <w:trPr/>
        <w:tc>
          <w:tcPr>
            <w:tcW w:w="226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99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68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Arial"/>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Arial"/>
                <w:szCs w:val="18"/>
              </w:rPr>
              <w:t>Applicability</w:t>
            </w:r>
          </w:p>
        </w:tc>
      </w:tr>
      <w:tr>
        <w:trPr/>
        <w:tc>
          <w:tcPr>
            <w:tcW w:w="2264" w:type="dxa"/>
            <w:tcBorders>
              <w:top w:val="single" w:sz="4" w:space="0" w:color="000000"/>
              <w:left w:val="single" w:sz="4" w:space="0" w:color="000000"/>
              <w:bottom w:val="single" w:sz="4" w:space="0" w:color="000000"/>
              <w:right w:val="single" w:sz="4" w:space="0" w:color="000000"/>
            </w:tcBorders>
          </w:tcPr>
          <w:p>
            <w:pPr>
              <w:pStyle w:val="TAL"/>
              <w:rPr/>
            </w:pPr>
            <w:r>
              <w:rPr/>
              <w:t>policyCounterId</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PolicyCounterId</w:t>
            </w:r>
          </w:p>
        </w:tc>
        <w:tc>
          <w:tcPr>
            <w:tcW w:w="426"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 xml:space="preserve">Identifies the requested policy counter. </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264" w:type="dxa"/>
            <w:tcBorders>
              <w:top w:val="single" w:sz="4" w:space="0" w:color="000000"/>
              <w:left w:val="single" w:sz="4" w:space="0" w:color="000000"/>
              <w:bottom w:val="single" w:sz="4" w:space="0" w:color="000000"/>
              <w:right w:val="single" w:sz="4" w:space="0" w:color="000000"/>
            </w:tcBorders>
          </w:tcPr>
          <w:p>
            <w:pPr>
              <w:pStyle w:val="TAL"/>
              <w:rPr/>
            </w:pPr>
            <w:r>
              <w:rPr/>
              <w:t>currentStatus</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426"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Identifies the policy counter status applicable for a specific policy counter identified by the policyCounterId. The values (e.g. valid, invalid or any other status) are not specified. The interpretation and actions related to the defined values are out of scope of 3GPP.</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264" w:type="dxa"/>
            <w:tcBorders>
              <w:top w:val="single" w:sz="4" w:space="0" w:color="000000"/>
              <w:left w:val="single" w:sz="4" w:space="0" w:color="000000"/>
              <w:bottom w:val="single" w:sz="4" w:space="0" w:color="000000"/>
              <w:right w:val="single" w:sz="4" w:space="0" w:color="000000"/>
            </w:tcBorders>
          </w:tcPr>
          <w:p>
            <w:pPr>
              <w:pStyle w:val="TAL"/>
              <w:rPr/>
            </w:pPr>
            <w:r>
              <w:rPr/>
              <w:t>penPolCounterStatuses</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array(PendingPolicyCounterStatus)</w:t>
            </w:r>
          </w:p>
        </w:tc>
        <w:tc>
          <w:tcPr>
            <w:tcW w:w="426"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1..N</w:t>
            </w:r>
          </w:p>
        </w:tc>
        <w:tc>
          <w:tcPr>
            <w:tcW w:w="2689"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Provides the pending policy counter status.</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pPr>
      <w:r>
        <w:rPr/>
      </w:r>
    </w:p>
    <w:p>
      <w:pPr>
        <w:pStyle w:val="Heading4"/>
        <w:ind w:left="1418" w:hanging="1418"/>
        <w:rPr/>
      </w:pPr>
      <w:bookmarkStart w:id="87" w:name="__RefHeading___Toc75349565"/>
      <w:bookmarkEnd w:id="87"/>
      <w:r>
        <w:rPr/>
        <w:t>5.6.2.5</w:t>
        <w:tab/>
        <w:t>Type PendingPolicyCounterStatus</w:t>
      </w:r>
    </w:p>
    <w:p>
      <w:pPr>
        <w:pStyle w:val="TH"/>
        <w:rPr>
          <w:lang w:val="en-US" w:eastAsia="en-US"/>
        </w:rPr>
      </w:pPr>
      <w:r>
        <w:rPr>
          <w:lang w:val="en-US" w:eastAsia="en-US"/>
        </w:rPr>
        <w:t>Table 5.6.2.5-1: Definition of type PendingPolicyCounterStatus</w:t>
      </w:r>
    </w:p>
    <w:tbl>
      <w:tblPr>
        <w:tblW w:w="9348" w:type="dxa"/>
        <w:jc w:val="center"/>
        <w:tblInd w:w="0" w:type="dxa"/>
        <w:tblLayout w:type="fixed"/>
        <w:tblCellMar>
          <w:top w:w="0" w:type="dxa"/>
          <w:left w:w="28" w:type="dxa"/>
          <w:bottom w:w="0" w:type="dxa"/>
          <w:right w:w="108" w:type="dxa"/>
        </w:tblCellMar>
      </w:tblPr>
      <w:tblGrid>
        <w:gridCol w:w="2264"/>
        <w:gridCol w:w="992"/>
        <w:gridCol w:w="426"/>
        <w:gridCol w:w="1134"/>
        <w:gridCol w:w="2689"/>
        <w:gridCol w:w="1843"/>
      </w:tblGrid>
      <w:tr>
        <w:trPr/>
        <w:tc>
          <w:tcPr>
            <w:tcW w:w="226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99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68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Arial"/>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Arial"/>
                <w:szCs w:val="18"/>
              </w:rPr>
              <w:t>Applicability</w:t>
            </w:r>
          </w:p>
        </w:tc>
      </w:tr>
      <w:tr>
        <w:trPr/>
        <w:tc>
          <w:tcPr>
            <w:tcW w:w="2264" w:type="dxa"/>
            <w:tcBorders>
              <w:top w:val="single" w:sz="4" w:space="0" w:color="000000"/>
              <w:left w:val="single" w:sz="4" w:space="0" w:color="000000"/>
              <w:bottom w:val="single" w:sz="4" w:space="0" w:color="000000"/>
              <w:right w:val="single" w:sz="4" w:space="0" w:color="000000"/>
            </w:tcBorders>
          </w:tcPr>
          <w:p>
            <w:pPr>
              <w:pStyle w:val="TAL"/>
              <w:rPr/>
            </w:pPr>
            <w:r>
              <w:rPr/>
              <w:t>policyCounterStatus</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426"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Identifies the policy counter status applicable for a specific policy counter identified by the PolicyCounterId. The values (e.g. valid, invalid or any other status) are not specified. The interpretation and actions related to the defined values are out of scope of 3GPP.</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264" w:type="dxa"/>
            <w:tcBorders>
              <w:top w:val="single" w:sz="4" w:space="0" w:color="000000"/>
              <w:left w:val="single" w:sz="4" w:space="0" w:color="000000"/>
              <w:bottom w:val="single" w:sz="4" w:space="0" w:color="000000"/>
              <w:right w:val="single" w:sz="4" w:space="0" w:color="000000"/>
            </w:tcBorders>
          </w:tcPr>
          <w:p>
            <w:pPr>
              <w:pStyle w:val="TAL"/>
              <w:rPr/>
            </w:pPr>
            <w:r>
              <w:rPr/>
              <w:t>activationTime</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DateTime</w:t>
            </w:r>
          </w:p>
        </w:tc>
        <w:tc>
          <w:tcPr>
            <w:tcW w:w="426"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 xml:space="preserve">Indicates the </w:t>
            </w:r>
            <w:r>
              <w:rPr/>
              <w:t xml:space="preserve">time at which the </w:t>
            </w:r>
            <w:r>
              <w:rPr>
                <w:lang w:eastAsia="zh-CN"/>
              </w:rPr>
              <w:t xml:space="preserve">pending </w:t>
            </w:r>
            <w:r>
              <w:rPr/>
              <w:t>policy counter status become</w:t>
            </w:r>
            <w:r>
              <w:rPr>
                <w:lang w:eastAsia="zh-CN"/>
              </w:rPr>
              <w:t>s</w:t>
            </w:r>
            <w:r>
              <w:rPr/>
              <w:t xml:space="preserve"> the current status of a policy counter.</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pPr>
      <w:r>
        <w:rPr/>
      </w:r>
    </w:p>
    <w:p>
      <w:pPr>
        <w:pStyle w:val="Heading4"/>
        <w:ind w:left="1418" w:hanging="1418"/>
        <w:rPr/>
      </w:pPr>
      <w:bookmarkStart w:id="88" w:name="__RefHeading___Toc75349566"/>
      <w:bookmarkEnd w:id="88"/>
      <w:r>
        <w:rPr/>
        <w:t>5.6.2.6</w:t>
        <w:tab/>
        <w:t>Type SubscriptionTerminationInfo</w:t>
      </w:r>
    </w:p>
    <w:p>
      <w:pPr>
        <w:pStyle w:val="TH"/>
        <w:rPr/>
      </w:pPr>
      <w:r>
        <w:rPr/>
        <w:t>Table 5.6.2.6-1: Definition of type SubscriptionTerminationInfo</w:t>
      </w:r>
    </w:p>
    <w:tbl>
      <w:tblPr>
        <w:tblW w:w="9615" w:type="dxa"/>
        <w:jc w:val="center"/>
        <w:tblInd w:w="0" w:type="dxa"/>
        <w:tblLayout w:type="fixed"/>
        <w:tblCellMar>
          <w:top w:w="0" w:type="dxa"/>
          <w:left w:w="28" w:type="dxa"/>
          <w:bottom w:w="0" w:type="dxa"/>
          <w:right w:w="115" w:type="dxa"/>
        </w:tblCellMar>
      </w:tblPr>
      <w:tblGrid>
        <w:gridCol w:w="1698"/>
        <w:gridCol w:w="1709"/>
        <w:gridCol w:w="360"/>
        <w:gridCol w:w="1170"/>
        <w:gridCol w:w="3329"/>
        <w:gridCol w:w="1349"/>
      </w:tblGrid>
      <w:tr>
        <w:trPr/>
        <w:tc>
          <w:tcPr>
            <w:tcW w:w="169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7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36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7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3329"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34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Arial"/>
                <w:szCs w:val="18"/>
              </w:rPr>
              <w:t>Applicability</w:t>
            </w:r>
          </w:p>
        </w:tc>
      </w:tr>
      <w:tr>
        <w:trPr/>
        <w:tc>
          <w:tcPr>
            <w:tcW w:w="1698" w:type="dxa"/>
            <w:tcBorders>
              <w:top w:val="single" w:sz="4" w:space="0" w:color="000000"/>
              <w:left w:val="single" w:sz="4" w:space="0" w:color="000000"/>
              <w:bottom w:val="single" w:sz="4" w:space="0" w:color="000000"/>
              <w:right w:val="single" w:sz="4" w:space="0" w:color="000000"/>
            </w:tcBorders>
          </w:tcPr>
          <w:p>
            <w:pPr>
              <w:pStyle w:val="TAL"/>
              <w:rPr/>
            </w:pPr>
            <w:r>
              <w:rPr/>
              <w:t>supi</w:t>
            </w:r>
          </w:p>
        </w:tc>
        <w:tc>
          <w:tcPr>
            <w:tcW w:w="1709" w:type="dxa"/>
            <w:tcBorders>
              <w:top w:val="single" w:sz="4" w:space="0" w:color="000000"/>
              <w:left w:val="single" w:sz="4" w:space="0" w:color="000000"/>
              <w:bottom w:val="single" w:sz="4" w:space="0" w:color="000000"/>
              <w:right w:val="single" w:sz="4" w:space="0" w:color="000000"/>
            </w:tcBorders>
          </w:tcPr>
          <w:p>
            <w:pPr>
              <w:pStyle w:val="TAL"/>
              <w:rPr/>
            </w:pPr>
            <w:r>
              <w:rPr/>
              <w:t>Supi</w:t>
            </w:r>
          </w:p>
        </w:tc>
        <w:tc>
          <w:tcPr>
            <w:tcW w:w="360"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3329" w:type="dxa"/>
            <w:tcBorders>
              <w:top w:val="single" w:sz="4" w:space="0" w:color="000000"/>
              <w:left w:val="single" w:sz="4" w:space="0" w:color="000000"/>
              <w:bottom w:val="single" w:sz="4" w:space="0" w:color="000000"/>
              <w:right w:val="single" w:sz="4" w:space="0" w:color="000000"/>
            </w:tcBorders>
          </w:tcPr>
          <w:p>
            <w:pPr>
              <w:pStyle w:val="TAL"/>
              <w:rPr/>
            </w:pPr>
            <w:r>
              <w:rPr/>
              <w:t>Subscription Permanent Identifier.</w:t>
            </w:r>
          </w:p>
        </w:tc>
        <w:tc>
          <w:tcPr>
            <w:tcW w:w="134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698" w:type="dxa"/>
            <w:tcBorders>
              <w:top w:val="single" w:sz="4" w:space="0" w:color="000000"/>
              <w:left w:val="single" w:sz="4" w:space="0" w:color="000000"/>
              <w:bottom w:val="single" w:sz="4" w:space="0" w:color="000000"/>
              <w:right w:val="single" w:sz="4" w:space="0" w:color="000000"/>
            </w:tcBorders>
          </w:tcPr>
          <w:p>
            <w:pPr>
              <w:pStyle w:val="TAL"/>
              <w:rPr/>
            </w:pPr>
            <w:r>
              <w:rPr/>
              <w:t>notifId</w:t>
            </w:r>
          </w:p>
        </w:tc>
        <w:tc>
          <w:tcPr>
            <w:tcW w:w="1709"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360"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0..1</w:t>
            </w:r>
          </w:p>
        </w:tc>
        <w:tc>
          <w:tcPr>
            <w:tcW w:w="3329" w:type="dxa"/>
            <w:tcBorders>
              <w:top w:val="single" w:sz="4" w:space="0" w:color="000000"/>
              <w:left w:val="single" w:sz="4" w:space="0" w:color="000000"/>
              <w:bottom w:val="single" w:sz="4" w:space="0" w:color="000000"/>
              <w:right w:val="single" w:sz="4" w:space="0" w:color="000000"/>
            </w:tcBorders>
          </w:tcPr>
          <w:p>
            <w:pPr>
              <w:pStyle w:val="TAL"/>
              <w:rPr/>
            </w:pPr>
            <w:r>
              <w:rPr/>
              <w:t>Notification Correlation ID assigned by the NF service consumer. It shall be included if provided during the subscription within the SpendingLimitContext data type.</w:t>
            </w:r>
          </w:p>
        </w:tc>
        <w:tc>
          <w:tcPr>
            <w:tcW w:w="1349"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NotificationCorrelation</w:t>
            </w:r>
          </w:p>
        </w:tc>
      </w:tr>
      <w:tr>
        <w:trPr/>
        <w:tc>
          <w:tcPr>
            <w:tcW w:w="1698" w:type="dxa"/>
            <w:tcBorders>
              <w:top w:val="single" w:sz="4" w:space="0" w:color="000000"/>
              <w:left w:val="single" w:sz="4" w:space="0" w:color="000000"/>
              <w:bottom w:val="single" w:sz="4" w:space="0" w:color="000000"/>
              <w:right w:val="single" w:sz="4" w:space="0" w:color="000000"/>
            </w:tcBorders>
          </w:tcPr>
          <w:p>
            <w:pPr>
              <w:pStyle w:val="TAL"/>
              <w:rPr/>
            </w:pPr>
            <w:r>
              <w:rPr/>
              <w:t>termCause</w:t>
            </w:r>
          </w:p>
        </w:tc>
        <w:tc>
          <w:tcPr>
            <w:tcW w:w="1709" w:type="dxa"/>
            <w:tcBorders>
              <w:top w:val="single" w:sz="4" w:space="0" w:color="000000"/>
              <w:left w:val="single" w:sz="4" w:space="0" w:color="000000"/>
              <w:bottom w:val="single" w:sz="4" w:space="0" w:color="000000"/>
              <w:right w:val="single" w:sz="4" w:space="0" w:color="000000"/>
            </w:tcBorders>
          </w:tcPr>
          <w:p>
            <w:pPr>
              <w:pStyle w:val="TAL"/>
              <w:rPr/>
            </w:pPr>
            <w:r>
              <w:rPr/>
              <w:t>TerminationCause</w:t>
            </w:r>
          </w:p>
        </w:tc>
        <w:tc>
          <w:tcPr>
            <w:tcW w:w="360"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0..1</w:t>
            </w:r>
          </w:p>
        </w:tc>
        <w:tc>
          <w:tcPr>
            <w:tcW w:w="3329" w:type="dxa"/>
            <w:tcBorders>
              <w:top w:val="single" w:sz="4" w:space="0" w:color="000000"/>
              <w:left w:val="single" w:sz="4" w:space="0" w:color="000000"/>
              <w:bottom w:val="single" w:sz="4" w:space="0" w:color="000000"/>
              <w:right w:val="single" w:sz="4" w:space="0" w:color="000000"/>
            </w:tcBorders>
          </w:tcPr>
          <w:p>
            <w:pPr>
              <w:pStyle w:val="TAL"/>
              <w:rPr/>
            </w:pPr>
            <w:r>
              <w:rPr/>
              <w:t>Indicates the cause for requesting the termination of the subscription to policy counter status changes.</w:t>
            </w:r>
          </w:p>
        </w:tc>
        <w:tc>
          <w:tcPr>
            <w:tcW w:w="134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lang w:val="en-US"/>
        </w:rPr>
      </w:pPr>
      <w:r>
        <w:rPr>
          <w:lang w:val="en-US"/>
        </w:rPr>
      </w:r>
    </w:p>
    <w:p>
      <w:pPr>
        <w:pStyle w:val="Heading3"/>
        <w:rPr/>
      </w:pPr>
      <w:bookmarkStart w:id="89" w:name="__RefHeading___Toc75349567"/>
      <w:bookmarkEnd w:id="89"/>
      <w:r>
        <w:rPr>
          <w:lang w:val="en-US"/>
        </w:rPr>
        <w:t>5.6.3</w:t>
        <w:tab/>
        <w:t>Simple data types and enumerations</w:t>
      </w:r>
    </w:p>
    <w:p>
      <w:pPr>
        <w:pStyle w:val="Heading4"/>
        <w:ind w:left="1418" w:hanging="1418"/>
        <w:rPr/>
      </w:pPr>
      <w:bookmarkStart w:id="90" w:name="__RefHeading___Toc75349568"/>
      <w:bookmarkEnd w:id="90"/>
      <w:r>
        <w:rPr/>
        <w:t>5.6.3.1</w:t>
        <w:tab/>
        <w:t>Introduction</w:t>
      </w:r>
    </w:p>
    <w:p>
      <w:pPr>
        <w:pStyle w:val="Normal"/>
        <w:rPr/>
      </w:pPr>
      <w:r>
        <w:rPr/>
        <w:t>This subclause defines simple data types and enumerations that can be referenced from data structures defined in the previous subclauses.</w:t>
      </w:r>
    </w:p>
    <w:p>
      <w:pPr>
        <w:pStyle w:val="Heading4"/>
        <w:ind w:left="1418" w:hanging="1418"/>
        <w:rPr/>
      </w:pPr>
      <w:bookmarkStart w:id="91" w:name="__RefHeading___Toc75349569"/>
      <w:bookmarkEnd w:id="91"/>
      <w:r>
        <w:rPr/>
        <w:t>5.6.3.2</w:t>
        <w:tab/>
        <w:t>Simple data types</w:t>
      </w:r>
    </w:p>
    <w:p>
      <w:pPr>
        <w:pStyle w:val="Normal"/>
        <w:rPr/>
      </w:pPr>
      <w:r>
        <w:rPr/>
        <w:t>The simple data types defined in table 5.6.3.2-1 shall be supported.</w:t>
      </w:r>
    </w:p>
    <w:p>
      <w:pPr>
        <w:pStyle w:val="TH"/>
        <w:rPr/>
      </w:pPr>
      <w:r>
        <w:rPr/>
        <w:t>Table 5.6.3.2-1: Simple data types</w:t>
      </w:r>
    </w:p>
    <w:tbl>
      <w:tblPr>
        <w:tblW w:w="4800" w:type="pct"/>
        <w:jc w:val="center"/>
        <w:tblInd w:w="0" w:type="dxa"/>
        <w:tblLayout w:type="fixed"/>
        <w:tblCellMar>
          <w:top w:w="0" w:type="dxa"/>
          <w:left w:w="108" w:type="dxa"/>
          <w:bottom w:w="0" w:type="dxa"/>
          <w:right w:w="108" w:type="dxa"/>
        </w:tblCellMar>
      </w:tblPr>
      <w:tblGrid>
        <w:gridCol w:w="2403"/>
        <w:gridCol w:w="2210"/>
        <w:gridCol w:w="3394"/>
        <w:gridCol w:w="1247"/>
      </w:tblGrid>
      <w:tr>
        <w:trPr/>
        <w:tc>
          <w:tcPr>
            <w:tcW w:w="2403" w:type="dxa"/>
            <w:tcBorders>
              <w:top w:val="single" w:sz="6" w:space="0" w:color="000000"/>
              <w:left w:val="single" w:sz="8" w:space="0" w:color="000000"/>
              <w:bottom w:val="single" w:sz="8" w:space="0" w:color="000000"/>
              <w:right w:val="single" w:sz="8" w:space="0" w:color="000000"/>
            </w:tcBorders>
            <w:shd w:fill="BFBFBF" w:val="clear"/>
          </w:tcPr>
          <w:p>
            <w:pPr>
              <w:pStyle w:val="TAH"/>
              <w:rPr/>
            </w:pPr>
            <w:r>
              <w:rPr/>
              <w:t>Type Name</w:t>
            </w:r>
          </w:p>
        </w:tc>
        <w:tc>
          <w:tcPr>
            <w:tcW w:w="2210" w:type="dxa"/>
            <w:tcBorders>
              <w:top w:val="single" w:sz="6" w:space="0" w:color="000000"/>
              <w:bottom w:val="single" w:sz="8" w:space="0" w:color="000000"/>
              <w:right w:val="single" w:sz="8" w:space="0" w:color="000000"/>
            </w:tcBorders>
            <w:shd w:fill="BFBFBF" w:val="clear"/>
          </w:tcPr>
          <w:p>
            <w:pPr>
              <w:pStyle w:val="TAH"/>
              <w:rPr/>
            </w:pPr>
            <w:r>
              <w:rPr/>
              <w:t>Type Definition</w:t>
            </w:r>
          </w:p>
        </w:tc>
        <w:tc>
          <w:tcPr>
            <w:tcW w:w="3394" w:type="dxa"/>
            <w:tcBorders>
              <w:top w:val="single" w:sz="6" w:space="0" w:color="000000"/>
              <w:bottom w:val="single" w:sz="8" w:space="0" w:color="000000"/>
              <w:right w:val="single" w:sz="8" w:space="0" w:color="000000"/>
            </w:tcBorders>
            <w:shd w:fill="BFBFBF" w:val="clear"/>
            <w:tcMar>
              <w:left w:w="28" w:type="dxa"/>
              <w:right w:w="0" w:type="dxa"/>
            </w:tcMar>
          </w:tcPr>
          <w:p>
            <w:pPr>
              <w:pStyle w:val="TAH"/>
              <w:rPr/>
            </w:pPr>
            <w:r>
              <w:rPr/>
              <w:t>Description</w:t>
            </w:r>
          </w:p>
        </w:tc>
        <w:tc>
          <w:tcPr>
            <w:tcW w:w="1247" w:type="dxa"/>
            <w:tcBorders>
              <w:top w:val="single" w:sz="6" w:space="0" w:color="000000"/>
              <w:bottom w:val="single" w:sz="8" w:space="0" w:color="000000"/>
              <w:right w:val="single" w:sz="8" w:space="0" w:color="000000"/>
            </w:tcBorders>
            <w:shd w:fill="BFBFBF" w:val="clear"/>
            <w:tcMar>
              <w:left w:w="28" w:type="dxa"/>
              <w:right w:w="0" w:type="dxa"/>
            </w:tcMar>
          </w:tcPr>
          <w:p>
            <w:pPr>
              <w:pStyle w:val="TAH"/>
              <w:rPr/>
            </w:pPr>
            <w:r>
              <w:rPr/>
              <w:t>Applicability</w:t>
            </w:r>
          </w:p>
        </w:tc>
      </w:tr>
      <w:tr>
        <w:trPr/>
        <w:tc>
          <w:tcPr>
            <w:tcW w:w="2403" w:type="dxa"/>
            <w:tcBorders>
              <w:top w:val="single" w:sz="6" w:space="0" w:color="000000"/>
              <w:left w:val="single" w:sz="8" w:space="0" w:color="000000"/>
              <w:bottom w:val="single" w:sz="6" w:space="0" w:color="000000"/>
              <w:right w:val="single" w:sz="8" w:space="0" w:color="000000"/>
            </w:tcBorders>
          </w:tcPr>
          <w:p>
            <w:pPr>
              <w:pStyle w:val="TAL"/>
              <w:rPr/>
            </w:pPr>
            <w:r>
              <w:rPr/>
              <w:t>PolicyCounterId</w:t>
            </w:r>
          </w:p>
        </w:tc>
        <w:tc>
          <w:tcPr>
            <w:tcW w:w="2210" w:type="dxa"/>
            <w:tcBorders>
              <w:top w:val="single" w:sz="6" w:space="0" w:color="000000"/>
              <w:bottom w:val="single" w:sz="6" w:space="0" w:color="000000"/>
              <w:right w:val="single" w:sz="8" w:space="0" w:color="000000"/>
            </w:tcBorders>
          </w:tcPr>
          <w:p>
            <w:pPr>
              <w:pStyle w:val="TAL"/>
              <w:rPr/>
            </w:pPr>
            <w:r>
              <w:rPr/>
              <w:t>string</w:t>
            </w:r>
          </w:p>
        </w:tc>
        <w:tc>
          <w:tcPr>
            <w:tcW w:w="3394" w:type="dxa"/>
            <w:tcBorders>
              <w:top w:val="single" w:sz="6" w:space="0" w:color="000000"/>
              <w:bottom w:val="single" w:sz="6" w:space="0" w:color="000000"/>
              <w:right w:val="single" w:sz="8" w:space="0" w:color="000000"/>
            </w:tcBorders>
            <w:tcMar>
              <w:left w:w="28" w:type="dxa"/>
              <w:right w:w="0" w:type="dxa"/>
            </w:tcMar>
          </w:tcPr>
          <w:p>
            <w:pPr>
              <w:pStyle w:val="TAL"/>
              <w:rPr/>
            </w:pPr>
            <w:r>
              <w:rPr/>
              <w:t>Identifies a policy counter.</w:t>
            </w:r>
          </w:p>
        </w:tc>
        <w:tc>
          <w:tcPr>
            <w:tcW w:w="1247" w:type="dxa"/>
            <w:tcBorders>
              <w:top w:val="single" w:sz="6" w:space="0" w:color="000000"/>
              <w:bottom w:val="single" w:sz="6" w:space="0" w:color="000000"/>
              <w:right w:val="single" w:sz="8" w:space="0" w:color="000000"/>
            </w:tcBorders>
            <w:tcMar>
              <w:left w:w="28" w:type="dxa"/>
              <w:right w:w="0" w:type="dxa"/>
            </w:tcMar>
          </w:tcPr>
          <w:p>
            <w:pPr>
              <w:pStyle w:val="TAL"/>
              <w:snapToGrid w:val="false"/>
              <w:rPr/>
            </w:pPr>
            <w:r>
              <w:rPr/>
            </w:r>
          </w:p>
        </w:tc>
      </w:tr>
    </w:tbl>
    <w:p>
      <w:pPr>
        <w:pStyle w:val="Normal"/>
        <w:rPr/>
      </w:pPr>
      <w:r>
        <w:rPr/>
      </w:r>
    </w:p>
    <w:p>
      <w:pPr>
        <w:pStyle w:val="Heading4"/>
        <w:ind w:left="1418" w:hanging="1418"/>
        <w:rPr/>
      </w:pPr>
      <w:bookmarkStart w:id="92" w:name="__RefHeading___Toc75349570"/>
      <w:bookmarkEnd w:id="92"/>
      <w:r>
        <w:rPr/>
        <w:t>5.6.3.3</w:t>
        <w:tab/>
        <w:t>Enumeration: TerminationCause</w:t>
      </w:r>
    </w:p>
    <w:p>
      <w:pPr>
        <w:pStyle w:val="Normal"/>
        <w:rPr/>
      </w:pPr>
      <w:r>
        <w:rPr/>
        <w:t>The enumeration "TerminationCause" represents the types of causes the CHF can report when requesting the termination of the subscription.</w:t>
      </w:r>
    </w:p>
    <w:p>
      <w:pPr>
        <w:pStyle w:val="TH"/>
        <w:rPr/>
      </w:pPr>
      <w:r>
        <w:rPr/>
        <w:t>Table 5.6.3.3-1: Enumeration TerminationCause</w:t>
      </w:r>
    </w:p>
    <w:tbl>
      <w:tblPr>
        <w:tblW w:w="9615" w:type="dxa"/>
        <w:jc w:val="center"/>
        <w:tblInd w:w="0" w:type="dxa"/>
        <w:tblLayout w:type="fixed"/>
        <w:tblCellMar>
          <w:top w:w="0" w:type="dxa"/>
          <w:left w:w="108" w:type="dxa"/>
          <w:bottom w:w="0" w:type="dxa"/>
          <w:right w:w="108" w:type="dxa"/>
        </w:tblCellMar>
      </w:tblPr>
      <w:tblGrid>
        <w:gridCol w:w="3048"/>
        <w:gridCol w:w="5127"/>
        <w:gridCol w:w="1440"/>
      </w:tblGrid>
      <w:tr>
        <w:trPr/>
        <w:tc>
          <w:tcPr>
            <w:tcW w:w="3048" w:type="dxa"/>
            <w:tcBorders>
              <w:top w:val="single" w:sz="8" w:space="0" w:color="000000"/>
              <w:left w:val="single" w:sz="8" w:space="0" w:color="000000"/>
              <w:bottom w:val="single" w:sz="8" w:space="0" w:color="000000"/>
              <w:right w:val="single" w:sz="8" w:space="0" w:color="000000"/>
            </w:tcBorders>
            <w:shd w:fill="C0C0C0" w:val="clear"/>
          </w:tcPr>
          <w:p>
            <w:pPr>
              <w:pStyle w:val="TAH"/>
              <w:rPr/>
            </w:pPr>
            <w:r>
              <w:rPr/>
              <w:t>Enumeration value</w:t>
            </w:r>
          </w:p>
        </w:tc>
        <w:tc>
          <w:tcPr>
            <w:tcW w:w="5127" w:type="dxa"/>
            <w:tcBorders>
              <w:top w:val="single" w:sz="8" w:space="0" w:color="000000"/>
              <w:bottom w:val="single" w:sz="8" w:space="0" w:color="000000"/>
              <w:right w:val="single" w:sz="8" w:space="0" w:color="000000"/>
            </w:tcBorders>
            <w:shd w:fill="C0C0C0" w:val="clear"/>
          </w:tcPr>
          <w:p>
            <w:pPr>
              <w:pStyle w:val="TAH"/>
              <w:rPr/>
            </w:pPr>
            <w:r>
              <w:rPr/>
              <w:t>Description</w:t>
            </w:r>
          </w:p>
        </w:tc>
        <w:tc>
          <w:tcPr>
            <w:tcW w:w="1440" w:type="dxa"/>
            <w:tcBorders>
              <w:top w:val="single" w:sz="8" w:space="0" w:color="000000"/>
              <w:bottom w:val="single" w:sz="8" w:space="0" w:color="000000"/>
              <w:right w:val="single" w:sz="8" w:space="0" w:color="000000"/>
            </w:tcBorders>
            <w:shd w:fill="C0C0C0" w:val="clear"/>
            <w:tcMar>
              <w:left w:w="0" w:type="dxa"/>
              <w:right w:w="0" w:type="dxa"/>
            </w:tcMar>
          </w:tcPr>
          <w:p>
            <w:pPr>
              <w:pStyle w:val="TAH"/>
              <w:rPr/>
            </w:pPr>
            <w:r>
              <w:rPr/>
              <w:t>Applicability</w:t>
            </w:r>
          </w:p>
        </w:tc>
      </w:tr>
      <w:tr>
        <w:trPr/>
        <w:tc>
          <w:tcPr>
            <w:tcW w:w="3048" w:type="dxa"/>
            <w:tcBorders>
              <w:top w:val="single" w:sz="8" w:space="0" w:color="000000"/>
              <w:left w:val="single" w:sz="8" w:space="0" w:color="000000"/>
              <w:bottom w:val="single" w:sz="8" w:space="0" w:color="000000"/>
              <w:right w:val="single" w:sz="8" w:space="0" w:color="000000"/>
            </w:tcBorders>
          </w:tcPr>
          <w:p>
            <w:pPr>
              <w:pStyle w:val="TAL"/>
              <w:rPr/>
            </w:pPr>
            <w:r>
              <w:rPr/>
              <w:t>REMOVED_SUBSCRIBER</w:t>
            </w:r>
          </w:p>
        </w:tc>
        <w:tc>
          <w:tcPr>
            <w:tcW w:w="5127" w:type="dxa"/>
            <w:tcBorders>
              <w:top w:val="single" w:sz="8" w:space="0" w:color="000000"/>
              <w:bottom w:val="single" w:sz="8" w:space="0" w:color="000000"/>
              <w:right w:val="single" w:sz="8" w:space="0" w:color="000000"/>
            </w:tcBorders>
          </w:tcPr>
          <w:p>
            <w:pPr>
              <w:pStyle w:val="TAL"/>
              <w:rPr/>
            </w:pPr>
            <w:r>
              <w:rPr/>
              <w:t>The subscriber identified by the SUPI has been removed from the CHF.</w:t>
            </w:r>
          </w:p>
        </w:tc>
        <w:tc>
          <w:tcPr>
            <w:tcW w:w="1440" w:type="dxa"/>
            <w:tcBorders>
              <w:top w:val="single" w:sz="8" w:space="0" w:color="000000"/>
              <w:bottom w:val="single" w:sz="8" w:space="0" w:color="000000"/>
              <w:right w:val="single" w:sz="8" w:space="0" w:color="000000"/>
            </w:tcBorders>
            <w:tcMar>
              <w:left w:w="0" w:type="dxa"/>
              <w:right w:w="0" w:type="dxa"/>
            </w:tcMar>
          </w:tcPr>
          <w:p>
            <w:pPr>
              <w:pStyle w:val="TAL"/>
              <w:snapToGrid w:val="false"/>
              <w:rPr/>
            </w:pPr>
            <w:r>
              <w:rPr/>
            </w:r>
          </w:p>
        </w:tc>
      </w:tr>
    </w:tbl>
    <w:p>
      <w:pPr>
        <w:pStyle w:val="Normal"/>
        <w:rPr>
          <w:lang w:val="en-US"/>
        </w:rPr>
      </w:pPr>
      <w:r>
        <w:rPr>
          <w:lang w:val="en-US"/>
        </w:rPr>
      </w:r>
    </w:p>
    <w:p>
      <w:pPr>
        <w:pStyle w:val="Heading2"/>
        <w:rPr/>
      </w:pPr>
      <w:bookmarkStart w:id="93" w:name="__RefHeading___Toc75349571"/>
      <w:bookmarkEnd w:id="93"/>
      <w:r>
        <w:rPr/>
        <w:t>5.7</w:t>
        <w:tab/>
        <w:t>Error handling</w:t>
      </w:r>
    </w:p>
    <w:p>
      <w:pPr>
        <w:pStyle w:val="Heading3"/>
        <w:rPr/>
      </w:pPr>
      <w:bookmarkStart w:id="94" w:name="__RefHeading___Toc75349572"/>
      <w:bookmarkEnd w:id="94"/>
      <w:r>
        <w:rPr/>
        <w:t>5.7.1</w:t>
        <w:tab/>
        <w:t>General</w:t>
      </w:r>
    </w:p>
    <w:p>
      <w:pPr>
        <w:pStyle w:val="Normal"/>
        <w:rPr/>
      </w:pPr>
      <w:r>
        <w:rPr/>
        <w:t>HTTP error handling shall be supported as specified in subclause 5.2.4 of 3GPP TS 29.500 [4].</w:t>
      </w:r>
    </w:p>
    <w:p>
      <w:pPr>
        <w:pStyle w:val="Normal"/>
        <w:rPr/>
      </w:pPr>
      <w:r>
        <w:rPr/>
        <w:t xml:space="preserve">For the </w:t>
      </w:r>
      <w:r>
        <w:rPr>
          <w:lang w:val="en-US"/>
        </w:rPr>
        <w:t>Nchf_SpendingLimitControl service</w:t>
      </w:r>
      <w:r>
        <w:rPr/>
        <w:t xml:space="preserve"> API, HTTP error responses shall be supported as specified in subclause 4.8 of 3GPP TS 29.501 [5].</w:t>
      </w:r>
    </w:p>
    <w:p>
      <w:pPr>
        <w:pStyle w:val="Normal"/>
        <w:rPr/>
      </w:pPr>
      <w:r>
        <w:rPr/>
        <w:t>Protocol errors and application errors specified in table 5.2.7.2-1 of 3GPP TS 29.500 [4] shall be supported for an HTTP method if the corresponding HTTP status codes are specified as mandatory for that HTTP method in table 5.2.7.1-1 of 3GPP TS 29.500 [4].</w:t>
      </w:r>
    </w:p>
    <w:p>
      <w:pPr>
        <w:pStyle w:val="Normal"/>
        <w:rPr/>
      </w:pPr>
      <w:r>
        <w:rPr/>
        <w:t>In addition, the requirements in the following subclauses shall apply.</w:t>
      </w:r>
    </w:p>
    <w:p>
      <w:pPr>
        <w:pStyle w:val="Heading3"/>
        <w:rPr/>
      </w:pPr>
      <w:bookmarkStart w:id="95" w:name="__RefHeading___Toc75349573"/>
      <w:bookmarkEnd w:id="95"/>
      <w:r>
        <w:rPr/>
        <w:t>5.7.2</w:t>
        <w:tab/>
        <w:t>Protocol Errors</w:t>
      </w:r>
    </w:p>
    <w:p>
      <w:pPr>
        <w:pStyle w:val="Normal"/>
        <w:rPr/>
      </w:pPr>
      <w:r>
        <w:rPr>
          <w:lang w:eastAsia="zh-CN"/>
        </w:rPr>
        <w:t xml:space="preserve">In this Release </w:t>
      </w:r>
      <w:r>
        <w:rPr/>
        <w:t xml:space="preserve">of the specification, there are no additional protocol errors applicable for the </w:t>
      </w:r>
      <w:r>
        <w:rPr>
          <w:lang w:val="en-US"/>
        </w:rPr>
        <w:t>Nchf_SpendingLimitControl service</w:t>
      </w:r>
      <w:r>
        <w:rPr/>
        <w:t xml:space="preserve"> API.</w:t>
      </w:r>
    </w:p>
    <w:p>
      <w:pPr>
        <w:pStyle w:val="Heading3"/>
        <w:rPr/>
      </w:pPr>
      <w:bookmarkStart w:id="96" w:name="__RefHeading___Toc75349574"/>
      <w:bookmarkEnd w:id="96"/>
      <w:r>
        <w:rPr/>
        <w:t>5.7.3</w:t>
        <w:tab/>
        <w:t>Application Errors</w:t>
      </w:r>
    </w:p>
    <w:p>
      <w:pPr>
        <w:pStyle w:val="Normal"/>
        <w:rPr/>
      </w:pPr>
      <w:r>
        <w:rPr/>
        <w:t xml:space="preserve">The application errors defined for the </w:t>
      </w:r>
      <w:r>
        <w:rPr>
          <w:lang w:val="en-US"/>
        </w:rPr>
        <w:t>Nchf_SpendingLimitControl service</w:t>
      </w:r>
      <w:r>
        <w:rPr/>
        <w:t xml:space="preserve"> API are listed in table 5.7.3-1. </w:t>
      </w:r>
    </w:p>
    <w:p>
      <w:pPr>
        <w:pStyle w:val="TH"/>
        <w:rPr/>
      </w:pPr>
      <w:r>
        <w:rPr/>
        <w:t>Table 5.7.3-1: Application errors</w:t>
      </w:r>
    </w:p>
    <w:tbl>
      <w:tblPr>
        <w:tblW w:w="9747" w:type="dxa"/>
        <w:jc w:val="center"/>
        <w:tblInd w:w="0" w:type="dxa"/>
        <w:tblLayout w:type="fixed"/>
        <w:tblCellMar>
          <w:top w:w="0" w:type="dxa"/>
          <w:left w:w="115" w:type="dxa"/>
          <w:bottom w:w="0" w:type="dxa"/>
          <w:right w:w="115" w:type="dxa"/>
        </w:tblCellMar>
      </w:tblPr>
      <w:tblGrid>
        <w:gridCol w:w="3834"/>
        <w:gridCol w:w="1980"/>
        <w:gridCol w:w="3933"/>
      </w:tblGrid>
      <w:tr>
        <w:trPr>
          <w:cantSplit w:val="true"/>
        </w:trPr>
        <w:tc>
          <w:tcPr>
            <w:tcW w:w="3834"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t>Application Error</w:t>
            </w:r>
          </w:p>
        </w:tc>
        <w:tc>
          <w:tcPr>
            <w:tcW w:w="1980"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t>HTTP status code</w:t>
            </w:r>
          </w:p>
        </w:tc>
        <w:tc>
          <w:tcPr>
            <w:tcW w:w="3933"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t>Description</w:t>
            </w:r>
          </w:p>
        </w:tc>
      </w:tr>
      <w:tr>
        <w:trPr>
          <w:cantSplit w:val="true"/>
        </w:trPr>
        <w:tc>
          <w:tcPr>
            <w:tcW w:w="3834" w:type="dxa"/>
            <w:tcBorders>
              <w:top w:val="single" w:sz="4" w:space="0" w:color="000000"/>
              <w:left w:val="single" w:sz="4" w:space="0" w:color="000000"/>
              <w:bottom w:val="single" w:sz="4" w:space="0" w:color="000000"/>
              <w:right w:val="single" w:sz="4" w:space="0" w:color="000000"/>
            </w:tcBorders>
          </w:tcPr>
          <w:p>
            <w:pPr>
              <w:pStyle w:val="TAL"/>
              <w:rPr/>
            </w:pPr>
            <w:r>
              <w:rPr/>
              <w:t>USER_UNKNOWN</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t>400 Bad Request</w:t>
            </w:r>
          </w:p>
        </w:tc>
        <w:tc>
          <w:tcPr>
            <w:tcW w:w="3933" w:type="dxa"/>
            <w:tcBorders>
              <w:top w:val="single" w:sz="4" w:space="0" w:color="000000"/>
              <w:left w:val="single" w:sz="4" w:space="0" w:color="000000"/>
              <w:bottom w:val="single" w:sz="4" w:space="0" w:color="000000"/>
              <w:right w:val="single" w:sz="4" w:space="0" w:color="000000"/>
            </w:tcBorders>
          </w:tcPr>
          <w:p>
            <w:pPr>
              <w:pStyle w:val="TAL"/>
              <w:rPr/>
            </w:pPr>
            <w:r>
              <w:rPr/>
              <w:t>The subscriber specified in the request is not known at the CHF and the subscription cannot be created.</w:t>
            </w:r>
          </w:p>
        </w:tc>
      </w:tr>
      <w:tr>
        <w:trPr>
          <w:cantSplit w:val="true"/>
        </w:trPr>
        <w:tc>
          <w:tcPr>
            <w:tcW w:w="3834" w:type="dxa"/>
            <w:tcBorders>
              <w:top w:val="single" w:sz="4" w:space="0" w:color="000000"/>
              <w:left w:val="single" w:sz="4" w:space="0" w:color="000000"/>
              <w:bottom w:val="single" w:sz="4" w:space="0" w:color="000000"/>
              <w:right w:val="single" w:sz="4" w:space="0" w:color="000000"/>
            </w:tcBorders>
          </w:tcPr>
          <w:p>
            <w:pPr>
              <w:pStyle w:val="TAL"/>
              <w:rPr/>
            </w:pPr>
            <w:r>
              <w:rPr/>
              <w:t>NO_AVAILABLE_POLICY_COUNTERS</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t>400 Bad Request</w:t>
            </w:r>
          </w:p>
        </w:tc>
        <w:tc>
          <w:tcPr>
            <w:tcW w:w="3933" w:type="dxa"/>
            <w:tcBorders>
              <w:top w:val="single" w:sz="4" w:space="0" w:color="000000"/>
              <w:left w:val="single" w:sz="4" w:space="0" w:color="000000"/>
              <w:bottom w:val="single" w:sz="4" w:space="0" w:color="000000"/>
              <w:right w:val="single" w:sz="4" w:space="0" w:color="000000"/>
            </w:tcBorders>
          </w:tcPr>
          <w:p>
            <w:pPr>
              <w:pStyle w:val="TAL"/>
              <w:rPr/>
            </w:pPr>
            <w:r>
              <w:rPr/>
              <w:t xml:space="preserve">There are no policy counters available for the subscriber at the CHF </w:t>
            </w:r>
          </w:p>
        </w:tc>
      </w:tr>
      <w:tr>
        <w:trPr>
          <w:cantSplit w:val="true"/>
        </w:trPr>
        <w:tc>
          <w:tcPr>
            <w:tcW w:w="3834" w:type="dxa"/>
            <w:tcBorders>
              <w:top w:val="single" w:sz="4" w:space="0" w:color="000000"/>
              <w:left w:val="single" w:sz="4" w:space="0" w:color="000000"/>
              <w:bottom w:val="single" w:sz="4" w:space="0" w:color="000000"/>
              <w:right w:val="single" w:sz="4" w:space="0" w:color="000000"/>
            </w:tcBorders>
          </w:tcPr>
          <w:p>
            <w:pPr>
              <w:pStyle w:val="TAL"/>
              <w:rPr/>
            </w:pPr>
            <w:r>
              <w:rPr/>
              <w:t>UNKNOWN_POLICY_COUNTERS</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t>400 Bad Request</w:t>
            </w:r>
          </w:p>
        </w:tc>
        <w:tc>
          <w:tcPr>
            <w:tcW w:w="3933" w:type="dxa"/>
            <w:tcBorders>
              <w:top w:val="single" w:sz="4" w:space="0" w:color="000000"/>
              <w:left w:val="single" w:sz="4" w:space="0" w:color="000000"/>
              <w:bottom w:val="single" w:sz="4" w:space="0" w:color="000000"/>
              <w:right w:val="single" w:sz="4" w:space="0" w:color="000000"/>
            </w:tcBorders>
          </w:tcPr>
          <w:p>
            <w:pPr>
              <w:pStyle w:val="TAL"/>
              <w:rPr/>
            </w:pPr>
            <w:r>
              <w:rPr/>
              <w:t>The policy counter identifiers in the request are not known at the CHF.</w:t>
            </w:r>
          </w:p>
        </w:tc>
      </w:tr>
      <w:tr>
        <w:trPr>
          <w:cantSplit w:val="true"/>
        </w:trPr>
        <w:tc>
          <w:tcPr>
            <w:tcW w:w="9747" w:type="dxa"/>
            <w:gridSpan w:val="3"/>
            <w:tcBorders>
              <w:top w:val="single" w:sz="4" w:space="0" w:color="000000"/>
              <w:left w:val="single" w:sz="4" w:space="0" w:color="000000"/>
              <w:bottom w:val="single" w:sz="4" w:space="0" w:color="000000"/>
              <w:right w:val="single" w:sz="4" w:space="0" w:color="000000"/>
            </w:tcBorders>
          </w:tcPr>
          <w:p>
            <w:pPr>
              <w:pStyle w:val="TAN"/>
              <w:rPr/>
            </w:pPr>
            <w:r>
              <w:rPr/>
              <w:t>NOTE:</w:t>
              <w:tab/>
              <w:t>Including a "ProblemDetails" data structure with the "cause" attribute in the HTTP response is optional unless explicitly mandated in the service operation subclauses.</w:t>
            </w:r>
          </w:p>
        </w:tc>
      </w:tr>
    </w:tbl>
    <w:p>
      <w:pPr>
        <w:pStyle w:val="Normal"/>
        <w:rPr/>
      </w:pPr>
      <w:r>
        <w:rPr/>
      </w:r>
    </w:p>
    <w:p>
      <w:pPr>
        <w:pStyle w:val="Heading2"/>
        <w:rPr/>
      </w:pPr>
      <w:bookmarkStart w:id="97" w:name="__RefHeading___Toc75349575"/>
      <w:bookmarkEnd w:id="97"/>
      <w:r>
        <w:rPr/>
        <w:t>5.</w:t>
      </w:r>
      <w:r>
        <w:rPr/>
        <w:t>8</w:t>
      </w:r>
      <w:r>
        <w:rPr>
          <w:lang w:eastAsia="zh-CN"/>
        </w:rPr>
        <w:tab/>
      </w:r>
      <w:r>
        <w:rPr>
          <w:lang w:eastAsia="zh-CN"/>
        </w:rPr>
        <w:t>Feature negotiation</w:t>
      </w:r>
    </w:p>
    <w:p>
      <w:pPr>
        <w:pStyle w:val="Normal"/>
        <w:rPr/>
      </w:pPr>
      <w:r>
        <w:rPr/>
        <w:t>The optional features in table 5.8-1 are defined for the Nchf_SpendingLimitControl Service API. They shall be negotiated using the extensibility mechanism defined in subclause 6.6.2 of 3GPP TS 29.500 [4].</w:t>
      </w:r>
    </w:p>
    <w:p>
      <w:pPr>
        <w:pStyle w:val="TH"/>
        <w:rPr/>
      </w:pPr>
      <w:r>
        <w:rPr>
          <w:lang w:val="en-US" w:eastAsia="en-US"/>
        </w:rPr>
        <w:t>Table 5.8</w:t>
      </w:r>
      <w:r>
        <w:rPr/>
        <w:t>-1: Supported Features</w:t>
      </w:r>
    </w:p>
    <w:tbl>
      <w:tblPr>
        <w:tblW w:w="9494" w:type="dxa"/>
        <w:jc w:val="center"/>
        <w:tblInd w:w="0" w:type="dxa"/>
        <w:tblLayout w:type="fixed"/>
        <w:tblCellMar>
          <w:top w:w="0" w:type="dxa"/>
          <w:left w:w="28" w:type="dxa"/>
          <w:bottom w:w="0" w:type="dxa"/>
          <w:right w:w="115" w:type="dxa"/>
        </w:tblCellMar>
      </w:tblPr>
      <w:tblGrid>
        <w:gridCol w:w="1637"/>
        <w:gridCol w:w="2430"/>
        <w:gridCol w:w="5427"/>
      </w:tblGrid>
      <w:tr>
        <w:trPr/>
        <w:tc>
          <w:tcPr>
            <w:tcW w:w="1637"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Feature number</w:t>
            </w:r>
          </w:p>
        </w:tc>
        <w:tc>
          <w:tcPr>
            <w:tcW w:w="243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Feature Name</w:t>
            </w:r>
          </w:p>
        </w:tc>
        <w:tc>
          <w:tcPr>
            <w:tcW w:w="5427"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Description</w:t>
            </w:r>
          </w:p>
        </w:tc>
      </w:tr>
      <w:tr>
        <w:trPr/>
        <w:tc>
          <w:tcPr>
            <w:tcW w:w="163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w:t>
            </w:r>
          </w:p>
        </w:tc>
        <w:tc>
          <w:tcPr>
            <w:tcW w:w="243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SubscriptionExpirationTimeControl</w:t>
            </w:r>
          </w:p>
        </w:tc>
        <w:tc>
          <w:tcPr>
            <w:tcW w:w="542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Indicates the support of a expiry time to control the time duration of the subscription to changes of policy counters status.</w:t>
            </w:r>
          </w:p>
        </w:tc>
      </w:tr>
      <w:tr>
        <w:trPr/>
        <w:tc>
          <w:tcPr>
            <w:tcW w:w="163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2</w:t>
            </w:r>
          </w:p>
        </w:tc>
        <w:tc>
          <w:tcPr>
            <w:tcW w:w="243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NotifiationCorrelation</w:t>
            </w:r>
          </w:p>
        </w:tc>
        <w:tc>
          <w:tcPr>
            <w:tcW w:w="542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Indicates the support of the explicit indication of the notification correlation id</w:t>
            </w:r>
          </w:p>
        </w:tc>
      </w:tr>
      <w:tr>
        <w:trPr/>
        <w:tc>
          <w:tcPr>
            <w:tcW w:w="163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3</w:t>
            </w:r>
          </w:p>
        </w:tc>
        <w:tc>
          <w:tcPr>
            <w:tcW w:w="243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ES3XX</w:t>
            </w:r>
          </w:p>
        </w:tc>
        <w:tc>
          <w:tcPr>
            <w:tcW w:w="542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Extended Support for 3xx redirections. This feature indicates the support of redirection for any service operation, according to Stateless NF procedures as specified in subclauses 6.5.3.2 and 6.5.3.3 of 3GPP TS 29.500 [4] and according to HTTP redirection principles for indirect communication, as specified in subclause 6.10.9 of 3GPP TS 29.500 [4]. </w:t>
            </w:r>
          </w:p>
        </w:tc>
      </w:tr>
    </w:tbl>
    <w:p>
      <w:pPr>
        <w:pStyle w:val="Normal"/>
        <w:rPr/>
      </w:pPr>
      <w:r>
        <w:rPr/>
      </w:r>
    </w:p>
    <w:p>
      <w:pPr>
        <w:pStyle w:val="Heading2"/>
        <w:rPr/>
      </w:pPr>
      <w:bookmarkStart w:id="98" w:name="__RefHeading___Toc75349576"/>
      <w:bookmarkEnd w:id="98"/>
      <w:r>
        <w:rPr/>
        <w:t>5.9</w:t>
        <w:tab/>
        <w:t>Security</w:t>
      </w:r>
    </w:p>
    <w:p>
      <w:pPr>
        <w:pStyle w:val="Normal"/>
        <w:rPr/>
      </w:pPr>
      <w:r>
        <w:rPr/>
        <w:t>As indicated in 3GPP TS 33.501 [14] and 3GPP TS 29.500 [4], the access to the Nchf_SpendingLimitControl API, based on local configuration, may be authorized by means of the OAuth2 protocol (see IETF RFC 6749 [15]), using the "Client Credentials" authorization grant, where the NRF (see 3GPP TS 29.510 [16]) plays the role of the authorization server.</w:t>
      </w:r>
    </w:p>
    <w:p>
      <w:pPr>
        <w:pStyle w:val="Normal"/>
        <w:rPr/>
      </w:pPr>
      <w:r>
        <w:rPr/>
        <w:t>If OAuth2 is used, an NF Service Consumer, prior to consuming services offered by the Nchf_SpendingLimitControl API, shall obtain a "token" from the authorization server, by invoking the Access Token Request service, as described in 3GPP TS 29.510 [16], subclause 5.4.2.2.</w:t>
      </w:r>
    </w:p>
    <w:p>
      <w:pPr>
        <w:pStyle w:val="NO"/>
        <w:rPr/>
      </w:pPr>
      <w:r>
        <w:rPr>
          <w:rFonts w:eastAsia="Times New Roman"/>
        </w:rPr>
        <w:t>NOTE:</w:t>
        <w:tab/>
        <w:t>When multiple NRFs are deployed in a network, the NRF used as authorization server is the same NRF that the NF Service Consumer used for discovering the Nchf_SpendingLimitControl service.</w:t>
      </w:r>
    </w:p>
    <w:p>
      <w:pPr>
        <w:pStyle w:val="Normal"/>
        <w:rPr/>
      </w:pPr>
      <w:bookmarkStart w:id="99" w:name="_Hlk530142087"/>
      <w:r>
        <w:rPr/>
        <w:t>The Nchf_SpendingLimitControl API defines a single scope "nchf-spendinglimitcontrol" for OAuth2 authorization (as specified in 3GPP TS 33.501 [14]) for the entire API, and it does not define any additional scopes at resource or operation level.</w:t>
      </w:r>
      <w:bookmarkEnd w:id="99"/>
      <w:r>
        <w:br w:type="page"/>
      </w:r>
    </w:p>
    <w:p>
      <w:pPr>
        <w:pStyle w:val="Heading8"/>
        <w:ind w:left="0" w:hanging="0"/>
        <w:rPr/>
      </w:pPr>
      <w:bookmarkStart w:id="100" w:name="__RefHeading___Toc75349577"/>
      <w:bookmarkEnd w:id="100"/>
      <w:r>
        <w:rPr/>
        <w:t>Annex A (normative):</w:t>
        <w:tab/>
        <w:br/>
        <w:t>OpenAPI specification</w:t>
      </w:r>
    </w:p>
    <w:p>
      <w:pPr>
        <w:pStyle w:val="Heading1"/>
        <w:ind w:left="1134" w:hanging="1134"/>
        <w:rPr/>
      </w:pPr>
      <w:bookmarkStart w:id="101" w:name="__RefHeading___Toc75349578"/>
      <w:bookmarkEnd w:id="101"/>
      <w:r>
        <w:rPr/>
        <w:t>A.1</w:t>
        <w:tab/>
        <w:t>General</w:t>
      </w:r>
    </w:p>
    <w:p>
      <w:pPr>
        <w:pStyle w:val="Normal"/>
        <w:rPr/>
      </w:pPr>
      <w:r>
        <w:rPr/>
        <w:t>The present Annex contains an OpenAPI [9] specification of HTTP messages and content bodies used by the Nchf_SpendingLimitControl Service API.</w:t>
      </w:r>
    </w:p>
    <w:p>
      <w:pPr>
        <w:pStyle w:val="Normal"/>
        <w:rPr/>
      </w:pPr>
      <w:r>
        <w:rPr/>
        <w:t>This Annex shall take precedence when being discrepant to other parts of the specification with respect to the encoding of information elements and methods within the API.</w:t>
      </w:r>
    </w:p>
    <w:p>
      <w:pPr>
        <w:pStyle w:val="NO"/>
        <w:rPr/>
      </w:pPr>
      <w:r>
        <w:rPr/>
        <w:t>NOTE:</w:t>
        <w:tab/>
        <w:t>The semantics and procedures, as well as conditions, e.g. for the applicability and allowed combinations of attributes or values, not expressed in the OpenAPI definitions but defined in other parts of the specification also apply.</w:t>
      </w:r>
    </w:p>
    <w:p>
      <w:pPr>
        <w:pStyle w:val="Normal"/>
        <w:rPr/>
      </w:pPr>
      <w:r>
        <w:rPr/>
        <w:t xml:space="preserve">Informative copies of the OpenAPI specification file contained in this 3GPP Technical Specification are available on a Git-based repository that uses the GitLab software version control system </w:t>
      </w:r>
      <w:r>
        <w:rPr>
          <w:lang w:eastAsia="zh-CN"/>
        </w:rPr>
        <w:t xml:space="preserve">(see clause 5B of the 3GPP TR 21.900 [17] and </w:t>
      </w:r>
      <w:r>
        <w:rPr/>
        <w:t>subclause 5.3.1 of the 3GPP TS 29.501 [5]</w:t>
      </w:r>
      <w:r>
        <w:rPr>
          <w:lang w:eastAsia="zh-CN"/>
        </w:rPr>
        <w:t xml:space="preserve"> for further information)</w:t>
      </w:r>
      <w:r>
        <w:rPr/>
        <w:t>.</w:t>
      </w:r>
    </w:p>
    <w:p>
      <w:pPr>
        <w:pStyle w:val="Heading1"/>
        <w:ind w:left="1134" w:hanging="1134"/>
        <w:rPr/>
      </w:pPr>
      <w:bookmarkStart w:id="102" w:name="__RefHeading___Toc75349579"/>
      <w:bookmarkEnd w:id="102"/>
      <w:r>
        <w:rPr/>
        <w:t>A.2</w:t>
        <w:tab/>
      </w:r>
      <w:r>
        <w:rPr>
          <w:rFonts w:eastAsia="Times New Roman"/>
        </w:rPr>
        <w:t>Nchf_SpendingLimitControl</w:t>
      </w:r>
      <w:r>
        <w:rPr>
          <w:lang w:eastAsia="zh-CN"/>
        </w:rPr>
        <w:t xml:space="preserve"> </w:t>
      </w:r>
      <w:r>
        <w:rPr>
          <w:lang w:eastAsia="zh-CN"/>
        </w:rPr>
        <w:t>Service</w:t>
      </w:r>
      <w:r>
        <w:rPr>
          <w:lang w:val="en-US" w:eastAsia="en-US"/>
        </w:rPr>
        <w:t xml:space="preserve"> API</w:t>
      </w:r>
    </w:p>
    <w:p>
      <w:pPr>
        <w:pStyle w:val="PL"/>
        <w:rPr/>
      </w:pPr>
      <w:r>
        <w:rPr/>
        <w:t>openapi: 3.0.0</w:t>
      </w:r>
    </w:p>
    <w:p>
      <w:pPr>
        <w:pStyle w:val="PL"/>
        <w:rPr/>
      </w:pPr>
      <w:r>
        <w:rPr/>
        <w:t>info:</w:t>
      </w:r>
    </w:p>
    <w:p>
      <w:pPr>
        <w:pStyle w:val="PL"/>
        <w:rPr/>
      </w:pPr>
      <w:r>
        <w:rPr>
          <w:rFonts w:eastAsia="Courier New"/>
        </w:rPr>
        <w:t xml:space="preserve">  </w:t>
      </w:r>
      <w:r>
        <w:rPr/>
        <w:t>version: 1.1.3</w:t>
      </w:r>
    </w:p>
    <w:p>
      <w:pPr>
        <w:pStyle w:val="PL"/>
        <w:rPr/>
      </w:pPr>
      <w:r>
        <w:rPr>
          <w:rFonts w:eastAsia="Courier New"/>
        </w:rPr>
        <w:t xml:space="preserve">  </w:t>
      </w:r>
      <w:r>
        <w:rPr/>
        <w:t>title: Nchf_SpendingLimitControl</w:t>
      </w:r>
    </w:p>
    <w:p>
      <w:pPr>
        <w:pStyle w:val="PL"/>
        <w:rPr/>
      </w:pPr>
      <w:r>
        <w:rPr>
          <w:rFonts w:eastAsia="Courier New"/>
        </w:rPr>
        <w:t xml:space="preserve">  </w:t>
      </w:r>
      <w:r>
        <w:rPr/>
        <w:t>description: |</w:t>
      </w:r>
    </w:p>
    <w:p>
      <w:pPr>
        <w:pStyle w:val="PL"/>
        <w:rPr/>
      </w:pPr>
      <w:r>
        <w:rPr>
          <w:rFonts w:eastAsia="Courier New"/>
        </w:rPr>
        <w:t xml:space="preserve">    </w:t>
      </w:r>
      <w:r>
        <w:rPr/>
        <w:t>Nchf Spending Limit Control Service.</w:t>
      </w:r>
    </w:p>
    <w:p>
      <w:pPr>
        <w:pStyle w:val="PL"/>
        <w:rPr/>
      </w:pPr>
      <w:r>
        <w:rPr>
          <w:rFonts w:eastAsia="Courier New"/>
        </w:rPr>
        <w:t xml:space="preserve">    </w:t>
      </w:r>
      <w:r>
        <w:rPr/>
        <w:t>© 2021, 3GPP Organizational Partners (ARIB, ATIS, CCSA, ETSI, TSDSI, TTA, TTC).</w:t>
      </w:r>
    </w:p>
    <w:p>
      <w:pPr>
        <w:pStyle w:val="PL"/>
        <w:rPr/>
      </w:pPr>
      <w:r>
        <w:rPr>
          <w:rFonts w:eastAsia="Courier New"/>
        </w:rPr>
        <w:t xml:space="preserve">    </w:t>
      </w:r>
      <w:r>
        <w:rPr/>
        <w:t>All rights reserved.</w:t>
      </w:r>
    </w:p>
    <w:p>
      <w:pPr>
        <w:pStyle w:val="PL"/>
        <w:rPr/>
      </w:pPr>
      <w:r>
        <w:rPr>
          <w:lang w:val="en-GB" w:eastAsia="en-US"/>
        </w:rPr>
        <w:t>externalDocs:</w:t>
      </w:r>
    </w:p>
    <w:p>
      <w:pPr>
        <w:pStyle w:val="PL"/>
        <w:rPr/>
      </w:pPr>
      <w:r>
        <w:rPr>
          <w:rFonts w:eastAsia="Courier New"/>
          <w:lang w:val="en-GB" w:eastAsia="en-US"/>
        </w:rPr>
        <w:t xml:space="preserve">  </w:t>
      </w:r>
      <w:r>
        <w:rPr>
          <w:lang w:val="en-GB" w:eastAsia="en-US"/>
        </w:rPr>
        <w:t xml:space="preserve">description: 3GPP TS 29.594 V16.6.0; 5G System; </w:t>
      </w:r>
      <w:r>
        <w:rPr/>
        <w:t>Spending Limit Control Service</w:t>
      </w:r>
      <w:r>
        <w:rPr>
          <w:lang w:val="en-GB" w:eastAsia="en-US"/>
        </w:rPr>
        <w:t>.</w:t>
      </w:r>
    </w:p>
    <w:p>
      <w:pPr>
        <w:pStyle w:val="PL"/>
        <w:rPr>
          <w:lang w:val="en-GB" w:eastAsia="en-US"/>
        </w:rPr>
      </w:pPr>
      <w:r>
        <w:rPr>
          <w:rFonts w:eastAsia="Courier New"/>
          <w:lang w:val="en-GB" w:eastAsia="en-US"/>
        </w:rPr>
        <w:t xml:space="preserve">  </w:t>
      </w:r>
      <w:r>
        <w:rPr>
          <w:lang w:val="en-GB" w:eastAsia="en-US"/>
        </w:rPr>
        <w:t>url: 'http://www.3gpp.org/ftp/Specs/archive/29_series/29.594/'</w:t>
      </w:r>
    </w:p>
    <w:p>
      <w:pPr>
        <w:pStyle w:val="PL"/>
        <w:rPr/>
      </w:pPr>
      <w:r>
        <w:rPr/>
        <w:t>servers:</w:t>
      </w:r>
    </w:p>
    <w:p>
      <w:pPr>
        <w:pStyle w:val="PL"/>
        <w:rPr/>
      </w:pPr>
      <w:r>
        <w:rPr>
          <w:rFonts w:eastAsia="Courier New"/>
        </w:rPr>
        <w:t xml:space="preserve">  </w:t>
      </w:r>
      <w:r>
        <w:rPr/>
        <w:t xml:space="preserve">- url: </w:t>
      </w:r>
      <w:r>
        <w:rPr>
          <w:lang w:val="en-US" w:eastAsia="en-US"/>
        </w:rPr>
        <w:t>'</w:t>
      </w:r>
      <w:r>
        <w:rPr/>
        <w:t>{apiRoot}/nchf-spendinglimitcontrol/v1</w:t>
      </w:r>
      <w:r>
        <w:rPr>
          <w:lang w:val="en-US" w:eastAsia="en-US"/>
        </w:rPr>
        <w:t>'</w:t>
      </w:r>
    </w:p>
    <w:p>
      <w:pPr>
        <w:pStyle w:val="PL"/>
        <w:rPr/>
      </w:pPr>
      <w:r>
        <w:rPr>
          <w:rFonts w:eastAsia="Courier New"/>
        </w:rPr>
        <w:t xml:space="preserve">    </w:t>
      </w:r>
      <w:r>
        <w:rPr/>
        <w:t>variables:</w:t>
      </w:r>
    </w:p>
    <w:p>
      <w:pPr>
        <w:pStyle w:val="PL"/>
        <w:rPr/>
      </w:pPr>
      <w:r>
        <w:rPr>
          <w:rFonts w:eastAsia="Courier New"/>
        </w:rPr>
        <w:t xml:space="preserve">      </w:t>
      </w:r>
      <w:r>
        <w:rPr/>
        <w:t>apiRoot:</w:t>
      </w:r>
    </w:p>
    <w:p>
      <w:pPr>
        <w:pStyle w:val="PL"/>
        <w:rPr/>
      </w:pPr>
      <w:r>
        <w:rPr>
          <w:rFonts w:eastAsia="Courier New"/>
        </w:rPr>
        <w:t xml:space="preserve">        </w:t>
      </w:r>
      <w:r>
        <w:rPr/>
        <w:t>default: https://example.com</w:t>
      </w:r>
    </w:p>
    <w:p>
      <w:pPr>
        <w:pStyle w:val="PL"/>
        <w:rPr/>
      </w:pPr>
      <w:r>
        <w:rPr>
          <w:rFonts w:eastAsia="Courier New"/>
        </w:rPr>
        <w:t xml:space="preserve">        </w:t>
      </w:r>
      <w:r>
        <w:rPr/>
        <w:t>description: apiRoot as defined in subclause subclause 4.4 of 3GPP TS 29.501</w:t>
      </w:r>
    </w:p>
    <w:p>
      <w:pPr>
        <w:pStyle w:val="PL"/>
        <w:rPr>
          <w:lang w:val="en-US" w:eastAsia="en-US"/>
        </w:rPr>
      </w:pPr>
      <w:r>
        <w:rPr>
          <w:lang w:val="en-US" w:eastAsia="en-US"/>
        </w:rPr>
        <w:t>security:</w:t>
      </w:r>
    </w:p>
    <w:p>
      <w:pPr>
        <w:pStyle w:val="PL"/>
        <w:rPr/>
      </w:pPr>
      <w:r>
        <w:rPr>
          <w:rFonts w:eastAsia="Courier New"/>
          <w:lang w:val="en-US" w:eastAsia="en-US"/>
        </w:rPr>
        <w:t xml:space="preserve">  </w:t>
      </w:r>
      <w:r>
        <w:rPr>
          <w:lang w:val="en-US" w:eastAsia="en-US"/>
        </w:rPr>
        <w:t>- {}</w:t>
      </w:r>
    </w:p>
    <w:p>
      <w:pPr>
        <w:pStyle w:val="PL"/>
        <w:rPr>
          <w:lang w:val="en-US" w:eastAsia="en-US"/>
        </w:rPr>
      </w:pPr>
      <w:r>
        <w:rPr>
          <w:rFonts w:eastAsia="Courier New"/>
          <w:lang w:val="en-US" w:eastAsia="en-US"/>
        </w:rPr>
        <w:t xml:space="preserve">  </w:t>
      </w:r>
      <w:r>
        <w:rPr>
          <w:lang w:val="en-US" w:eastAsia="en-US"/>
        </w:rPr>
        <w:t>- oAuth2ClientCredentials:</w:t>
      </w:r>
    </w:p>
    <w:p>
      <w:pPr>
        <w:pStyle w:val="PL"/>
        <w:rPr>
          <w:lang w:val="en-US" w:eastAsia="en-US"/>
        </w:rPr>
      </w:pPr>
      <w:r>
        <w:rPr>
          <w:rFonts w:eastAsia="Courier New"/>
          <w:lang w:val="en-US" w:eastAsia="en-US"/>
        </w:rPr>
        <w:t xml:space="preserve">    </w:t>
      </w:r>
      <w:r>
        <w:rPr>
          <w:lang w:val="en-US" w:eastAsia="en-US"/>
        </w:rPr>
        <w:t xml:space="preserve">- </w:t>
      </w:r>
      <w:r>
        <w:rPr/>
        <w:t>nchf-spendinglimitcontrol</w:t>
      </w:r>
    </w:p>
    <w:p>
      <w:pPr>
        <w:pStyle w:val="PL"/>
        <w:rPr/>
      </w:pPr>
      <w:r>
        <w:rPr/>
        <w:t>paths:</w:t>
      </w:r>
    </w:p>
    <w:p>
      <w:pPr>
        <w:pStyle w:val="PL"/>
        <w:rPr/>
      </w:pPr>
      <w:r>
        <w:rPr>
          <w:rFonts w:eastAsia="Courier New"/>
        </w:rPr>
        <w:t xml:space="preserve">  </w:t>
      </w:r>
      <w:r>
        <w:rPr/>
        <w:t>/subscriptions:</w:t>
      </w:r>
    </w:p>
    <w:p>
      <w:pPr>
        <w:pStyle w:val="PL"/>
        <w:rPr/>
      </w:pPr>
      <w:r>
        <w:rPr>
          <w:rFonts w:eastAsia="Courier New"/>
        </w:rPr>
        <w:t xml:space="preserve">    </w:t>
      </w:r>
      <w:r>
        <w:rPr/>
        <w:t>post:</w:t>
      </w:r>
    </w:p>
    <w:p>
      <w:pPr>
        <w:pStyle w:val="PL"/>
        <w:rPr/>
      </w:pPr>
      <w:r>
        <w:rPr>
          <w:rFonts w:eastAsia="Courier New"/>
        </w:rPr>
        <w:t xml:space="preserve">      </w:t>
      </w:r>
      <w:r>
        <w:rPr/>
        <w:t>requestBody:</w:t>
      </w:r>
    </w:p>
    <w:p>
      <w:pPr>
        <w:pStyle w:val="PL"/>
        <w:rPr/>
      </w:pPr>
      <w:r>
        <w:rPr>
          <w:rFonts w:eastAsia="Courier New"/>
        </w:rPr>
        <w:t xml:space="preserve">        </w:t>
      </w:r>
      <w:r>
        <w:rPr/>
        <w:t>required: true</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'#/components/schemas/SpendingLimitContext'</w:t>
      </w:r>
    </w:p>
    <w:p>
      <w:pPr>
        <w:pStyle w:val="PL"/>
        <w:rPr/>
      </w:pPr>
      <w:r>
        <w:rPr>
          <w:rFonts w:eastAsia="Courier New"/>
        </w:rPr>
        <w:t xml:space="preserve">      </w:t>
      </w:r>
      <w:r>
        <w:rPr>
          <w:lang w:val="fr-FR" w:eastAsia="en-US"/>
        </w:rPr>
        <w:t>responses:</w:t>
      </w:r>
    </w:p>
    <w:p>
      <w:pPr>
        <w:pStyle w:val="PL"/>
        <w:rPr/>
      </w:pPr>
      <w:r>
        <w:rPr>
          <w:rFonts w:eastAsia="Courier New"/>
          <w:lang w:val="fr-FR" w:eastAsia="en-US"/>
        </w:rPr>
        <w:t xml:space="preserve">        </w:t>
      </w:r>
      <w:r>
        <w:rPr>
          <w:lang w:val="fr-FR" w:eastAsia="en-US"/>
        </w:rPr>
        <w:t>'201':</w:t>
      </w:r>
    </w:p>
    <w:p>
      <w:pPr>
        <w:pStyle w:val="PL"/>
        <w:rPr>
          <w:lang w:val="fr-FR" w:eastAsia="en-US"/>
        </w:rPr>
      </w:pPr>
      <w:r>
        <w:rPr>
          <w:rFonts w:eastAsia="Courier New"/>
          <w:lang w:val="fr-FR" w:eastAsia="en-US"/>
        </w:rPr>
        <w:t xml:space="preserve">          </w:t>
      </w:r>
      <w:r>
        <w:rPr>
          <w:lang w:val="fr-FR" w:eastAsia="en-US"/>
        </w:rPr>
        <w:t>description: Success</w:t>
      </w:r>
    </w:p>
    <w:p>
      <w:pPr>
        <w:pStyle w:val="PL"/>
        <w:rPr/>
      </w:pPr>
      <w:r>
        <w:rPr>
          <w:rFonts w:eastAsia="Courier New"/>
          <w:lang w:val="fr-FR" w:eastAsia="en-US"/>
        </w:rPr>
        <w:t xml:space="preserve">          </w:t>
      </w:r>
      <w:r>
        <w:rPr>
          <w:lang w:val="fr-FR" w:eastAsia="en-US"/>
        </w:rPr>
        <w:t>content:</w:t>
      </w:r>
    </w:p>
    <w:p>
      <w:pPr>
        <w:pStyle w:val="PL"/>
        <w:rPr/>
      </w:pPr>
      <w:r>
        <w:rPr>
          <w:rFonts w:eastAsia="Courier New"/>
          <w:lang w:val="fr-FR" w:eastAsia="en-US"/>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'#/components/schemas/SpendingLimitStatus'</w:t>
      </w:r>
    </w:p>
    <w:p>
      <w:pPr>
        <w:pStyle w:val="PL"/>
        <w:rPr/>
      </w:pPr>
      <w:r>
        <w:rPr>
          <w:rFonts w:eastAsia="Courier New"/>
        </w:rPr>
        <w:t xml:space="preserve">          </w:t>
      </w:r>
      <w:r>
        <w:rPr/>
        <w:t>headers:</w:t>
      </w:r>
    </w:p>
    <w:p>
      <w:pPr>
        <w:pStyle w:val="PL"/>
        <w:rPr/>
      </w:pPr>
      <w:r>
        <w:rPr>
          <w:rFonts w:eastAsia="Courier New"/>
        </w:rPr>
        <w:t xml:space="preserve">            </w:t>
      </w:r>
      <w:r>
        <w:rPr/>
        <w:t>Location:</w:t>
      </w:r>
    </w:p>
    <w:p>
      <w:pPr>
        <w:pStyle w:val="PL"/>
        <w:rPr/>
      </w:pPr>
      <w:r>
        <w:rPr>
          <w:rFonts w:eastAsia="Courier New"/>
        </w:rPr>
        <w:t xml:space="preserve">              </w:t>
      </w:r>
      <w:r>
        <w:rPr/>
        <w:t>description: 'Contains the URI of the created individual spending limit resource, according to the structure: {apiRoot}/nchf-spendinglimitcontrol/v1/subscriptions/{subscriptionId}'</w:t>
      </w:r>
    </w:p>
    <w:p>
      <w:pPr>
        <w:pStyle w:val="PL"/>
        <w:rPr/>
      </w:pPr>
      <w:r>
        <w:rPr>
          <w:rFonts w:eastAsia="Courier New"/>
        </w:rPr>
        <w:t xml:space="preserve">              </w:t>
      </w:r>
      <w:r>
        <w:rPr/>
        <w:t>required: true</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rFonts w:eastAsia="Courier New"/>
        </w:rPr>
        <w:t xml:space="preserve">        </w:t>
      </w:r>
      <w:r>
        <w:rPr/>
        <w:t>'400':</w:t>
      </w:r>
    </w:p>
    <w:p>
      <w:pPr>
        <w:pStyle w:val="PL"/>
        <w:rPr/>
      </w:pPr>
      <w:r>
        <w:rPr>
          <w:rFonts w:eastAsia="Courier New"/>
        </w:rPr>
        <w:t xml:space="preserve">          </w:t>
      </w:r>
      <w:r>
        <w:rPr/>
        <w:t>$ref: 'TS29571_CommonData.yaml#/components/responses/400'</w:t>
      </w:r>
    </w:p>
    <w:p>
      <w:pPr>
        <w:pStyle w:val="PL"/>
        <w:rPr/>
      </w:pPr>
      <w:r>
        <w:rPr>
          <w:rFonts w:eastAsia="Courier New"/>
        </w:rPr>
        <w:t xml:space="preserve">        </w:t>
      </w:r>
      <w:r>
        <w:rPr/>
        <w:t>'401':</w:t>
      </w:r>
    </w:p>
    <w:p>
      <w:pPr>
        <w:pStyle w:val="PL"/>
        <w:rPr/>
      </w:pPr>
      <w:r>
        <w:rPr>
          <w:rFonts w:eastAsia="Courier New"/>
        </w:rPr>
        <w:t xml:space="preserve">          </w:t>
      </w:r>
      <w:r>
        <w:rPr/>
        <w:t>$ref: 'TS29571_CommonData.yaml#/components/responses/401'</w:t>
      </w:r>
    </w:p>
    <w:p>
      <w:pPr>
        <w:pStyle w:val="PL"/>
        <w:rPr/>
      </w:pPr>
      <w:r>
        <w:rPr>
          <w:rFonts w:eastAsia="Courier New"/>
        </w:rPr>
        <w:t xml:space="preserve">        </w:t>
      </w:r>
      <w:r>
        <w:rPr/>
        <w:t>'403':</w:t>
      </w:r>
    </w:p>
    <w:p>
      <w:pPr>
        <w:pStyle w:val="PL"/>
        <w:rPr/>
      </w:pPr>
      <w:r>
        <w:rPr>
          <w:rFonts w:eastAsia="Courier New"/>
        </w:rPr>
        <w:t xml:space="preserve">          </w:t>
      </w:r>
      <w:r>
        <w:rPr/>
        <w:t>$ref: 'TS29571_CommonData.yaml#/components/responses/403'</w:t>
      </w:r>
    </w:p>
    <w:p>
      <w:pPr>
        <w:pStyle w:val="PL"/>
        <w:rPr/>
      </w:pPr>
      <w:r>
        <w:rPr>
          <w:rFonts w:eastAsia="Courier New"/>
        </w:rPr>
        <w:t xml:space="preserve">        </w:t>
      </w:r>
      <w:r>
        <w:rPr/>
        <w:t>'404':</w:t>
      </w:r>
    </w:p>
    <w:p>
      <w:pPr>
        <w:pStyle w:val="PL"/>
        <w:rPr/>
      </w:pPr>
      <w:r>
        <w:rPr>
          <w:rFonts w:eastAsia="Courier New"/>
        </w:rPr>
        <w:t xml:space="preserve">          </w:t>
      </w:r>
      <w:r>
        <w:rPr/>
        <w:t>$ref: 'TS29571_CommonData.yaml#/components/responses/404'</w:t>
      </w:r>
    </w:p>
    <w:p>
      <w:pPr>
        <w:pStyle w:val="PL"/>
        <w:rPr/>
      </w:pPr>
      <w:r>
        <w:rPr>
          <w:rFonts w:eastAsia="Courier New"/>
        </w:rPr>
        <w:t xml:space="preserve">        </w:t>
      </w:r>
      <w:r>
        <w:rPr/>
        <w:t>'411':</w:t>
      </w:r>
    </w:p>
    <w:p>
      <w:pPr>
        <w:pStyle w:val="PL"/>
        <w:rPr/>
      </w:pPr>
      <w:r>
        <w:rPr>
          <w:rFonts w:eastAsia="Courier New"/>
        </w:rPr>
        <w:t xml:space="preserve">          </w:t>
      </w:r>
      <w:r>
        <w:rPr/>
        <w:t>$ref: 'TS29571_CommonData.yaml#/components/responses/411'</w:t>
      </w:r>
    </w:p>
    <w:p>
      <w:pPr>
        <w:pStyle w:val="PL"/>
        <w:rPr/>
      </w:pPr>
      <w:r>
        <w:rPr>
          <w:rFonts w:eastAsia="Courier New"/>
        </w:rPr>
        <w:t xml:space="preserve">        </w:t>
      </w:r>
      <w:r>
        <w:rPr/>
        <w:t>'413':</w:t>
      </w:r>
    </w:p>
    <w:p>
      <w:pPr>
        <w:pStyle w:val="PL"/>
        <w:rPr/>
      </w:pPr>
      <w:r>
        <w:rPr>
          <w:rFonts w:eastAsia="Courier New"/>
        </w:rPr>
        <w:t xml:space="preserve">          </w:t>
      </w:r>
      <w:r>
        <w:rPr/>
        <w:t>$ref: 'TS29571_CommonData.yaml#/components/responses/413'</w:t>
      </w:r>
    </w:p>
    <w:p>
      <w:pPr>
        <w:pStyle w:val="PL"/>
        <w:rPr/>
      </w:pPr>
      <w:r>
        <w:rPr>
          <w:rFonts w:eastAsia="Courier New"/>
        </w:rPr>
        <w:t xml:space="preserve">        </w:t>
      </w:r>
      <w:r>
        <w:rPr/>
        <w:t>'415':</w:t>
      </w:r>
    </w:p>
    <w:p>
      <w:pPr>
        <w:pStyle w:val="PL"/>
        <w:rPr/>
      </w:pPr>
      <w:r>
        <w:rPr>
          <w:rFonts w:eastAsia="Courier New"/>
        </w:rPr>
        <w:t xml:space="preserve">          </w:t>
      </w:r>
      <w:r>
        <w:rPr/>
        <w:t>$ref: 'TS29571_CommonData.yaml#/components/responses/415'</w:t>
      </w:r>
    </w:p>
    <w:p>
      <w:pPr>
        <w:pStyle w:val="PL"/>
        <w:rPr/>
      </w:pPr>
      <w:r>
        <w:rPr>
          <w:rFonts w:eastAsia="Courier New"/>
          <w:lang w:val="en-GB" w:eastAsia="en-US"/>
        </w:rPr>
        <w:t xml:space="preserve">        </w:t>
      </w:r>
      <w:r>
        <w:rPr>
          <w:lang w:val="en-GB" w:eastAsia="en-US"/>
        </w:rPr>
        <w:t>'429':</w:t>
      </w:r>
    </w:p>
    <w:p>
      <w:pPr>
        <w:pStyle w:val="PL"/>
        <w:rPr>
          <w:lang w:val="en-GB" w:eastAsia="en-US"/>
        </w:rPr>
      </w:pPr>
      <w:r>
        <w:rPr>
          <w:rFonts w:eastAsia="Courier New"/>
          <w:lang w:val="en-GB" w:eastAsia="en-US"/>
        </w:rPr>
        <w:t xml:space="preserve">          </w:t>
      </w:r>
      <w:r>
        <w:rPr>
          <w:lang w:val="en-GB" w:eastAsia="en-US"/>
        </w:rPr>
        <w:t>$ref: 'TS29571_CommonData.yaml#/components/responses/429'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$ref: 'TS29571_CommonData.yaml#/components/responses/500'</w:t>
      </w:r>
    </w:p>
    <w:p>
      <w:pPr>
        <w:pStyle w:val="PL"/>
        <w:rPr/>
      </w:pPr>
      <w:r>
        <w:rPr>
          <w:rFonts w:eastAsia="Courier New"/>
        </w:rPr>
        <w:t xml:space="preserve">        </w:t>
      </w:r>
      <w:r>
        <w:rPr/>
        <w:t>'503':</w:t>
      </w:r>
    </w:p>
    <w:p>
      <w:pPr>
        <w:pStyle w:val="PL"/>
        <w:rPr/>
      </w:pPr>
      <w:r>
        <w:rPr>
          <w:rFonts w:eastAsia="Courier New"/>
        </w:rPr>
        <w:t xml:space="preserve">          </w:t>
      </w:r>
      <w:r>
        <w:rPr/>
        <w:t>$ref: 'TS29571_CommonData.yaml#/components/responses/503'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$ref: 'TS29571_CommonData.yaml#/components/responses/default'</w:t>
      </w:r>
    </w:p>
    <w:p>
      <w:pPr>
        <w:pStyle w:val="PL"/>
        <w:rPr/>
      </w:pPr>
      <w:r>
        <w:rPr>
          <w:rFonts w:eastAsia="Courier New"/>
        </w:rPr>
        <w:t xml:space="preserve">      </w:t>
      </w:r>
      <w:r>
        <w:rPr/>
        <w:t>callbacks:</w:t>
      </w:r>
    </w:p>
    <w:p>
      <w:pPr>
        <w:pStyle w:val="PL"/>
        <w:rPr/>
      </w:pPr>
      <w:r>
        <w:rPr>
          <w:rFonts w:eastAsia="Courier New"/>
        </w:rPr>
        <w:t xml:space="preserve">        </w:t>
      </w:r>
      <w:r>
        <w:rPr/>
        <w:t>statusNotification:</w:t>
      </w:r>
    </w:p>
    <w:p>
      <w:pPr>
        <w:pStyle w:val="PL"/>
        <w:rPr/>
      </w:pPr>
      <w:r>
        <w:rPr>
          <w:rFonts w:eastAsia="Courier New"/>
        </w:rPr>
        <w:t xml:space="preserve">          </w:t>
      </w:r>
      <w:r>
        <w:rPr/>
        <w:t xml:space="preserve">'{$request.body#/notifUri}/notify': </w:t>
      </w:r>
    </w:p>
    <w:p>
      <w:pPr>
        <w:pStyle w:val="PL"/>
        <w:rPr/>
      </w:pPr>
      <w:r>
        <w:rPr>
          <w:rFonts w:eastAsia="Courier New"/>
        </w:rPr>
        <w:t xml:space="preserve">            </w:t>
      </w:r>
      <w:r>
        <w:rPr/>
        <w:t>post:</w:t>
      </w:r>
    </w:p>
    <w:p>
      <w:pPr>
        <w:pStyle w:val="PL"/>
        <w:rPr/>
      </w:pPr>
      <w:r>
        <w:rPr>
          <w:rFonts w:eastAsia="Courier New"/>
        </w:rPr>
        <w:t xml:space="preserve">              </w:t>
      </w:r>
      <w:r>
        <w:rPr/>
        <w:t>requestBody:</w:t>
      </w:r>
    </w:p>
    <w:p>
      <w:pPr>
        <w:pStyle w:val="PL"/>
        <w:rPr/>
      </w:pPr>
      <w:r>
        <w:rPr>
          <w:rFonts w:eastAsia="Courier New"/>
        </w:rPr>
        <w:t xml:space="preserve">                </w:t>
      </w:r>
      <w:r>
        <w:rPr/>
        <w:t>required: true</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'#/components/schemas/SpendingLimitStatus'</w:t>
      </w:r>
    </w:p>
    <w:p>
      <w:pPr>
        <w:pStyle w:val="PL"/>
        <w:rPr/>
      </w:pPr>
      <w:r>
        <w:rPr>
          <w:rFonts w:eastAsia="Courier New"/>
        </w:rPr>
        <w:t xml:space="preserve">              </w:t>
      </w:r>
      <w:r>
        <w:rPr/>
        <w:t>responses:</w:t>
      </w:r>
    </w:p>
    <w:p>
      <w:pPr>
        <w:pStyle w:val="PL"/>
        <w:rPr/>
      </w:pPr>
      <w:r>
        <w:rPr>
          <w:rFonts w:eastAsia="Courier New"/>
        </w:rPr>
        <w:t xml:space="preserve">                </w:t>
      </w:r>
      <w:r>
        <w:rPr/>
        <w:t>'204':</w:t>
      </w:r>
    </w:p>
    <w:p>
      <w:pPr>
        <w:pStyle w:val="PL"/>
        <w:rPr/>
      </w:pPr>
      <w:r>
        <w:rPr>
          <w:rFonts w:eastAsia="Courier New"/>
        </w:rPr>
        <w:t xml:space="preserve">                  </w:t>
      </w:r>
      <w:r>
        <w:rPr/>
        <w:t>description: No Content, Notification was succesfull</w:t>
      </w:r>
    </w:p>
    <w:p>
      <w:pPr>
        <w:pStyle w:val="PL"/>
        <w:rPr>
          <w:lang w:val="en-US" w:eastAsia="en-US"/>
        </w:rPr>
      </w:pPr>
      <w:r>
        <w:rPr>
          <w:rFonts w:eastAsia="Courier New"/>
          <w:lang w:val="en-GB" w:eastAsia="en-US"/>
        </w:rPr>
        <w:t xml:space="preserve">                </w:t>
      </w:r>
      <w:r>
        <w:rPr>
          <w:lang w:val="en-GB" w:eastAsia="en-US"/>
        </w:rPr>
        <w:t>'307':</w:t>
      </w:r>
      <w:bookmarkStart w:id="103" w:name="_Hlk71032475"/>
      <w:r>
        <w:rPr>
          <w:lang w:val="en-US" w:eastAsia="en-US"/>
        </w:rPr>
        <w:t xml:space="preserve"> </w:t>
      </w:r>
    </w:p>
    <w:p>
      <w:pPr>
        <w:pStyle w:val="PL"/>
        <w:rPr>
          <w:lang w:val="en-GB" w:eastAsia="en-US"/>
        </w:rPr>
      </w:pPr>
      <w:r>
        <w:rPr>
          <w:rFonts w:eastAsia="Courier New"/>
          <w:lang w:val="en-US" w:eastAsia="en-US"/>
        </w:rPr>
        <w:t xml:space="preserve">                  </w:t>
      </w:r>
      <w:r>
        <w:rPr>
          <w:lang w:val="en-US" w:eastAsia="en-US"/>
        </w:rPr>
        <w:t xml:space="preserve">$ref: </w:t>
      </w:r>
      <w:r>
        <w:rPr/>
        <w:t>'TS29571_CommonData.yaml#/components/responses/307'</w:t>
      </w:r>
      <w:bookmarkEnd w:id="103"/>
    </w:p>
    <w:p>
      <w:pPr>
        <w:pStyle w:val="PL"/>
        <w:rPr>
          <w:lang w:val="en-US" w:eastAsia="en-US"/>
        </w:rPr>
      </w:pPr>
      <w:r>
        <w:rPr>
          <w:rFonts w:eastAsia="Courier New"/>
          <w:lang w:val="en-GB" w:eastAsia="en-US"/>
        </w:rPr>
        <w:t xml:space="preserve">                </w:t>
      </w:r>
      <w:r>
        <w:rPr>
          <w:lang w:val="en-GB" w:eastAsia="en-US"/>
        </w:rPr>
        <w:t>'308':</w:t>
      </w:r>
      <w:r>
        <w:rPr>
          <w:lang w:val="en-US" w:eastAsia="en-US"/>
        </w:rPr>
        <w:t xml:space="preserve"> </w:t>
      </w:r>
    </w:p>
    <w:p>
      <w:pPr>
        <w:pStyle w:val="PL"/>
        <w:rPr>
          <w:lang w:val="en-GB" w:eastAsia="en-US"/>
        </w:rPr>
      </w:pPr>
      <w:r>
        <w:rPr>
          <w:rFonts w:eastAsia="Courier New"/>
          <w:lang w:val="en-US" w:eastAsia="en-US"/>
        </w:rPr>
        <w:t xml:space="preserve">                  </w:t>
      </w:r>
      <w:r>
        <w:rPr>
          <w:lang w:val="en-US" w:eastAsia="en-US"/>
        </w:rPr>
        <w:t xml:space="preserve">$ref: </w:t>
      </w:r>
      <w:r>
        <w:rPr/>
        <w:t>'TS29571_CommonData.yaml#/components/responses/308'</w:t>
      </w:r>
    </w:p>
    <w:p>
      <w:pPr>
        <w:pStyle w:val="PL"/>
        <w:rPr/>
      </w:pPr>
      <w:r>
        <w:rPr>
          <w:rFonts w:eastAsia="Courier New"/>
        </w:rPr>
        <w:t xml:space="preserve">                </w:t>
      </w:r>
      <w:r>
        <w:rPr/>
        <w:t>'400':</w:t>
      </w:r>
    </w:p>
    <w:p>
      <w:pPr>
        <w:pStyle w:val="PL"/>
        <w:rPr/>
      </w:pPr>
      <w:r>
        <w:rPr>
          <w:rFonts w:eastAsia="Courier New"/>
        </w:rPr>
        <w:t xml:space="preserve">                  </w:t>
      </w:r>
      <w:r>
        <w:rPr/>
        <w:t>$ref: 'TS29571_CommonData.yaml#/components/responses/400'</w:t>
      </w:r>
    </w:p>
    <w:p>
      <w:pPr>
        <w:pStyle w:val="PL"/>
        <w:rPr/>
      </w:pPr>
      <w:r>
        <w:rPr>
          <w:rFonts w:eastAsia="Courier New"/>
        </w:rPr>
        <w:t xml:space="preserve">                </w:t>
      </w:r>
      <w:r>
        <w:rPr/>
        <w:t>'401':</w:t>
      </w:r>
    </w:p>
    <w:p>
      <w:pPr>
        <w:pStyle w:val="PL"/>
        <w:rPr/>
      </w:pPr>
      <w:r>
        <w:rPr>
          <w:rFonts w:eastAsia="Courier New"/>
        </w:rPr>
        <w:t xml:space="preserve">                  </w:t>
      </w:r>
      <w:r>
        <w:rPr/>
        <w:t>$ref: 'TS29571_CommonData.yaml#/components/responses/401'</w:t>
      </w:r>
    </w:p>
    <w:p>
      <w:pPr>
        <w:pStyle w:val="PL"/>
        <w:rPr/>
      </w:pPr>
      <w:r>
        <w:rPr>
          <w:rFonts w:eastAsia="Courier New"/>
        </w:rPr>
        <w:t xml:space="preserve">                </w:t>
      </w:r>
      <w:r>
        <w:rPr/>
        <w:t>'403':</w:t>
      </w:r>
    </w:p>
    <w:p>
      <w:pPr>
        <w:pStyle w:val="PL"/>
        <w:rPr/>
      </w:pPr>
      <w:r>
        <w:rPr>
          <w:rFonts w:eastAsia="Courier New"/>
        </w:rPr>
        <w:t xml:space="preserve">                  </w:t>
      </w:r>
      <w:r>
        <w:rPr/>
        <w:t>$ref: 'TS29571_CommonData.yaml#/components/responses/403'</w:t>
      </w:r>
    </w:p>
    <w:p>
      <w:pPr>
        <w:pStyle w:val="PL"/>
        <w:rPr/>
      </w:pPr>
      <w:r>
        <w:rPr>
          <w:rFonts w:eastAsia="Courier New"/>
        </w:rPr>
        <w:t xml:space="preserve">                </w:t>
      </w:r>
      <w:r>
        <w:rPr/>
        <w:t>'404':</w:t>
      </w:r>
    </w:p>
    <w:p>
      <w:pPr>
        <w:pStyle w:val="PL"/>
        <w:rPr/>
      </w:pPr>
      <w:r>
        <w:rPr>
          <w:rFonts w:eastAsia="Courier New"/>
        </w:rPr>
        <w:t xml:space="preserve">                  </w:t>
      </w:r>
      <w:r>
        <w:rPr/>
        <w:t>$ref: 'TS29571_CommonData.yaml#/components/responses/404'</w:t>
      </w:r>
    </w:p>
    <w:p>
      <w:pPr>
        <w:pStyle w:val="PL"/>
        <w:rPr/>
      </w:pPr>
      <w:r>
        <w:rPr>
          <w:rFonts w:eastAsia="Courier New"/>
        </w:rPr>
        <w:t xml:space="preserve">                </w:t>
      </w:r>
      <w:r>
        <w:rPr/>
        <w:t>'411':</w:t>
      </w:r>
    </w:p>
    <w:p>
      <w:pPr>
        <w:pStyle w:val="PL"/>
        <w:rPr/>
      </w:pPr>
      <w:r>
        <w:rPr>
          <w:rFonts w:eastAsia="Courier New"/>
        </w:rPr>
        <w:t xml:space="preserve">                  </w:t>
      </w:r>
      <w:r>
        <w:rPr/>
        <w:t>$ref: 'TS29571_CommonData.yaml#/components/responses/411'</w:t>
      </w:r>
    </w:p>
    <w:p>
      <w:pPr>
        <w:pStyle w:val="PL"/>
        <w:rPr/>
      </w:pPr>
      <w:r>
        <w:rPr>
          <w:rFonts w:eastAsia="Courier New"/>
        </w:rPr>
        <w:t xml:space="preserve">                </w:t>
      </w:r>
      <w:r>
        <w:rPr/>
        <w:t>'413':</w:t>
      </w:r>
    </w:p>
    <w:p>
      <w:pPr>
        <w:pStyle w:val="PL"/>
        <w:rPr/>
      </w:pPr>
      <w:r>
        <w:rPr>
          <w:rFonts w:eastAsia="Courier New"/>
        </w:rPr>
        <w:t xml:space="preserve">                  </w:t>
      </w:r>
      <w:r>
        <w:rPr/>
        <w:t>$ref: 'TS29571_CommonData.yaml#/components/responses/413'</w:t>
      </w:r>
    </w:p>
    <w:p>
      <w:pPr>
        <w:pStyle w:val="PL"/>
        <w:rPr/>
      </w:pPr>
      <w:r>
        <w:rPr>
          <w:rFonts w:eastAsia="Courier New"/>
        </w:rPr>
        <w:t xml:space="preserve">                </w:t>
      </w:r>
      <w:r>
        <w:rPr/>
        <w:t>'415':</w:t>
      </w:r>
    </w:p>
    <w:p>
      <w:pPr>
        <w:pStyle w:val="PL"/>
        <w:rPr/>
      </w:pPr>
      <w:r>
        <w:rPr>
          <w:rFonts w:eastAsia="Courier New"/>
        </w:rPr>
        <w:t xml:space="preserve">                  </w:t>
      </w:r>
      <w:r>
        <w:rPr/>
        <w:t>$ref: 'TS29571_CommonData.yaml#/components/responses/415'</w:t>
      </w:r>
    </w:p>
    <w:p>
      <w:pPr>
        <w:pStyle w:val="PL"/>
        <w:rPr/>
      </w:pPr>
      <w:r>
        <w:rPr>
          <w:rFonts w:eastAsia="Courier New"/>
          <w:lang w:val="en-GB" w:eastAsia="en-US"/>
        </w:rPr>
        <w:t xml:space="preserve">                </w:t>
      </w:r>
      <w:r>
        <w:rPr>
          <w:lang w:val="en-GB" w:eastAsia="en-US"/>
        </w:rPr>
        <w:t>'429':</w:t>
      </w:r>
    </w:p>
    <w:p>
      <w:pPr>
        <w:pStyle w:val="PL"/>
        <w:rPr>
          <w:lang w:val="en-GB" w:eastAsia="en-US"/>
        </w:rPr>
      </w:pPr>
      <w:r>
        <w:rPr>
          <w:rFonts w:eastAsia="Courier New"/>
          <w:lang w:val="en-GB" w:eastAsia="en-US"/>
        </w:rPr>
        <w:t xml:space="preserve">                  </w:t>
      </w:r>
      <w:r>
        <w:rPr>
          <w:lang w:val="en-GB" w:eastAsia="en-US"/>
        </w:rPr>
        <w:t>$ref: 'TS29571_CommonData.yaml#/components/responses/429'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$ref: 'TS29571_CommonData.yaml#/components/responses/500'</w:t>
      </w:r>
    </w:p>
    <w:p>
      <w:pPr>
        <w:pStyle w:val="PL"/>
        <w:rPr/>
      </w:pPr>
      <w:r>
        <w:rPr>
          <w:rFonts w:eastAsia="Courier New"/>
        </w:rPr>
        <w:t xml:space="preserve">                </w:t>
      </w:r>
      <w:r>
        <w:rPr/>
        <w:t>'503':</w:t>
      </w:r>
    </w:p>
    <w:p>
      <w:pPr>
        <w:pStyle w:val="PL"/>
        <w:rPr/>
      </w:pPr>
      <w:r>
        <w:rPr>
          <w:rFonts w:eastAsia="Courier New"/>
        </w:rPr>
        <w:t xml:space="preserve">                  </w:t>
      </w:r>
      <w:r>
        <w:rPr/>
        <w:t>$ref: 'TS29571_CommonData.yaml#/components/responses/503'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$ref: 'TS29571_CommonData.yaml#/components/responses/default'</w:t>
      </w:r>
    </w:p>
    <w:p>
      <w:pPr>
        <w:pStyle w:val="PL"/>
        <w:rPr/>
      </w:pPr>
      <w:r>
        <w:rPr>
          <w:rFonts w:eastAsia="Courier New"/>
        </w:rPr>
        <w:t xml:space="preserve">        </w:t>
      </w:r>
      <w:r>
        <w:rPr/>
        <w:t>subscriptionTermination:</w:t>
      </w:r>
    </w:p>
    <w:p>
      <w:pPr>
        <w:pStyle w:val="PL"/>
        <w:rPr/>
      </w:pPr>
      <w:r>
        <w:rPr>
          <w:rFonts w:eastAsia="Courier New"/>
        </w:rPr>
        <w:t xml:space="preserve">          </w:t>
      </w:r>
      <w:r>
        <w:rPr/>
        <w:t xml:space="preserve">'{$request.body#/notifUri}/terminate': </w:t>
      </w:r>
    </w:p>
    <w:p>
      <w:pPr>
        <w:pStyle w:val="PL"/>
        <w:rPr/>
      </w:pPr>
      <w:r>
        <w:rPr>
          <w:rFonts w:eastAsia="Courier New"/>
        </w:rPr>
        <w:t xml:space="preserve">            </w:t>
      </w:r>
      <w:r>
        <w:rPr/>
        <w:t>post:</w:t>
      </w:r>
    </w:p>
    <w:p>
      <w:pPr>
        <w:pStyle w:val="PL"/>
        <w:rPr/>
      </w:pPr>
      <w:r>
        <w:rPr>
          <w:rFonts w:eastAsia="Courier New"/>
        </w:rPr>
        <w:t xml:space="preserve">              </w:t>
      </w:r>
      <w:r>
        <w:rPr/>
        <w:t>requestBody:</w:t>
      </w:r>
    </w:p>
    <w:p>
      <w:pPr>
        <w:pStyle w:val="PL"/>
        <w:rPr/>
      </w:pPr>
      <w:r>
        <w:rPr>
          <w:rFonts w:eastAsia="Courier New"/>
        </w:rPr>
        <w:t xml:space="preserve">                </w:t>
      </w:r>
      <w:r>
        <w:rPr/>
        <w:t>required: true</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'#/components/schemas/SubscriptionTerminationInfo'</w:t>
      </w:r>
    </w:p>
    <w:p>
      <w:pPr>
        <w:pStyle w:val="PL"/>
        <w:rPr/>
      </w:pPr>
      <w:r>
        <w:rPr>
          <w:rFonts w:eastAsia="Courier New"/>
        </w:rPr>
        <w:t xml:space="preserve">              </w:t>
      </w:r>
      <w:r>
        <w:rPr/>
        <w:t>responses:</w:t>
      </w:r>
    </w:p>
    <w:p>
      <w:pPr>
        <w:pStyle w:val="PL"/>
        <w:rPr/>
      </w:pPr>
      <w:r>
        <w:rPr>
          <w:rFonts w:eastAsia="Courier New"/>
        </w:rPr>
        <w:t xml:space="preserve">                </w:t>
      </w:r>
      <w:r>
        <w:rPr/>
        <w:t>'204':</w:t>
      </w:r>
    </w:p>
    <w:p>
      <w:pPr>
        <w:pStyle w:val="PL"/>
        <w:rPr/>
      </w:pPr>
      <w:r>
        <w:rPr>
          <w:rFonts w:eastAsia="Courier New"/>
        </w:rPr>
        <w:t xml:space="preserve">                  </w:t>
      </w:r>
      <w:r>
        <w:rPr/>
        <w:t>description: No Content, Notification was succesfull</w:t>
      </w:r>
    </w:p>
    <w:p>
      <w:pPr>
        <w:pStyle w:val="PL"/>
        <w:rPr>
          <w:lang w:val="en-US" w:eastAsia="en-US"/>
        </w:rPr>
      </w:pPr>
      <w:r>
        <w:rPr>
          <w:rFonts w:eastAsia="Courier New"/>
          <w:lang w:val="en-GB" w:eastAsia="en-US"/>
        </w:rPr>
        <w:t xml:space="preserve">                </w:t>
      </w:r>
      <w:r>
        <w:rPr>
          <w:lang w:val="en-GB" w:eastAsia="en-US"/>
        </w:rPr>
        <w:t>'307':</w:t>
      </w:r>
      <w:r>
        <w:rPr>
          <w:lang w:val="en-US" w:eastAsia="en-US"/>
        </w:rPr>
        <w:t xml:space="preserve"> </w:t>
      </w:r>
    </w:p>
    <w:p>
      <w:pPr>
        <w:pStyle w:val="PL"/>
        <w:rPr>
          <w:lang w:val="en-GB" w:eastAsia="en-US"/>
        </w:rPr>
      </w:pPr>
      <w:r>
        <w:rPr>
          <w:rFonts w:eastAsia="Courier New"/>
          <w:lang w:val="en-US" w:eastAsia="en-US"/>
        </w:rPr>
        <w:t xml:space="preserve">                  </w:t>
      </w:r>
      <w:r>
        <w:rPr>
          <w:lang w:val="en-US" w:eastAsia="en-US"/>
        </w:rPr>
        <w:t xml:space="preserve">$ref: </w:t>
      </w:r>
      <w:r>
        <w:rPr/>
        <w:t>'TS29571_CommonData.yaml#/components/responses/307'</w:t>
      </w:r>
    </w:p>
    <w:p>
      <w:pPr>
        <w:pStyle w:val="PL"/>
        <w:rPr>
          <w:lang w:val="en-US" w:eastAsia="en-US"/>
        </w:rPr>
      </w:pPr>
      <w:r>
        <w:rPr>
          <w:rFonts w:eastAsia="Courier New"/>
          <w:lang w:val="en-GB" w:eastAsia="en-US"/>
        </w:rPr>
        <w:t xml:space="preserve">                </w:t>
      </w:r>
      <w:r>
        <w:rPr>
          <w:lang w:val="en-GB" w:eastAsia="en-US"/>
        </w:rPr>
        <w:t>'308':</w:t>
      </w:r>
      <w:r>
        <w:rPr>
          <w:lang w:val="en-US" w:eastAsia="en-US"/>
        </w:rPr>
        <w:t xml:space="preserve"> </w:t>
      </w:r>
    </w:p>
    <w:p>
      <w:pPr>
        <w:pStyle w:val="PL"/>
        <w:rPr>
          <w:lang w:val="en-GB" w:eastAsia="en-US"/>
        </w:rPr>
      </w:pPr>
      <w:r>
        <w:rPr>
          <w:rFonts w:eastAsia="Courier New"/>
          <w:lang w:val="en-US" w:eastAsia="en-US"/>
        </w:rPr>
        <w:t xml:space="preserve">                  </w:t>
      </w:r>
      <w:r>
        <w:rPr>
          <w:lang w:val="en-US" w:eastAsia="en-US"/>
        </w:rPr>
        <w:t xml:space="preserve">$ref: </w:t>
      </w:r>
      <w:r>
        <w:rPr/>
        <w:t>'TS29571_CommonData.yaml#/components/responses/308'</w:t>
      </w:r>
    </w:p>
    <w:p>
      <w:pPr>
        <w:pStyle w:val="PL"/>
        <w:rPr/>
      </w:pPr>
      <w:r>
        <w:rPr>
          <w:rFonts w:eastAsia="Courier New"/>
        </w:rPr>
        <w:t xml:space="preserve">                </w:t>
      </w:r>
      <w:r>
        <w:rPr/>
        <w:t>'400':</w:t>
      </w:r>
    </w:p>
    <w:p>
      <w:pPr>
        <w:pStyle w:val="PL"/>
        <w:rPr/>
      </w:pPr>
      <w:r>
        <w:rPr>
          <w:rFonts w:eastAsia="Courier New"/>
        </w:rPr>
        <w:t xml:space="preserve">                  </w:t>
      </w:r>
      <w:r>
        <w:rPr/>
        <w:t>$ref: 'TS29571_CommonData.yaml#/components/responses/400'</w:t>
      </w:r>
    </w:p>
    <w:p>
      <w:pPr>
        <w:pStyle w:val="PL"/>
        <w:rPr/>
      </w:pPr>
      <w:r>
        <w:rPr>
          <w:rFonts w:eastAsia="Courier New"/>
        </w:rPr>
        <w:t xml:space="preserve">                </w:t>
      </w:r>
      <w:r>
        <w:rPr/>
        <w:t>'401':</w:t>
      </w:r>
    </w:p>
    <w:p>
      <w:pPr>
        <w:pStyle w:val="PL"/>
        <w:rPr/>
      </w:pPr>
      <w:r>
        <w:rPr>
          <w:rFonts w:eastAsia="Courier New"/>
        </w:rPr>
        <w:t xml:space="preserve">                  </w:t>
      </w:r>
      <w:r>
        <w:rPr/>
        <w:t>$ref: 'TS29571_CommonData.yaml#/components/responses/401'</w:t>
      </w:r>
    </w:p>
    <w:p>
      <w:pPr>
        <w:pStyle w:val="PL"/>
        <w:rPr/>
      </w:pPr>
      <w:r>
        <w:rPr>
          <w:rFonts w:eastAsia="Courier New"/>
        </w:rPr>
        <w:t xml:space="preserve">                </w:t>
      </w:r>
      <w:r>
        <w:rPr/>
        <w:t>'403':</w:t>
      </w:r>
    </w:p>
    <w:p>
      <w:pPr>
        <w:pStyle w:val="PL"/>
        <w:rPr/>
      </w:pPr>
      <w:r>
        <w:rPr>
          <w:rFonts w:eastAsia="Courier New"/>
        </w:rPr>
        <w:t xml:space="preserve">                  </w:t>
      </w:r>
      <w:r>
        <w:rPr/>
        <w:t>$ref: 'TS29571_CommonData.yaml#/components/responses/403'</w:t>
      </w:r>
    </w:p>
    <w:p>
      <w:pPr>
        <w:pStyle w:val="PL"/>
        <w:rPr/>
      </w:pPr>
      <w:r>
        <w:rPr>
          <w:rFonts w:eastAsia="Courier New"/>
        </w:rPr>
        <w:t xml:space="preserve">                </w:t>
      </w:r>
      <w:r>
        <w:rPr/>
        <w:t>'404':</w:t>
      </w:r>
    </w:p>
    <w:p>
      <w:pPr>
        <w:pStyle w:val="PL"/>
        <w:rPr/>
      </w:pPr>
      <w:r>
        <w:rPr>
          <w:rFonts w:eastAsia="Courier New"/>
        </w:rPr>
        <w:t xml:space="preserve">                  </w:t>
      </w:r>
      <w:r>
        <w:rPr/>
        <w:t>$ref: 'TS29571_CommonData.yaml#/components/responses/404'</w:t>
      </w:r>
    </w:p>
    <w:p>
      <w:pPr>
        <w:pStyle w:val="PL"/>
        <w:rPr/>
      </w:pPr>
      <w:r>
        <w:rPr>
          <w:rFonts w:eastAsia="Courier New"/>
        </w:rPr>
        <w:t xml:space="preserve">                </w:t>
      </w:r>
      <w:r>
        <w:rPr/>
        <w:t>'411':</w:t>
      </w:r>
    </w:p>
    <w:p>
      <w:pPr>
        <w:pStyle w:val="PL"/>
        <w:rPr/>
      </w:pPr>
      <w:r>
        <w:rPr>
          <w:rFonts w:eastAsia="Courier New"/>
        </w:rPr>
        <w:t xml:space="preserve">                  </w:t>
      </w:r>
      <w:r>
        <w:rPr/>
        <w:t>$ref: 'TS29571_CommonData.yaml#/components/responses/411'</w:t>
      </w:r>
    </w:p>
    <w:p>
      <w:pPr>
        <w:pStyle w:val="PL"/>
        <w:rPr/>
      </w:pPr>
      <w:r>
        <w:rPr>
          <w:rFonts w:eastAsia="Courier New"/>
        </w:rPr>
        <w:t xml:space="preserve">                </w:t>
      </w:r>
      <w:r>
        <w:rPr/>
        <w:t>'413':</w:t>
      </w:r>
    </w:p>
    <w:p>
      <w:pPr>
        <w:pStyle w:val="PL"/>
        <w:rPr/>
      </w:pPr>
      <w:r>
        <w:rPr>
          <w:rFonts w:eastAsia="Courier New"/>
        </w:rPr>
        <w:t xml:space="preserve">                  </w:t>
      </w:r>
      <w:r>
        <w:rPr/>
        <w:t>$ref: 'TS29571_CommonData.yaml#/components/responses/413'</w:t>
      </w:r>
    </w:p>
    <w:p>
      <w:pPr>
        <w:pStyle w:val="PL"/>
        <w:rPr/>
      </w:pPr>
      <w:r>
        <w:rPr>
          <w:rFonts w:eastAsia="Courier New"/>
        </w:rPr>
        <w:t xml:space="preserve">                </w:t>
      </w:r>
      <w:r>
        <w:rPr/>
        <w:t>'415':</w:t>
      </w:r>
    </w:p>
    <w:p>
      <w:pPr>
        <w:pStyle w:val="PL"/>
        <w:rPr/>
      </w:pPr>
      <w:r>
        <w:rPr>
          <w:rFonts w:eastAsia="Courier New"/>
        </w:rPr>
        <w:t xml:space="preserve">                  </w:t>
      </w:r>
      <w:r>
        <w:rPr/>
        <w:t>$ref: 'TS29571_CommonData.yaml#/components/responses/415'</w:t>
      </w:r>
    </w:p>
    <w:p>
      <w:pPr>
        <w:pStyle w:val="PL"/>
        <w:rPr/>
      </w:pPr>
      <w:r>
        <w:rPr>
          <w:rFonts w:eastAsia="Courier New"/>
          <w:lang w:val="en-GB" w:eastAsia="en-US"/>
        </w:rPr>
        <w:t xml:space="preserve">                </w:t>
      </w:r>
      <w:r>
        <w:rPr>
          <w:lang w:val="en-GB" w:eastAsia="en-US"/>
        </w:rPr>
        <w:t>'429':</w:t>
      </w:r>
    </w:p>
    <w:p>
      <w:pPr>
        <w:pStyle w:val="PL"/>
        <w:rPr>
          <w:lang w:val="en-GB" w:eastAsia="en-US"/>
        </w:rPr>
      </w:pPr>
      <w:r>
        <w:rPr>
          <w:rFonts w:eastAsia="Courier New"/>
          <w:lang w:val="en-GB" w:eastAsia="en-US"/>
        </w:rPr>
        <w:t xml:space="preserve">                  </w:t>
      </w:r>
      <w:r>
        <w:rPr>
          <w:lang w:val="en-GB" w:eastAsia="en-US"/>
        </w:rPr>
        <w:t>$ref: 'TS29571_CommonData.yaml#/components/responses/429'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$ref: 'TS29571_CommonData.yaml#/components/responses/500'</w:t>
      </w:r>
    </w:p>
    <w:p>
      <w:pPr>
        <w:pStyle w:val="PL"/>
        <w:rPr/>
      </w:pPr>
      <w:r>
        <w:rPr>
          <w:rFonts w:eastAsia="Courier New"/>
        </w:rPr>
        <w:t xml:space="preserve">                </w:t>
      </w:r>
      <w:r>
        <w:rPr/>
        <w:t>'503':</w:t>
      </w:r>
    </w:p>
    <w:p>
      <w:pPr>
        <w:pStyle w:val="PL"/>
        <w:rPr/>
      </w:pPr>
      <w:r>
        <w:rPr>
          <w:rFonts w:eastAsia="Courier New"/>
        </w:rPr>
        <w:t xml:space="preserve">                  </w:t>
      </w:r>
      <w:r>
        <w:rPr/>
        <w:t>$ref: 'TS29571_CommonData.yaml#/components/responses/503'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$ref: 'TS29571_CommonData.yaml#/components/responses/default'</w:t>
      </w:r>
    </w:p>
    <w:p>
      <w:pPr>
        <w:pStyle w:val="PL"/>
        <w:rPr/>
      </w:pPr>
      <w:r>
        <w:rPr>
          <w:rFonts w:eastAsia="Courier New"/>
        </w:rPr>
        <w:t xml:space="preserve">  </w:t>
      </w:r>
      <w:r>
        <w:rPr/>
        <w:t>/subscriptions/{subscriptionId}:</w:t>
      </w:r>
    </w:p>
    <w:p>
      <w:pPr>
        <w:pStyle w:val="PL"/>
        <w:rPr/>
      </w:pPr>
      <w:r>
        <w:rPr>
          <w:rFonts w:eastAsia="Courier New"/>
        </w:rPr>
        <w:t xml:space="preserve">    </w:t>
      </w:r>
      <w:r>
        <w:rPr/>
        <w:t>parameters:</w:t>
      </w:r>
    </w:p>
    <w:p>
      <w:pPr>
        <w:pStyle w:val="PL"/>
        <w:rPr/>
      </w:pPr>
      <w:r>
        <w:rPr>
          <w:rFonts w:eastAsia="Courier New"/>
        </w:rPr>
        <w:t xml:space="preserve">      </w:t>
      </w:r>
      <w:r>
        <w:rPr/>
        <w:t>- in: path</w:t>
      </w:r>
    </w:p>
    <w:p>
      <w:pPr>
        <w:pStyle w:val="PL"/>
        <w:rPr/>
      </w:pPr>
      <w:r>
        <w:rPr>
          <w:rFonts w:eastAsia="Courier New"/>
        </w:rPr>
        <w:t xml:space="preserve">        </w:t>
      </w:r>
      <w:r>
        <w:rPr/>
        <w:t>name: subscriptionId</w:t>
      </w:r>
    </w:p>
    <w:p>
      <w:pPr>
        <w:pStyle w:val="PL"/>
        <w:rPr/>
      </w:pPr>
      <w:r>
        <w:rPr>
          <w:rFonts w:eastAsia="Courier New"/>
        </w:rPr>
        <w:t xml:space="preserve">        </w:t>
      </w:r>
      <w:r>
        <w:rPr/>
        <w:t>description: Identifies an individual spending limit retrieval subscription.</w:t>
      </w:r>
    </w:p>
    <w:p>
      <w:pPr>
        <w:pStyle w:val="PL"/>
        <w:rPr/>
      </w:pPr>
      <w:r>
        <w:rPr>
          <w:rFonts w:eastAsia="Courier New"/>
        </w:rPr>
        <w:t xml:space="preserve">        </w:t>
      </w:r>
      <w:r>
        <w:rPr/>
        <w:t>required: true</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rFonts w:eastAsia="Courier New"/>
        </w:rPr>
        <w:t xml:space="preserve">    </w:t>
      </w:r>
      <w:r>
        <w:rPr/>
        <w:t>put:</w:t>
      </w:r>
    </w:p>
    <w:p>
      <w:pPr>
        <w:pStyle w:val="PL"/>
        <w:rPr/>
      </w:pPr>
      <w:r>
        <w:rPr>
          <w:rFonts w:eastAsia="Courier New"/>
        </w:rPr>
        <w:t xml:space="preserve">      </w:t>
      </w:r>
      <w:r>
        <w:rPr/>
        <w:t>requestBody:</w:t>
      </w:r>
    </w:p>
    <w:p>
      <w:pPr>
        <w:pStyle w:val="PL"/>
        <w:rPr/>
      </w:pPr>
      <w:r>
        <w:rPr>
          <w:rFonts w:eastAsia="Courier New"/>
        </w:rPr>
        <w:t xml:space="preserve">        </w:t>
      </w:r>
      <w:r>
        <w:rPr/>
        <w:t>required: true</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'#/components/schemas/SpendingLimitContext'</w:t>
      </w:r>
    </w:p>
    <w:p>
      <w:pPr>
        <w:pStyle w:val="PL"/>
        <w:rPr/>
      </w:pPr>
      <w:r>
        <w:rPr>
          <w:rFonts w:eastAsia="Courier New"/>
        </w:rPr>
        <w:t xml:space="preserve">      </w:t>
      </w:r>
      <w:r>
        <w:rPr/>
        <w:t>responses:</w:t>
      </w:r>
    </w:p>
    <w:p>
      <w:pPr>
        <w:pStyle w:val="PL"/>
        <w:rPr/>
      </w:pPr>
      <w:r>
        <w:rPr>
          <w:rFonts w:eastAsia="Courier New"/>
        </w:rPr>
        <w:t xml:space="preserve">        </w:t>
      </w:r>
      <w:r>
        <w:rPr/>
        <w:t>'200':</w:t>
      </w:r>
    </w:p>
    <w:p>
      <w:pPr>
        <w:pStyle w:val="PL"/>
        <w:rPr/>
      </w:pPr>
      <w:r>
        <w:rPr>
          <w:rFonts w:eastAsia="Courier New"/>
        </w:rPr>
        <w:t xml:space="preserve">          </w:t>
      </w:r>
      <w:r>
        <w:rPr/>
        <w:t>description: OK. Resource was succesfully modified and representation is returned</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'#/components/schemas/SpendingLimitStatus'</w:t>
      </w:r>
    </w:p>
    <w:p>
      <w:pPr>
        <w:pStyle w:val="PL"/>
        <w:rPr>
          <w:lang w:val="en-US" w:eastAsia="en-US"/>
        </w:rPr>
      </w:pPr>
      <w:r>
        <w:rPr>
          <w:rFonts w:eastAsia="Courier New"/>
          <w:lang w:val="en-GB" w:eastAsia="en-US"/>
        </w:rPr>
        <w:t xml:space="preserve">        </w:t>
      </w:r>
      <w:r>
        <w:rPr>
          <w:lang w:val="en-GB" w:eastAsia="en-US"/>
        </w:rPr>
        <w:t>'307':</w:t>
      </w:r>
      <w:r>
        <w:rPr>
          <w:lang w:val="en-US" w:eastAsia="en-US"/>
        </w:rPr>
        <w:t xml:space="preserve"> </w:t>
      </w:r>
    </w:p>
    <w:p>
      <w:pPr>
        <w:pStyle w:val="PL"/>
        <w:rPr>
          <w:lang w:val="en-GB" w:eastAsia="en-US"/>
        </w:rPr>
      </w:pPr>
      <w:r>
        <w:rPr>
          <w:rFonts w:eastAsia="Courier New"/>
          <w:lang w:val="en-US" w:eastAsia="en-US"/>
        </w:rPr>
        <w:t xml:space="preserve">          </w:t>
      </w:r>
      <w:r>
        <w:rPr>
          <w:lang w:val="en-US" w:eastAsia="en-US"/>
        </w:rPr>
        <w:t xml:space="preserve">$ref: </w:t>
      </w:r>
      <w:r>
        <w:rPr/>
        <w:t>'TS29571_CommonData.yaml#/components/responses/307'</w:t>
      </w:r>
    </w:p>
    <w:p>
      <w:pPr>
        <w:pStyle w:val="PL"/>
        <w:rPr>
          <w:lang w:val="en-US" w:eastAsia="en-US"/>
        </w:rPr>
      </w:pPr>
      <w:r>
        <w:rPr>
          <w:rFonts w:eastAsia="Courier New"/>
          <w:lang w:val="en-GB" w:eastAsia="en-US"/>
        </w:rPr>
        <w:t xml:space="preserve">        </w:t>
      </w:r>
      <w:r>
        <w:rPr>
          <w:lang w:val="en-GB" w:eastAsia="en-US"/>
        </w:rPr>
        <w:t>'308':</w:t>
      </w:r>
      <w:r>
        <w:rPr>
          <w:lang w:val="en-US" w:eastAsia="en-US"/>
        </w:rPr>
        <w:t xml:space="preserve"> </w:t>
      </w:r>
    </w:p>
    <w:p>
      <w:pPr>
        <w:pStyle w:val="PL"/>
        <w:rPr>
          <w:lang w:val="en-GB" w:eastAsia="en-US"/>
        </w:rPr>
      </w:pPr>
      <w:r>
        <w:rPr>
          <w:rFonts w:eastAsia="Courier New"/>
          <w:lang w:val="en-US" w:eastAsia="en-US"/>
        </w:rPr>
        <w:t xml:space="preserve">          </w:t>
      </w:r>
      <w:r>
        <w:rPr>
          <w:lang w:val="en-US" w:eastAsia="en-US"/>
        </w:rPr>
        <w:t xml:space="preserve">$ref: </w:t>
      </w:r>
      <w:r>
        <w:rPr/>
        <w:t>'TS29571_CommonData.yaml#/components/responses/308'</w:t>
      </w:r>
    </w:p>
    <w:p>
      <w:pPr>
        <w:pStyle w:val="PL"/>
        <w:rPr/>
      </w:pPr>
      <w:r>
        <w:rPr>
          <w:rFonts w:eastAsia="Courier New"/>
        </w:rPr>
        <w:t xml:space="preserve">        </w:t>
      </w:r>
      <w:r>
        <w:rPr/>
        <w:t>'400':</w:t>
      </w:r>
    </w:p>
    <w:p>
      <w:pPr>
        <w:pStyle w:val="PL"/>
        <w:rPr/>
      </w:pPr>
      <w:r>
        <w:rPr>
          <w:rFonts w:eastAsia="Courier New"/>
        </w:rPr>
        <w:t xml:space="preserve">          </w:t>
      </w:r>
      <w:r>
        <w:rPr/>
        <w:t>$ref: 'TS29571_CommonData.yaml#/components/responses/400'</w:t>
      </w:r>
    </w:p>
    <w:p>
      <w:pPr>
        <w:pStyle w:val="PL"/>
        <w:rPr/>
      </w:pPr>
      <w:r>
        <w:rPr>
          <w:rFonts w:eastAsia="Courier New"/>
        </w:rPr>
        <w:t xml:space="preserve">        </w:t>
      </w:r>
      <w:r>
        <w:rPr/>
        <w:t>'401':</w:t>
      </w:r>
    </w:p>
    <w:p>
      <w:pPr>
        <w:pStyle w:val="PL"/>
        <w:rPr/>
      </w:pPr>
      <w:r>
        <w:rPr>
          <w:rFonts w:eastAsia="Courier New"/>
        </w:rPr>
        <w:t xml:space="preserve">          </w:t>
      </w:r>
      <w:r>
        <w:rPr/>
        <w:t>$ref: 'TS29571_CommonData.yaml#/components/responses/401'</w:t>
      </w:r>
    </w:p>
    <w:p>
      <w:pPr>
        <w:pStyle w:val="PL"/>
        <w:rPr/>
      </w:pPr>
      <w:r>
        <w:rPr>
          <w:rFonts w:eastAsia="Courier New"/>
        </w:rPr>
        <w:t xml:space="preserve">        </w:t>
      </w:r>
      <w:r>
        <w:rPr/>
        <w:t>'403':</w:t>
      </w:r>
    </w:p>
    <w:p>
      <w:pPr>
        <w:pStyle w:val="PL"/>
        <w:rPr/>
      </w:pPr>
      <w:r>
        <w:rPr>
          <w:rFonts w:eastAsia="Courier New"/>
        </w:rPr>
        <w:t xml:space="preserve">          </w:t>
      </w:r>
      <w:r>
        <w:rPr/>
        <w:t>$ref: 'TS29571_CommonData.yaml#/components/responses/403'</w:t>
      </w:r>
    </w:p>
    <w:p>
      <w:pPr>
        <w:pStyle w:val="PL"/>
        <w:rPr/>
      </w:pPr>
      <w:r>
        <w:rPr>
          <w:rFonts w:eastAsia="Courier New"/>
        </w:rPr>
        <w:t xml:space="preserve">        </w:t>
      </w:r>
      <w:r>
        <w:rPr/>
        <w:t>'404':</w:t>
      </w:r>
    </w:p>
    <w:p>
      <w:pPr>
        <w:pStyle w:val="PL"/>
        <w:rPr/>
      </w:pPr>
      <w:r>
        <w:rPr>
          <w:rFonts w:eastAsia="Courier New"/>
        </w:rPr>
        <w:t xml:space="preserve">          </w:t>
      </w:r>
      <w:r>
        <w:rPr/>
        <w:t>$ref: 'TS29571_CommonData.yaml#/components/responses/404'</w:t>
      </w:r>
    </w:p>
    <w:p>
      <w:pPr>
        <w:pStyle w:val="PL"/>
        <w:rPr/>
      </w:pPr>
      <w:r>
        <w:rPr>
          <w:rFonts w:eastAsia="Courier New"/>
        </w:rPr>
        <w:t xml:space="preserve">        </w:t>
      </w:r>
      <w:r>
        <w:rPr/>
        <w:t>'411':</w:t>
      </w:r>
    </w:p>
    <w:p>
      <w:pPr>
        <w:pStyle w:val="PL"/>
        <w:rPr/>
      </w:pPr>
      <w:r>
        <w:rPr>
          <w:rFonts w:eastAsia="Courier New"/>
        </w:rPr>
        <w:t xml:space="preserve">          </w:t>
      </w:r>
      <w:r>
        <w:rPr/>
        <w:t>$ref: 'TS29571_CommonData.yaml#/components/responses/411'</w:t>
      </w:r>
    </w:p>
    <w:p>
      <w:pPr>
        <w:pStyle w:val="PL"/>
        <w:rPr/>
      </w:pPr>
      <w:r>
        <w:rPr>
          <w:rFonts w:eastAsia="Courier New"/>
        </w:rPr>
        <w:t xml:space="preserve">        </w:t>
      </w:r>
      <w:r>
        <w:rPr/>
        <w:t>'413':</w:t>
      </w:r>
    </w:p>
    <w:p>
      <w:pPr>
        <w:pStyle w:val="PL"/>
        <w:rPr/>
      </w:pPr>
      <w:r>
        <w:rPr>
          <w:rFonts w:eastAsia="Courier New"/>
        </w:rPr>
        <w:t xml:space="preserve">          </w:t>
      </w:r>
      <w:r>
        <w:rPr/>
        <w:t>$ref: 'TS29571_CommonData.yaml#/components/responses/413'</w:t>
      </w:r>
    </w:p>
    <w:p>
      <w:pPr>
        <w:pStyle w:val="PL"/>
        <w:rPr/>
      </w:pPr>
      <w:r>
        <w:rPr>
          <w:rFonts w:eastAsia="Courier New"/>
        </w:rPr>
        <w:t xml:space="preserve">        </w:t>
      </w:r>
      <w:r>
        <w:rPr/>
        <w:t>'415':</w:t>
      </w:r>
    </w:p>
    <w:p>
      <w:pPr>
        <w:pStyle w:val="PL"/>
        <w:rPr/>
      </w:pPr>
      <w:r>
        <w:rPr>
          <w:rFonts w:eastAsia="Courier New"/>
        </w:rPr>
        <w:t xml:space="preserve">          </w:t>
      </w:r>
      <w:r>
        <w:rPr/>
        <w:t>$ref: 'TS29571_CommonData.yaml#/components/responses/415'</w:t>
      </w:r>
    </w:p>
    <w:p>
      <w:pPr>
        <w:pStyle w:val="PL"/>
        <w:rPr>
          <w:lang w:val="en-GB" w:eastAsia="en-US"/>
        </w:rPr>
      </w:pPr>
      <w:r>
        <w:rPr>
          <w:rFonts w:eastAsia="Courier New"/>
          <w:lang w:val="en-GB" w:eastAsia="en-US"/>
        </w:rPr>
        <w:t xml:space="preserve">        </w:t>
      </w:r>
      <w:r>
        <w:rPr>
          <w:lang w:val="en-GB" w:eastAsia="en-US"/>
        </w:rPr>
        <w:t>'429':</w:t>
      </w:r>
    </w:p>
    <w:p>
      <w:pPr>
        <w:pStyle w:val="PL"/>
        <w:rPr>
          <w:lang w:val="en-GB" w:eastAsia="en-US"/>
        </w:rPr>
      </w:pPr>
      <w:r>
        <w:rPr>
          <w:rFonts w:eastAsia="Courier New"/>
          <w:lang w:val="en-GB" w:eastAsia="en-US"/>
        </w:rPr>
        <w:t xml:space="preserve">          </w:t>
      </w:r>
      <w:r>
        <w:rPr>
          <w:lang w:val="en-GB" w:eastAsia="en-US"/>
        </w:rPr>
        <w:t>$ref: 'TS29571_CommonData.yaml#/components/responses/429'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$ref: 'TS29571_CommonData.yaml#/components/responses/500'</w:t>
      </w:r>
    </w:p>
    <w:p>
      <w:pPr>
        <w:pStyle w:val="PL"/>
        <w:rPr/>
      </w:pPr>
      <w:r>
        <w:rPr>
          <w:rFonts w:eastAsia="Courier New"/>
        </w:rPr>
        <w:t xml:space="preserve">        </w:t>
      </w:r>
      <w:r>
        <w:rPr/>
        <w:t>'503':</w:t>
      </w:r>
    </w:p>
    <w:p>
      <w:pPr>
        <w:pStyle w:val="PL"/>
        <w:rPr/>
      </w:pPr>
      <w:r>
        <w:rPr>
          <w:rFonts w:eastAsia="Courier New"/>
        </w:rPr>
        <w:t xml:space="preserve">          </w:t>
      </w:r>
      <w:r>
        <w:rPr/>
        <w:t>$ref: 'TS29571_CommonData.yaml#/components/responses/503'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$ref: 'TS29571_CommonData.yaml#/components/responses/default'</w:t>
      </w:r>
    </w:p>
    <w:p>
      <w:pPr>
        <w:pStyle w:val="PL"/>
        <w:rPr/>
      </w:pPr>
      <w:r>
        <w:rPr>
          <w:rFonts w:eastAsia="Courier New"/>
        </w:rPr>
        <w:t xml:space="preserve">    </w:t>
      </w:r>
      <w:r>
        <w:rPr/>
        <w:t>delete:</w:t>
      </w:r>
    </w:p>
    <w:p>
      <w:pPr>
        <w:pStyle w:val="PL"/>
        <w:rPr/>
      </w:pPr>
      <w:r>
        <w:rPr>
          <w:rFonts w:eastAsia="Courier New"/>
        </w:rPr>
        <w:t xml:space="preserve">      </w:t>
      </w:r>
      <w:r>
        <w:rPr/>
        <w:t>responses:</w:t>
      </w:r>
    </w:p>
    <w:p>
      <w:pPr>
        <w:pStyle w:val="PL"/>
        <w:rPr/>
      </w:pPr>
      <w:r>
        <w:rPr>
          <w:rFonts w:eastAsia="Courier New"/>
        </w:rPr>
        <w:t xml:space="preserve">        </w:t>
      </w:r>
      <w:r>
        <w:rPr/>
        <w:t>'204':</w:t>
      </w:r>
    </w:p>
    <w:p>
      <w:pPr>
        <w:pStyle w:val="PL"/>
        <w:rPr/>
      </w:pPr>
      <w:r>
        <w:rPr>
          <w:rFonts w:eastAsia="Courier New"/>
        </w:rPr>
        <w:t xml:space="preserve">          </w:t>
      </w:r>
      <w:r>
        <w:rPr/>
        <w:t>description: No Content. Resource was succesfully deleted</w:t>
      </w:r>
    </w:p>
    <w:p>
      <w:pPr>
        <w:pStyle w:val="PL"/>
        <w:rPr>
          <w:lang w:val="en-US" w:eastAsia="en-US"/>
        </w:rPr>
      </w:pPr>
      <w:r>
        <w:rPr>
          <w:rFonts w:eastAsia="Courier New"/>
          <w:lang w:val="en-GB" w:eastAsia="en-US"/>
        </w:rPr>
        <w:t xml:space="preserve">        </w:t>
      </w:r>
      <w:r>
        <w:rPr>
          <w:lang w:val="en-GB" w:eastAsia="en-US"/>
        </w:rPr>
        <w:t>'307':</w:t>
      </w:r>
      <w:r>
        <w:rPr>
          <w:lang w:val="en-US" w:eastAsia="en-US"/>
        </w:rPr>
        <w:t xml:space="preserve"> </w:t>
      </w:r>
    </w:p>
    <w:p>
      <w:pPr>
        <w:pStyle w:val="PL"/>
        <w:rPr>
          <w:lang w:val="en-GB" w:eastAsia="en-US"/>
        </w:rPr>
      </w:pPr>
      <w:r>
        <w:rPr>
          <w:rFonts w:eastAsia="Courier New"/>
          <w:lang w:val="en-US" w:eastAsia="en-US"/>
        </w:rPr>
        <w:t xml:space="preserve">          </w:t>
      </w:r>
      <w:r>
        <w:rPr>
          <w:lang w:val="en-US" w:eastAsia="en-US"/>
        </w:rPr>
        <w:t xml:space="preserve">$ref: </w:t>
      </w:r>
      <w:r>
        <w:rPr/>
        <w:t>'TS29571_CommonData.yaml#/components/responses/307'</w:t>
      </w:r>
    </w:p>
    <w:p>
      <w:pPr>
        <w:pStyle w:val="PL"/>
        <w:rPr>
          <w:lang w:val="en-US" w:eastAsia="en-US"/>
        </w:rPr>
      </w:pPr>
      <w:r>
        <w:rPr>
          <w:rFonts w:eastAsia="Courier New"/>
          <w:lang w:val="en-GB" w:eastAsia="en-US"/>
        </w:rPr>
        <w:t xml:space="preserve">        </w:t>
      </w:r>
      <w:r>
        <w:rPr>
          <w:lang w:val="en-GB" w:eastAsia="en-US"/>
        </w:rPr>
        <w:t>'308':</w:t>
      </w:r>
      <w:r>
        <w:rPr>
          <w:lang w:val="en-US" w:eastAsia="en-US"/>
        </w:rPr>
        <w:t xml:space="preserve"> </w:t>
      </w:r>
    </w:p>
    <w:p>
      <w:pPr>
        <w:pStyle w:val="PL"/>
        <w:rPr>
          <w:lang w:val="en-GB" w:eastAsia="en-US"/>
        </w:rPr>
      </w:pPr>
      <w:r>
        <w:rPr>
          <w:rFonts w:eastAsia="Courier New"/>
          <w:lang w:val="en-US" w:eastAsia="en-US"/>
        </w:rPr>
        <w:t xml:space="preserve">          </w:t>
      </w:r>
      <w:r>
        <w:rPr>
          <w:lang w:val="en-US" w:eastAsia="en-US"/>
        </w:rPr>
        <w:t xml:space="preserve">$ref: </w:t>
      </w:r>
      <w:r>
        <w:rPr/>
        <w:t>'TS29571_CommonData.yaml#/components/responses/308'</w:t>
      </w:r>
    </w:p>
    <w:p>
      <w:pPr>
        <w:pStyle w:val="PL"/>
        <w:rPr/>
      </w:pPr>
      <w:r>
        <w:rPr>
          <w:rFonts w:eastAsia="Courier New"/>
        </w:rPr>
        <w:t xml:space="preserve">        </w:t>
      </w:r>
      <w:r>
        <w:rPr/>
        <w:t>'400':</w:t>
      </w:r>
    </w:p>
    <w:p>
      <w:pPr>
        <w:pStyle w:val="PL"/>
        <w:rPr/>
      </w:pPr>
      <w:r>
        <w:rPr>
          <w:rFonts w:eastAsia="Courier New"/>
        </w:rPr>
        <w:t xml:space="preserve">          </w:t>
      </w:r>
      <w:r>
        <w:rPr/>
        <w:t>$ref: 'TS29571_CommonData.yaml#/components/responses/400'</w:t>
      </w:r>
    </w:p>
    <w:p>
      <w:pPr>
        <w:pStyle w:val="PL"/>
        <w:rPr/>
      </w:pPr>
      <w:r>
        <w:rPr>
          <w:rFonts w:eastAsia="Courier New"/>
        </w:rPr>
        <w:t xml:space="preserve">        </w:t>
      </w:r>
      <w:r>
        <w:rPr/>
        <w:t>'401':</w:t>
      </w:r>
    </w:p>
    <w:p>
      <w:pPr>
        <w:pStyle w:val="PL"/>
        <w:rPr/>
      </w:pPr>
      <w:r>
        <w:rPr>
          <w:rFonts w:eastAsia="Courier New"/>
        </w:rPr>
        <w:t xml:space="preserve">          </w:t>
      </w:r>
      <w:r>
        <w:rPr/>
        <w:t>$ref: 'TS29571_CommonData.yaml#/components/responses/401'</w:t>
      </w:r>
    </w:p>
    <w:p>
      <w:pPr>
        <w:pStyle w:val="PL"/>
        <w:rPr/>
      </w:pPr>
      <w:r>
        <w:rPr>
          <w:rFonts w:eastAsia="Courier New"/>
        </w:rPr>
        <w:t xml:space="preserve">        </w:t>
      </w:r>
      <w:r>
        <w:rPr/>
        <w:t>'403':</w:t>
      </w:r>
    </w:p>
    <w:p>
      <w:pPr>
        <w:pStyle w:val="PL"/>
        <w:rPr/>
      </w:pPr>
      <w:r>
        <w:rPr>
          <w:rFonts w:eastAsia="Courier New"/>
        </w:rPr>
        <w:t xml:space="preserve">          </w:t>
      </w:r>
      <w:r>
        <w:rPr/>
        <w:t>$ref: 'TS29571_CommonData.yaml#/components/responses/403'</w:t>
      </w:r>
    </w:p>
    <w:p>
      <w:pPr>
        <w:pStyle w:val="PL"/>
        <w:rPr/>
      </w:pPr>
      <w:r>
        <w:rPr>
          <w:rFonts w:eastAsia="Courier New"/>
        </w:rPr>
        <w:t xml:space="preserve">        </w:t>
      </w:r>
      <w:r>
        <w:rPr/>
        <w:t>'404':</w:t>
      </w:r>
    </w:p>
    <w:p>
      <w:pPr>
        <w:pStyle w:val="PL"/>
        <w:rPr/>
      </w:pPr>
      <w:r>
        <w:rPr>
          <w:rFonts w:eastAsia="Courier New"/>
        </w:rPr>
        <w:t xml:space="preserve">          </w:t>
      </w:r>
      <w:r>
        <w:rPr/>
        <w:t>$ref: 'TS29571_CommonData.yaml#/components/responses/404'</w:t>
      </w:r>
    </w:p>
    <w:p>
      <w:pPr>
        <w:pStyle w:val="PL"/>
        <w:rPr/>
      </w:pPr>
      <w:r>
        <w:rPr>
          <w:rFonts w:eastAsia="Courier New"/>
          <w:lang w:val="en-GB" w:eastAsia="en-US"/>
        </w:rPr>
        <w:t xml:space="preserve">        </w:t>
      </w:r>
      <w:r>
        <w:rPr>
          <w:lang w:val="en-GB" w:eastAsia="en-US"/>
        </w:rPr>
        <w:t>'429':</w:t>
      </w:r>
    </w:p>
    <w:p>
      <w:pPr>
        <w:pStyle w:val="PL"/>
        <w:rPr>
          <w:lang w:val="en-GB" w:eastAsia="en-US"/>
        </w:rPr>
      </w:pPr>
      <w:r>
        <w:rPr>
          <w:rFonts w:eastAsia="Courier New"/>
          <w:lang w:val="en-GB" w:eastAsia="en-US"/>
        </w:rPr>
        <w:t xml:space="preserve">          </w:t>
      </w:r>
      <w:r>
        <w:rPr>
          <w:lang w:val="en-GB" w:eastAsia="en-US"/>
        </w:rPr>
        <w:t>$ref: 'TS29571_CommonData.yaml#/components/responses/429'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$ref: 'TS29571_CommonData.yaml#/components/responses/500'</w:t>
      </w:r>
    </w:p>
    <w:p>
      <w:pPr>
        <w:pStyle w:val="PL"/>
        <w:rPr/>
      </w:pPr>
      <w:r>
        <w:rPr>
          <w:rFonts w:eastAsia="Courier New"/>
        </w:rPr>
        <w:t xml:space="preserve">        </w:t>
      </w:r>
      <w:r>
        <w:rPr/>
        <w:t>'503':</w:t>
      </w:r>
    </w:p>
    <w:p>
      <w:pPr>
        <w:pStyle w:val="PL"/>
        <w:rPr/>
      </w:pPr>
      <w:r>
        <w:rPr>
          <w:rFonts w:eastAsia="Courier New"/>
        </w:rPr>
        <w:t xml:space="preserve">          </w:t>
      </w:r>
      <w:r>
        <w:rPr/>
        <w:t>$ref: 'TS29571_CommonData.yaml#/components/responses/503'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$ref: 'TS29571_CommonData.yaml#/components/responses/default'</w:t>
      </w:r>
    </w:p>
    <w:p>
      <w:pPr>
        <w:pStyle w:val="PL"/>
        <w:rPr/>
      </w:pPr>
      <w:r>
        <w:rPr/>
        <w:t>components:</w:t>
      </w:r>
    </w:p>
    <w:p>
      <w:pPr>
        <w:pStyle w:val="PL"/>
        <w:rPr/>
      </w:pPr>
      <w:r>
        <w:rPr>
          <w:rFonts w:eastAsia="Courier New"/>
          <w:lang w:val="en-GB" w:eastAsia="en-US"/>
        </w:rPr>
        <w:t xml:space="preserve">  </w:t>
      </w:r>
      <w:r>
        <w:rPr>
          <w:lang w:val="en-GB" w:eastAsia="en-US"/>
        </w:rPr>
        <w:t>securitySchemes:</w:t>
      </w:r>
    </w:p>
    <w:p>
      <w:pPr>
        <w:pStyle w:val="PL"/>
        <w:rPr/>
      </w:pPr>
      <w:r>
        <w:rPr>
          <w:rFonts w:eastAsia="Courier New"/>
          <w:lang w:val="en-GB" w:eastAsia="en-US"/>
        </w:rPr>
        <w:t xml:space="preserve">    </w:t>
      </w:r>
      <w:r>
        <w:rPr>
          <w:lang w:val="en-GB" w:eastAsia="en-US"/>
        </w:rPr>
        <w:t>oAuth2ClientCredentials:</w:t>
      </w:r>
    </w:p>
    <w:p>
      <w:pPr>
        <w:pStyle w:val="PL"/>
        <w:rPr>
          <w:lang w:val="en-GB" w:eastAsia="en-US"/>
        </w:rPr>
      </w:pPr>
      <w:r>
        <w:rPr>
          <w:rFonts w:eastAsia="Courier New"/>
          <w:lang w:val="en-GB" w:eastAsia="en-US"/>
        </w:rPr>
        <w:t xml:space="preserve">      </w:t>
      </w:r>
      <w:r>
        <w:rPr>
          <w:lang w:val="en-GB" w:eastAsia="en-US"/>
        </w:rPr>
        <w:t>type: oauth2</w:t>
      </w:r>
    </w:p>
    <w:p>
      <w:pPr>
        <w:pStyle w:val="PL"/>
        <w:rPr/>
      </w:pPr>
      <w:r>
        <w:rPr>
          <w:rFonts w:eastAsia="Courier New"/>
          <w:lang w:val="en-GB" w:eastAsia="en-US"/>
        </w:rPr>
        <w:t xml:space="preserve">      </w:t>
      </w:r>
      <w:r>
        <w:rPr>
          <w:lang w:val="en-GB" w:eastAsia="en-US"/>
        </w:rPr>
        <w:t>flows:</w:t>
      </w:r>
    </w:p>
    <w:p>
      <w:pPr>
        <w:pStyle w:val="PL"/>
        <w:rPr/>
      </w:pPr>
      <w:r>
        <w:rPr>
          <w:rFonts w:eastAsia="Courier New"/>
          <w:lang w:val="en-GB" w:eastAsia="en-US"/>
        </w:rPr>
        <w:t xml:space="preserve">        </w:t>
      </w:r>
      <w:r>
        <w:rPr>
          <w:lang w:val="en-GB" w:eastAsia="en-US"/>
        </w:rPr>
        <w:t>clientCredentials:</w:t>
      </w:r>
    </w:p>
    <w:p>
      <w:pPr>
        <w:pStyle w:val="PL"/>
        <w:rPr/>
      </w:pPr>
      <w:r>
        <w:rPr>
          <w:rFonts w:eastAsia="Courier New"/>
          <w:lang w:val="en-GB" w:eastAsia="en-US"/>
        </w:rPr>
        <w:t xml:space="preserve">          </w:t>
      </w:r>
      <w:r>
        <w:rPr>
          <w:lang w:val="en-GB" w:eastAsia="en-US"/>
        </w:rPr>
        <w:t>tokenUrl: '</w:t>
      </w:r>
      <w:r>
        <w:rPr>
          <w:lang w:val="en-US" w:eastAsia="en-US"/>
        </w:rPr>
        <w:t>{nrfApiRoot}/oauth2/token</w:t>
      </w:r>
      <w:r>
        <w:rPr>
          <w:lang w:val="en-GB" w:eastAsia="en-US"/>
        </w:rPr>
        <w:t>'</w:t>
      </w:r>
    </w:p>
    <w:p>
      <w:pPr>
        <w:pStyle w:val="PL"/>
        <w:rPr>
          <w:lang w:val="en-GB" w:eastAsia="en-US"/>
        </w:rPr>
      </w:pPr>
      <w:r>
        <w:rPr>
          <w:rFonts w:eastAsia="Courier New"/>
          <w:lang w:val="en-GB" w:eastAsia="en-US"/>
        </w:rPr>
        <w:t xml:space="preserve">          </w:t>
      </w:r>
      <w:r>
        <w:rPr>
          <w:lang w:val="en-GB" w:eastAsia="en-US"/>
        </w:rPr>
        <w:t>scopes:</w:t>
      </w:r>
    </w:p>
    <w:p>
      <w:pPr>
        <w:pStyle w:val="PL"/>
        <w:rPr>
          <w:lang w:val="en-GB" w:eastAsia="en-US"/>
        </w:rPr>
      </w:pPr>
      <w:r>
        <w:rPr>
          <w:rFonts w:eastAsia="Courier New"/>
          <w:lang w:val="en-GB" w:eastAsia="en-US"/>
        </w:rPr>
        <w:t xml:space="preserve">            </w:t>
      </w:r>
      <w:r>
        <w:rPr/>
        <w:t>nchf-spendinglimitcontrol</w:t>
      </w:r>
      <w:r>
        <w:rPr>
          <w:lang w:val="en-GB" w:eastAsia="en-US"/>
        </w:rPr>
        <w:t>: Access to the Nchf_SpendingLimitControl API</w:t>
      </w:r>
    </w:p>
    <w:p>
      <w:pPr>
        <w:pStyle w:val="PL"/>
        <w:rPr/>
      </w:pPr>
      <w:r>
        <w:rPr>
          <w:rFonts w:eastAsia="Courier New"/>
        </w:rPr>
        <w:t xml:space="preserve">  </w:t>
      </w:r>
      <w:r>
        <w:rPr/>
        <w:t>schemas:</w:t>
      </w:r>
    </w:p>
    <w:p>
      <w:pPr>
        <w:pStyle w:val="PL"/>
        <w:rPr/>
      </w:pPr>
      <w:r>
        <w:rPr>
          <w:rFonts w:eastAsia="Courier New"/>
        </w:rPr>
        <w:t xml:space="preserve">    </w:t>
      </w:r>
      <w:r>
        <w:rPr/>
        <w:t>SpendingLimitContext:</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supi:</w:t>
      </w:r>
    </w:p>
    <w:p>
      <w:pPr>
        <w:pStyle w:val="PL"/>
        <w:rPr/>
      </w:pPr>
      <w:r>
        <w:rPr>
          <w:rFonts w:eastAsia="Courier New"/>
        </w:rPr>
        <w:t xml:space="preserve">          </w:t>
      </w:r>
      <w:r>
        <w:rPr/>
        <w:t>$ref: 'TS29571_CommonData.yaml#/components/schemas/Supi'</w:t>
      </w:r>
    </w:p>
    <w:p>
      <w:pPr>
        <w:pStyle w:val="PL"/>
        <w:rPr/>
      </w:pPr>
      <w:r>
        <w:rPr>
          <w:rFonts w:eastAsia="Courier New"/>
        </w:rPr>
        <w:t xml:space="preserve">        </w:t>
      </w:r>
      <w:r>
        <w:rPr/>
        <w:t>gpsi:</w:t>
      </w:r>
    </w:p>
    <w:p>
      <w:pPr>
        <w:pStyle w:val="PL"/>
        <w:rPr/>
      </w:pPr>
      <w:r>
        <w:rPr>
          <w:rFonts w:eastAsia="Courier New"/>
        </w:rPr>
        <w:t xml:space="preserve">          </w:t>
      </w:r>
      <w:r>
        <w:rPr/>
        <w:t>$ref: 'TS29571_CommonData.yaml#/components/schemas/Gpsi'</w:t>
      </w:r>
    </w:p>
    <w:p>
      <w:pPr>
        <w:pStyle w:val="PL"/>
        <w:rPr/>
      </w:pPr>
      <w:r>
        <w:rPr>
          <w:rFonts w:eastAsia="Courier New"/>
        </w:rPr>
        <w:t xml:space="preserve">        </w:t>
      </w:r>
      <w:r>
        <w:rPr/>
        <w:t>policyCounterIds: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'#/components/schemas/PolicyCounterId'</w:t>
      </w:r>
    </w:p>
    <w:p>
      <w:pPr>
        <w:pStyle w:val="PL"/>
        <w:rPr/>
      </w:pPr>
      <w:r>
        <w:rPr>
          <w:rFonts w:eastAsia="Courier New"/>
        </w:rPr>
        <w:t xml:space="preserve">          </w:t>
      </w:r>
      <w:r>
        <w:rPr/>
        <w:t>minItems: 1</w:t>
      </w:r>
    </w:p>
    <w:p>
      <w:pPr>
        <w:pStyle w:val="PL"/>
        <w:rPr/>
      </w:pPr>
      <w:r>
        <w:rPr>
          <w:rFonts w:eastAsia="Courier New"/>
        </w:rPr>
        <w:t xml:space="preserve">          </w:t>
      </w:r>
      <w:r>
        <w:rPr/>
        <w:t>description: This is a list of policy counter identifier(s), which identifies policy counters maintained per subscriber within the CHF.</w:t>
      </w:r>
    </w:p>
    <w:p>
      <w:pPr>
        <w:pStyle w:val="PL"/>
        <w:rPr/>
      </w:pPr>
      <w:r>
        <w:rPr>
          <w:rFonts w:eastAsia="Courier New"/>
        </w:rPr>
        <w:t xml:space="preserve">        </w:t>
      </w:r>
      <w:r>
        <w:rPr/>
        <w:t>notifUri:</w:t>
      </w:r>
    </w:p>
    <w:p>
      <w:pPr>
        <w:pStyle w:val="PL"/>
        <w:rPr/>
      </w:pPr>
      <w:r>
        <w:rPr>
          <w:rFonts w:eastAsia="Courier New"/>
        </w:rPr>
        <w:t xml:space="preserve">          </w:t>
      </w:r>
      <w:r>
        <w:rPr/>
        <w:t>$ref: 'TS29571_CommonData.yaml#/components/schemas/Uri'</w:t>
      </w:r>
    </w:p>
    <w:p>
      <w:pPr>
        <w:pStyle w:val="PL"/>
        <w:rPr/>
      </w:pPr>
      <w:r>
        <w:rPr>
          <w:rFonts w:eastAsia="Courier New"/>
        </w:rPr>
        <w:t xml:space="preserve">        </w:t>
      </w:r>
      <w:r>
        <w:rPr/>
        <w:t>expiry:</w:t>
      </w:r>
    </w:p>
    <w:p>
      <w:pPr>
        <w:pStyle w:val="PL"/>
        <w:rPr/>
      </w:pPr>
      <w:r>
        <w:rPr>
          <w:rFonts w:eastAsia="Courier New"/>
        </w:rPr>
        <w:t xml:space="preserve">          </w:t>
      </w:r>
      <w:r>
        <w:rPr/>
        <w:t>$ref: 'TS29571_CommonData.yaml#/components/schemas/DateTime'</w:t>
      </w:r>
    </w:p>
    <w:p>
      <w:pPr>
        <w:pStyle w:val="PL"/>
        <w:rPr/>
      </w:pPr>
      <w:r>
        <w:rPr>
          <w:rFonts w:eastAsia="Courier New"/>
        </w:rPr>
        <w:t xml:space="preserve">        </w:t>
      </w:r>
      <w:r>
        <w:rPr/>
        <w:t>supportedFeatures:</w:t>
      </w:r>
    </w:p>
    <w:p>
      <w:pPr>
        <w:pStyle w:val="PL"/>
        <w:rPr/>
      </w:pPr>
      <w:r>
        <w:rPr>
          <w:rFonts w:eastAsia="Courier New"/>
        </w:rPr>
        <w:t xml:space="preserve">          </w:t>
      </w:r>
      <w:r>
        <w:rPr/>
        <w:t>$ref: 'TS29571_CommonData.yaml#/components/schemas/SupportedFeatures'</w:t>
      </w:r>
    </w:p>
    <w:p>
      <w:pPr>
        <w:pStyle w:val="PL"/>
        <w:rPr/>
      </w:pPr>
      <w:r>
        <w:rPr>
          <w:rFonts w:eastAsia="Courier New"/>
          <w:lang w:val="en-GB" w:eastAsia="en-US"/>
        </w:rPr>
        <w:t xml:space="preserve">        </w:t>
      </w:r>
      <w:r>
        <w:rPr/>
        <w:t>notifId:</w:t>
      </w:r>
    </w:p>
    <w:p>
      <w:pPr>
        <w:pStyle w:val="PL"/>
        <w:tabs>
          <w:tab w:val="clear" w:pos="1152"/>
          <w:tab w:val="left" w:pos="384" w:leader="none"/>
          <w:tab w:val="left" w:pos="768" w:leader="none"/>
          <w:tab w:val="left" w:pos="1010"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eastAsia="Courier New"/>
        </w:rPr>
        <w:t xml:space="preserve">          </w:t>
      </w:r>
      <w:r>
        <w:rPr/>
        <w:t>type: string</w:t>
      </w:r>
    </w:p>
    <w:p>
      <w:pPr>
        <w:pStyle w:val="PL"/>
        <w:rPr/>
      </w:pPr>
      <w:r>
        <w:rPr>
          <w:rFonts w:eastAsia="Courier New"/>
        </w:rPr>
        <w:t xml:space="preserve">    </w:t>
      </w:r>
      <w:r>
        <w:rPr/>
        <w:t>SpendingLimitStatus:</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supi:</w:t>
      </w:r>
    </w:p>
    <w:p>
      <w:pPr>
        <w:pStyle w:val="PL"/>
        <w:rPr/>
      </w:pPr>
      <w:r>
        <w:rPr>
          <w:rFonts w:eastAsia="Courier New"/>
        </w:rPr>
        <w:t xml:space="preserve">          </w:t>
      </w:r>
      <w:r>
        <w:rPr/>
        <w:t>$ref: 'TS29571_CommonData.yaml#/components/schemas/Supi'</w:t>
      </w:r>
    </w:p>
    <w:p>
      <w:pPr>
        <w:pStyle w:val="PL"/>
        <w:rPr/>
      </w:pPr>
      <w:r>
        <w:rPr>
          <w:rFonts w:eastAsia="Courier New"/>
        </w:rPr>
        <w:t xml:space="preserve">        </w:t>
      </w:r>
      <w:r>
        <w:rPr/>
        <w:t>notifId:</w:t>
      </w:r>
    </w:p>
    <w:p>
      <w:pPr>
        <w:pStyle w:val="PL"/>
        <w:rPr/>
      </w:pPr>
      <w:r>
        <w:rPr>
          <w:rFonts w:eastAsia="Courier New"/>
        </w:rPr>
        <w:t xml:space="preserve">          </w:t>
      </w:r>
      <w:r>
        <w:rPr/>
        <w:t>type: string</w:t>
      </w:r>
    </w:p>
    <w:p>
      <w:pPr>
        <w:pStyle w:val="PL"/>
        <w:rPr/>
      </w:pPr>
      <w:r>
        <w:rPr>
          <w:rFonts w:eastAsia="Courier New"/>
        </w:rPr>
        <w:t xml:space="preserve">        </w:t>
      </w:r>
      <w:r>
        <w:rPr/>
        <w:t>statusInfos:</w:t>
      </w:r>
    </w:p>
    <w:p>
      <w:pPr>
        <w:pStyle w:val="PL"/>
        <w:rPr/>
      </w:pPr>
      <w:r>
        <w:rPr>
          <w:rFonts w:eastAsia="Courier New"/>
        </w:rPr>
        <w:t xml:space="preserve">          </w:t>
      </w:r>
      <w:r>
        <w:rPr/>
        <w:t>type: object</w:t>
      </w:r>
    </w:p>
    <w:p>
      <w:pPr>
        <w:pStyle w:val="PL"/>
        <w:rPr/>
      </w:pPr>
      <w:r>
        <w:rPr>
          <w:rFonts w:eastAsia="Courier New"/>
        </w:rPr>
        <w:t xml:space="preserve">          </w:t>
      </w:r>
      <w:r>
        <w:rPr/>
        <w:t>additionalProperties:</w:t>
      </w:r>
    </w:p>
    <w:p>
      <w:pPr>
        <w:pStyle w:val="PL"/>
        <w:rPr/>
      </w:pPr>
      <w:r>
        <w:rPr>
          <w:rFonts w:eastAsia="Courier New"/>
        </w:rPr>
        <w:t xml:space="preserve">            </w:t>
      </w:r>
      <w:r>
        <w:rPr/>
        <w:t>$ref: '#/components/schemas/PolicyCounterInfo'</w:t>
      </w:r>
    </w:p>
    <w:p>
      <w:pPr>
        <w:pStyle w:val="PL"/>
        <w:rPr/>
      </w:pPr>
      <w:r>
        <w:rPr>
          <w:rFonts w:eastAsia="Courier New"/>
        </w:rPr>
        <w:t xml:space="preserve">          </w:t>
      </w:r>
      <w:r>
        <w:rPr/>
        <w:t>minProperties: 1</w:t>
      </w:r>
    </w:p>
    <w:p>
      <w:pPr>
        <w:pStyle w:val="PL"/>
        <w:rPr/>
      </w:pPr>
      <w:r>
        <w:rPr>
          <w:rFonts w:eastAsia="Courier New"/>
        </w:rPr>
        <w:t xml:space="preserve">          </w:t>
      </w:r>
      <w:r>
        <w:rPr/>
        <w:t>description: Status of the requested policy counters. The key of the map is the attribute "policyCounterId".</w:t>
      </w:r>
    </w:p>
    <w:p>
      <w:pPr>
        <w:pStyle w:val="PL"/>
        <w:rPr/>
      </w:pPr>
      <w:r>
        <w:rPr>
          <w:rFonts w:eastAsia="Courier New"/>
        </w:rPr>
        <w:t xml:space="preserve">        </w:t>
      </w:r>
      <w:r>
        <w:rPr/>
        <w:t>expiry:</w:t>
      </w:r>
    </w:p>
    <w:p>
      <w:pPr>
        <w:pStyle w:val="PL"/>
        <w:rPr/>
      </w:pPr>
      <w:r>
        <w:rPr>
          <w:rFonts w:eastAsia="Courier New"/>
        </w:rPr>
        <w:t xml:space="preserve">          </w:t>
      </w:r>
      <w:r>
        <w:rPr/>
        <w:t>$ref: 'TS29571_CommonData.yaml#/components/schemas/DateTime'</w:t>
      </w:r>
    </w:p>
    <w:p>
      <w:pPr>
        <w:pStyle w:val="PL"/>
        <w:rPr/>
      </w:pPr>
      <w:r>
        <w:rPr>
          <w:rFonts w:eastAsia="Courier New"/>
        </w:rPr>
        <w:t xml:space="preserve">        </w:t>
      </w:r>
      <w:r>
        <w:rPr/>
        <w:t>supportedFeatures:</w:t>
      </w:r>
    </w:p>
    <w:p>
      <w:pPr>
        <w:pStyle w:val="PL"/>
        <w:rPr/>
      </w:pPr>
      <w:r>
        <w:rPr>
          <w:rFonts w:eastAsia="Courier New"/>
        </w:rPr>
        <w:t xml:space="preserve">          </w:t>
      </w:r>
      <w:r>
        <w:rPr/>
        <w:t>$ref: 'TS29571_CommonData.yaml#/components/schemas/SupportedFeatures'</w:t>
      </w:r>
    </w:p>
    <w:p>
      <w:pPr>
        <w:pStyle w:val="PL"/>
        <w:rPr/>
      </w:pPr>
      <w:r>
        <w:rPr>
          <w:rFonts w:eastAsia="Courier New"/>
        </w:rPr>
        <w:t xml:space="preserve">    </w:t>
      </w:r>
      <w:r>
        <w:rPr/>
        <w:t>PolicyCounterInfo:</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policyCounterId:</w:t>
      </w:r>
    </w:p>
    <w:p>
      <w:pPr>
        <w:pStyle w:val="PL"/>
        <w:rPr/>
      </w:pPr>
      <w:r>
        <w:rPr>
          <w:rFonts w:eastAsia="Courier New"/>
        </w:rPr>
        <w:t xml:space="preserve">          </w:t>
      </w:r>
      <w:r>
        <w:rPr/>
        <w:t>$ref: '#/components/schemas/PolicyCounterId'</w:t>
      </w:r>
    </w:p>
    <w:p>
      <w:pPr>
        <w:pStyle w:val="PL"/>
        <w:rPr/>
      </w:pPr>
      <w:r>
        <w:rPr>
          <w:rFonts w:eastAsia="Courier New"/>
        </w:rPr>
        <w:t xml:space="preserve">        </w:t>
      </w:r>
      <w:r>
        <w:rPr/>
        <w:t>currentStatus:</w:t>
      </w:r>
    </w:p>
    <w:p>
      <w:pPr>
        <w:pStyle w:val="PL"/>
        <w:rPr/>
      </w:pPr>
      <w:r>
        <w:rPr>
          <w:rFonts w:eastAsia="Courier New"/>
        </w:rPr>
        <w:t xml:space="preserve">          </w:t>
      </w:r>
      <w:r>
        <w:rPr/>
        <w:t>type: string</w:t>
      </w:r>
    </w:p>
    <w:p>
      <w:pPr>
        <w:pStyle w:val="PL"/>
        <w:rPr/>
      </w:pPr>
      <w:r>
        <w:rPr>
          <w:rFonts w:eastAsia="Courier New"/>
        </w:rPr>
        <w:t xml:space="preserve">          </w:t>
      </w:r>
      <w:r>
        <w:rPr/>
        <w:t>description: Identifies the policy counter status applicable for a specific policy counter identified by the policyCounterId. The values (e.g. valid, invalid or any other status) are not specified. The interpretation and actions related to the defined values are out of scope of 3GPP.</w:t>
      </w:r>
    </w:p>
    <w:p>
      <w:pPr>
        <w:pStyle w:val="PL"/>
        <w:rPr/>
      </w:pPr>
      <w:r>
        <w:rPr>
          <w:rFonts w:eastAsia="Courier New"/>
        </w:rPr>
        <w:t xml:space="preserve">        </w:t>
      </w:r>
      <w:r>
        <w:rPr/>
        <w:t>penPolCounterStatuses: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'#/components/schemas/PendingPolicyCounterStatus'</w:t>
      </w:r>
    </w:p>
    <w:p>
      <w:pPr>
        <w:pStyle w:val="PL"/>
        <w:rPr/>
      </w:pPr>
      <w:r>
        <w:rPr>
          <w:rFonts w:eastAsia="Courier New"/>
        </w:rPr>
        <w:t xml:space="preserve">          </w:t>
      </w:r>
      <w:r>
        <w:rPr/>
        <w:t>minItems: 1</w:t>
      </w:r>
    </w:p>
    <w:p>
      <w:pPr>
        <w:pStyle w:val="PL"/>
        <w:rPr/>
      </w:pPr>
      <w:r>
        <w:rPr>
          <w:rFonts w:eastAsia="Courier New"/>
        </w:rPr>
        <w:t xml:space="preserve">          </w:t>
      </w:r>
      <w:r>
        <w:rPr/>
        <w:t>description: Provides the pending policy counter status.</w:t>
      </w:r>
    </w:p>
    <w:p>
      <w:pPr>
        <w:pStyle w:val="PL"/>
        <w:rPr/>
      </w:pPr>
      <w:r>
        <w:rPr>
          <w:rFonts w:eastAsia="Courier New"/>
        </w:rPr>
        <w:t xml:space="preserve">      </w:t>
      </w:r>
      <w:r>
        <w:rPr/>
        <w:t>required:</w:t>
      </w:r>
    </w:p>
    <w:p>
      <w:pPr>
        <w:pStyle w:val="PL"/>
        <w:rPr/>
      </w:pPr>
      <w:r>
        <w:rPr>
          <w:rFonts w:eastAsia="Courier New"/>
        </w:rPr>
        <w:t xml:space="preserve">        </w:t>
      </w:r>
      <w:r>
        <w:rPr/>
        <w:t>- policyCounterId</w:t>
      </w:r>
    </w:p>
    <w:p>
      <w:pPr>
        <w:pStyle w:val="PL"/>
        <w:rPr/>
      </w:pPr>
      <w:r>
        <w:rPr>
          <w:rFonts w:eastAsia="Courier New"/>
        </w:rPr>
        <w:t xml:space="preserve">        </w:t>
      </w:r>
      <w:r>
        <w:rPr/>
        <w:t>- currentStatus</w:t>
      </w:r>
    </w:p>
    <w:p>
      <w:pPr>
        <w:pStyle w:val="PL"/>
        <w:rPr/>
      </w:pPr>
      <w:r>
        <w:rPr>
          <w:rFonts w:eastAsia="Courier New"/>
        </w:rPr>
        <w:t xml:space="preserve">    </w:t>
      </w:r>
      <w:r>
        <w:rPr/>
        <w:t>PendingPolicyCounterStatus:</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policyCounterStatus:</w:t>
      </w:r>
    </w:p>
    <w:p>
      <w:pPr>
        <w:pStyle w:val="PL"/>
        <w:rPr/>
      </w:pPr>
      <w:r>
        <w:rPr>
          <w:rFonts w:eastAsia="Courier New"/>
        </w:rPr>
        <w:t xml:space="preserve">          </w:t>
      </w:r>
      <w:r>
        <w:rPr/>
        <w:t>type: string</w:t>
      </w:r>
    </w:p>
    <w:p>
      <w:pPr>
        <w:pStyle w:val="PL"/>
        <w:rPr/>
      </w:pPr>
      <w:r>
        <w:rPr>
          <w:rFonts w:eastAsia="Courier New"/>
        </w:rPr>
        <w:t xml:space="preserve">          </w:t>
      </w:r>
      <w:r>
        <w:rPr/>
        <w:t>description: Identifies the policy counter status applicable for a specific policy counter identified by the policyCounterId. The values (e.g. valid, invalid or any other status) are not specified. The interpretation and actions related to the defined values are out of scope of 3GPP.</w:t>
      </w:r>
    </w:p>
    <w:p>
      <w:pPr>
        <w:pStyle w:val="PL"/>
        <w:rPr/>
      </w:pPr>
      <w:r>
        <w:rPr>
          <w:rFonts w:eastAsia="Courier New"/>
        </w:rPr>
        <w:t xml:space="preserve">        </w:t>
      </w:r>
      <w:r>
        <w:rPr/>
        <w:t>activationTime:</w:t>
      </w:r>
    </w:p>
    <w:p>
      <w:pPr>
        <w:pStyle w:val="PL"/>
        <w:rPr/>
      </w:pPr>
      <w:r>
        <w:rPr>
          <w:rFonts w:eastAsia="Courier New"/>
        </w:rPr>
        <w:t xml:space="preserve">          </w:t>
      </w:r>
      <w:r>
        <w:rPr/>
        <w:t>$ref: 'TS29571_CommonData.yaml#/components/schemas/DateTime'</w:t>
      </w:r>
    </w:p>
    <w:p>
      <w:pPr>
        <w:pStyle w:val="PL"/>
        <w:rPr/>
      </w:pPr>
      <w:r>
        <w:rPr>
          <w:rFonts w:eastAsia="Courier New"/>
        </w:rPr>
        <w:t xml:space="preserve">      </w:t>
      </w:r>
      <w:r>
        <w:rPr/>
        <w:t>required:</w:t>
      </w:r>
    </w:p>
    <w:p>
      <w:pPr>
        <w:pStyle w:val="PL"/>
        <w:rPr/>
      </w:pPr>
      <w:r>
        <w:rPr>
          <w:rFonts w:eastAsia="Courier New"/>
        </w:rPr>
        <w:t xml:space="preserve">        </w:t>
      </w:r>
      <w:r>
        <w:rPr/>
        <w:t>- policyCounterStatus</w:t>
      </w:r>
    </w:p>
    <w:p>
      <w:pPr>
        <w:pStyle w:val="PL"/>
        <w:rPr/>
      </w:pPr>
      <w:r>
        <w:rPr>
          <w:rFonts w:eastAsia="Courier New"/>
        </w:rPr>
        <w:t xml:space="preserve">        </w:t>
      </w:r>
      <w:r>
        <w:rPr/>
        <w:t>- activationTime</w:t>
      </w:r>
    </w:p>
    <w:p>
      <w:pPr>
        <w:pStyle w:val="PL"/>
        <w:rPr/>
      </w:pPr>
      <w:r>
        <w:rPr>
          <w:rFonts w:eastAsia="Courier New"/>
        </w:rPr>
        <w:t xml:space="preserve">    </w:t>
      </w:r>
      <w:r>
        <w:rPr/>
        <w:t>PolicyCounterId:</w:t>
      </w:r>
    </w:p>
    <w:p>
      <w:pPr>
        <w:pStyle w:val="PL"/>
        <w:rPr/>
      </w:pPr>
      <w:r>
        <w:rPr>
          <w:rFonts w:eastAsia="Courier New"/>
        </w:rPr>
        <w:t xml:space="preserve">      </w:t>
      </w:r>
      <w:r>
        <w:rPr/>
        <w:t>type: string</w:t>
      </w:r>
    </w:p>
    <w:p>
      <w:pPr>
        <w:pStyle w:val="PL"/>
        <w:rPr/>
      </w:pPr>
      <w:r>
        <w:rPr>
          <w:rFonts w:eastAsia="Courier New"/>
        </w:rPr>
        <w:t xml:space="preserve">      </w:t>
      </w:r>
      <w:r>
        <w:rPr/>
        <w:t>description: Identifies a policy counter.</w:t>
      </w:r>
    </w:p>
    <w:p>
      <w:pPr>
        <w:pStyle w:val="PL"/>
        <w:rPr/>
      </w:pPr>
      <w:r>
        <w:rPr>
          <w:rFonts w:eastAsia="Courier New"/>
        </w:rPr>
        <w:t xml:space="preserve">    </w:t>
      </w:r>
      <w:r>
        <w:rPr/>
        <w:t>SubscriptionTerminationInfo:</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supi:</w:t>
      </w:r>
    </w:p>
    <w:p>
      <w:pPr>
        <w:pStyle w:val="PL"/>
        <w:rPr/>
      </w:pPr>
      <w:r>
        <w:rPr>
          <w:rFonts w:eastAsia="Courier New"/>
        </w:rPr>
        <w:t xml:space="preserve">          </w:t>
      </w:r>
      <w:r>
        <w:rPr/>
        <w:t>$ref: 'TS29571_CommonData.yaml#/components/schemas/Supi'</w:t>
      </w:r>
    </w:p>
    <w:p>
      <w:pPr>
        <w:pStyle w:val="PL"/>
        <w:rPr/>
      </w:pPr>
      <w:r>
        <w:rPr>
          <w:rFonts w:eastAsia="Courier New"/>
        </w:rPr>
        <w:t xml:space="preserve">        </w:t>
      </w:r>
      <w:r>
        <w:rPr/>
        <w:t>notifId:</w:t>
      </w:r>
    </w:p>
    <w:p>
      <w:pPr>
        <w:pStyle w:val="PL"/>
        <w:rPr/>
      </w:pPr>
      <w:r>
        <w:rPr>
          <w:rFonts w:eastAsia="Courier New"/>
        </w:rPr>
        <w:t xml:space="preserve">          </w:t>
      </w:r>
      <w:r>
        <w:rPr/>
        <w:t>type: string</w:t>
      </w:r>
    </w:p>
    <w:p>
      <w:pPr>
        <w:pStyle w:val="PL"/>
        <w:rPr/>
      </w:pPr>
      <w:r>
        <w:rPr>
          <w:rFonts w:eastAsia="Courier New"/>
        </w:rPr>
        <w:t xml:space="preserve">        </w:t>
      </w:r>
      <w:r>
        <w:rPr/>
        <w:t>termCause:</w:t>
      </w:r>
    </w:p>
    <w:p>
      <w:pPr>
        <w:pStyle w:val="PL"/>
        <w:rPr/>
      </w:pPr>
      <w:r>
        <w:rPr>
          <w:rFonts w:eastAsia="Courier New"/>
        </w:rPr>
        <w:t xml:space="preserve">          </w:t>
      </w:r>
      <w:r>
        <w:rPr/>
        <w:t>$ref: '#/components/schemas/TerminationCause'</w:t>
      </w:r>
    </w:p>
    <w:p>
      <w:pPr>
        <w:pStyle w:val="PL"/>
        <w:rPr/>
      </w:pPr>
      <w:r>
        <w:rPr>
          <w:rFonts w:eastAsia="Courier New"/>
        </w:rPr>
        <w:t xml:space="preserve">      </w:t>
      </w:r>
      <w:r>
        <w:rPr/>
        <w:t>required:</w:t>
      </w:r>
    </w:p>
    <w:p>
      <w:pPr>
        <w:pStyle w:val="PL"/>
        <w:rPr/>
      </w:pPr>
      <w:r>
        <w:rPr>
          <w:rFonts w:eastAsia="Courier New"/>
        </w:rPr>
        <w:t xml:space="preserve">        </w:t>
      </w:r>
      <w:r>
        <w:rPr/>
        <w:t>- supi</w:t>
      </w:r>
    </w:p>
    <w:p>
      <w:pPr>
        <w:pStyle w:val="PL"/>
        <w:rPr/>
      </w:pPr>
      <w:r>
        <w:rPr>
          <w:rFonts w:eastAsia="Courier New" w:cs="Courier New"/>
          <w:szCs w:val="16"/>
          <w:lang w:val="en-US" w:eastAsia="en-US"/>
        </w:rPr>
        <w:t xml:space="preserve">    </w:t>
      </w:r>
      <w:r>
        <w:rPr>
          <w:rFonts w:cs="Courier New"/>
          <w:szCs w:val="16"/>
          <w:lang w:val="en-US" w:eastAsia="en-US"/>
        </w:rPr>
        <w:t>TerminationCause:</w:t>
      </w:r>
    </w:p>
    <w:p>
      <w:pPr>
        <w:pStyle w:val="PL"/>
        <w:rPr/>
      </w:pPr>
      <w:r>
        <w:rPr>
          <w:rFonts w:eastAsia="Courier New" w:cs="Courier New"/>
          <w:szCs w:val="16"/>
          <w:lang w:val="en-US" w:eastAsia="en-US"/>
        </w:rPr>
        <w:t xml:space="preserve">      </w:t>
      </w:r>
      <w:r>
        <w:rPr>
          <w:rFonts w:cs="Courier New"/>
          <w:szCs w:val="16"/>
          <w:lang w:val="en-US" w:eastAsia="en-US"/>
        </w:rPr>
        <w:t>anyOf:</w:t>
      </w:r>
    </w:p>
    <w:p>
      <w:pPr>
        <w:pStyle w:val="PL"/>
        <w:rPr/>
      </w:pPr>
      <w:r>
        <w:rPr>
          <w:rFonts w:eastAsia="Courier New" w:cs="Courier New"/>
          <w:szCs w:val="16"/>
          <w:lang w:val="en-US" w:eastAsia="en-US"/>
        </w:rPr>
        <w:t xml:space="preserve">      </w:t>
      </w:r>
      <w:r>
        <w:rPr>
          <w:rFonts w:cs="Courier New"/>
          <w:szCs w:val="16"/>
          <w:lang w:val="en-US" w:eastAsia="en-US"/>
        </w:rPr>
        <w:t>- type: string</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enum:</w:t>
      </w:r>
    </w:p>
    <w:p>
      <w:pPr>
        <w:pStyle w:val="PL"/>
        <w:rPr/>
      </w:pPr>
      <w:r>
        <w:rPr>
          <w:rFonts w:eastAsia="Courier New" w:cs="Courier New"/>
          <w:szCs w:val="16"/>
          <w:lang w:val="en-US" w:eastAsia="en-US"/>
        </w:rPr>
        <w:t xml:space="preserve">          </w:t>
      </w:r>
      <w:r>
        <w:rPr>
          <w:rFonts w:cs="Courier New"/>
          <w:szCs w:val="16"/>
          <w:lang w:val="en-US" w:eastAsia="en-US"/>
        </w:rPr>
        <w:t>- REMOVED_SUBSCRIBER</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 type: string</w:t>
      </w:r>
    </w:p>
    <w:p>
      <w:pPr>
        <w:pStyle w:val="PL"/>
        <w:rPr>
          <w:rFonts w:cs="Courier New"/>
          <w:szCs w:val="16"/>
          <w:lang w:val="en-US" w:eastAsia="en-US"/>
        </w:rPr>
      </w:pPr>
      <w:r>
        <w:rPr>
          <w:rFonts w:cs="Courier New"/>
          <w:szCs w:val="16"/>
          <w:lang w:val="en-US" w:eastAsia="en-US"/>
        </w:rPr>
      </w:r>
    </w:p>
    <w:p>
      <w:pPr>
        <w:pStyle w:val="Heading8"/>
        <w:pBdr>
          <w:top w:val="single" w:sz="12" w:space="0" w:color="000000"/>
        </w:pBdr>
        <w:ind w:left="0" w:hanging="0"/>
        <w:rPr/>
      </w:pPr>
      <w:bookmarkStart w:id="104" w:name="__RefHeading___Toc75349580"/>
      <w:bookmarkEnd w:id="104"/>
      <w:r>
        <w:rPr/>
        <w:t>Annex B (normative):</w:t>
        <w:tab/>
        <w:br/>
        <w:t>5GC and EPC interworking scenario support</w:t>
      </w:r>
    </w:p>
    <w:p>
      <w:pPr>
        <w:pStyle w:val="Heading1"/>
        <w:pBdr>
          <w:top w:val="single" w:sz="12" w:space="0" w:color="000000"/>
        </w:pBdr>
        <w:ind w:left="1134" w:hanging="1134"/>
        <w:rPr/>
      </w:pPr>
      <w:bookmarkStart w:id="105" w:name="__RefHeading___Toc75349581"/>
      <w:bookmarkEnd w:id="105"/>
      <w:r>
        <w:rPr/>
        <w:t>B.1</w:t>
        <w:tab/>
        <w:t>Scope</w:t>
      </w:r>
    </w:p>
    <w:p>
      <w:pPr>
        <w:pStyle w:val="Normal"/>
        <w:rPr>
          <w:lang w:val="en-US" w:eastAsia="en-US"/>
        </w:rPr>
      </w:pPr>
      <w:r>
        <w:rPr/>
        <w:t>This annex defines procedures for the Nchf_SpendingLimitControl service for 5GC and EPC interworking</w:t>
      </w:r>
      <w:r>
        <w:rPr>
          <w:lang w:eastAsia="zh-CN"/>
        </w:rPr>
        <w:t xml:space="preserve"> </w:t>
      </w:r>
      <w:r>
        <w:rPr/>
        <w:t>scenarios specified in clause B.1 of 3GPP TS 29.512 [18].</w:t>
      </w:r>
    </w:p>
    <w:p>
      <w:pPr>
        <w:pStyle w:val="Heading1"/>
        <w:ind w:left="1134" w:hanging="1134"/>
        <w:rPr/>
      </w:pPr>
      <w:bookmarkStart w:id="106" w:name="__RefHeading___Toc75349582"/>
      <w:bookmarkEnd w:id="106"/>
      <w:r>
        <w:rPr/>
        <w:t>B.2</w:t>
        <w:tab/>
      </w:r>
      <w:r>
        <w:rPr>
          <w:rFonts w:eastAsia="Times New Roman"/>
        </w:rPr>
        <w:t>Nchf_SpendingLimitControl Service</w:t>
      </w:r>
    </w:p>
    <w:p>
      <w:pPr>
        <w:pStyle w:val="Heading2"/>
        <w:rPr/>
      </w:pPr>
      <w:bookmarkStart w:id="107" w:name="__RefHeading___Toc75349583"/>
      <w:bookmarkEnd w:id="107"/>
      <w:r>
        <w:rPr/>
        <w:t>B.2.1</w:t>
        <w:tab/>
        <w:t>Service Description</w:t>
      </w:r>
    </w:p>
    <w:p>
      <w:pPr>
        <w:pStyle w:val="Heading3"/>
        <w:rPr>
          <w:lang w:eastAsia="zh-CN"/>
        </w:rPr>
      </w:pPr>
      <w:bookmarkStart w:id="108" w:name="__RefHeading___Toc75349584"/>
      <w:bookmarkEnd w:id="108"/>
      <w:r>
        <w:rPr/>
        <w:t>B.2.</w:t>
      </w:r>
      <w:r>
        <w:rPr>
          <w:lang w:eastAsia="zh-CN"/>
        </w:rPr>
        <w:t>1.1</w:t>
      </w:r>
      <w:r>
        <w:rPr/>
        <w:tab/>
      </w:r>
      <w:r>
        <w:rPr>
          <w:lang w:eastAsia="zh-CN"/>
        </w:rPr>
        <w:t>Overview</w:t>
      </w:r>
    </w:p>
    <w:p>
      <w:pPr>
        <w:pStyle w:val="Normal"/>
        <w:rPr/>
      </w:pPr>
      <w:r>
        <w:rPr/>
        <w:t>The overview in subclause 4.1.1 applies.</w:t>
      </w:r>
    </w:p>
    <w:p>
      <w:pPr>
        <w:pStyle w:val="Heading3"/>
        <w:rPr/>
      </w:pPr>
      <w:bookmarkStart w:id="109" w:name="__RefHeading___Toc75349585"/>
      <w:bookmarkEnd w:id="109"/>
      <w:r>
        <w:rPr/>
        <w:t>B.2.1.2</w:t>
        <w:tab/>
        <w:t>Service Architecture</w:t>
      </w:r>
    </w:p>
    <w:p>
      <w:pPr>
        <w:pStyle w:val="Normal"/>
        <w:rPr/>
      </w:pPr>
      <w:r>
        <w:rPr/>
        <w:t>The architecture in subclause 4.1.2 applies.</w:t>
      </w:r>
    </w:p>
    <w:p>
      <w:pPr>
        <w:pStyle w:val="Heading1"/>
        <w:overflowPunct w:val="false"/>
        <w:autoSpaceDE w:val="false"/>
        <w:ind w:left="1134" w:hanging="1134"/>
        <w:textAlignment w:val="baseline"/>
        <w:rPr>
          <w:rFonts w:eastAsia="Batang;바탕"/>
          <w:lang w:eastAsia="ko-KR"/>
        </w:rPr>
      </w:pPr>
      <w:bookmarkStart w:id="110" w:name="__RefHeading___Toc75349586"/>
      <w:bookmarkEnd w:id="110"/>
      <w:r>
        <w:rPr>
          <w:rFonts w:eastAsia="Batang;바탕"/>
          <w:lang w:eastAsia="ko-KR"/>
        </w:rPr>
        <w:t>B.3</w:t>
        <w:tab/>
        <w:t>Service Operation</w:t>
      </w:r>
    </w:p>
    <w:p>
      <w:pPr>
        <w:pStyle w:val="Heading2"/>
        <w:overflowPunct w:val="false"/>
        <w:autoSpaceDE w:val="false"/>
        <w:textAlignment w:val="baseline"/>
        <w:rPr>
          <w:rFonts w:eastAsia="Batang;바탕"/>
          <w:lang w:eastAsia="ko-KR"/>
        </w:rPr>
      </w:pPr>
      <w:bookmarkStart w:id="111" w:name="__RefHeading___Toc75349587"/>
      <w:bookmarkEnd w:id="111"/>
      <w:r>
        <w:rPr>
          <w:rFonts w:eastAsia="Batang;바탕"/>
          <w:lang w:eastAsia="ko-KR"/>
        </w:rPr>
        <w:t>B.3.1</w:t>
        <w:tab/>
        <w:t>Introduction</w:t>
      </w:r>
    </w:p>
    <w:p>
      <w:pPr>
        <w:pStyle w:val="Normal"/>
        <w:rPr/>
      </w:pPr>
      <w:r>
        <w:rPr/>
        <w:t>The service operations defined in subclause 4.2 shall be applicable.</w:t>
      </w:r>
    </w:p>
    <w:p>
      <w:pPr>
        <w:pStyle w:val="Heading2"/>
        <w:overflowPunct w:val="false"/>
        <w:autoSpaceDE w:val="false"/>
        <w:textAlignment w:val="baseline"/>
        <w:rPr>
          <w:rFonts w:eastAsia="Batang;바탕"/>
          <w:lang w:eastAsia="ko-KR"/>
        </w:rPr>
      </w:pPr>
      <w:bookmarkStart w:id="112" w:name="__RefHeading___Toc75349588"/>
      <w:bookmarkEnd w:id="112"/>
      <w:r>
        <w:rPr>
          <w:rFonts w:eastAsia="Batang;바탕"/>
          <w:lang w:eastAsia="ko-KR"/>
        </w:rPr>
        <w:t>B.3.2</w:t>
        <w:tab/>
        <w:t>Nchf_</w:t>
      </w:r>
      <w:r>
        <w:rPr/>
        <w:t>SpendingLimitControl_Subscribe</w:t>
      </w:r>
      <w:r>
        <w:rPr>
          <w:rFonts w:eastAsia="Batang;바탕"/>
          <w:lang w:eastAsia="ko-KR"/>
        </w:rPr>
        <w:t xml:space="preserve"> Service Operation</w:t>
      </w:r>
    </w:p>
    <w:p>
      <w:pPr>
        <w:pStyle w:val="Normal"/>
        <w:rPr>
          <w:lang w:eastAsia="zh-CN"/>
        </w:rPr>
      </w:pPr>
      <w:r>
        <w:rPr>
          <w:lang w:eastAsia="zh-CN"/>
        </w:rPr>
        <w:t>Subclause 4.2.2.2 and subclause</w:t>
      </w:r>
      <w:r>
        <w:rPr/>
        <w:t> </w:t>
      </w:r>
      <w:r>
        <w:rPr>
          <w:lang w:eastAsia="zh-CN"/>
        </w:rPr>
        <w:t>4.2.2.3 are applied with the differences that t</w:t>
      </w:r>
      <w:r>
        <w:rPr/>
        <w:t>he PCF shall include (if available) in SpendingLimitContext data structure:</w:t>
      </w:r>
    </w:p>
    <w:p>
      <w:pPr>
        <w:pStyle w:val="B1"/>
        <w:rPr/>
      </w:pPr>
      <w:r>
        <w:rPr/>
        <w:t>-</w:t>
        <w:tab/>
        <w:t>the IMSI of the user within the "supi" attribute;</w:t>
      </w:r>
    </w:p>
    <w:p>
      <w:pPr>
        <w:pStyle w:val="B1"/>
        <w:rPr/>
      </w:pPr>
      <w:r>
        <w:rPr>
          <w:lang w:eastAsia="zh-CN"/>
        </w:rPr>
        <w:t>-</w:t>
        <w:tab/>
        <w:t>the MSISDN of the user within the "gpsi" attribute;</w:t>
      </w:r>
    </w:p>
    <w:p>
      <w:pPr>
        <w:pStyle w:val="Heading2"/>
        <w:overflowPunct w:val="false"/>
        <w:autoSpaceDE w:val="false"/>
        <w:textAlignment w:val="baseline"/>
        <w:rPr>
          <w:rFonts w:eastAsia="Batang;바탕"/>
          <w:lang w:eastAsia="ko-KR"/>
        </w:rPr>
      </w:pPr>
      <w:bookmarkStart w:id="113" w:name="__RefHeading___Toc75349589"/>
      <w:bookmarkEnd w:id="113"/>
      <w:r>
        <w:rPr>
          <w:rFonts w:eastAsia="Batang;바탕"/>
          <w:lang w:eastAsia="ko-KR"/>
        </w:rPr>
        <w:t>B.3.3</w:t>
        <w:tab/>
      </w:r>
      <w:r>
        <w:rPr/>
        <w:t>Nchf_SpendingLimitControl_Unsubscribe</w:t>
      </w:r>
      <w:r>
        <w:rPr>
          <w:rFonts w:eastAsia="Batang;바탕"/>
          <w:lang w:eastAsia="ko-KR"/>
        </w:rPr>
        <w:t xml:space="preserve"> Service Operation</w:t>
      </w:r>
    </w:p>
    <w:p>
      <w:pPr>
        <w:pStyle w:val="Normal"/>
        <w:rPr>
          <w:lang w:eastAsia="zh-CN"/>
        </w:rPr>
      </w:pPr>
      <w:r>
        <w:rPr/>
        <w:t>Subclause 4.2.3 applies</w:t>
      </w:r>
      <w:r>
        <w:rPr>
          <w:lang w:eastAsia="zh-CN"/>
        </w:rPr>
        <w:t>.</w:t>
      </w:r>
    </w:p>
    <w:p>
      <w:pPr>
        <w:pStyle w:val="Heading2"/>
        <w:overflowPunct w:val="false"/>
        <w:autoSpaceDE w:val="false"/>
        <w:textAlignment w:val="baseline"/>
        <w:rPr>
          <w:rFonts w:eastAsia="Batang;바탕"/>
          <w:lang w:eastAsia="ko-KR"/>
        </w:rPr>
      </w:pPr>
      <w:bookmarkStart w:id="114" w:name="__RefHeading___Toc75349590"/>
      <w:bookmarkEnd w:id="114"/>
      <w:r>
        <w:rPr>
          <w:rFonts w:eastAsia="Batang;바탕"/>
          <w:lang w:eastAsia="ko-KR"/>
        </w:rPr>
        <w:t>B.3.4</w:t>
        <w:tab/>
      </w:r>
      <w:r>
        <w:rPr/>
        <w:t>Nchf_SpendingLimitControl_Notify</w:t>
      </w:r>
      <w:r>
        <w:rPr>
          <w:rFonts w:eastAsia="Batang;바탕"/>
          <w:lang w:eastAsia="ko-KR"/>
        </w:rPr>
        <w:t xml:space="preserve"> Service Operation</w:t>
      </w:r>
    </w:p>
    <w:p>
      <w:pPr>
        <w:pStyle w:val="Normal"/>
        <w:rPr/>
      </w:pPr>
      <w:r>
        <w:rPr/>
        <w:t>Subclause 4.2.4 applies.</w:t>
      </w:r>
    </w:p>
    <w:p>
      <w:pPr>
        <w:pStyle w:val="Heading8"/>
        <w:ind w:left="0" w:hanging="0"/>
        <w:rPr/>
      </w:pPr>
      <w:bookmarkStart w:id="115" w:name="__RefHeading___Toc75349591"/>
      <w:bookmarkStart w:id="116" w:name="historyclause"/>
      <w:bookmarkEnd w:id="115"/>
      <w:bookmarkEnd w:id="116"/>
      <w:r>
        <w:rPr/>
        <w:t>Annex C (normative):</w:t>
        <w:br/>
        <w:t>Wireless and wireline convergence access support</w:t>
      </w:r>
    </w:p>
    <w:p>
      <w:pPr>
        <w:pStyle w:val="Heading1"/>
        <w:ind w:left="1134" w:hanging="1134"/>
        <w:rPr/>
      </w:pPr>
      <w:bookmarkStart w:id="117" w:name="__RefHeading___Toc75349592"/>
      <w:bookmarkEnd w:id="117"/>
      <w:r>
        <w:rPr/>
        <w:t>C.1</w:t>
        <w:tab/>
        <w:t>Scope</w:t>
      </w:r>
    </w:p>
    <w:p>
      <w:pPr>
        <w:pStyle w:val="Normal"/>
        <w:rPr/>
      </w:pPr>
      <w:r>
        <w:rPr/>
        <w:t>This annex defines procedures for wireless and wireline convergence access support for 5GS. The specific stage 2 definition and related procedures are contained in 3GPP TS 23.316 [19]. The System Architecture for wireless and wireline convergence access is defined in 3GPP TS 23.501 [2]</w:t>
      </w:r>
      <w:r>
        <w:rPr>
          <w:lang w:val="en-US" w:eastAsia="en-US"/>
        </w:rPr>
        <w:t>.</w:t>
      </w:r>
    </w:p>
    <w:p>
      <w:pPr>
        <w:pStyle w:val="Heading1"/>
        <w:ind w:left="1134" w:hanging="1134"/>
        <w:rPr/>
      </w:pPr>
      <w:bookmarkStart w:id="118" w:name="__RefHeading___Toc75349593"/>
      <w:bookmarkEnd w:id="118"/>
      <w:r>
        <w:rPr/>
        <w:t>C.2</w:t>
        <w:tab/>
        <w:t>Nchf_SpendingLimitControl Service</w:t>
      </w:r>
    </w:p>
    <w:p>
      <w:pPr>
        <w:pStyle w:val="Heading2"/>
        <w:rPr/>
      </w:pPr>
      <w:bookmarkStart w:id="119" w:name="__RefHeading___Toc75349594"/>
      <w:bookmarkEnd w:id="119"/>
      <w:r>
        <w:rPr/>
        <w:t>C.2.1</w:t>
        <w:tab/>
        <w:t>Service Description</w:t>
      </w:r>
    </w:p>
    <w:p>
      <w:pPr>
        <w:pStyle w:val="Heading3"/>
        <w:rPr>
          <w:lang w:eastAsia="zh-CN"/>
        </w:rPr>
      </w:pPr>
      <w:bookmarkStart w:id="120" w:name="__RefHeading___Toc75349595"/>
      <w:bookmarkEnd w:id="120"/>
      <w:r>
        <w:rPr/>
        <w:t>C.2.</w:t>
      </w:r>
      <w:r>
        <w:rPr>
          <w:lang w:eastAsia="zh-CN"/>
        </w:rPr>
        <w:t>1.1</w:t>
      </w:r>
      <w:r>
        <w:rPr/>
        <w:tab/>
      </w:r>
      <w:r>
        <w:rPr>
          <w:lang w:eastAsia="zh-CN"/>
        </w:rPr>
        <w:t>Overview</w:t>
      </w:r>
    </w:p>
    <w:p>
      <w:pPr>
        <w:pStyle w:val="Normal"/>
        <w:rPr/>
      </w:pPr>
      <w:r>
        <w:rPr/>
        <w:t>Subclause 4.1.1 applies with the following exceptions:</w:t>
      </w:r>
    </w:p>
    <w:p>
      <w:pPr>
        <w:pStyle w:val="B1"/>
        <w:rPr/>
      </w:pPr>
      <w:r>
        <w:rPr/>
        <w:t>-</w:t>
        <w:tab/>
        <w:t>the UE is replaced by the 5G-RG and the W-AGF, which is acting as a UE towards the 5GC on behalf of the FN-RG; and</w:t>
      </w:r>
    </w:p>
    <w:p>
      <w:pPr>
        <w:pStyle w:val="B1"/>
        <w:rPr>
          <w:lang w:eastAsia="zh-CN"/>
        </w:rPr>
      </w:pPr>
      <w:r>
        <w:rPr/>
        <w:t>-</w:t>
        <w:tab/>
        <w:t>roaming is only applicable to a 5G-RG connecting to the 5GC via NG RAN, i.e., the H-PCF interaction with the H-CHF for the home-routed scenario only applies to a 5G-RG connecting to the 5GC via NG RAN.</w:t>
      </w:r>
    </w:p>
    <w:p>
      <w:pPr>
        <w:pStyle w:val="Heading3"/>
        <w:rPr/>
      </w:pPr>
      <w:bookmarkStart w:id="121" w:name="__RefHeading___Toc75349596"/>
      <w:bookmarkEnd w:id="121"/>
      <w:r>
        <w:rPr/>
        <w:t>C.2.1.2</w:t>
        <w:tab/>
        <w:t>Service Architecture</w:t>
      </w:r>
    </w:p>
    <w:p>
      <w:pPr>
        <w:pStyle w:val="Normal"/>
        <w:rPr/>
      </w:pPr>
      <w:r>
        <w:rPr/>
        <w:t>The architecture in subclause 4.1.2 applies</w:t>
      </w:r>
      <w:bookmarkStart w:id="122" w:name="_Hlk17965920"/>
      <w:bookmarkStart w:id="123" w:name="_Hlk17964555"/>
      <w:r>
        <w:rPr/>
        <w:t>.</w:t>
      </w:r>
      <w:bookmarkEnd w:id="122"/>
      <w:bookmarkEnd w:id="123"/>
    </w:p>
    <w:p>
      <w:pPr>
        <w:pStyle w:val="Heading1"/>
        <w:overflowPunct w:val="false"/>
        <w:autoSpaceDE w:val="false"/>
        <w:ind w:left="1134" w:hanging="1134"/>
        <w:textAlignment w:val="baseline"/>
        <w:rPr>
          <w:rFonts w:eastAsia="Batang;바탕"/>
          <w:lang w:eastAsia="ko-KR"/>
        </w:rPr>
      </w:pPr>
      <w:bookmarkStart w:id="124" w:name="__RefHeading___Toc75349597"/>
      <w:bookmarkEnd w:id="124"/>
      <w:r>
        <w:rPr>
          <w:rFonts w:eastAsia="Batang;바탕"/>
          <w:lang w:eastAsia="ko-KR"/>
        </w:rPr>
        <w:t>C.3</w:t>
        <w:tab/>
        <w:t>Service Operation</w:t>
      </w:r>
    </w:p>
    <w:p>
      <w:pPr>
        <w:pStyle w:val="Heading2"/>
        <w:overflowPunct w:val="false"/>
        <w:autoSpaceDE w:val="false"/>
        <w:textAlignment w:val="baseline"/>
        <w:rPr>
          <w:rFonts w:eastAsia="Batang;바탕"/>
          <w:lang w:eastAsia="ko-KR"/>
        </w:rPr>
      </w:pPr>
      <w:bookmarkStart w:id="125" w:name="__RefHeading___Toc75349598"/>
      <w:bookmarkEnd w:id="125"/>
      <w:r>
        <w:rPr>
          <w:rFonts w:eastAsia="Batang;바탕"/>
          <w:lang w:eastAsia="ko-KR"/>
        </w:rPr>
        <w:t>C.3.1</w:t>
        <w:tab/>
        <w:t>Introduction</w:t>
      </w:r>
    </w:p>
    <w:p>
      <w:pPr>
        <w:pStyle w:val="Normal"/>
        <w:rPr>
          <w:rFonts w:eastAsia="Malgun Gothic"/>
          <w:lang w:eastAsia="ko-KR"/>
        </w:rPr>
      </w:pPr>
      <w:r>
        <w:rPr>
          <w:lang w:eastAsia="zh-CN"/>
        </w:rPr>
        <w:t>The service operations defined in subclause 4.2.1 apply.</w:t>
      </w:r>
    </w:p>
    <w:p>
      <w:pPr>
        <w:pStyle w:val="Heading2"/>
        <w:overflowPunct w:val="false"/>
        <w:autoSpaceDE w:val="false"/>
        <w:textAlignment w:val="baseline"/>
        <w:rPr>
          <w:rFonts w:eastAsia="Batang;바탕"/>
          <w:lang w:eastAsia="ko-KR"/>
        </w:rPr>
      </w:pPr>
      <w:bookmarkStart w:id="126" w:name="__RefHeading___Toc75349599"/>
      <w:bookmarkEnd w:id="126"/>
      <w:r>
        <w:rPr>
          <w:rFonts w:eastAsia="Batang;바탕"/>
          <w:lang w:eastAsia="ko-KR"/>
        </w:rPr>
        <w:t>C.3.2</w:t>
        <w:tab/>
        <w:t>Nchf_SpendingLimitControl_Subscribe Service Operation</w:t>
      </w:r>
    </w:p>
    <w:p>
      <w:pPr>
        <w:pStyle w:val="Heading3"/>
        <w:rPr>
          <w:lang w:eastAsia="zh-CN"/>
        </w:rPr>
      </w:pPr>
      <w:bookmarkStart w:id="127" w:name="__RefHeading___Toc75349600"/>
      <w:bookmarkEnd w:id="127"/>
      <w:r>
        <w:rPr/>
        <w:t>C.3.</w:t>
      </w:r>
      <w:r>
        <w:rPr>
          <w:lang w:eastAsia="zh-CN"/>
        </w:rPr>
        <w:t>2.1</w:t>
      </w:r>
      <w:r>
        <w:rPr/>
        <w:tab/>
      </w:r>
      <w:r>
        <w:rPr>
          <w:lang w:eastAsia="zh-CN"/>
        </w:rPr>
        <w:t>General</w:t>
      </w:r>
    </w:p>
    <w:p>
      <w:pPr>
        <w:pStyle w:val="Normal"/>
        <w:rPr>
          <w:lang w:eastAsia="zh-CN"/>
        </w:rPr>
      </w:pPr>
      <w:r>
        <w:rPr>
          <w:lang w:eastAsia="zh-CN"/>
        </w:rPr>
        <w:t>Subclauses 4.2.2.2 and 4.2.2.3 are applied with the differences that t</w:t>
      </w:r>
      <w:r>
        <w:rPr/>
        <w:t xml:space="preserve">he </w:t>
      </w:r>
      <w:r>
        <w:rPr>
          <w:lang w:val="en-US" w:eastAsia="en-US"/>
        </w:rPr>
        <w:t>NF service consumer</w:t>
      </w:r>
      <w:r>
        <w:rPr/>
        <w:t xml:space="preserve"> shall include (if available) in SpendingLimitContext data structure:</w:t>
      </w:r>
    </w:p>
    <w:p>
      <w:pPr>
        <w:pStyle w:val="B1"/>
        <w:rPr/>
      </w:pPr>
      <w:r>
        <w:rPr/>
        <w:t>-</w:t>
        <w:tab/>
      </w:r>
      <w:r>
        <w:rPr>
          <w:lang w:eastAsia="zh-CN"/>
        </w:rPr>
        <w:t xml:space="preserve">a IMSI or a Global Cable Identifier (GCI) or a Global Line Identifier (GLI) as specified in </w:t>
      </w:r>
      <w:r>
        <w:rPr/>
        <w:t xml:space="preserve">3GPP TS 23.316 [19] </w:t>
      </w:r>
      <w:r>
        <w:rPr>
          <w:lang w:eastAsia="zh-CN"/>
        </w:rPr>
        <w:t>subclause 4.7, encoded as specified</w:t>
      </w:r>
      <w:r>
        <w:rPr/>
        <w:t xml:space="preserve"> </w:t>
      </w:r>
      <w:r>
        <w:rPr>
          <w:lang w:eastAsia="zh-CN"/>
        </w:rPr>
        <w:t xml:space="preserve">in </w:t>
      </w:r>
      <w:r>
        <w:rPr/>
        <w:t xml:space="preserve">3GPP TS 29.571[11], </w:t>
      </w:r>
      <w:r>
        <w:rPr>
          <w:lang w:eastAsia="zh-CN"/>
        </w:rPr>
        <w:t>subclause 5.3.2,</w:t>
      </w:r>
      <w:r>
        <w:rPr/>
        <w:t xml:space="preserve"> within the "supi" attribute.</w:t>
      </w:r>
    </w:p>
    <w:p>
      <w:pPr>
        <w:pStyle w:val="Heading2"/>
        <w:overflowPunct w:val="false"/>
        <w:autoSpaceDE w:val="false"/>
        <w:textAlignment w:val="baseline"/>
        <w:rPr>
          <w:rFonts w:eastAsia="Batang;바탕"/>
          <w:lang w:eastAsia="ko-KR"/>
        </w:rPr>
      </w:pPr>
      <w:bookmarkStart w:id="128" w:name="__RefHeading___Toc75349601"/>
      <w:bookmarkEnd w:id="128"/>
      <w:r>
        <w:rPr>
          <w:rFonts w:eastAsia="Batang;바탕"/>
          <w:lang w:eastAsia="ko-KR"/>
        </w:rPr>
        <w:t>C.3.3</w:t>
        <w:tab/>
      </w:r>
      <w:r>
        <w:rPr/>
        <w:t>Nchf_SpendingLimitControl_Unsubscribe</w:t>
      </w:r>
      <w:r>
        <w:rPr>
          <w:rFonts w:eastAsia="Batang;바탕"/>
          <w:lang w:eastAsia="ko-KR"/>
        </w:rPr>
        <w:t xml:space="preserve"> Service Operation</w:t>
      </w:r>
    </w:p>
    <w:p>
      <w:pPr>
        <w:pStyle w:val="Normal"/>
        <w:rPr>
          <w:lang w:eastAsia="zh-CN"/>
        </w:rPr>
      </w:pPr>
      <w:r>
        <w:rPr/>
        <w:t>Subclause 4.2.3 applies</w:t>
      </w:r>
      <w:r>
        <w:rPr>
          <w:lang w:eastAsia="zh-CN"/>
        </w:rPr>
        <w:t>.</w:t>
      </w:r>
    </w:p>
    <w:p>
      <w:pPr>
        <w:pStyle w:val="Heading2"/>
        <w:overflowPunct w:val="false"/>
        <w:autoSpaceDE w:val="false"/>
        <w:textAlignment w:val="baseline"/>
        <w:rPr>
          <w:rFonts w:eastAsia="Batang;바탕"/>
          <w:lang w:eastAsia="ko-KR"/>
        </w:rPr>
      </w:pPr>
      <w:bookmarkStart w:id="129" w:name="__RefHeading___Toc75349602"/>
      <w:bookmarkEnd w:id="129"/>
      <w:r>
        <w:rPr>
          <w:rFonts w:eastAsia="Batang;바탕"/>
          <w:lang w:eastAsia="ko-KR"/>
        </w:rPr>
        <w:t>C.3.4</w:t>
        <w:tab/>
      </w:r>
      <w:r>
        <w:rPr/>
        <w:t>Nchf_SpendingLimitControl_Notify</w:t>
      </w:r>
      <w:r>
        <w:rPr>
          <w:rFonts w:eastAsia="Batang;바탕"/>
          <w:lang w:eastAsia="ko-KR"/>
        </w:rPr>
        <w:t xml:space="preserve"> Service Operation</w:t>
      </w:r>
    </w:p>
    <w:p>
      <w:pPr>
        <w:pStyle w:val="Normal"/>
        <w:rPr>
          <w:lang w:eastAsia="ja-JP"/>
        </w:rPr>
      </w:pPr>
      <w:r>
        <w:rPr/>
        <w:t>Subclause 4.2.4 applies.</w:t>
      </w:r>
    </w:p>
    <w:p>
      <w:pPr>
        <w:pStyle w:val="Normal"/>
        <w:rPr>
          <w:lang w:eastAsia="ja-JP"/>
        </w:rPr>
      </w:pPr>
      <w:r>
        <w:rPr>
          <w:lang w:eastAsia="ja-JP"/>
        </w:rPr>
      </w:r>
      <w:r>
        <w:br w:type="page"/>
      </w:r>
    </w:p>
    <w:p>
      <w:pPr>
        <w:pStyle w:val="Heading8"/>
        <w:ind w:left="0" w:hanging="0"/>
        <w:rPr/>
      </w:pPr>
      <w:bookmarkStart w:id="130" w:name="__RefHeading___Toc75349603"/>
      <w:bookmarkEnd w:id="130"/>
      <w:r>
        <w:rPr/>
        <w:t>Annex D (informative):</w:t>
        <w:tab/>
        <w:br/>
        <w:t>Change history</w:t>
      </w:r>
    </w:p>
    <w:tbl>
      <w:tblPr>
        <w:tblW w:w="9514" w:type="dxa"/>
        <w:jc w:val="left"/>
        <w:tblInd w:w="-7" w:type="dxa"/>
        <w:tblLayout w:type="fixed"/>
        <w:tblCellMar>
          <w:top w:w="0" w:type="dxa"/>
          <w:left w:w="40" w:type="dxa"/>
          <w:bottom w:w="0" w:type="dxa"/>
          <w:right w:w="40" w:type="dxa"/>
        </w:tblCellMar>
      </w:tblPr>
      <w:tblGrid>
        <w:gridCol w:w="851"/>
        <w:gridCol w:w="850"/>
        <w:gridCol w:w="1081"/>
        <w:gridCol w:w="620"/>
        <w:gridCol w:w="426"/>
        <w:gridCol w:w="425"/>
        <w:gridCol w:w="4394"/>
        <w:gridCol w:w="867"/>
      </w:tblGrid>
      <w:tr>
        <w:trPr>
          <w:trHeight w:val="23" w:hRule="atLeast"/>
        </w:trPr>
        <w:tc>
          <w:tcPr>
            <w:tcW w:w="85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108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6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394"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rHeight w:val="23" w:hRule="atLeast"/>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rPr>
              <w:t>2018-04</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lang w:eastAsia="zh-CN"/>
              </w:rPr>
            </w:pPr>
            <w:r>
              <w:rPr>
                <w:rFonts w:cs="Arial"/>
                <w:sz w:val="16"/>
                <w:szCs w:val="16"/>
                <w:lang w:eastAsia="zh-CN"/>
              </w:rPr>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rPr>
            </w:pPr>
            <w:r>
              <w:rPr>
                <w:rFonts w:cs="Arial"/>
                <w:sz w:val="16"/>
                <w:szCs w:val="16"/>
              </w:rPr>
            </w:r>
          </w:p>
        </w:tc>
        <w:tc>
          <w:tcPr>
            <w:tcW w:w="62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rPr>
            </w:pPr>
            <w:r>
              <w:rPr>
                <w:rFonts w:cs="Arial"/>
                <w:sz w:val="16"/>
                <w:szCs w:val="16"/>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rPr>
              <w:t>TS skeleton</w:t>
            </w:r>
            <w:r>
              <w:rPr>
                <w:rFonts w:cs="Arial"/>
                <w:sz w:val="16"/>
                <w:szCs w:val="16"/>
                <w:lang w:eastAsia="zh-CN"/>
              </w:rPr>
              <w:t xml:space="preserve"> of </w:t>
            </w:r>
            <w:r>
              <w:rPr>
                <w:rFonts w:cs="Arial"/>
                <w:sz w:val="16"/>
                <w:szCs w:val="16"/>
              </w:rPr>
              <w:t xml:space="preserve">Spending Limit Control Service </w:t>
            </w:r>
            <w:r>
              <w:rPr>
                <w:rFonts w:cs="Arial"/>
                <w:sz w:val="16"/>
                <w:szCs w:val="16"/>
                <w:lang w:eastAsia="zh-CN"/>
              </w:rPr>
              <w:t>specification</w:t>
            </w:r>
          </w:p>
        </w:tc>
        <w:tc>
          <w:tcPr>
            <w:tcW w:w="8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0.0.0</w:t>
            </w:r>
          </w:p>
        </w:tc>
      </w:tr>
      <w:tr>
        <w:trPr>
          <w:trHeight w:val="23" w:hRule="atLeast"/>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2018-04</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CT3#96</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rPr>
            </w:pPr>
            <w:r>
              <w:rPr>
                <w:rFonts w:cs="Arial"/>
                <w:sz w:val="16"/>
                <w:szCs w:val="16"/>
              </w:rPr>
            </w:r>
          </w:p>
        </w:tc>
        <w:tc>
          <w:tcPr>
            <w:tcW w:w="62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rPr>
            </w:pPr>
            <w:r>
              <w:rPr>
                <w:rFonts w:cs="Arial"/>
                <w:sz w:val="16"/>
                <w:szCs w:val="16"/>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 xml:space="preserve">Inclusion of documents agreed in CT3#96: C3-182160, C3-182161, C3-182167, C3-182432, C3-182433, C3-182434, C3-182435, C3-182436, C3-182437, C3-182479 </w:t>
            </w:r>
          </w:p>
        </w:tc>
        <w:tc>
          <w:tcPr>
            <w:tcW w:w="8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0.1.0</w:t>
            </w:r>
          </w:p>
        </w:tc>
      </w:tr>
      <w:tr>
        <w:trPr>
          <w:trHeight w:val="23" w:hRule="atLeast"/>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2018-05</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CT3#97</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rPr>
            </w:pPr>
            <w:r>
              <w:rPr>
                <w:rFonts w:cs="Arial"/>
                <w:sz w:val="16"/>
                <w:szCs w:val="16"/>
              </w:rPr>
            </w:r>
          </w:p>
        </w:tc>
        <w:tc>
          <w:tcPr>
            <w:tcW w:w="62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rPr>
            </w:pPr>
            <w:r>
              <w:rPr>
                <w:rFonts w:cs="Arial"/>
                <w:sz w:val="16"/>
                <w:szCs w:val="16"/>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Inclusion of documents agreed in CT3#97: C3-183138, C3-183288, C3-183538, C3-183539, C3-183541, C3-183543, C3-183544, C3-183545, C3-183546, C3-183547, C3-183548, C3-183550, C3-183552, C3-183780, C3-183782, C3-183830, C3-183831</w:t>
            </w:r>
          </w:p>
        </w:tc>
        <w:tc>
          <w:tcPr>
            <w:tcW w:w="8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0.2.0</w:t>
            </w:r>
          </w:p>
        </w:tc>
      </w:tr>
      <w:tr>
        <w:trPr>
          <w:trHeight w:val="23" w:hRule="atLeast"/>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2018-06</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CT#80</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CP-181026</w:t>
            </w:r>
          </w:p>
        </w:tc>
        <w:tc>
          <w:tcPr>
            <w:tcW w:w="62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rPr>
            </w:pPr>
            <w:r>
              <w:rPr>
                <w:rFonts w:cs="Arial"/>
                <w:sz w:val="16"/>
                <w:szCs w:val="16"/>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TS sent for approval to TSG</w:t>
            </w:r>
          </w:p>
        </w:tc>
        <w:tc>
          <w:tcPr>
            <w:tcW w:w="8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1.0.0</w:t>
            </w:r>
          </w:p>
        </w:tc>
      </w:tr>
      <w:tr>
        <w:trPr>
          <w:trHeight w:val="23" w:hRule="atLeast"/>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2018-06</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CT#80</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CP-181026</w:t>
            </w:r>
          </w:p>
        </w:tc>
        <w:tc>
          <w:tcPr>
            <w:tcW w:w="62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rPr>
            </w:pPr>
            <w:r>
              <w:rPr>
                <w:rFonts w:cs="Arial"/>
                <w:sz w:val="16"/>
                <w:szCs w:val="16"/>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TS approved by plenary</w:t>
            </w:r>
          </w:p>
        </w:tc>
        <w:tc>
          <w:tcPr>
            <w:tcW w:w="8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15.0.0</w:t>
            </w:r>
          </w:p>
        </w:tc>
      </w:tr>
      <w:tr>
        <w:trPr>
          <w:trHeight w:val="23" w:hRule="atLeast"/>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2018-09</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CT#81</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CP-182015</w:t>
            </w:r>
          </w:p>
        </w:tc>
        <w:tc>
          <w:tcPr>
            <w:tcW w:w="6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0001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lang w:val="en-US" w:eastAsia="en-US"/>
              </w:rPr>
              <w:t>Removal of possibility of confusion related to 3GPP TS 29.513, custom headers, verbal forms and OpenAPI corrections</w:t>
            </w:r>
          </w:p>
        </w:tc>
        <w:tc>
          <w:tcPr>
            <w:tcW w:w="8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15.1.0</w:t>
            </w:r>
          </w:p>
        </w:tc>
      </w:tr>
      <w:tr>
        <w:trPr>
          <w:trHeight w:val="23" w:hRule="atLeast"/>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2018-09</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CT#81</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CP-182221</w:t>
            </w:r>
          </w:p>
        </w:tc>
        <w:tc>
          <w:tcPr>
            <w:tcW w:w="6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0002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rPr>
            </w:pPr>
            <w:r>
              <w:rPr>
                <w:rFonts w:cs="Arial"/>
                <w:sz w:val="16"/>
                <w:szCs w:val="16"/>
              </w:rPr>
              <w:t>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Introduction of the simple data type "policyCounterId"</w:t>
            </w:r>
          </w:p>
        </w:tc>
        <w:tc>
          <w:tcPr>
            <w:tcW w:w="8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15.1.0</w:t>
            </w:r>
          </w:p>
        </w:tc>
      </w:tr>
      <w:tr>
        <w:trPr>
          <w:trHeight w:val="23" w:hRule="atLeast"/>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2018-09</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CT#81</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CP-182098</w:t>
            </w:r>
          </w:p>
        </w:tc>
        <w:tc>
          <w:tcPr>
            <w:tcW w:w="6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0003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rPr>
            </w:pPr>
            <w:r>
              <w:rPr>
                <w:rFonts w:cs="Arial"/>
                <w:sz w:val="16"/>
                <w:szCs w:val="16"/>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eastAsia="en-US"/>
              </w:rPr>
              <w:t>Update and corrections of the data model</w:t>
            </w:r>
          </w:p>
        </w:tc>
        <w:tc>
          <w:tcPr>
            <w:tcW w:w="8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15.1.0</w:t>
            </w:r>
          </w:p>
        </w:tc>
      </w:tr>
      <w:tr>
        <w:trPr>
          <w:trHeight w:val="23" w:hRule="atLeast"/>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2018-09</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CT#81</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CP-182015</w:t>
            </w:r>
          </w:p>
        </w:tc>
        <w:tc>
          <w:tcPr>
            <w:tcW w:w="6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0004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rPr>
            </w:pPr>
            <w:r>
              <w:rPr>
                <w:rFonts w:cs="Arial"/>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eastAsia="en-US"/>
              </w:rPr>
              <w:t>Integration of error handling</w:t>
            </w:r>
          </w:p>
        </w:tc>
        <w:tc>
          <w:tcPr>
            <w:tcW w:w="8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15.1.0</w:t>
            </w:r>
          </w:p>
        </w:tc>
      </w:tr>
      <w:tr>
        <w:trPr>
          <w:trHeight w:val="23" w:hRule="atLeast"/>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2018-09</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CT#81</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CP-182015</w:t>
            </w:r>
          </w:p>
        </w:tc>
        <w:tc>
          <w:tcPr>
            <w:tcW w:w="6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0007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ED – Continuous reporting and policy counter status change</w:t>
            </w:r>
          </w:p>
        </w:tc>
        <w:tc>
          <w:tcPr>
            <w:tcW w:w="8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15.1.0</w:t>
            </w:r>
          </w:p>
        </w:tc>
      </w:tr>
      <w:tr>
        <w:trPr>
          <w:trHeight w:val="23" w:hRule="atLeast"/>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2018-09</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CT#81</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CP-182099</w:t>
            </w:r>
          </w:p>
        </w:tc>
        <w:tc>
          <w:tcPr>
            <w:tcW w:w="6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0008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rPr>
            </w:pPr>
            <w:r>
              <w:rPr>
                <w:rFonts w:cs="Arial"/>
                <w:sz w:val="16"/>
                <w:szCs w:val="16"/>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Termination of the subscription of status changes for all policy counters by CHF</w:t>
            </w:r>
          </w:p>
        </w:tc>
        <w:tc>
          <w:tcPr>
            <w:tcW w:w="8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15.1.0</w:t>
            </w:r>
          </w:p>
        </w:tc>
      </w:tr>
      <w:tr>
        <w:trPr>
          <w:trHeight w:val="23" w:hRule="atLeast"/>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2018-12</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CT#82</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CP-183205</w:t>
            </w:r>
          </w:p>
        </w:tc>
        <w:tc>
          <w:tcPr>
            <w:tcW w:w="6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0009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rPr>
              <w:t>Application of resource illustration rule</w:t>
            </w:r>
          </w:p>
        </w:tc>
        <w:tc>
          <w:tcPr>
            <w:tcW w:w="8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15.2.0</w:t>
            </w:r>
          </w:p>
        </w:tc>
      </w:tr>
      <w:tr>
        <w:trPr>
          <w:trHeight w:val="23" w:hRule="atLeast"/>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2018-12</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CT#82</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CP-183205</w:t>
            </w:r>
          </w:p>
        </w:tc>
        <w:tc>
          <w:tcPr>
            <w:tcW w:w="6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0010</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lang w:val="en-US" w:eastAsia="en-US"/>
              </w:rPr>
              <w:t>Consolidation of the term "notificationUri"</w:t>
            </w:r>
          </w:p>
        </w:tc>
        <w:tc>
          <w:tcPr>
            <w:tcW w:w="8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15.2.0</w:t>
            </w:r>
          </w:p>
        </w:tc>
      </w:tr>
      <w:tr>
        <w:trPr>
          <w:trHeight w:val="23" w:hRule="atLeast"/>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2018-12</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CT#82</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CP-183205</w:t>
            </w:r>
          </w:p>
        </w:tc>
        <w:tc>
          <w:tcPr>
            <w:tcW w:w="6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0011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Clarification of "intermediate spending limit report retrieval" usage</w:t>
            </w:r>
          </w:p>
        </w:tc>
        <w:tc>
          <w:tcPr>
            <w:tcW w:w="8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15.2.0</w:t>
            </w:r>
          </w:p>
        </w:tc>
      </w:tr>
      <w:tr>
        <w:trPr>
          <w:trHeight w:val="23" w:hRule="atLeast"/>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2018-12</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CT#82</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CP-183205</w:t>
            </w:r>
          </w:p>
        </w:tc>
        <w:tc>
          <w:tcPr>
            <w:tcW w:w="6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0012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Correction of wrong reference for supi in OpenAPI doc</w:t>
            </w:r>
          </w:p>
        </w:tc>
        <w:tc>
          <w:tcPr>
            <w:tcW w:w="8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15.2.0</w:t>
            </w:r>
          </w:p>
        </w:tc>
      </w:tr>
      <w:tr>
        <w:trPr>
          <w:trHeight w:val="23" w:hRule="atLeast"/>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2018-12</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CT#82</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CP-183205</w:t>
            </w:r>
          </w:p>
        </w:tc>
        <w:tc>
          <w:tcPr>
            <w:tcW w:w="6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0013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Correction of the originator for application error responses</w:t>
            </w:r>
          </w:p>
        </w:tc>
        <w:tc>
          <w:tcPr>
            <w:tcW w:w="8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15.2.0</w:t>
            </w:r>
          </w:p>
        </w:tc>
      </w:tr>
      <w:tr>
        <w:trPr>
          <w:trHeight w:val="23" w:hRule="atLeast"/>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2018-12</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CT#82</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CP-183205</w:t>
            </w:r>
          </w:p>
        </w:tc>
        <w:tc>
          <w:tcPr>
            <w:tcW w:w="6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0014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Application of externalDocs field in OpenAPI doc</w:t>
            </w:r>
          </w:p>
        </w:tc>
        <w:tc>
          <w:tcPr>
            <w:tcW w:w="8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15.2.0</w:t>
            </w:r>
          </w:p>
        </w:tc>
      </w:tr>
      <w:tr>
        <w:trPr>
          <w:trHeight w:val="23" w:hRule="atLeast"/>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2018-12</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CT#82</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CP-183205</w:t>
            </w:r>
          </w:p>
        </w:tc>
        <w:tc>
          <w:tcPr>
            <w:tcW w:w="6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0015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Application of version pattern rule in OpenAPI doc</w:t>
            </w:r>
          </w:p>
        </w:tc>
        <w:tc>
          <w:tcPr>
            <w:tcW w:w="8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15.2.0</w:t>
            </w:r>
          </w:p>
        </w:tc>
      </w:tr>
      <w:tr>
        <w:trPr>
          <w:trHeight w:val="23" w:hRule="atLeast"/>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2018-12</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CT#82</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CP-183205</w:t>
            </w:r>
          </w:p>
        </w:tc>
        <w:tc>
          <w:tcPr>
            <w:tcW w:w="6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0016</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rPr>
              <w:t>Corrections to OpenAPI file</w:t>
            </w:r>
          </w:p>
        </w:tc>
        <w:tc>
          <w:tcPr>
            <w:tcW w:w="8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15.2.0</w:t>
            </w:r>
          </w:p>
        </w:tc>
      </w:tr>
      <w:tr>
        <w:trPr>
          <w:trHeight w:val="23" w:hRule="atLeast"/>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2018-12</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CT#82</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CP-183205</w:t>
            </w:r>
          </w:p>
        </w:tc>
        <w:tc>
          <w:tcPr>
            <w:tcW w:w="6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0017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rPr>
              <w:t>Default value for apiRoot</w:t>
            </w:r>
          </w:p>
        </w:tc>
        <w:tc>
          <w:tcPr>
            <w:tcW w:w="8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15.2.0</w:t>
            </w:r>
          </w:p>
        </w:tc>
      </w:tr>
      <w:tr>
        <w:trPr>
          <w:trHeight w:val="23" w:hRule="atLeast"/>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2018-12</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CT#82</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CP-183205</w:t>
            </w:r>
          </w:p>
        </w:tc>
        <w:tc>
          <w:tcPr>
            <w:tcW w:w="6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0018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lang w:val="en-US" w:eastAsia="en-US"/>
              </w:rPr>
              <w:t>Cardinality</w:t>
            </w:r>
          </w:p>
        </w:tc>
        <w:tc>
          <w:tcPr>
            <w:tcW w:w="8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15.2.0</w:t>
            </w:r>
          </w:p>
        </w:tc>
      </w:tr>
      <w:tr>
        <w:trPr>
          <w:trHeight w:val="23" w:hRule="atLeast"/>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2018-12</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CT#82</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CP-183205</w:t>
            </w:r>
          </w:p>
        </w:tc>
        <w:tc>
          <w:tcPr>
            <w:tcW w:w="6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0019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rPr>
            </w:pPr>
            <w:r>
              <w:rPr>
                <w:rFonts w:cs="Arial"/>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Sending of GPSI (MSISDN) in Initial Spenidng Limit retrieval</w:t>
            </w:r>
          </w:p>
        </w:tc>
        <w:tc>
          <w:tcPr>
            <w:tcW w:w="8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15.2.0</w:t>
            </w:r>
          </w:p>
        </w:tc>
      </w:tr>
      <w:tr>
        <w:trPr>
          <w:trHeight w:val="23" w:hRule="atLeast"/>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2018-12</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CT#82</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CP-183205</w:t>
            </w:r>
          </w:p>
        </w:tc>
        <w:tc>
          <w:tcPr>
            <w:tcW w:w="6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0020</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Update of content types</w:t>
            </w:r>
          </w:p>
        </w:tc>
        <w:tc>
          <w:tcPr>
            <w:tcW w:w="8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15.2.0</w:t>
            </w:r>
          </w:p>
        </w:tc>
      </w:tr>
      <w:tr>
        <w:trPr>
          <w:trHeight w:val="23" w:hRule="atLeast"/>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2018-12</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CT#82</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CP-183205</w:t>
            </w:r>
          </w:p>
        </w:tc>
        <w:tc>
          <w:tcPr>
            <w:tcW w:w="6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0021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Authorization of NF service access by OAuth 2.0</w:t>
            </w:r>
          </w:p>
        </w:tc>
        <w:tc>
          <w:tcPr>
            <w:tcW w:w="8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15.2.0</w:t>
            </w:r>
          </w:p>
        </w:tc>
      </w:tr>
      <w:tr>
        <w:trPr>
          <w:trHeight w:val="23" w:hRule="atLeast"/>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2018-12</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CT#82</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CP-183205</w:t>
            </w:r>
          </w:p>
        </w:tc>
        <w:tc>
          <w:tcPr>
            <w:tcW w:w="6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0022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Introduction of status code 404 Not Found as mandatory status code and missing ones</w:t>
            </w:r>
          </w:p>
        </w:tc>
        <w:tc>
          <w:tcPr>
            <w:tcW w:w="8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15.2.0</w:t>
            </w:r>
          </w:p>
        </w:tc>
      </w:tr>
      <w:tr>
        <w:trPr>
          <w:trHeight w:val="23" w:hRule="atLeast"/>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2018-12</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CT#82</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CP-183205</w:t>
            </w:r>
          </w:p>
        </w:tc>
        <w:tc>
          <w:tcPr>
            <w:tcW w:w="6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0023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Location Header</w:t>
            </w:r>
          </w:p>
        </w:tc>
        <w:tc>
          <w:tcPr>
            <w:tcW w:w="8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15.2.0</w:t>
            </w:r>
          </w:p>
        </w:tc>
      </w:tr>
      <w:tr>
        <w:trPr>
          <w:trHeight w:val="23" w:hRule="atLeast"/>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2018-12</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CT#82</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CP-183205</w:t>
            </w:r>
          </w:p>
        </w:tc>
        <w:tc>
          <w:tcPr>
            <w:tcW w:w="6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0024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rPr>
            </w:pPr>
            <w:r>
              <w:rPr>
                <w:rFonts w:cs="Arial"/>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Correcting application error</w:t>
            </w:r>
          </w:p>
        </w:tc>
        <w:tc>
          <w:tcPr>
            <w:tcW w:w="8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15.2.0</w:t>
            </w:r>
          </w:p>
        </w:tc>
      </w:tr>
      <w:tr>
        <w:trPr>
          <w:trHeight w:val="23" w:hRule="atLeast"/>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2019-03</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CT#83</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CP-190113</w:t>
            </w:r>
          </w:p>
        </w:tc>
        <w:tc>
          <w:tcPr>
            <w:tcW w:w="6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0025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Correction of Resource URI</w:t>
            </w:r>
          </w:p>
        </w:tc>
        <w:tc>
          <w:tcPr>
            <w:tcW w:w="8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15.3.0</w:t>
            </w:r>
          </w:p>
        </w:tc>
      </w:tr>
      <w:tr>
        <w:trPr>
          <w:trHeight w:val="23" w:hRule="atLeast"/>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2019-03</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CT#83</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CP-190113</w:t>
            </w:r>
          </w:p>
        </w:tc>
        <w:tc>
          <w:tcPr>
            <w:tcW w:w="6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0026</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Correction relating to the introduction of the General Public Subscription Identifier</w:t>
            </w:r>
          </w:p>
        </w:tc>
        <w:tc>
          <w:tcPr>
            <w:tcW w:w="8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15.3.0</w:t>
            </w:r>
          </w:p>
        </w:tc>
      </w:tr>
      <w:tr>
        <w:trPr>
          <w:trHeight w:val="23" w:hRule="atLeast"/>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2019-03</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CT#83</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CP-190068</w:t>
            </w:r>
          </w:p>
        </w:tc>
        <w:tc>
          <w:tcPr>
            <w:tcW w:w="6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0027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rPr>
            </w:pPr>
            <w:r>
              <w:rPr>
                <w:rFonts w:cs="Arial"/>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OpenAPI info version update</w:t>
            </w:r>
          </w:p>
        </w:tc>
        <w:tc>
          <w:tcPr>
            <w:tcW w:w="8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15.3.0</w:t>
            </w:r>
          </w:p>
        </w:tc>
      </w:tr>
      <w:tr>
        <w:trPr>
          <w:trHeight w:val="23" w:hRule="atLeast"/>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2019-03</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CT#83</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CP-190067</w:t>
            </w:r>
          </w:p>
        </w:tc>
        <w:tc>
          <w:tcPr>
            <w:tcW w:w="6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0028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rPr>
              <w:t>Correction of wrong usage of key word "items"</w:t>
            </w:r>
          </w:p>
        </w:tc>
        <w:tc>
          <w:tcPr>
            <w:tcW w:w="8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15.3.0</w:t>
            </w:r>
          </w:p>
        </w:tc>
      </w:tr>
      <w:tr>
        <w:trPr>
          <w:trHeight w:val="23" w:hRule="atLeast"/>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2019-06</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CT#84</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CP-191189</w:t>
            </w:r>
          </w:p>
        </w:tc>
        <w:tc>
          <w:tcPr>
            <w:tcW w:w="6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0030</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rPr>
            </w:pPr>
            <w:r>
              <w:rPr>
                <w:rFonts w:cs="Arial"/>
                <w:sz w:val="16"/>
                <w:szCs w:val="16"/>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fldChar w:fldCharType="begin"/>
            </w:r>
            <w:r>
              <w:rPr>
                <w:sz w:val="16"/>
                <w:szCs w:val="16"/>
                <w:rFonts w:cs="Arial"/>
              </w:rPr>
              <w:instrText xml:space="preserve"> DOCPROPERTY "CrTitle"</w:instrText>
            </w:r>
            <w:r>
              <w:rPr>
                <w:sz w:val="16"/>
                <w:szCs w:val="16"/>
                <w:rFonts w:cs="Arial"/>
              </w:rPr>
              <w:fldChar w:fldCharType="separate"/>
            </w:r>
            <w:r>
              <w:rPr>
                <w:sz w:val="16"/>
                <w:szCs w:val="16"/>
                <w:rFonts w:cs="Arial"/>
              </w:rPr>
              <w:t>Precedence of OpenAPI file</w:t>
            </w:r>
            <w:r>
              <w:rPr>
                <w:sz w:val="16"/>
                <w:szCs w:val="16"/>
                <w:rFonts w:cs="Arial"/>
              </w:rPr>
              <w:fldChar w:fldCharType="end"/>
            </w:r>
          </w:p>
        </w:tc>
        <w:tc>
          <w:tcPr>
            <w:tcW w:w="8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15.4.0</w:t>
            </w:r>
          </w:p>
        </w:tc>
      </w:tr>
      <w:tr>
        <w:trPr>
          <w:trHeight w:val="23" w:hRule="atLeast"/>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2019-06</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CT#84</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CP-191189</w:t>
            </w:r>
          </w:p>
        </w:tc>
        <w:tc>
          <w:tcPr>
            <w:tcW w:w="6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0031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lang w:val="en-US" w:eastAsia="en-US"/>
              </w:rPr>
              <w:t>Copyright Note in YAML file</w:t>
            </w:r>
          </w:p>
        </w:tc>
        <w:tc>
          <w:tcPr>
            <w:tcW w:w="8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15.4.0</w:t>
            </w:r>
          </w:p>
        </w:tc>
      </w:tr>
      <w:tr>
        <w:trPr>
          <w:trHeight w:val="23" w:hRule="atLeast"/>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2019-06</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CT#84</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CP-191189</w:t>
            </w:r>
          </w:p>
        </w:tc>
        <w:tc>
          <w:tcPr>
            <w:tcW w:w="6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0033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OpenAPI version number update</w:t>
            </w:r>
          </w:p>
        </w:tc>
        <w:tc>
          <w:tcPr>
            <w:tcW w:w="8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15.4.0</w:t>
            </w:r>
          </w:p>
        </w:tc>
      </w:tr>
      <w:tr>
        <w:trPr>
          <w:trHeight w:val="23" w:hRule="atLeast"/>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2019-06</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CT#84</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CP-191089</w:t>
            </w:r>
          </w:p>
        </w:tc>
        <w:tc>
          <w:tcPr>
            <w:tcW w:w="6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0032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B</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lang w:val="en-US" w:eastAsia="en-US"/>
              </w:rPr>
              <w:t>Race Condition handling</w:t>
            </w:r>
          </w:p>
        </w:tc>
        <w:tc>
          <w:tcPr>
            <w:tcW w:w="8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16.0.0</w:t>
            </w:r>
          </w:p>
        </w:tc>
      </w:tr>
      <w:tr>
        <w:trPr>
          <w:trHeight w:val="23" w:hRule="atLeast"/>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2019-09</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CT#85</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CP-192151</w:t>
            </w:r>
          </w:p>
        </w:tc>
        <w:tc>
          <w:tcPr>
            <w:tcW w:w="6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0035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A</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rPr>
              <w:fldChar w:fldCharType="begin"/>
            </w:r>
            <w:r>
              <w:rPr>
                <w:sz w:val="16"/>
                <w:szCs w:val="16"/>
                <w:rFonts w:cs="Arial"/>
              </w:rPr>
              <w:instrText xml:space="preserve"> DOCPROPERTY "CrTitle"</w:instrText>
            </w:r>
            <w:r>
              <w:rPr>
                <w:sz w:val="16"/>
                <w:szCs w:val="16"/>
                <w:rFonts w:cs="Arial"/>
              </w:rPr>
              <w:fldChar w:fldCharType="separate"/>
            </w:r>
            <w:r>
              <w:rPr>
                <w:sz w:val="16"/>
                <w:szCs w:val="16"/>
                <w:rFonts w:cs="Arial"/>
              </w:rPr>
              <w:t>NF service consumer pending policy counter handling</w:t>
            </w:r>
            <w:r>
              <w:rPr>
                <w:sz w:val="16"/>
                <w:szCs w:val="16"/>
                <w:rFonts w:cs="Arial"/>
              </w:rPr>
              <w:fldChar w:fldCharType="end"/>
            </w:r>
          </w:p>
        </w:tc>
        <w:tc>
          <w:tcPr>
            <w:tcW w:w="8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16.1.0</w:t>
            </w:r>
          </w:p>
        </w:tc>
      </w:tr>
      <w:tr>
        <w:trPr>
          <w:trHeight w:val="23" w:hRule="atLeast"/>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2019-09</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CT#85</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CP-192156</w:t>
            </w:r>
          </w:p>
        </w:tc>
        <w:tc>
          <w:tcPr>
            <w:tcW w:w="6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0036</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B</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lang w:val="en-US" w:eastAsia="en-US"/>
              </w:rPr>
              <w:t>Support of Expiry Time</w:t>
            </w:r>
          </w:p>
        </w:tc>
        <w:tc>
          <w:tcPr>
            <w:tcW w:w="8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16.1.0</w:t>
            </w:r>
          </w:p>
        </w:tc>
      </w:tr>
      <w:tr>
        <w:trPr>
          <w:trHeight w:val="23" w:hRule="atLeast"/>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2019-09</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CT#85</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CP-192151</w:t>
            </w:r>
          </w:p>
        </w:tc>
        <w:tc>
          <w:tcPr>
            <w:tcW w:w="6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0038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A</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lang w:val="en-US" w:eastAsia="en-US"/>
              </w:rPr>
              <w:t>Correction to Subscription Termination service operation</w:t>
            </w:r>
          </w:p>
        </w:tc>
        <w:tc>
          <w:tcPr>
            <w:tcW w:w="8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16.1.0</w:t>
            </w:r>
          </w:p>
        </w:tc>
      </w:tr>
      <w:tr>
        <w:trPr>
          <w:trHeight w:val="23" w:hRule="atLeast"/>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2019-09</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CT#85</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CP-192151</w:t>
            </w:r>
          </w:p>
        </w:tc>
        <w:tc>
          <w:tcPr>
            <w:tcW w:w="6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0040</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A</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Correction to subscription creation/update response</w:t>
            </w:r>
          </w:p>
        </w:tc>
        <w:tc>
          <w:tcPr>
            <w:tcW w:w="8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16.1.0</w:t>
            </w:r>
          </w:p>
        </w:tc>
      </w:tr>
      <w:tr>
        <w:trPr>
          <w:trHeight w:val="23" w:hRule="atLeast"/>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2019-09</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CT#85</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CP-192151</w:t>
            </w:r>
          </w:p>
        </w:tc>
        <w:tc>
          <w:tcPr>
            <w:tcW w:w="6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0042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A</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Corrections to subscription request descriptions</w:t>
            </w:r>
          </w:p>
        </w:tc>
        <w:tc>
          <w:tcPr>
            <w:tcW w:w="8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16.1.0</w:t>
            </w:r>
          </w:p>
        </w:tc>
      </w:tr>
      <w:tr>
        <w:trPr>
          <w:trHeight w:val="23" w:hRule="atLeast"/>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2019-09</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CT#85</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CP-192151</w:t>
            </w:r>
          </w:p>
        </w:tc>
        <w:tc>
          <w:tcPr>
            <w:tcW w:w="6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0044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A</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Handling of unknown policy counters</w:t>
            </w:r>
          </w:p>
        </w:tc>
        <w:tc>
          <w:tcPr>
            <w:tcW w:w="8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16.1.0</w:t>
            </w:r>
          </w:p>
        </w:tc>
      </w:tr>
      <w:tr>
        <w:trPr>
          <w:trHeight w:val="23" w:hRule="atLeast"/>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2019-09</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CT#85</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CP-192173</w:t>
            </w:r>
          </w:p>
        </w:tc>
        <w:tc>
          <w:tcPr>
            <w:tcW w:w="6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0045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OpenAPI version update for TS 29.594 Rel-16</w:t>
            </w:r>
          </w:p>
        </w:tc>
        <w:tc>
          <w:tcPr>
            <w:tcW w:w="8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16.1.0</w:t>
            </w:r>
          </w:p>
        </w:tc>
      </w:tr>
      <w:tr>
        <w:trPr>
          <w:trHeight w:val="23" w:hRule="atLeast"/>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2020-06</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CT#88e</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CP-201233</w:t>
            </w:r>
          </w:p>
        </w:tc>
        <w:tc>
          <w:tcPr>
            <w:tcW w:w="6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0046</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Description of "activationTime" attribute</w:t>
            </w:r>
          </w:p>
        </w:tc>
        <w:tc>
          <w:tcPr>
            <w:tcW w:w="8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16.2.0</w:t>
            </w:r>
          </w:p>
        </w:tc>
      </w:tr>
      <w:tr>
        <w:trPr>
          <w:trHeight w:val="23" w:hRule="atLeast"/>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2020-06</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CT#88e</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CP-201233</w:t>
            </w:r>
          </w:p>
        </w:tc>
        <w:tc>
          <w:tcPr>
            <w:tcW w:w="6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0047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Miscellaneous corrections</w:t>
            </w:r>
          </w:p>
        </w:tc>
        <w:tc>
          <w:tcPr>
            <w:tcW w:w="8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16.2.0</w:t>
            </w:r>
          </w:p>
        </w:tc>
      </w:tr>
      <w:tr>
        <w:trPr>
          <w:trHeight w:val="23" w:hRule="atLeast"/>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2020-06</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CT#88e</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CP-201244</w:t>
            </w:r>
          </w:p>
        </w:tc>
        <w:tc>
          <w:tcPr>
            <w:tcW w:w="6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0048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Storage of YAML files in ETSI Forge</w:t>
            </w:r>
          </w:p>
        </w:tc>
        <w:tc>
          <w:tcPr>
            <w:tcW w:w="8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16.2.0</w:t>
            </w:r>
          </w:p>
        </w:tc>
      </w:tr>
      <w:tr>
        <w:trPr>
          <w:trHeight w:val="23" w:hRule="atLeast"/>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2020-06</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CT#88e</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CP-201256</w:t>
            </w:r>
          </w:p>
        </w:tc>
        <w:tc>
          <w:tcPr>
            <w:tcW w:w="6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0049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URI of the Nchf_SpendingLimitControl service</w:t>
            </w:r>
          </w:p>
        </w:tc>
        <w:tc>
          <w:tcPr>
            <w:tcW w:w="8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16.2.0</w:t>
            </w:r>
          </w:p>
        </w:tc>
      </w:tr>
      <w:tr>
        <w:trPr>
          <w:trHeight w:val="23" w:hRule="atLeast"/>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2020-06</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CT#88e</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CP-201244</w:t>
            </w:r>
          </w:p>
        </w:tc>
        <w:tc>
          <w:tcPr>
            <w:tcW w:w="6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0050</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Optionality of ProblemDetails</w:t>
            </w:r>
          </w:p>
        </w:tc>
        <w:tc>
          <w:tcPr>
            <w:tcW w:w="8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16.2.0</w:t>
            </w:r>
          </w:p>
        </w:tc>
      </w:tr>
      <w:tr>
        <w:trPr>
          <w:trHeight w:val="23" w:hRule="atLeast"/>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2020-06</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CT#88e</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CP-201244</w:t>
            </w:r>
          </w:p>
        </w:tc>
        <w:tc>
          <w:tcPr>
            <w:tcW w:w="6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0052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Supported headers, Resource Data type</w:t>
            </w:r>
          </w:p>
        </w:tc>
        <w:tc>
          <w:tcPr>
            <w:tcW w:w="8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16.2.0</w:t>
            </w:r>
          </w:p>
        </w:tc>
      </w:tr>
      <w:tr>
        <w:trPr>
          <w:trHeight w:val="23" w:hRule="atLeast"/>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2020-06</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CT#88e</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CP-201255</w:t>
            </w:r>
          </w:p>
        </w:tc>
        <w:tc>
          <w:tcPr>
            <w:tcW w:w="6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0053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Update of OpenAPI version and TS version in externalDocs field</w:t>
            </w:r>
          </w:p>
        </w:tc>
        <w:tc>
          <w:tcPr>
            <w:tcW w:w="8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16.2.0</w:t>
            </w:r>
          </w:p>
        </w:tc>
      </w:tr>
      <w:tr>
        <w:trPr>
          <w:trHeight w:val="23" w:hRule="atLeast"/>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2020-09</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CT#89e</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CP-202058</w:t>
            </w:r>
          </w:p>
        </w:tc>
        <w:tc>
          <w:tcPr>
            <w:tcW w:w="6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0056</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A</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 xml:space="preserve">Correction to </w:t>
            </w:r>
            <w:r>
              <w:rPr>
                <w:rFonts w:cs="Arial"/>
                <w:sz w:val="16"/>
                <w:szCs w:val="16"/>
              </w:rPr>
              <w:t>spending limit</w:t>
            </w:r>
            <w:r>
              <w:rPr>
                <w:rFonts w:cs="Arial"/>
                <w:sz w:val="16"/>
                <w:szCs w:val="16"/>
                <w:lang w:val="en-US" w:eastAsia="en-US"/>
              </w:rPr>
              <w:t xml:space="preserve"> subscribe and unsubscribe procedures</w:t>
            </w:r>
          </w:p>
        </w:tc>
        <w:tc>
          <w:tcPr>
            <w:tcW w:w="8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16.3.0</w:t>
            </w:r>
          </w:p>
        </w:tc>
      </w:tr>
      <w:tr>
        <w:trPr>
          <w:trHeight w:val="23" w:hRule="atLeast"/>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2020-09</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CT#89e</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CP-202058</w:t>
            </w:r>
          </w:p>
        </w:tc>
        <w:tc>
          <w:tcPr>
            <w:tcW w:w="6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0058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A</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rPr>
              <w:t>Nchf_SpendingLimitControl Service support of interworking</w:t>
            </w:r>
          </w:p>
        </w:tc>
        <w:tc>
          <w:tcPr>
            <w:tcW w:w="8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16.3.0</w:t>
            </w:r>
          </w:p>
        </w:tc>
      </w:tr>
      <w:tr>
        <w:trPr>
          <w:trHeight w:val="23" w:hRule="atLeast"/>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2020-12</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CT#90e</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CP-203139</w:t>
            </w:r>
          </w:p>
        </w:tc>
        <w:tc>
          <w:tcPr>
            <w:tcW w:w="6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0061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Essential corrections and alignments</w:t>
            </w:r>
          </w:p>
        </w:tc>
        <w:tc>
          <w:tcPr>
            <w:tcW w:w="8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16.4.0</w:t>
            </w:r>
          </w:p>
        </w:tc>
      </w:tr>
      <w:tr>
        <w:trPr>
          <w:trHeight w:val="23" w:hRule="atLeast"/>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2020-12</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CT#90e</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CP-203139</w:t>
            </w:r>
          </w:p>
        </w:tc>
        <w:tc>
          <w:tcPr>
            <w:tcW w:w="6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0062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Storage of YAML files in 3GPP Forge</w:t>
            </w:r>
          </w:p>
        </w:tc>
        <w:tc>
          <w:tcPr>
            <w:tcW w:w="8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16.4.0</w:t>
            </w:r>
          </w:p>
        </w:tc>
      </w:tr>
      <w:tr>
        <w:trPr>
          <w:trHeight w:val="23" w:hRule="atLeast"/>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2020-12</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CT#90e</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CP-203122</w:t>
            </w:r>
          </w:p>
        </w:tc>
        <w:tc>
          <w:tcPr>
            <w:tcW w:w="6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0064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A</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to Intermediate spending limit report retrieval</w:t>
            </w:r>
          </w:p>
        </w:tc>
        <w:tc>
          <w:tcPr>
            <w:tcW w:w="8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16.4.0</w:t>
            </w:r>
          </w:p>
        </w:tc>
      </w:tr>
      <w:tr>
        <w:trPr>
          <w:trHeight w:val="23" w:hRule="atLeast"/>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2020-12</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CT#90e</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CP-203128</w:t>
            </w:r>
          </w:p>
        </w:tc>
        <w:tc>
          <w:tcPr>
            <w:tcW w:w="6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0065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to subscription's expiry time</w:t>
            </w:r>
          </w:p>
        </w:tc>
        <w:tc>
          <w:tcPr>
            <w:tcW w:w="8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16.4.0</w:t>
            </w:r>
          </w:p>
        </w:tc>
      </w:tr>
      <w:tr>
        <w:trPr>
          <w:trHeight w:val="23" w:hRule="atLeast"/>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2020-12</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CT#90e</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CP-203128</w:t>
            </w:r>
          </w:p>
        </w:tc>
        <w:tc>
          <w:tcPr>
            <w:tcW w:w="6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0066</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to subscription create service operation</w:t>
            </w:r>
          </w:p>
        </w:tc>
        <w:tc>
          <w:tcPr>
            <w:tcW w:w="8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16.4.0</w:t>
            </w:r>
          </w:p>
        </w:tc>
      </w:tr>
      <w:tr>
        <w:trPr>
          <w:trHeight w:val="23" w:hRule="atLeast"/>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2020-12</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CT#90e</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CP-203152</w:t>
            </w:r>
          </w:p>
        </w:tc>
        <w:tc>
          <w:tcPr>
            <w:tcW w:w="6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0068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Update of OpenAPI version and TS version in externalDocs field</w:t>
            </w:r>
          </w:p>
        </w:tc>
        <w:tc>
          <w:tcPr>
            <w:tcW w:w="8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16.4.0</w:t>
            </w:r>
          </w:p>
        </w:tc>
      </w:tr>
      <w:tr>
        <w:trPr>
          <w:trHeight w:val="23" w:hRule="atLeast"/>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2021-03</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CT#91e</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CP-210191</w:t>
            </w:r>
          </w:p>
        </w:tc>
        <w:tc>
          <w:tcPr>
            <w:tcW w:w="6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0070</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rPr>
            </w:pPr>
            <w:r>
              <w:rPr>
                <w:rFonts w:cs="Arial"/>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Support of stateless NFs</w:t>
            </w:r>
          </w:p>
        </w:tc>
        <w:tc>
          <w:tcPr>
            <w:tcW w:w="8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16.5.0</w:t>
            </w:r>
          </w:p>
        </w:tc>
      </w:tr>
      <w:tr>
        <w:trPr>
          <w:trHeight w:val="23" w:hRule="atLeast"/>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2021-03</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CT#91e</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CP-210202</w:t>
            </w:r>
          </w:p>
        </w:tc>
        <w:tc>
          <w:tcPr>
            <w:tcW w:w="6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0071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rPr>
            </w:pPr>
            <w:r>
              <w:rPr>
                <w:rFonts w:cs="Arial"/>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to Wireline Access information</w:t>
            </w:r>
          </w:p>
        </w:tc>
        <w:tc>
          <w:tcPr>
            <w:tcW w:w="8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16.5.0</w:t>
            </w:r>
          </w:p>
        </w:tc>
      </w:tr>
      <w:tr>
        <w:trPr>
          <w:trHeight w:val="23" w:hRule="atLeast"/>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2021-03</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CT#91e</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CP-210239</w:t>
            </w:r>
          </w:p>
        </w:tc>
        <w:tc>
          <w:tcPr>
            <w:tcW w:w="6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0078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fldChar w:fldCharType="begin"/>
            </w:r>
            <w:r>
              <w:rPr>
                <w:sz w:val="16"/>
                <w:szCs w:val="16"/>
                <w:rFonts w:cs="Arial"/>
              </w:rPr>
              <w:instrText xml:space="preserve"> DOCPROPERTY "CrTitle"</w:instrText>
            </w:r>
            <w:r>
              <w:rPr>
                <w:sz w:val="16"/>
                <w:szCs w:val="16"/>
                <w:rFonts w:cs="Arial"/>
              </w:rPr>
              <w:fldChar w:fldCharType="separate"/>
            </w:r>
            <w:r>
              <w:rPr>
                <w:sz w:val="16"/>
                <w:szCs w:val="16"/>
                <w:rFonts w:cs="Arial"/>
              </w:rPr>
              <w:t>Update of OpenAPI version and TS version in externalDocs field</w:t>
            </w:r>
            <w:r>
              <w:rPr>
                <w:sz w:val="16"/>
                <w:szCs w:val="16"/>
                <w:rFonts w:cs="Arial"/>
              </w:rPr>
              <w:fldChar w:fldCharType="end"/>
            </w:r>
          </w:p>
        </w:tc>
        <w:tc>
          <w:tcPr>
            <w:tcW w:w="8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16.5.0</w:t>
            </w:r>
          </w:p>
        </w:tc>
      </w:tr>
      <w:tr>
        <w:trPr>
          <w:trHeight w:val="23" w:hRule="atLeast"/>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2021-06</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CT#92e</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CP-211210</w:t>
            </w:r>
          </w:p>
        </w:tc>
        <w:tc>
          <w:tcPr>
            <w:tcW w:w="6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0081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A</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to policyCounterId</w:t>
            </w:r>
          </w:p>
        </w:tc>
        <w:tc>
          <w:tcPr>
            <w:tcW w:w="8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16.6.0</w:t>
            </w:r>
          </w:p>
        </w:tc>
      </w:tr>
      <w:tr>
        <w:trPr>
          <w:trHeight w:val="23" w:hRule="atLeast"/>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2021-06</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CT#92e</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CP-211219</w:t>
            </w:r>
          </w:p>
        </w:tc>
        <w:tc>
          <w:tcPr>
            <w:tcW w:w="6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0083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to expiry time</w:t>
            </w:r>
          </w:p>
        </w:tc>
        <w:tc>
          <w:tcPr>
            <w:tcW w:w="8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16.6.0</w:t>
            </w:r>
          </w:p>
        </w:tc>
      </w:tr>
      <w:tr>
        <w:trPr>
          <w:trHeight w:val="23" w:hRule="atLeast"/>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2021-06</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CT#92e</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CP-211219</w:t>
            </w:r>
          </w:p>
        </w:tc>
        <w:tc>
          <w:tcPr>
            <w:tcW w:w="6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0085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to notification correlation id</w:t>
            </w:r>
          </w:p>
        </w:tc>
        <w:tc>
          <w:tcPr>
            <w:tcW w:w="8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16.6.0</w:t>
            </w:r>
          </w:p>
        </w:tc>
      </w:tr>
      <w:tr>
        <w:trPr>
          <w:trHeight w:val="23" w:hRule="atLeast"/>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2021-06</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CT#92e</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CP-211219</w:t>
            </w:r>
          </w:p>
        </w:tc>
        <w:tc>
          <w:tcPr>
            <w:tcW w:w="6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0089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to the termination procedure</w:t>
            </w:r>
          </w:p>
        </w:tc>
        <w:tc>
          <w:tcPr>
            <w:tcW w:w="8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16.6.0</w:t>
            </w:r>
          </w:p>
        </w:tc>
      </w:tr>
      <w:tr>
        <w:trPr>
          <w:trHeight w:val="23" w:hRule="atLeast"/>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2021-06</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CT#92e</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CP-211200</w:t>
            </w:r>
          </w:p>
        </w:tc>
        <w:tc>
          <w:tcPr>
            <w:tcW w:w="6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0091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Temporary and Permanent Redirection</w:t>
            </w:r>
          </w:p>
        </w:tc>
        <w:tc>
          <w:tcPr>
            <w:tcW w:w="8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16.6.0</w:t>
            </w:r>
          </w:p>
        </w:tc>
      </w:tr>
      <w:tr>
        <w:trPr>
          <w:trHeight w:val="23" w:hRule="atLeast"/>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2021-06</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CT#92e</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CP-211264</w:t>
            </w:r>
          </w:p>
        </w:tc>
        <w:tc>
          <w:tcPr>
            <w:tcW w:w="6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0093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Update of OpenAPI version and TS version in externalDocs field</w:t>
            </w:r>
          </w:p>
        </w:tc>
        <w:tc>
          <w:tcPr>
            <w:tcW w:w="8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16.6.0</w:t>
            </w:r>
          </w:p>
        </w:tc>
      </w:tr>
      <w:tr>
        <w:trPr>
          <w:trHeight w:val="23" w:hRule="atLeast"/>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2022-03</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CT#95e</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CP-220176</w:t>
            </w:r>
          </w:p>
        </w:tc>
        <w:tc>
          <w:tcPr>
            <w:tcW w:w="6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0097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Alignment of "Application Errors" clause with SBI TS template</w:t>
            </w:r>
          </w:p>
        </w:tc>
        <w:tc>
          <w:tcPr>
            <w:tcW w:w="8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16.7.0</w:t>
            </w:r>
          </w:p>
        </w:tc>
      </w:tr>
    </w:tbl>
    <w:p>
      <w:pPr>
        <w:pStyle w:val="Normal"/>
        <w:widowControl/>
        <w:bidi w:val="0"/>
        <w:spacing w:before="0" w:after="180"/>
        <w:rPr/>
      </w:pPr>
      <w:r>
        <w:rPr/>
      </w:r>
    </w:p>
    <w:sectPr>
      <w:headerReference w:type="default" r:id="rId29"/>
      <w:footerReference w:type="default" r:id="rId30"/>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Geneva">
    <w:altName w:val="Arial"/>
    <w:charset w:val="00"/>
    <w:family w:val="swiss"/>
    <w:pitch w:val="variable"/>
  </w:font>
  <w:font w:name="SimSun">
    <w:altName w:val="宋体"/>
    <w:charset w:val="86"/>
    <w:family w:val="auto"/>
    <w:pitch w:val="variable"/>
  </w:font>
  <w:font w:name="Segoe UI">
    <w:charset w:val="00"/>
    <w:family w:val="swiss"/>
    <w:pitch w:val="variable"/>
  </w:font>
  <w:font w:name="Liberation Sans">
    <w:altName w:val="Arial"/>
    <w:charset w:val="01"/>
    <w:family w:val="swiss"/>
    <w:pitch w:val="variable"/>
  </w:font>
  <w:font w:name="Cambria">
    <w:charset w:val="00"/>
    <w:family w:val="roman"/>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180"/>
      <w:rPr>
        <w:lang w:eastAsia="ko-KR"/>
      </w:rPr>
    </w:pPr>
    <w:r>
      <w:rPr>
        <w:lang w:eastAsia="ko-K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774825" cy="20955"/>
              <wp:effectExtent l="0" t="0" r="0" b="0"/>
              <wp:wrapSquare wrapText="largest"/>
              <wp:docPr id="1" name="Frame10"/>
              <a:graphic xmlns:a="http://schemas.openxmlformats.org/drawingml/2006/main">
                <a:graphicData uri="http://schemas.microsoft.com/office/word/2010/wordprocessingShape">
                  <wps:wsp>
                    <wps:cNvSpPr txBox="1"/>
                    <wps:spPr>
                      <a:xfrm>
                        <a:off x="0" y="0"/>
                        <a:ext cx="1774825" cy="20955"/>
                      </a:xfrm>
                      <a:prstGeom prst="rect"/>
                      <a:solidFill>
                        <a:srgbClr val="FFFFFF">
                          <a:alpha val="0"/>
                        </a:srgbClr>
                      </a:solidFill>
                    </wps:spPr>
                    <wps:txbx>
                      <w:txbxContent>
                        <w:p>
                          <w:pPr>
                            <w:pStyle w:val="Normal"/>
                            <w:widowControl/>
                            <w:bidi w:val="0"/>
                            <w:spacing w:before="0" w:after="180"/>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TS 29.594 V1.0.0 (2018-06)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39.75pt;height:1.65pt;mso-wrap-distance-left:0pt;mso-wrap-distance-right:0pt;mso-wrap-distance-top:0pt;mso-wrap-distance-bottom:0pt;margin-top:0.05pt;mso-position-vertical-relative:text;margin-left:0pt;mso-position-horizontal:right;mso-position-horizontal-relative:margin">
              <v:fill opacity="0f"/>
              <v:textbox inset="0in,0in,0in,0in">
                <w:txbxContent>
                  <w:p>
                    <w:pPr>
                      <w:pStyle w:val="Normal"/>
                      <w:widowControl/>
                      <w:bidi w:val="0"/>
                      <w:spacing w:before="0" w:after="180"/>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TS 29.594 V1.0.0 (2018-06)</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0">
              <wp:simplePos x="0" y="0"/>
              <wp:positionH relativeFrom="margin">
                <wp:align>center</wp:align>
              </wp:positionH>
              <wp:positionV relativeFrom="paragraph">
                <wp:posOffset>635</wp:posOffset>
              </wp:positionV>
              <wp:extent cx="79375" cy="20955"/>
              <wp:effectExtent l="0" t="0" r="0" b="0"/>
              <wp:wrapSquare wrapText="largest"/>
              <wp:docPr id="2" name="Frame11"/>
              <a:graphic xmlns:a="http://schemas.openxmlformats.org/drawingml/2006/main">
                <a:graphicData uri="http://schemas.microsoft.com/office/word/2010/wordprocessingShape">
                  <wps:wsp>
                    <wps:cNvSpPr txBox="1"/>
                    <wps:spPr>
                      <a:xfrm>
                        <a:off x="0" y="0"/>
                        <a:ext cx="79375" cy="20955"/>
                      </a:xfrm>
                      <a:prstGeom prst="rect"/>
                      <a:solidFill>
                        <a:srgbClr val="FFFFFF">
                          <a:alpha val="0"/>
                        </a:srgbClr>
                      </a:solidFill>
                    </wps:spPr>
                    <wps:txbx>
                      <w:txbxContent>
                        <w:p>
                          <w:pPr>
                            <w:pStyle w:val="Normal"/>
                            <w:widowControl/>
                            <w:bidi w:val="0"/>
                            <w:spacing w:before="0" w:after="180"/>
                            <w:rPr/>
                          </w:pPr>
                          <w:r>
                            <w:rPr/>
                            <w:fldChar w:fldCharType="begin"/>
                          </w:r>
                          <w:r>
                            <w:rPr/>
                            <w:instrText xml:space="preserve"> PAGE </w:instrText>
                          </w:r>
                          <w:r>
                            <w:rPr/>
                            <w:fldChar w:fldCharType="separate"/>
                          </w:r>
                          <w:r>
                            <w:rPr/>
                            <w:t>0</w:t>
                          </w:r>
                          <w:r>
                            <w:rPr/>
                            <w:fldChar w:fldCharType="end"/>
                          </w:r>
                        </w:p>
                      </w:txbxContent>
                    </wps:txbx>
                    <wps:bodyPr anchor="t" lIns="0" tIns="0" rIns="0" bIns="0">
                      <a:noAutofit/>
                    </wps:bodyPr>
                  </wps:wsp>
                </a:graphicData>
              </a:graphic>
            </wp:anchor>
          </w:drawing>
        </mc:Choice>
        <mc:Fallback>
          <w:pict>
            <v:rect fillcolor="#FFFFFF" style="position:absolute;rotation:-0;width:6.25pt;height:1.65pt;mso-wrap-distance-left:0pt;mso-wrap-distance-right:0pt;mso-wrap-distance-top:0pt;mso-wrap-distance-bottom:0pt;margin-top:0.05pt;mso-position-vertical-relative:text;margin-left:0pt;mso-position-horizontal:center;mso-position-horizontal-relative:margin">
              <v:fill opacity="0f"/>
              <v:textbox inset="0in,0in,0in,0in">
                <w:txbxContent>
                  <w:p>
                    <w:pPr>
                      <w:pStyle w:val="Normal"/>
                      <w:widowControl/>
                      <w:bidi w:val="0"/>
                      <w:spacing w:before="0" w:after="180"/>
                      <w:rPr/>
                    </w:pPr>
                    <w:r>
                      <w:rPr/>
                      <w:fldChar w:fldCharType="begin"/>
                    </w:r>
                    <w:r>
                      <w:rPr/>
                      <w:instrText xml:space="preserve"> PAGE </w:instrText>
                    </w:r>
                    <w:r>
                      <w:rPr/>
                      <w:fldChar w:fldCharType="separate"/>
                    </w:r>
                    <w:r>
                      <w:rPr/>
                      <w:t>0</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0">
              <wp:simplePos x="0" y="0"/>
              <wp:positionH relativeFrom="margin">
                <wp:align>left</wp:align>
              </wp:positionH>
              <wp:positionV relativeFrom="paragraph">
                <wp:posOffset>635</wp:posOffset>
              </wp:positionV>
              <wp:extent cx="574675" cy="20955"/>
              <wp:effectExtent l="0" t="0" r="0" b="0"/>
              <wp:wrapSquare wrapText="largest"/>
              <wp:docPr id="3" name="Frame12"/>
              <a:graphic xmlns:a="http://schemas.openxmlformats.org/drawingml/2006/main">
                <a:graphicData uri="http://schemas.microsoft.com/office/word/2010/wordprocessingShape">
                  <wps:wsp>
                    <wps:cNvSpPr txBox="1"/>
                    <wps:spPr>
                      <a:xfrm>
                        <a:off x="0" y="0"/>
                        <a:ext cx="574675" cy="20955"/>
                      </a:xfrm>
                      <a:prstGeom prst="rect"/>
                      <a:solidFill>
                        <a:srgbClr val="FFFFFF">
                          <a:alpha val="0"/>
                        </a:srgbClr>
                      </a:solidFill>
                    </wps:spPr>
                    <wps:txbx>
                      <w:txbxContent>
                        <w:p>
                          <w:pPr>
                            <w:pStyle w:val="Normal"/>
                            <w:spacing w:before="0" w:after="180"/>
                            <w:rPr>
                              <w:lang w:val="en-US" w:eastAsia="en-US"/>
                            </w:rPr>
                          </w:pPr>
                          <w:r>
                            <w:fldChar w:fldCharType="begin"/>
                          </w:r>
                          <w:r>
                            <w:rPr>
                              <w:lang w:val="en-US" w:eastAsia="en-US"/>
                            </w:rPr>
                            <w:instrText xml:space="preserve"> STYLEREF ZGSM </w:instrText>
                          </w:r>
                          <w:r>
                            <w:rPr>
                              <w:lang w:val="en-US" w:eastAsia="en-US"/>
                            </w:rPr>
                          </w:r>
                          <w:r>
                            <w:rPr>
                              <w:lang w:val="en-US" w:eastAsia="en-US"/>
                            </w:rPr>
                            <w:fldChar w:fldCharType="separate"/>
                          </w:r>
                          <w:r>
                            <w:rPr>
                              <w:lang w:val="en-US" w:eastAsia="en-US"/>
                            </w:rPr>
                            <w:t>Release 15</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5.25pt;height:1.6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Normal"/>
                      <w:spacing w:before="0" w:after="180"/>
                      <w:rPr>
                        <w:lang w:val="en-US" w:eastAsia="en-US"/>
                      </w:rPr>
                    </w:pPr>
                    <w:r>
                      <w:fldChar w:fldCharType="begin"/>
                    </w:r>
                    <w:r>
                      <w:rPr>
                        <w:lang w:val="en-US" w:eastAsia="en-US"/>
                      </w:rPr>
                      <w:instrText xml:space="preserve"> STYLEREF ZGSM </w:instrText>
                    </w:r>
                    <w:r>
                      <w:rPr>
                        <w:lang w:val="en-US" w:eastAsia="en-US"/>
                      </w:rPr>
                    </w:r>
                    <w:r>
                      <w:rPr>
                        <w:lang w:val="en-US" w:eastAsia="en-US"/>
                      </w:rPr>
                      <w:fldChar w:fldCharType="separate"/>
                    </w:r>
                    <w:r>
                      <w:rPr>
                        <w:lang w:val="en-US" w:eastAsia="en-US"/>
                      </w:rPr>
                      <w:t>Release 15</w:t>
                    </w:r>
                    <w:r>
                      <w:rPr>
                        <w:lang w:val="en-US" w:eastAsia="en-US"/>
                      </w:rPr>
                    </w:r>
                    <w:r>
                      <w:rPr>
                        <w:lang w:val="en-US" w:eastAsia="en-US"/>
                      </w:rPr>
                      <w:fldChar w:fldCharType="end"/>
                    </w:r>
                  </w:p>
                </w:txbxContent>
              </v:textbox>
              <w10:wrap type="square" side="largest"/>
            </v:rect>
          </w:pict>
        </mc:Fallback>
      </mc:AlternateContent>
    </w:r>
  </w:p>
  <w:p>
    <w:pPr>
      <w:pStyle w:val="Normal"/>
      <w:rPr/>
    </w:pPr>
    <w:r>
      <w:rPr/>
    </w:r>
  </w:p>
  <w:p>
    <w:pPr>
      <w:pStyle w:val="Normal"/>
      <w:widowControl/>
      <w:bidi w:val="0"/>
      <w:spacing w:before="0" w:after="18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61">
              <wp:simplePos x="0" y="0"/>
              <wp:positionH relativeFrom="margin">
                <wp:align>right</wp:align>
              </wp:positionH>
              <wp:positionV relativeFrom="paragraph">
                <wp:posOffset>635</wp:posOffset>
              </wp:positionV>
              <wp:extent cx="1818640" cy="180340"/>
              <wp:effectExtent l="0" t="0" r="0" b="0"/>
              <wp:wrapSquare wrapText="largest"/>
              <wp:docPr id="17" name="Frame13"/>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29.594 V16.7.0 (2022-03)</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29.594 V16.7.0 (2022-03)</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2">
              <wp:simplePos x="0" y="0"/>
              <wp:positionH relativeFrom="margin">
                <wp:align>center</wp:align>
              </wp:positionH>
              <wp:positionV relativeFrom="paragraph">
                <wp:posOffset>4445</wp:posOffset>
              </wp:positionV>
              <wp:extent cx="127635" cy="180340"/>
              <wp:effectExtent l="0" t="0" r="0" b="0"/>
              <wp:wrapSquare wrapText="largest"/>
              <wp:docPr id="18" name="Frame14"/>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42</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42</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43">
              <wp:simplePos x="0" y="0"/>
              <wp:positionH relativeFrom="margin">
                <wp:align>left</wp:align>
              </wp:positionH>
              <wp:positionV relativeFrom="paragraph">
                <wp:posOffset>4445</wp:posOffset>
              </wp:positionV>
              <wp:extent cx="591820" cy="180340"/>
              <wp:effectExtent l="0" t="0" r="0" b="0"/>
              <wp:wrapSquare wrapText="largest"/>
              <wp:docPr id="19" name="Frame15"/>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360"/>
        </w:tabs>
        <w:ind w:left="360" w:hanging="360"/>
      </w:pPr>
    </w:lvl>
  </w:abstractNum>
  <w:abstractNum w:abstractNumId="3">
    <w:lvl w:ilvl="0">
      <w:start w:val="1"/>
      <w:numFmt w:val="bullet"/>
      <w:lvlText w:val=""/>
      <w:lvlJc w:val="left"/>
      <w:pPr>
        <w:tabs>
          <w:tab w:val="num" w:pos="737"/>
        </w:tabs>
        <w:ind w:left="737" w:hanging="453"/>
      </w:pPr>
      <w:rPr>
        <w:rFonts w:ascii="Symbol" w:hAnsi="Symbol" w:cs="Symbol" w:hint="default"/>
        <w:color w:val="000000"/>
      </w:r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rFonts w:ascii="Symbol" w:hAnsi="Symbol" w:cs="Symbol"/>
      <w:color w:val="000000"/>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Times New Roman" w:hAnsi="Times New Roman" w:eastAsia="SimSun;宋体" w:cs="Times New Roman"/>
    </w:rPr>
  </w:style>
  <w:style w:type="character" w:styleId="WW8Num4z1">
    <w:name w:val="WW8Num4z1"/>
    <w:qFormat/>
    <w:rPr>
      <w:rFonts w:ascii="Wingdings" w:hAnsi="Wingdings" w:cs="Wingdings"/>
    </w:rPr>
  </w:style>
  <w:style w:type="character" w:styleId="WW8Num5z0">
    <w:name w:val="WW8Num5z0"/>
    <w:qFormat/>
    <w:rPr>
      <w:rFonts w:ascii="Wingdings" w:hAnsi="Wingdings" w:eastAsia="SimSun;宋体"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Times New Roman" w:hAnsi="Times New Roman" w:eastAsia="SimSun;宋体"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5z0">
    <w:name w:val="WW8NumSt5z0"/>
    <w:qFormat/>
    <w:rPr>
      <w:rFonts w:ascii="Geneva;Arial" w:hAnsi="Geneva;Arial" w:cs="Geneva;Arial"/>
    </w:rPr>
  </w:style>
  <w:style w:type="character" w:styleId="WW8NumSt8z0">
    <w:name w:val="WW8NumSt8z0"/>
    <w:qFormat/>
    <w:rPr>
      <w:rFonts w:ascii="Geneva;Arial" w:hAnsi="Geneva;Arial" w:cs="Geneva;Arial"/>
    </w:rPr>
  </w:style>
  <w:style w:type="character" w:styleId="DefaultParagraphFont">
    <w:name w:val="Default Paragraph Font"/>
    <w:qFormat/>
    <w:rPr/>
  </w:style>
  <w:style w:type="character" w:styleId="ZGSM">
    <w:name w:val="ZGSM"/>
    <w:qFormat/>
    <w:rPr/>
  </w:style>
  <w:style w:type="character" w:styleId="DocumentMapChar">
    <w:name w:val="Document Map Char"/>
    <w:qFormat/>
    <w:rPr>
      <w:rFonts w:ascii="SimSun;宋体" w:hAnsi="SimSun;宋体" w:eastAsia="SimSun;宋体"/>
      <w:sz w:val="18"/>
      <w:szCs w:val="18"/>
      <w:lang w:val="en-GB"/>
    </w:rPr>
  </w:style>
  <w:style w:type="character" w:styleId="InternetLink">
    <w:name w:val="Hyperlink"/>
    <w:rPr>
      <w:color w:val="0000FF"/>
      <w:u w:val="single"/>
    </w:rPr>
  </w:style>
  <w:style w:type="character" w:styleId="EXCar">
    <w:name w:val="EX Car"/>
    <w:qFormat/>
    <w:rPr>
      <w:lang w:val="en-GB"/>
    </w:rPr>
  </w:style>
  <w:style w:type="character" w:styleId="THChar">
    <w:name w:val="TH Char"/>
    <w:qFormat/>
    <w:rPr>
      <w:rFonts w:ascii="Arial" w:hAnsi="Arial" w:cs="Arial"/>
      <w:b/>
      <w:lang w:val="en-GB"/>
    </w:rPr>
  </w:style>
  <w:style w:type="character" w:styleId="EditorsNoteChar">
    <w:name w:val="Editor's Note Char"/>
    <w:qFormat/>
    <w:rPr>
      <w:color w:val="FF0000"/>
      <w:lang w:val="en-GB"/>
    </w:rPr>
  </w:style>
  <w:style w:type="character" w:styleId="TAHChar">
    <w:name w:val="TAH Char"/>
    <w:qFormat/>
    <w:rPr>
      <w:rFonts w:ascii="Arial" w:hAnsi="Arial" w:cs="Arial"/>
      <w:b/>
      <w:sz w:val="18"/>
      <w:lang w:val="en-GB"/>
    </w:rPr>
  </w:style>
  <w:style w:type="character" w:styleId="TALChar">
    <w:name w:val="TAL Char"/>
    <w:qFormat/>
    <w:rPr>
      <w:rFonts w:ascii="Arial" w:hAnsi="Arial" w:cs="Arial"/>
      <w:sz w:val="18"/>
      <w:lang w:val="en-GB"/>
    </w:rPr>
  </w:style>
  <w:style w:type="character" w:styleId="B1Char">
    <w:name w:val="B1 Char"/>
    <w:qFormat/>
    <w:rPr>
      <w:lang w:val="en-GB"/>
    </w:rPr>
  </w:style>
  <w:style w:type="character" w:styleId="Heading3Char">
    <w:name w:val="Heading 3 Char"/>
    <w:qFormat/>
    <w:rPr>
      <w:rFonts w:ascii="Arial" w:hAnsi="Arial" w:cs="Arial"/>
      <w:sz w:val="28"/>
      <w:lang w:val="en-GB"/>
    </w:rPr>
  </w:style>
  <w:style w:type="character" w:styleId="TFChar">
    <w:name w:val="TF Char"/>
    <w:qFormat/>
    <w:rPr>
      <w:rFonts w:ascii="Arial" w:hAnsi="Arial" w:cs="Arial"/>
      <w:b/>
      <w:lang w:val="en-GB"/>
    </w:rPr>
  </w:style>
  <w:style w:type="character" w:styleId="NOZchn">
    <w:name w:val="NO Zchn"/>
    <w:qFormat/>
    <w:rPr>
      <w:lang w:val="en-GB"/>
    </w:rPr>
  </w:style>
  <w:style w:type="character" w:styleId="Heading4Char">
    <w:name w:val="Heading 4 Char"/>
    <w:qFormat/>
    <w:rPr>
      <w:rFonts w:ascii="Arial" w:hAnsi="Arial" w:cs="Arial"/>
      <w:sz w:val="24"/>
      <w:lang w:val="en-GB"/>
    </w:rPr>
  </w:style>
  <w:style w:type="character" w:styleId="NOChar">
    <w:name w:val="NO Char"/>
    <w:qFormat/>
    <w:rPr>
      <w:lang w:val="en-GB"/>
    </w:rPr>
  </w:style>
  <w:style w:type="character" w:styleId="TANChar">
    <w:name w:val="TAN Char"/>
    <w:qFormat/>
    <w:rPr/>
  </w:style>
  <w:style w:type="character" w:styleId="TACChar">
    <w:name w:val="TAC Char"/>
    <w:qFormat/>
    <w:rPr/>
  </w:style>
  <w:style w:type="character" w:styleId="BalloonTextChar">
    <w:name w:val="Balloon Text Char"/>
    <w:qFormat/>
    <w:rPr>
      <w:rFonts w:ascii="Segoe UI" w:hAnsi="Segoe UI" w:cs="Segoe UI"/>
      <w:sz w:val="18"/>
      <w:szCs w:val="18"/>
      <w:lang w:val="en-GB"/>
    </w:rPr>
  </w:style>
  <w:style w:type="character" w:styleId="CommentReference">
    <w:name w:val="Comment Reference"/>
    <w:qFormat/>
    <w:rPr>
      <w:sz w:val="16"/>
      <w:szCs w:val="16"/>
    </w:rPr>
  </w:style>
  <w:style w:type="character" w:styleId="CommentTextChar">
    <w:name w:val="Comment Text Char"/>
    <w:qFormat/>
    <w:rPr>
      <w:lang w:val="en-GB"/>
    </w:rPr>
  </w:style>
  <w:style w:type="character" w:styleId="CommentSubjectChar">
    <w:name w:val="Comment Subject Char"/>
    <w:qFormat/>
    <w:rPr>
      <w:b/>
      <w:bCs/>
      <w:lang w:val="en-GB"/>
    </w:rPr>
  </w:style>
  <w:style w:type="character" w:styleId="VisitedInternetLink">
    <w:name w:val="FollowedHyperlink"/>
    <w:rPr>
      <w:color w:val="954F72"/>
      <w:u w:val="single"/>
    </w:rPr>
  </w:style>
  <w:style w:type="character" w:styleId="UnresolvedMention">
    <w:name w:val="Unresolved Mention"/>
    <w:qFormat/>
    <w:rPr>
      <w:color w:val="808080"/>
      <w:shd w:fill="E6E6E6" w:val="clear"/>
    </w:rPr>
  </w:style>
  <w:style w:type="character" w:styleId="EditorsNoteCharChar">
    <w:name w:val="Editor's Note Char Char"/>
    <w:qFormat/>
    <w:rPr>
      <w:color w:val="FF0000"/>
      <w:lang w:val="en-GB"/>
    </w:rPr>
  </w:style>
  <w:style w:type="character" w:styleId="Heading2Char">
    <w:name w:val="Heading 2 Char"/>
    <w:qFormat/>
    <w:rPr>
      <w:rFonts w:ascii="Arial" w:hAnsi="Arial" w:cs="Arial"/>
      <w:sz w:val="32"/>
      <w:lang w:val="en-GB"/>
    </w:rPr>
  </w:style>
  <w:style w:type="character" w:styleId="Heading1Char">
    <w:name w:val="Heading 1 Char"/>
    <w:qFormat/>
    <w:rPr>
      <w:rFonts w:ascii="Arial" w:hAnsi="Arial" w:cs="Arial"/>
      <w:sz w:val="36"/>
      <w:lang w:val="en-GB" w:bidi="ar-SA"/>
    </w:rPr>
  </w:style>
  <w:style w:type="character" w:styleId="Heading5Char">
    <w:name w:val="Heading 5 Char"/>
    <w:qFormat/>
    <w:rPr>
      <w:rFonts w:ascii="Arial" w:hAnsi="Arial" w:cs="Arial"/>
      <w:sz w:val="22"/>
      <w:lang w:val="en-GB"/>
    </w:rPr>
  </w:style>
  <w:style w:type="character" w:styleId="Heading6Char">
    <w:name w:val="Heading 6 Char"/>
    <w:qFormat/>
    <w:rPr>
      <w:rFonts w:ascii="Arial" w:hAnsi="Arial" w:cs="Arial"/>
      <w:lang w:val="en-GB"/>
    </w:rPr>
  </w:style>
  <w:style w:type="character" w:styleId="Innerobject">
    <w:name w:val="inner-object"/>
    <w:qFormat/>
    <w:rPr/>
  </w:style>
  <w:style w:type="character" w:styleId="PLChar">
    <w:name w:val="PL Char"/>
    <w:qFormat/>
    <w:rPr>
      <w:rFonts w:ascii="Courier New" w:hAnsi="Courier New" w:cs="Courier New"/>
      <w:sz w:val="16"/>
      <w:lang w:val="en-GB" w:eastAsia="en-US"/>
    </w:rPr>
  </w:style>
  <w:style w:type="character" w:styleId="EWChar">
    <w:name w:val="EW Char"/>
    <w:qFormat/>
    <w:rPr>
      <w:lang w:val="en-GB"/>
    </w:rPr>
  </w:style>
  <w:style w:type="character" w:styleId="B2Char">
    <w:name w:val="B2 Char"/>
    <w:qFormat/>
    <w:rPr>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spacing w:before="0" w:after="180"/>
      <w:ind w:left="200" w:hanging="200"/>
      <w:contextualSpacing/>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DocumentMap">
    <w:name w:val="Document Map"/>
    <w:basedOn w:val="Normal"/>
    <w:qFormat/>
    <w:pPr/>
    <w:rPr>
      <w:rFonts w:ascii="SimSun;宋体" w:hAnsi="SimSun;宋体"/>
      <w:sz w:val="18"/>
      <w:szCs w:val="18"/>
    </w:rPr>
  </w:style>
  <w:style w:type="paragraph" w:styleId="TOCHeading">
    <w:name w:val="TOC Heading"/>
    <w:basedOn w:val="Heading1"/>
    <w:next w:val="Normal"/>
    <w:qFormat/>
    <w:pPr>
      <w:numPr>
        <w:ilvl w:val="0"/>
        <w:numId w:val="0"/>
      </w:numPr>
      <w:pBdr>
        <w:top w:val="nil"/>
      </w:pBdr>
      <w:spacing w:lineRule="auto" w:line="276" w:before="480" w:after="0"/>
      <w:ind w:left="0" w:hanging="0"/>
      <w:outlineLvl w:val="9"/>
    </w:pPr>
    <w:rPr>
      <w:rFonts w:ascii="Cambria" w:hAnsi="Cambria" w:eastAsia="SimSun;宋体" w:cs="Times New Roman"/>
      <w:b/>
      <w:bCs/>
      <w:color w:val="365F91"/>
      <w:sz w:val="28"/>
      <w:szCs w:val="28"/>
      <w:lang w:val="en-US" w:eastAsia="zh-CN"/>
    </w:rPr>
  </w:style>
  <w:style w:type="paragraph" w:styleId="ListBullet">
    <w:name w:val="List Bullet"/>
    <w:basedOn w:val="List"/>
    <w:qFormat/>
    <w:pPr>
      <w:numPr>
        <w:ilvl w:val="0"/>
        <w:numId w:val="4"/>
      </w:numPr>
      <w:spacing w:before="0" w:after="180"/>
      <w:ind w:left="568" w:hanging="284"/>
      <w:contextualSpacing w:val="false"/>
    </w:pPr>
    <w:rPr>
      <w:rFonts w:eastAsia="Batang;바탕"/>
    </w:rPr>
  </w:style>
  <w:style w:type="paragraph" w:styleId="TempNote">
    <w:name w:val="TempNote"/>
    <w:basedOn w:val="Normal"/>
    <w:qFormat/>
    <w:pPr>
      <w:overflowPunct w:val="false"/>
      <w:autoSpaceDE w:val="false"/>
      <w:spacing w:before="0" w:after="0"/>
      <w:textAlignment w:val="baseline"/>
    </w:pPr>
    <w:rPr>
      <w:rFonts w:ascii="Arial" w:hAnsi="Arial" w:eastAsia="Times New Roman" w:cs="Arial"/>
      <w:i/>
      <w:color w:val="0070C0"/>
    </w:rPr>
  </w:style>
  <w:style w:type="paragraph" w:styleId="B11">
    <w:name w:val="B1+"/>
    <w:basedOn w:val="B1"/>
    <w:qFormat/>
    <w:pPr>
      <w:numPr>
        <w:ilvl w:val="0"/>
        <w:numId w:val="3"/>
      </w:numPr>
      <w:overflowPunct w:val="false"/>
      <w:autoSpaceDE w:val="false"/>
      <w:textAlignment w:val="baseline"/>
    </w:pPr>
    <w:rPr>
      <w:rFonts w:eastAsia="Times New Roman"/>
    </w:rPr>
  </w:style>
  <w:style w:type="paragraph" w:styleId="BalloonText">
    <w:name w:val="Balloon Text"/>
    <w:basedOn w:val="Normal"/>
    <w:qFormat/>
    <w:pPr>
      <w:spacing w:before="0" w:after="0"/>
    </w:pPr>
    <w:rPr>
      <w:rFonts w:ascii="Segoe UI" w:hAnsi="Segoe UI" w:cs="Segoe UI"/>
      <w:sz w:val="18"/>
      <w:szCs w:val="18"/>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Index1">
    <w:name w:val="Index 1"/>
    <w:basedOn w:val="Normal"/>
    <w:next w:val="Normal"/>
    <w:pPr>
      <w:ind w:left="200" w:hanging="200"/>
    </w:pPr>
    <w:rPr/>
  </w:style>
  <w:style w:type="paragraph" w:styleId="CRCoverPage">
    <w:name w:val="CR Cover Page"/>
    <w:qFormat/>
    <w:pPr>
      <w:widowControl/>
      <w:bidi w:val="0"/>
      <w:spacing w:before="0" w:after="120"/>
    </w:pPr>
    <w:rPr>
      <w:rFonts w:ascii="Arial" w:hAnsi="Arial" w:eastAsia="Batang;바탕" w:cs="Arial"/>
      <w:color w:val="auto"/>
      <w:sz w:val="20"/>
      <w:szCs w:val="20"/>
      <w:lang w:val="en-GB" w:bidi="ar-SA" w:eastAsia="zh-CN"/>
    </w:rPr>
  </w:style>
  <w:style w:type="paragraph" w:styleId="ListNumber">
    <w:name w:val="List Number"/>
    <w:basedOn w:val="Normal"/>
    <w:qFormat/>
    <w:pPr>
      <w:numPr>
        <w:ilvl w:val="0"/>
        <w:numId w:val="2"/>
      </w:numPr>
      <w:spacing w:before="0" w:after="180"/>
      <w:contextualSpacing/>
    </w:pPr>
    <w:rPr/>
  </w:style>
  <w:style w:type="paragraph" w:styleId="Revision">
    <w:name w:val="Revision"/>
    <w:qFormat/>
    <w:pPr>
      <w:widowControl/>
      <w:bidi w:val="0"/>
    </w:pPr>
    <w:rPr>
      <w:rFonts w:ascii="Times New Roman" w:hAnsi="Times New Roman" w:eastAsia="SimSun;宋体"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StyleNum">
    <w:name w:val="WW8StyleNum"/>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hyperlink" Target="http://www.3gpp.org/" TargetMode="External"/><Relationship Id="rId11" Type="http://schemas.openxmlformats.org/officeDocument/2006/relationships/hyperlink" Target="http://www.3gpp.org/" TargetMode="External"/><Relationship Id="rId12" Type="http://schemas.openxmlformats.org/officeDocument/2006/relationships/hyperlink" Target="https://github.com/OAI/OpenAPI-Specification/blob/master/versions/3.0.0.md" TargetMode="External"/><Relationship Id="rId13" Type="http://schemas.openxmlformats.org/officeDocument/2006/relationships/oleObject" Target="embeddings/oleObject1.bin"/><Relationship Id="rId14" Type="http://schemas.openxmlformats.org/officeDocument/2006/relationships/image" Target="media/image3.wmf"/><Relationship Id="rId15" Type="http://schemas.openxmlformats.org/officeDocument/2006/relationships/oleObject" Target="embeddings/oleObject2.bin"/><Relationship Id="rId16" Type="http://schemas.openxmlformats.org/officeDocument/2006/relationships/image" Target="media/image4.wmf"/><Relationship Id="rId17" Type="http://schemas.openxmlformats.org/officeDocument/2006/relationships/oleObject" Target="embeddings/oleObject3.bin"/><Relationship Id="rId18" Type="http://schemas.openxmlformats.org/officeDocument/2006/relationships/image" Target="media/image5.wmf"/><Relationship Id="rId19" Type="http://schemas.openxmlformats.org/officeDocument/2006/relationships/oleObject" Target="embeddings/oleObject4.bin"/><Relationship Id="rId20" Type="http://schemas.openxmlformats.org/officeDocument/2006/relationships/image" Target="media/image6.wmf"/><Relationship Id="rId21" Type="http://schemas.openxmlformats.org/officeDocument/2006/relationships/oleObject" Target="embeddings/oleObject5.bin"/><Relationship Id="rId22" Type="http://schemas.openxmlformats.org/officeDocument/2006/relationships/image" Target="media/image7.wmf"/><Relationship Id="rId23" Type="http://schemas.openxmlformats.org/officeDocument/2006/relationships/oleObject" Target="embeddings/oleObject6.bin"/><Relationship Id="rId24" Type="http://schemas.openxmlformats.org/officeDocument/2006/relationships/image" Target="media/image8.wmf"/><Relationship Id="rId25" Type="http://schemas.openxmlformats.org/officeDocument/2006/relationships/oleObject" Target="embeddings/oleObject7.bin"/><Relationship Id="rId26" Type="http://schemas.openxmlformats.org/officeDocument/2006/relationships/image" Target="media/image9.wmf"/><Relationship Id="rId27" Type="http://schemas.openxmlformats.org/officeDocument/2006/relationships/oleObject" Target="embeddings/oleObject8.bin"/><Relationship Id="rId28" Type="http://schemas.openxmlformats.org/officeDocument/2006/relationships/image" Target="media/image10.wmf"/><Relationship Id="rId29" Type="http://schemas.openxmlformats.org/officeDocument/2006/relationships/header" Target="header3.xml"/><Relationship Id="rId30" Type="http://schemas.openxmlformats.org/officeDocument/2006/relationships/footer" Target="footer3.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29</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2022-03-15T12:25:00Z</dcterms:created>
  <dc:creator>Maurice Pope / John M Meredith</dc:creator>
  <dc:description>All 3GPP specs are to be based on this skeleton.</dc:description>
  <cp:keywords>3GPP</cp:keywords>
  <dc:language>en-US</dc:language>
  <cp:lastModifiedBy>MCC</cp:lastModifiedBy>
  <cp:lastPrinted>2017-09-21T16:17:00Z</cp:lastPrinted>
  <dcterms:modified xsi:type="dcterms:W3CDTF">2022-03-18T08:37:00Z</dcterms:modified>
  <cp:revision>5</cp:revision>
  <dc:subject>3GPP spec skeleton</dc:subject>
  <dc:title>3GPP spec skeleton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1aa2129-79ec-42c0-bfac-e5b7a0374572_ActionId">
    <vt:lpwstr>231c5162-44d9-4364-9353-6afc1479b8a9</vt:lpwstr>
  </property>
  <property fmtid="{D5CDD505-2E9C-101B-9397-08002B2CF9AE}" pid="3" name="MSIP_Label_b1aa2129-79ec-42c0-bfac-e5b7a0374572_ContentBits">
    <vt:lpwstr>0</vt:lpwstr>
  </property>
  <property fmtid="{D5CDD505-2E9C-101B-9397-08002B2CF9AE}" pid="4" name="MSIP_Label_b1aa2129-79ec-42c0-bfac-e5b7a0374572_Enabled">
    <vt:lpwstr>true</vt:lpwstr>
  </property>
  <property fmtid="{D5CDD505-2E9C-101B-9397-08002B2CF9AE}" pid="5" name="MSIP_Label_b1aa2129-79ec-42c0-bfac-e5b7a0374572_Method">
    <vt:lpwstr>Privileged</vt:lpwstr>
  </property>
  <property fmtid="{D5CDD505-2E9C-101B-9397-08002B2CF9AE}" pid="6" name="MSIP_Label_b1aa2129-79ec-42c0-bfac-e5b7a0374572_Name">
    <vt:lpwstr>b1aa2129-79ec-42c0-bfac-e5b7a0374572</vt:lpwstr>
  </property>
  <property fmtid="{D5CDD505-2E9C-101B-9397-08002B2CF9AE}" pid="7" name="MSIP_Label_b1aa2129-79ec-42c0-bfac-e5b7a0374572_SetDate">
    <vt:lpwstr>2022-02-28T06:52:54Z</vt:lpwstr>
  </property>
  <property fmtid="{D5CDD505-2E9C-101B-9397-08002B2CF9AE}" pid="8" name="MSIP_Label_b1aa2129-79ec-42c0-bfac-e5b7a0374572_SiteId">
    <vt:lpwstr>5d471751-9675-428d-917b-70f44f9630b0</vt:lpwstr>
  </property>
  <property fmtid="{D5CDD505-2E9C-101B-9397-08002B2CF9AE}" pid="9" name="_2015_ms_pID_725343">
    <vt:lpwstr>(3)bMWxGINH+Ad/Zgf9m3OgqGrTI5Offte0sxmPJuhuIgUwyUz1nC1bWl9HZyZPyiQPDqGm1cw/
HpdhuQA7gsWl9W51hoYWrOl28q1jf8A+ZwyW3Nu/J+wVglO4J0vNTA/lFPdPdgxHeAtMbcRd
W0/ztoJ0Uy9+BOwrjXw+Ux/l2ej2azxN9imaCyMeNqPrEe+vg7hR6pNwsEVdnWOZyUOoYyXF
olZHgnrzwqxwFMi+Na</vt:lpwstr>
  </property>
  <property fmtid="{D5CDD505-2E9C-101B-9397-08002B2CF9AE}" pid="10" name="_2015_ms_pID_7253431">
    <vt:lpwstr>9vbFvlXvo25ntuDRAN51iH4Y4LrlHqqIyU56B8ssBvGPfqdXBaHZQj
H5lIJ2LWGXBsYLfuVnZV0Zet/pvMXCFmIC8qj1qf7q2ciqLFymMruNBOpj7bQ8o5I2AUMZ39
8VRUCwSS/+5O4lHYT5cvua2yU3Be9cMHduZ9w/moW344h9m5nLZOW5TYQighB+vhZBKL5yGg
Mg0B7UxAK0YbVxclTU5BQHtVEfCINSLRIRvN</vt:lpwstr>
  </property>
  <property fmtid="{D5CDD505-2E9C-101B-9397-08002B2CF9AE}" pid="11" name="_2015_ms_pID_7253431_00">
    <vt:lpwstr>_2015_ms_pID_7253431</vt:lpwstr>
  </property>
  <property fmtid="{D5CDD505-2E9C-101B-9397-08002B2CF9AE}" pid="12" name="_2015_ms_pID_7253432">
    <vt:lpwstr>Cw==</vt:lpwstr>
  </property>
  <property fmtid="{D5CDD505-2E9C-101B-9397-08002B2CF9AE}" pid="13" name="_2015_ms_pID_725343_00">
    <vt:lpwstr>_2015_ms_pID_725343</vt:lpwstr>
  </property>
  <property fmtid="{D5CDD505-2E9C-101B-9397-08002B2CF9AE}" pid="14" name="_change">
    <vt:lpwstr/>
  </property>
  <property fmtid="{D5CDD505-2E9C-101B-9397-08002B2CF9AE}" pid="15" name="_full-control">
    <vt:lpwstr/>
  </property>
  <property fmtid="{D5CDD505-2E9C-101B-9397-08002B2CF9AE}" pid="16" name="_new_ms_pID_72543">
    <vt:lpwstr>(3)czd5APFrxF6l4Xu3C+Krl7YusR871MuaiQ/8h/BiNmWE4NP6fQVZgj0vrTOnthFmosQ1ZDkG
v2M/VfFIzvnbI/1qNrxvB2C3xle4pwmya3dGnTnoq6J+uD2OufHL4s02f9caFNQmI/m1kPPh
rPsE2cF/nANavQiuk6fJULi63FaVZoK8zAazb8TSwlyEuO55NBtt+U5L9BKbqBUtilrpc8Fj
U3Y9cQ4DLlL6QxG7bY</vt:lpwstr>
  </property>
  <property fmtid="{D5CDD505-2E9C-101B-9397-08002B2CF9AE}" pid="17" name="_new_ms_pID_725431">
    <vt:lpwstr>0gyyD94xJvoj7DX4qPtc7INzjxzAvCC6Ost7SamIsoKWvpXwwbIfcm
Psbj5Nu1hGMh+NLm8DXUOtb3z3vnFebpUe9dbltbYUvbX95Zwdvnku6gw5FRaXcKbRE6pAS5
pUBTddFq6UT90r4pRSLGB4II4MZ53et+wB3AKyvUsODYw786GgVlKEH1ziXOt1NHv8PG6sZO
NTjpcsTK9OCSd6+fIV6o4q8o39TvBJA4INPU</vt:lpwstr>
  </property>
  <property fmtid="{D5CDD505-2E9C-101B-9397-08002B2CF9AE}" pid="18" name="_new_ms_pID_725431_00">
    <vt:lpwstr>_new_ms_pID_725431</vt:lpwstr>
  </property>
  <property fmtid="{D5CDD505-2E9C-101B-9397-08002B2CF9AE}" pid="19" name="_new_ms_pID_725432">
    <vt:lpwstr>PIaA9GA2JUX9PdUUBOcLjtpaJ2KoSdj2U+Ga
NQpmj21FLExJk+aKzFa6/fIwkOuuPCwgdGi8IBezhzA32dJ1ze37nlGLVMyvTu1LabNOQ4rd
cZtGSxaB2LXCShQ57G2UUYiOS6op7KhUXmkExf5kG9i25BfCIlY2pykBMmK5JRha</vt:lpwstr>
  </property>
  <property fmtid="{D5CDD505-2E9C-101B-9397-08002B2CF9AE}" pid="20" name="_new_ms_pID_725432_00">
    <vt:lpwstr>_new_ms_pID_725432</vt:lpwstr>
  </property>
  <property fmtid="{D5CDD505-2E9C-101B-9397-08002B2CF9AE}" pid="21" name="_new_ms_pID_72543_00">
    <vt:lpwstr>_new_ms_pID_72543</vt:lpwstr>
  </property>
  <property fmtid="{D5CDD505-2E9C-101B-9397-08002B2CF9AE}" pid="22" name="_readonly">
    <vt:lpwstr/>
  </property>
  <property fmtid="{D5CDD505-2E9C-101B-9397-08002B2CF9AE}" pid="23" name="sflag">
    <vt:lpwstr>1504523167</vt:lpwstr>
  </property>
</Properties>
</file>