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31.120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31.120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UICC-Terminal Interface; </w:t>
                            </w:r>
                          </w:p>
                          <w:p>
                            <w:pPr>
                              <w:pStyle w:val="ZT"/>
                              <w:rPr/>
                            </w:pPr>
                            <w:r>
                              <w:rPr/>
                              <w:t>Physical, electrical and logical test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UICC-Terminal Interface; </w:t>
                      </w:r>
                    </w:p>
                    <w:p>
                      <w:pPr>
                        <w:pStyle w:val="ZT"/>
                        <w:rPr/>
                      </w:pPr>
                      <w:r>
                        <w:rPr/>
                        <w:t>Physical, electrical and logical test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posOffset>0</wp:posOffset>
                </wp:positionH>
                <wp:positionV relativeFrom="page">
                  <wp:posOffset>9375775</wp:posOffset>
                </wp:positionV>
                <wp:extent cx="6595745" cy="1255395"/>
                <wp:effectExtent l="0" t="0" r="0" b="0"/>
                <wp:wrapTopAndBottom/>
                <wp:docPr id="9" name="Frame5"/>
                <a:graphic xmlns:a="http://schemas.openxmlformats.org/drawingml/2006/main">
                  <a:graphicData uri="http://schemas.microsoft.com/office/word/2010/wordprocessingShape">
                    <wps:wsp>
                      <wps:cNvSpPr txBox="1"/>
                      <wps:spPr>
                        <a:xfrm>
                          <a:off x="0" y="0"/>
                          <a:ext cx="6595745" cy="1255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9.35pt;height:98.85pt;mso-wrap-distance-left:0pt;mso-wrap-distance-right:0pt;mso-wrap-distance-top:0pt;mso-wrap-distance-bottom:0pt;margin-top:738.25pt;mso-position-vertical-relative:page;margin-left:0p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0" w:name="page2"/>
      <w:bookmarkStart w:id="1" w:name="page2"/>
      <w:bookmarkEnd w:id="1"/>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card, SIM, testing,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card, SIM, testing,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79.4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50390"/>
                <wp:effectExtent l="0" t="0" r="0" b="0"/>
                <wp:wrapTopAndBottom/>
                <wp:docPr id="13" name="Frame9"/>
                <a:graphic xmlns:a="http://schemas.openxmlformats.org/drawingml/2006/main">
                  <a:graphicData uri="http://schemas.microsoft.com/office/word/2010/wordprocessingShape">
                    <wps:wsp>
                      <wps:cNvSpPr txBox="1"/>
                      <wps:spPr>
                        <a:xfrm>
                          <a:off x="0" y="0"/>
                          <a:ext cx="6120130" cy="18503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1.9pt;height:145.7pt;mso-wrap-distance-left:0pt;mso-wrap-distance-right:0pt;mso-wrap-distance-top:0pt;mso-wrap-distance-bottom:0pt;margin-top:553.3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r>
                    </w:p>
                  </w:txbxContent>
                </v:textbox>
                <w10:wrap type="topAndBottom"/>
              </v:rect>
            </w:pict>
          </mc:Fallback>
        </mc:AlternateContent>
      </w:r>
    </w:p>
    <w:p>
      <w:pPr>
        <w:pStyle w:val="TT"/>
        <w:ind w:left="0" w:hanging="0"/>
        <w:rPr/>
      </w:pPr>
      <w:bookmarkStart w:id="2" w:name="page2"/>
      <w:bookmarkEnd w:id="2"/>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930427">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169930428">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69930429">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69930430">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abbreviations and coding</w:t>
            <w:tab/>
          </w:r>
          <w:hyperlink w:anchor="__RefHeading___Toc169930431">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Physical Characteristic Tests</w:t>
            <w:tab/>
          </w:r>
          <w:hyperlink w:anchor="__RefHeading___Toc169930432">
            <w:r>
              <w:rPr>
                <w:rStyle w:val="IndexLink"/>
              </w:rPr>
              <w:t>5</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Electrical Characteristic Tests</w:t>
            <w:tab/>
          </w:r>
          <w:hyperlink w:anchor="__RefHeading___Toc169930433">
            <w:r>
              <w:rPr>
                <w:rStyle w:val="IndexLink"/>
              </w:rPr>
              <w:t>5</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Initial Communication Tests</w:t>
            <w:tab/>
          </w:r>
          <w:hyperlink w:anchor="__RefHeading___Toc169930434">
            <w:r>
              <w:rPr>
                <w:rStyle w:val="IndexLink"/>
              </w:rPr>
              <w:t>6</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Transmission Protocol Tests</w:t>
            <w:tab/>
          </w:r>
          <w:hyperlink w:anchor="__RefHeading___Toc169930435">
            <w:r>
              <w:rPr>
                <w:rStyle w:val="IndexLink"/>
              </w:rPr>
              <w:t>6</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Application independent procedures</w:t>
            <w:tab/>
          </w:r>
          <w:hyperlink w:anchor="__RefHeading___Toc169930436">
            <w:r>
              <w:rPr>
                <w:rStyle w:val="IndexLink"/>
              </w:rPr>
              <w:t>6</w:t>
            </w:r>
          </w:hyperlink>
        </w:p>
        <w:p>
          <w:pPr>
            <w:pStyle w:val="Contents8"/>
            <w:rPr>
              <w:rFonts w:eastAsia="MS Mincho;ＭＳ 明朝"/>
              <w:b w:val="false"/>
              <w:b w:val="false"/>
              <w:sz w:val="24"/>
              <w:szCs w:val="24"/>
              <w:lang w:val="en-US" w:eastAsia="en-US"/>
            </w:rPr>
          </w:pPr>
          <w:r>
            <w:rPr/>
            <w:t>Annex A (normative):</w:t>
            <w:tab/>
            <w:t>UICC simulator functional requirement</w:t>
            <w:tab/>
          </w:r>
          <w:hyperlink w:anchor="__RefHeading___Toc169930437">
            <w:r>
              <w:rPr>
                <w:rStyle w:val="IndexLink"/>
              </w:rPr>
              <w:t>7</w:t>
            </w:r>
          </w:hyperlink>
        </w:p>
        <w:p>
          <w:pPr>
            <w:pStyle w:val="Contents8"/>
            <w:rPr>
              <w:rFonts w:eastAsia="MS Mincho;ＭＳ 明朝"/>
              <w:sz w:val="24"/>
              <w:szCs w:val="24"/>
              <w:lang w:val="en-US" w:eastAsia="en-US"/>
            </w:rPr>
          </w:pPr>
          <w:r>
            <w:rPr>
              <w:b w:val="false"/>
            </w:rPr>
            <w:t>Annex B (informative):</w:t>
            <w:tab/>
            <w:t>Change history</w:t>
            <w:tab/>
          </w:r>
          <w:hyperlink w:anchor="__RefHeading___Toc169930438">
            <w:r>
              <w:rPr>
                <w:rStyle w:val="IndexLink"/>
                <w:b w:val="false"/>
              </w:rPr>
              <w:t>8</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tabs>
          <w:tab w:val="clear" w:pos="284"/>
          <w:tab w:val="left" w:pos="720" w:leader="none"/>
        </w:tabs>
        <w:ind w:left="0" w:hanging="0"/>
        <w:rPr/>
      </w:pPr>
      <w:bookmarkStart w:id="3" w:name="__RefHeading___Toc169930427"/>
      <w:bookmarkEnd w:id="3"/>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tabs>
          <w:tab w:val="clear" w:pos="284"/>
          <w:tab w:val="left" w:pos="720" w:leader="none"/>
        </w:tabs>
        <w:ind w:left="0" w:hanging="0"/>
        <w:rPr/>
      </w:pPr>
      <w:bookmarkStart w:id="4" w:name="__RefHeading___Toc169930428"/>
      <w:bookmarkEnd w:id="4"/>
      <w:r>
        <w:rPr/>
        <w:t>Introduction</w:t>
      </w:r>
    </w:p>
    <w:p>
      <w:pPr>
        <w:pStyle w:val="Normal"/>
        <w:rPr/>
      </w:pPr>
      <w:r>
        <w:rPr/>
        <w:t>The present document defines the interface tests for the Terminal / UICC interface.</w:t>
      </w:r>
    </w:p>
    <w:p>
      <w:pPr>
        <w:pStyle w:val="Normal"/>
        <w:rPr/>
      </w:pPr>
      <w:r>
        <w:rPr/>
        <w:t>The aim of the present document is to ensure interoperability between an UICC and a Terminal independently of the respective manufacturer, card issuer or operator.</w:t>
      </w:r>
    </w:p>
    <w:p>
      <w:pPr>
        <w:pStyle w:val="Normal"/>
        <w:rPr/>
      </w:pPr>
      <w:r>
        <w:rPr/>
        <w:t>Application specific tests for applications residing on an UICC are specified in document TS 31.121 [2].</w:t>
      </w:r>
      <w:r>
        <w:br w:type="page"/>
      </w:r>
    </w:p>
    <w:p>
      <w:pPr>
        <w:pStyle w:val="Heading1"/>
        <w:ind w:left="1134" w:hanging="1134"/>
        <w:rPr/>
      </w:pPr>
      <w:bookmarkStart w:id="5" w:name="__RefHeading___Toc169930429"/>
      <w:bookmarkEnd w:id="5"/>
      <w:r>
        <w:rPr/>
        <w:t>1</w:t>
        <w:tab/>
        <w:t>Scope</w:t>
      </w:r>
    </w:p>
    <w:p>
      <w:pPr>
        <w:pStyle w:val="Normal"/>
        <w:rPr/>
      </w:pPr>
      <w:r>
        <w:rPr/>
        <w:t>The present document specifies the interface test for the Terminal / UICC.</w:t>
      </w:r>
    </w:p>
    <w:p>
      <w:pPr>
        <w:pStyle w:val="Normal"/>
        <w:rPr/>
      </w:pPr>
      <w:r>
        <w:rPr/>
        <w:t>The present document specifies the tests of:</w:t>
      </w:r>
    </w:p>
    <w:p>
      <w:pPr>
        <w:pStyle w:val="Normal"/>
        <w:tabs>
          <w:tab w:val="clear" w:pos="284"/>
          <w:tab w:val="left" w:pos="720" w:leader="none"/>
        </w:tabs>
        <w:ind w:left="720" w:hanging="360"/>
        <w:rPr/>
      </w:pPr>
      <w:r>
        <w:rPr/>
        <w:t>-</w:t>
        <w:tab/>
        <w:t>physical characteristics of the UICC;</w:t>
      </w:r>
    </w:p>
    <w:p>
      <w:pPr>
        <w:pStyle w:val="Normal"/>
        <w:tabs>
          <w:tab w:val="clear" w:pos="284"/>
          <w:tab w:val="left" w:pos="720" w:leader="none"/>
        </w:tabs>
        <w:ind w:left="720" w:hanging="360"/>
        <w:rPr/>
      </w:pPr>
      <w:r>
        <w:rPr/>
        <w:t>-</w:t>
        <w:tab/>
        <w:t>the electrical interface between the UICC and the Terminal;</w:t>
      </w:r>
    </w:p>
    <w:p>
      <w:pPr>
        <w:pStyle w:val="Normal"/>
        <w:tabs>
          <w:tab w:val="clear" w:pos="284"/>
          <w:tab w:val="left" w:pos="720" w:leader="none"/>
        </w:tabs>
        <w:ind w:left="720" w:hanging="360"/>
        <w:rPr/>
      </w:pPr>
      <w:r>
        <w:rPr/>
        <w:t>-</w:t>
        <w:tab/>
        <w:t>the initial communication establishment and the transport protocols;</w:t>
      </w:r>
    </w:p>
    <w:p>
      <w:pPr>
        <w:pStyle w:val="Normal"/>
        <w:tabs>
          <w:tab w:val="clear" w:pos="284"/>
          <w:tab w:val="left" w:pos="720" w:leader="none"/>
        </w:tabs>
        <w:ind w:left="720" w:hanging="360"/>
        <w:rPr/>
      </w:pPr>
      <w:r>
        <w:rPr/>
        <w:t>-</w:t>
        <w:tab/>
        <w:t>the application independent procedures.</w:t>
      </w:r>
    </w:p>
    <w:p>
      <w:pPr>
        <w:pStyle w:val="Heading1"/>
        <w:ind w:left="1134" w:hanging="1134"/>
        <w:rPr/>
      </w:pPr>
      <w:bookmarkStart w:id="6" w:name="__RefHeading___Toc169930430"/>
      <w:bookmarkEnd w:id="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568" w:hanging="0"/>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ListBullet"/>
        <w:numPr>
          <w:ilvl w:val="0"/>
          <w:numId w:val="0"/>
        </w:numPr>
        <w:ind w:left="568" w:hanging="0"/>
        <w:rPr/>
      </w:pPr>
      <w:r>
        <w:rPr>
          <w:rFonts w:cs="Symbol" w:ascii="Symbol" w:hAnsi="Symbol"/>
        </w:rPr>
        <w:t></w:t>
      </w:r>
      <w:r>
        <w:rPr>
          <w:rFonts w:cs="Symbol" w:ascii="Symbol" w:hAnsi="Symbol"/>
        </w:rPr>
        <w:tab/>
      </w:r>
      <w:r>
        <w:rPr/>
        <w:t>For a specific reference, subsequent revisions do not apply.</w:t>
      </w:r>
    </w:p>
    <w:p>
      <w:pPr>
        <w:pStyle w:val="ListBullet"/>
        <w:numPr>
          <w:ilvl w:val="0"/>
          <w:numId w:val="0"/>
        </w:numPr>
        <w:ind w:left="568" w:hanging="0"/>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ETSI TS 102 230 V7.0.0: "Smart cards; UICC-Terminal interface; Physical, electrical and logical test specification".</w:t>
      </w:r>
    </w:p>
    <w:p>
      <w:pPr>
        <w:pStyle w:val="EX"/>
        <w:rPr/>
      </w:pPr>
      <w:r>
        <w:rPr/>
        <w:t xml:space="preserve"> </w:t>
      </w:r>
      <w:r>
        <w:rPr/>
        <w:t>[2]</w:t>
        <w:tab/>
        <w:t>3GPP TS 31.121: "UICC-terminal interface; USIM Application Test Specification".</w:t>
      </w:r>
    </w:p>
    <w:p>
      <w:pPr>
        <w:pStyle w:val="Heading1"/>
        <w:ind w:left="1134" w:hanging="1134"/>
        <w:rPr/>
      </w:pPr>
      <w:bookmarkStart w:id="7" w:name="__RefHeading___Toc169930431"/>
      <w:bookmarkEnd w:id="7"/>
      <w:r>
        <w:rPr/>
        <w:t>3</w:t>
        <w:tab/>
        <w:t>Definitions, symbols, abbreviations and coding</w:t>
      </w:r>
    </w:p>
    <w:p>
      <w:pPr>
        <w:pStyle w:val="Normal"/>
        <w:rPr/>
      </w:pPr>
      <w:r>
        <w:rPr/>
        <w:t>All definitions, symbols, abbreviations and coding conventions applicable to the terminal are specified in ETSI TS 102 230 [1].</w:t>
      </w:r>
    </w:p>
    <w:p>
      <w:pPr>
        <w:pStyle w:val="Heading1"/>
        <w:ind w:left="1134" w:hanging="1134"/>
        <w:rPr/>
      </w:pPr>
      <w:bookmarkStart w:id="8" w:name="__RefHeading___Toc169930432"/>
      <w:bookmarkEnd w:id="8"/>
      <w:r>
        <w:rPr/>
        <w:t>4</w:t>
        <w:tab/>
        <w:t>Physical Characteristic Tests</w:t>
      </w:r>
    </w:p>
    <w:p>
      <w:pPr>
        <w:pStyle w:val="Normal"/>
        <w:rPr/>
      </w:pPr>
      <w:r>
        <w:rPr/>
        <w:t>All tests within the scope of this clause are specified in ETSI TS 102 230 [1].</w:t>
      </w:r>
    </w:p>
    <w:p>
      <w:pPr>
        <w:pStyle w:val="Heading1"/>
        <w:ind w:left="1134" w:hanging="1134"/>
        <w:rPr/>
      </w:pPr>
      <w:bookmarkStart w:id="9" w:name="__RefHeading___Toc169930433"/>
      <w:bookmarkEnd w:id="9"/>
      <w:r>
        <w:rPr/>
        <w:t>5</w:t>
        <w:tab/>
        <w:t>Electrical Characteristic Tests</w:t>
      </w:r>
    </w:p>
    <w:p>
      <w:pPr>
        <w:pStyle w:val="Normal"/>
        <w:rPr/>
      </w:pPr>
      <w:r>
        <w:rPr/>
        <w:t>All tests within the scope of this clause are specified in ETSI TS 102 230 [1].</w:t>
      </w:r>
    </w:p>
    <w:p>
      <w:pPr>
        <w:pStyle w:val="Heading1"/>
        <w:ind w:left="1134" w:hanging="1134"/>
        <w:rPr/>
      </w:pPr>
      <w:bookmarkStart w:id="10" w:name="__RefHeading___Toc169930434"/>
      <w:bookmarkEnd w:id="10"/>
      <w:r>
        <w:rPr/>
        <w:t>6</w:t>
        <w:tab/>
        <w:t>Initial Communication Tests</w:t>
      </w:r>
    </w:p>
    <w:p>
      <w:pPr>
        <w:pStyle w:val="B1"/>
        <w:ind w:left="0" w:hanging="0"/>
        <w:rPr/>
      </w:pPr>
      <w:r>
        <w:rPr/>
        <w:t>All tests within the scope of this clause are specified in ETSI TS 102 230 [1].</w:t>
      </w:r>
    </w:p>
    <w:p>
      <w:pPr>
        <w:pStyle w:val="Heading1"/>
        <w:ind w:left="1134" w:hanging="1134"/>
        <w:rPr/>
      </w:pPr>
      <w:bookmarkStart w:id="11" w:name="__RefHeading___Toc169930435"/>
      <w:bookmarkEnd w:id="11"/>
      <w:r>
        <w:rPr/>
        <w:t>7</w:t>
        <w:tab/>
        <w:t>Transmission Protocol Tests</w:t>
      </w:r>
    </w:p>
    <w:p>
      <w:pPr>
        <w:pStyle w:val="Normal"/>
        <w:rPr/>
      </w:pPr>
      <w:r>
        <w:rPr/>
        <w:t>All tests within the scope of this clause are specified in ETSI TS 102 230 [1].</w:t>
      </w:r>
    </w:p>
    <w:p>
      <w:pPr>
        <w:pStyle w:val="Heading1"/>
        <w:ind w:left="1134" w:hanging="1134"/>
        <w:rPr/>
      </w:pPr>
      <w:bookmarkStart w:id="12" w:name="__RefHeading___Toc169930436"/>
      <w:bookmarkEnd w:id="12"/>
      <w:r>
        <w:rPr/>
        <w:t>8</w:t>
        <w:tab/>
        <w:t>Application independent procedures</w:t>
      </w:r>
    </w:p>
    <w:p>
      <w:pPr>
        <w:pStyle w:val="Normal"/>
        <w:rPr/>
      </w:pPr>
      <w:r>
        <w:rPr/>
        <w:t>All tests within the scope of this clause are specified in ETSI TS 102 230 [1].</w:t>
      </w:r>
      <w:r>
        <w:br w:type="page"/>
      </w:r>
    </w:p>
    <w:p>
      <w:pPr>
        <w:pStyle w:val="Heading8"/>
        <w:ind w:left="0" w:hanging="0"/>
        <w:rPr/>
      </w:pPr>
      <w:bookmarkStart w:id="13" w:name="__RefHeading___Toc169930437"/>
      <w:bookmarkStart w:id="14" w:name="historyclause"/>
      <w:bookmarkEnd w:id="13"/>
      <w:bookmarkEnd w:id="14"/>
      <w:r>
        <w:rPr/>
        <w:t>Annex A (normative):</w:t>
        <w:br/>
        <w:t>UICC simulator functional requirement</w:t>
      </w:r>
    </w:p>
    <w:p>
      <w:pPr>
        <w:pStyle w:val="Normal"/>
        <w:rPr/>
      </w:pPr>
      <w:r>
        <w:rPr/>
        <w:t>All requirements within the scope of this clause are specified in ETSI TS 102 230 [1].</w:t>
      </w:r>
      <w:r>
        <w:br w:type="page"/>
      </w:r>
    </w:p>
    <w:p>
      <w:pPr>
        <w:pStyle w:val="Heading8"/>
        <w:tabs>
          <w:tab w:val="clear" w:pos="284"/>
          <w:tab w:val="left" w:pos="720" w:leader="none"/>
        </w:tabs>
        <w:ind w:left="0" w:hanging="0"/>
        <w:rPr/>
      </w:pPr>
      <w:bookmarkStart w:id="15" w:name="historyclause"/>
      <w:bookmarkStart w:id="16" w:name="__RefHeading___Toc169930438"/>
      <w:bookmarkEnd w:id="15"/>
      <w:bookmarkEnd w:id="16"/>
      <w:r>
        <w:rPr/>
        <w:t>Annex B (informative):</w:t>
        <w:br/>
        <w:t>Change history</w:t>
      </w:r>
    </w:p>
    <w:tbl>
      <w:tblPr>
        <w:tblW w:w="8647" w:type="dxa"/>
        <w:jc w:val="left"/>
        <w:tblInd w:w="-5" w:type="dxa"/>
        <w:tblLayout w:type="fixed"/>
        <w:tblCellMar>
          <w:top w:w="0" w:type="dxa"/>
          <w:left w:w="40" w:type="dxa"/>
          <w:bottom w:w="0" w:type="dxa"/>
          <w:right w:w="40" w:type="dxa"/>
        </w:tblCellMar>
      </w:tblPr>
      <w:tblGrid>
        <w:gridCol w:w="800"/>
        <w:gridCol w:w="800"/>
        <w:gridCol w:w="901"/>
        <w:gridCol w:w="426"/>
        <w:gridCol w:w="428"/>
        <w:gridCol w:w="473"/>
        <w:gridCol w:w="4110"/>
        <w:gridCol w:w="709"/>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TSG Doc</w:t>
            </w:r>
          </w:p>
        </w:tc>
        <w:tc>
          <w:tcPr>
            <w:tcW w:w="42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CR</w:t>
            </w:r>
          </w:p>
        </w:tc>
        <w:tc>
          <w:tcPr>
            <w:tcW w:w="42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Rev</w:t>
            </w:r>
          </w:p>
        </w:tc>
        <w:tc>
          <w:tcPr>
            <w:tcW w:w="47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Cat</w:t>
            </w:r>
          </w:p>
        </w:tc>
        <w:tc>
          <w:tcPr>
            <w:tcW w:w="411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Subject/Comment</w:t>
            </w:r>
          </w:p>
        </w:tc>
        <w:tc>
          <w:tcPr>
            <w:tcW w:w="7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2000-12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TP-10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TP-000204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lang w:val="en-AU"/>
              </w:rPr>
            </w:pPr>
            <w:r>
              <w:rPr>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lang w:val="en-AU"/>
              </w:rPr>
            </w:pPr>
            <w:r>
              <w:rPr>
                <w:sz w:val="16"/>
                <w:lang w:val="en-AU"/>
              </w:rPr>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Final draft was approved at TSG-T #10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TP-26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TP-040262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lang w:val="en-AU"/>
              </w:rPr>
            </w:pPr>
            <w:r>
              <w:rPr>
                <w:sz w:val="16"/>
                <w:szCs w:val="16"/>
                <w:lang w:val="en-AU"/>
              </w:rPr>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F</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AU"/>
              </w:rPr>
            </w:pPr>
            <w:r>
              <w:rPr>
                <w:sz w:val="16"/>
                <w:szCs w:val="16"/>
                <w:lang w:val="en-US" w:eastAsia="en-US"/>
              </w:rPr>
              <w:t>Alignment to ETSI TS 102 230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TP-26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lang w:val="en-AU"/>
              </w:rPr>
            </w:pPr>
            <w:r>
              <w:rPr>
                <w:sz w:val="16"/>
                <w:szCs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lang w:val="en-AU"/>
              </w:rPr>
            </w:pPr>
            <w:r>
              <w:rPr>
                <w:sz w:val="16"/>
                <w:szCs w:val="16"/>
                <w:lang w:val="en-AU"/>
              </w:rPr>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lang w:val="en-AU"/>
              </w:rPr>
            </w:pPr>
            <w:r>
              <w:rPr>
                <w:sz w:val="16"/>
                <w:szCs w:val="16"/>
                <w:lang w:val="en-AU"/>
              </w:rPr>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Upgrade to Rel-6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2007-06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CT-36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Upgrade to Rel-7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2008-12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Upgrade to Rel-8 + addition of LTE logo</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CP-091011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F</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References update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Upgrade of the specification to 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Upgrade of the specification to Rel-10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Upgrade of the specification to Rel-11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2014-10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pPr>
            <w:r>
              <w:rPr>
                <w:sz w:val="16"/>
                <w:szCs w:val="16"/>
                <w:lang w:val="en-US" w:eastAsia="en-US"/>
              </w:rPr>
              <w:t>Upgrade of the specification to Rel-12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Upgrade of the specification to Rel-13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Automatic upgrade to Rel-14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lang w:val="en-US" w:eastAsia="en-US"/>
              </w:rPr>
              <w:t>Automatic upgrade to Rel-15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szCs w:val="16"/>
                <w:lang w:val="en-US" w:eastAsia="en-US"/>
              </w:rPr>
            </w:pPr>
            <w:r>
              <w:rPr>
                <w:sz w:val="16"/>
                <w:szCs w:val="16"/>
              </w:rPr>
              <w:t>Update to Rel-16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8"/>
      <w:type w:val="nextPage"/>
      <w:pgSz w:w="11906" w:h="16838"/>
      <w:pgMar w:left="1134" w:right="1134" w:gutter="0" w:header="680" w:top="1418"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left</wp:align>
              </wp:positionH>
              <wp:positionV relativeFrom="paragraph">
                <wp:posOffset>635</wp:posOffset>
              </wp:positionV>
              <wp:extent cx="59817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4467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31.120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31.120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color w:val="auto"/>
      </w:rPr>
    </w:lvl>
  </w:abstractNum>
  <w:abstractNum w:abstractNumId="3">
    <w:lvl w:ilvl="0">
      <w:start w:val="1"/>
      <w:numFmt w:val="decimal"/>
      <w:lvlText w:val="%1."/>
      <w:lvlJc w:val="left"/>
      <w:pPr>
        <w:tabs>
          <w:tab w:val="num" w:pos="360"/>
        </w:tabs>
        <w:ind w:left="360" w:hanging="36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color w:val="auto"/>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KVEditorsNote">
    <w:name w:val="KV_Editor's Note"/>
    <w:basedOn w:val="EditorsNote"/>
    <w:qFormat/>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Guidance">
    <w:name w:val="Guidance"/>
    <w:basedOn w:val="Normal"/>
    <w:qFormat/>
    <w:pPr/>
    <w:rPr>
      <w:i/>
      <w:color w:val="0000FF"/>
    </w:rPr>
  </w:style>
  <w:style w:type="paragraph" w:styleId="BULLET2INDENTATI">
    <w:name w:val="BULLET 2 / INDENTATI"/>
    <w:qFormat/>
    <w:pPr>
      <w:widowControl w:val="false"/>
      <w:tabs>
        <w:tab w:val="clear" w:pos="284"/>
        <w:tab w:val="left" w:pos="1134" w:leader="none"/>
      </w:tabs>
      <w:bidi w:val="0"/>
      <w:spacing w:lineRule="exact" w:line="240"/>
      <w:ind w:left="1134" w:hanging="567"/>
      <w:jc w:val="both"/>
    </w:pPr>
    <w:rPr>
      <w:rFonts w:ascii="Helv" w:hAnsi="Helv" w:eastAsia="MS Mincho;ＭＳ 明朝" w:cs="Helv"/>
      <w:color w:val="auto"/>
      <w:sz w:val="20"/>
      <w:szCs w:val="20"/>
      <w:lang w:val="en-GB" w:bidi="ar-SA" w:eastAsia="zh-CN"/>
    </w:rPr>
  </w:style>
  <w:style w:type="paragraph" w:styleId="BULLET2INDENTATION2">
    <w:name w:val="BULLET 2 / INDENTATION 2"/>
    <w:qFormat/>
    <w:pPr>
      <w:widowControl w:val="false"/>
      <w:tabs>
        <w:tab w:val="clear" w:pos="284"/>
        <w:tab w:val="left" w:pos="1134" w:leader="none"/>
      </w:tabs>
      <w:bidi w:val="0"/>
      <w:spacing w:lineRule="exact" w:line="240"/>
      <w:ind w:left="1134" w:hanging="567"/>
      <w:jc w:val="both"/>
    </w:pPr>
    <w:rPr>
      <w:rFonts w:ascii="Arial" w:hAnsi="Arial" w:eastAsia="MS Mincho;ＭＳ 明朝" w:cs="Arial"/>
      <w:color w:val="auto"/>
      <w:sz w:val="20"/>
      <w:szCs w:val="20"/>
      <w:lang w:val="en-GB" w:bidi="ar-SA" w:eastAsia="zh-CN"/>
    </w:rPr>
  </w:style>
  <w:style w:type="paragraph" w:styleId="BodyText2">
    <w:name w:val="Body Text 2"/>
    <w:basedOn w:val="Normal"/>
    <w:qFormat/>
    <w:pPr>
      <w:ind w:right="2925" w:hanging="0"/>
    </w:pPr>
    <w:rPr/>
  </w:style>
  <w:style w:type="paragraph" w:styleId="Tdoctable">
    <w:name w:val="Tdoc_table"/>
    <w:qFormat/>
    <w:pPr>
      <w:widowControl/>
      <w:bidi w:val="0"/>
      <w:ind w:left="244" w:hanging="244"/>
    </w:pPr>
    <w:rPr>
      <w:rFonts w:ascii="Arial" w:hAnsi="Arial" w:eastAsia="Times New Roman" w:cs="Arial"/>
      <w:color w:val="000000"/>
      <w:sz w:val="16"/>
      <w:szCs w:val="20"/>
      <w:lang w:val="en-GB" w:bidi="ar-SA" w:eastAsia="zh-CN"/>
    </w:rPr>
  </w:style>
  <w:style w:type="paragraph" w:styleId="Formatvorlage1">
    <w:name w:val="Formatvorlage1"/>
    <w:basedOn w:val="TH"/>
    <w:qFormat/>
    <w:pPr>
      <w:numPr>
        <w:ilvl w:val="0"/>
        <w:numId w:val="4"/>
      </w:numPr>
    </w:pPr>
    <w:rPr/>
  </w:style>
  <w:style w:type="paragraph" w:styleId="NumberedList">
    <w:name w:val="Numbered List"/>
    <w:basedOn w:val="Normal"/>
    <w:qFormat/>
    <w:pPr>
      <w:numPr>
        <w:ilvl w:val="0"/>
        <w:numId w:val="3"/>
      </w:numPr>
      <w:spacing w:before="120" w:after="120"/>
    </w:pPr>
    <w:rPr>
      <w:lang w:val="en-US"/>
    </w:rPr>
  </w:style>
  <w:style w:type="paragraph" w:styleId="Bullet2">
    <w:name w:val="Bullet2"/>
    <w:basedOn w:val="Normal"/>
    <w:qFormat/>
    <w:pPr>
      <w:numPr>
        <w:ilvl w:val="0"/>
        <w:numId w:val="2"/>
      </w:numPr>
    </w:pPr>
    <w:rPr/>
  </w:style>
  <w:style w:type="paragraph" w:styleId="WP">
    <w:name w:val="WP"/>
    <w:basedOn w:val="Normal"/>
    <w:qFormat/>
    <w:pPr>
      <w:spacing w:before="0" w:after="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2018-07-02T07:39:00Z</dcterms:created>
  <dc:creator>MCC Support</dc:creator>
  <dc:description/>
  <cp:keywords>UMTS card SIM testing</cp:keywords>
  <dc:language>en-US</dc:language>
  <cp:lastModifiedBy>Kimmo Kymalainen</cp:lastModifiedBy>
  <cp:lastPrinted>2000-12-05T10:48:00Z</cp:lastPrinted>
  <dcterms:modified xsi:type="dcterms:W3CDTF">2020-07-07T21:52:00Z</dcterms:modified>
  <cp:revision>4</cp:revision>
  <dc:subject>UICC-Terminal Interface; Physical, electrical and logical test specification (Release 7)</dc:subject>
  <dc:title>3GPP TS 31.120</dc:title>
</cp:coreProperties>
</file>