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32.121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32.121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514985</wp:posOffset>
                </wp:positionH>
                <wp:positionV relativeFrom="page">
                  <wp:posOffset>1781810</wp:posOffset>
                </wp:positionV>
                <wp:extent cx="6479540" cy="1769110"/>
                <wp:effectExtent l="0" t="0" r="0" b="0"/>
                <wp:wrapTopAndBottom/>
                <wp:docPr id="3" name="Frame3"/>
                <a:graphic xmlns:a="http://schemas.openxmlformats.org/drawingml/2006/main">
                  <a:graphicData uri="http://schemas.microsoft.com/office/word/2010/wordprocessingShape">
                    <wps:wsp>
                      <wps:cNvSpPr txBox="1"/>
                      <wps:spPr>
                        <a:xfrm>
                          <a:off x="0" y="0"/>
                          <a:ext cx="6479540" cy="17691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bCs/>
                                <w:iCs/>
                              </w:rPr>
                              <w:t>Advanced Alarm Management (AAM)</w:t>
                            </w:r>
                          </w:p>
                          <w:p>
                            <w:pPr>
                              <w:pStyle w:val="ZT"/>
                              <w:rPr/>
                            </w:pPr>
                            <w:r>
                              <w:rPr/>
                              <w:t>Integration Reference Point (IRP):</w:t>
                            </w:r>
                          </w:p>
                          <w:p>
                            <w:pPr>
                              <w:pStyle w:val="ZT"/>
                              <w:rPr/>
                            </w:pPr>
                            <w:r>
                              <w:rPr>
                                <w:lang w:eastAsia="zh-CN"/>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9.3pt;mso-wrap-distance-left:0pt;mso-wrap-distance-right:0pt;mso-wrap-distance-top:0pt;mso-wrap-distance-bottom:0pt;margin-top:140.3pt;mso-position-vertical-relative:page;margin-left:40.5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bCs/>
                          <w:iCs/>
                        </w:rPr>
                        <w:t>Advanced Alarm Management (AAM)</w:t>
                      </w:r>
                    </w:p>
                    <w:p>
                      <w:pPr>
                        <w:pStyle w:val="ZT"/>
                        <w:rPr/>
                      </w:pPr>
                      <w:r>
                        <w:rPr/>
                        <w:t>Integration Reference Point (IRP):</w:t>
                      </w:r>
                    </w:p>
                    <w:p>
                      <w:pPr>
                        <w:pStyle w:val="ZT"/>
                        <w:rPr/>
                      </w:pPr>
                      <w:r>
                        <w:rPr>
                          <w:lang w:eastAsia="zh-CN"/>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9604375</wp:posOffset>
                </wp:positionV>
                <wp:extent cx="6343015" cy="664845"/>
                <wp:effectExtent l="0" t="0" r="0" b="0"/>
                <wp:wrapTopAndBottom/>
                <wp:docPr id="9" name="Frame5"/>
                <a:graphic xmlns:a="http://schemas.openxmlformats.org/drawingml/2006/main">
                  <a:graphicData uri="http://schemas.microsoft.com/office/word/2010/wordprocessingShape">
                    <wps:wsp>
                      <wps:cNvSpPr txBox="1"/>
                      <wps:spPr>
                        <a:xfrm>
                          <a:off x="0" y="0"/>
                          <a:ext cx="6343015" cy="66484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52.35pt;mso-wrap-distance-left:0pt;mso-wrap-distance-right:0pt;mso-wrap-distance-top:0pt;mso-wrap-distance-bottom:0pt;margin-top:756.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UMTS, GSM,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UMTS, GSM,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3178223">
            <w:r>
              <w:rPr>
                <w:rStyle w:val="IndexLink"/>
                <w:rFonts w:eastAsia="Times New Roman" w:cs="Times New Roman"/>
                <w:color w:val="auto"/>
                <w:sz w:val="22"/>
                <w:szCs w:val="20"/>
                <w:lang w:val="en-GB" w:eastAsia="en-US" w:bidi="ar-SA"/>
              </w:rPr>
              <w:t>4</w:t>
            </w:r>
          </w:hyperlink>
        </w:p>
        <w:p>
          <w:pPr>
            <w:pStyle w:val="Contents1"/>
            <w:rPr>
              <w:sz w:val="24"/>
              <w:szCs w:val="24"/>
              <w:lang w:val="en-US" w:eastAsia="en-US"/>
            </w:rPr>
          </w:pPr>
          <w:r>
            <w:rPr/>
            <w:t>Introduction</w:t>
            <w:tab/>
          </w:r>
          <w:hyperlink w:anchor="__RefHeading___Toc193178224">
            <w:r>
              <w:rPr>
                <w:rStyle w:val="IndexLink"/>
              </w:rPr>
              <w:t>4</w:t>
            </w:r>
          </w:hyperlink>
        </w:p>
        <w:p>
          <w:pPr>
            <w:pStyle w:val="Contents1"/>
            <w:rPr>
              <w:sz w:val="24"/>
              <w:szCs w:val="24"/>
              <w:lang w:val="en-US" w:eastAsia="en-US"/>
            </w:rPr>
          </w:pPr>
          <w:r>
            <w:rPr/>
            <w:t>1</w:t>
          </w:r>
          <w:r>
            <w:rPr>
              <w:sz w:val="24"/>
              <w:szCs w:val="24"/>
            </w:rPr>
            <w:tab/>
          </w:r>
          <w:r>
            <w:rPr>
              <w:lang w:val="en-US" w:eastAsia="en-US"/>
            </w:rPr>
            <w:t>Scope</w:t>
          </w:r>
          <w:r>
            <w:rPr/>
            <w:tab/>
          </w:r>
          <w:hyperlink w:anchor="__RefHeading___Toc193178225">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193178226">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93178227">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193178228">
            <w:r>
              <w:rPr>
                <w:rStyle w:val="IndexLink"/>
              </w:rPr>
              <w:t>5</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193178229">
            <w:r>
              <w:rPr>
                <w:rStyle w:val="IndexLink"/>
              </w:rPr>
              <w:t>5</w:t>
            </w:r>
          </w:hyperlink>
        </w:p>
        <w:p>
          <w:pPr>
            <w:pStyle w:val="Contents1"/>
            <w:rPr>
              <w:sz w:val="24"/>
              <w:szCs w:val="24"/>
              <w:lang w:val="en-US" w:eastAsia="en-US"/>
            </w:rPr>
          </w:pPr>
          <w:r>
            <w:rPr/>
            <w:t>4</w:t>
          </w:r>
          <w:r>
            <w:rPr>
              <w:sz w:val="24"/>
              <w:szCs w:val="24"/>
              <w:lang w:val="en-US" w:eastAsia="en-US"/>
            </w:rPr>
            <w:tab/>
          </w:r>
          <w:r>
            <w:rPr/>
            <w:t xml:space="preserve">Requirements for AAM </w:t>
          </w:r>
          <w:r>
            <w:rPr>
              <w:lang w:val="en-US" w:eastAsia="en-US"/>
            </w:rPr>
            <w:t>on Itf-N</w:t>
          </w:r>
          <w:r>
            <w:rPr/>
            <w:tab/>
          </w:r>
          <w:hyperlink w:anchor="__RefHeading___Toc193178230">
            <w:r>
              <w:rPr>
                <w:rStyle w:val="IndexLink"/>
              </w:rPr>
              <w:t>6</w:t>
            </w:r>
          </w:hyperlink>
        </w:p>
        <w:p>
          <w:pPr>
            <w:pStyle w:val="Contents2"/>
            <w:rPr>
              <w:sz w:val="24"/>
              <w:szCs w:val="24"/>
              <w:lang w:val="en-US" w:eastAsia="en-US"/>
            </w:rPr>
          </w:pPr>
          <w:r>
            <w:rPr/>
            <w:t>4.1</w:t>
          </w:r>
          <w:r>
            <w:rPr>
              <w:sz w:val="24"/>
              <w:szCs w:val="24"/>
              <w:lang w:val="en-US" w:eastAsia="en-US"/>
            </w:rPr>
            <w:tab/>
          </w:r>
          <w:r>
            <w:rPr/>
            <w:t>Concept</w:t>
            <w:tab/>
          </w:r>
          <w:hyperlink w:anchor="__RefHeading___Toc193178231">
            <w:r>
              <w:rPr>
                <w:rStyle w:val="IndexLink"/>
              </w:rPr>
              <w:t>6</w:t>
            </w:r>
          </w:hyperlink>
        </w:p>
        <w:p>
          <w:pPr>
            <w:pStyle w:val="Contents2"/>
            <w:rPr>
              <w:sz w:val="24"/>
              <w:szCs w:val="24"/>
              <w:lang w:val="en-US" w:eastAsia="en-US"/>
            </w:rPr>
          </w:pPr>
          <w:r>
            <w:rPr/>
            <w:t>4.2</w:t>
          </w:r>
          <w:r>
            <w:rPr>
              <w:sz w:val="24"/>
              <w:szCs w:val="24"/>
              <w:lang w:val="en-US" w:eastAsia="en-US"/>
            </w:rPr>
            <w:tab/>
          </w:r>
          <w:r>
            <w:rPr/>
            <w:t>General Requirements for AAM on Itf-N</w:t>
            <w:tab/>
          </w:r>
          <w:hyperlink w:anchor="__RefHeading___Toc193178232">
            <w:r>
              <w:rPr>
                <w:rStyle w:val="IndexLink"/>
              </w:rPr>
              <w:t>6</w:t>
            </w:r>
          </w:hyperlink>
        </w:p>
        <w:p>
          <w:pPr>
            <w:pStyle w:val="Contents8"/>
            <w:rPr>
              <w:sz w:val="24"/>
              <w:szCs w:val="24"/>
              <w:lang w:val="en-US" w:eastAsia="en-US"/>
            </w:rPr>
          </w:pPr>
          <w:r>
            <w:rPr>
              <w:b w:val="false"/>
            </w:rPr>
            <w:t xml:space="preserve">Annex </w:t>
          </w:r>
          <w:r>
            <w:rPr>
              <w:b w:val="false"/>
              <w:lang w:val="en-US" w:eastAsia="en-US"/>
            </w:rPr>
            <w:t>A (informative):</w:t>
            <w:tab/>
          </w:r>
          <w:r>
            <w:rPr>
              <w:b w:val="false"/>
            </w:rPr>
            <w:t>Change history</w:t>
            <w:tab/>
          </w:r>
          <w:hyperlink w:anchor="__RefHeading___Toc193178233">
            <w:r>
              <w:rPr>
                <w:rStyle w:val="IndexLink"/>
                <w:b w:val="false"/>
              </w:rPr>
              <w:t>7</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193178223"/>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7" w:name="__RefHeading___Toc193178224"/>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b/>
          <w:b/>
          <w:sz w:val="24"/>
          <w:szCs w:val="24"/>
          <w:lang w:eastAsia="ko-KR"/>
        </w:rPr>
      </w:pPr>
      <w:r>
        <w:rPr>
          <w:rFonts w:eastAsia="Batang;바탕"/>
          <w:b/>
          <w:lang w:eastAsia="ko-KR"/>
        </w:rPr>
        <w:t>32.121:</w:t>
        <w:tab/>
        <w:t>"</w:t>
      </w:r>
      <w:r>
        <w:rPr>
          <w:b/>
          <w:lang w:eastAsia="zh-CN"/>
        </w:rPr>
        <w:t xml:space="preserve">Advanced Alarm Management </w:t>
      </w:r>
      <w:r>
        <w:rPr>
          <w:b/>
        </w:rPr>
        <w:t>Integration Reference Point (IRP)</w:t>
      </w:r>
      <w:r>
        <w:rPr>
          <w:b/>
          <w:lang w:eastAsia="zh-CN"/>
        </w:rPr>
        <w:t>: R</w:t>
      </w:r>
      <w:r>
        <w:rPr>
          <w:rFonts w:eastAsia="Batang;바탕"/>
          <w:b/>
          <w:lang w:eastAsia="ko-KR"/>
        </w:rPr>
        <w:t>equirement</w:t>
      </w:r>
      <w:r>
        <w:rPr>
          <w:b/>
          <w:lang w:eastAsia="zh-CN"/>
        </w:rPr>
        <w:t>s";</w:t>
      </w:r>
    </w:p>
    <w:p>
      <w:pPr>
        <w:pStyle w:val="B1"/>
        <w:rPr>
          <w:lang w:eastAsia="zh-CN"/>
        </w:rPr>
      </w:pPr>
      <w:r>
        <w:rPr>
          <w:lang w:eastAsia="zh-CN"/>
        </w:rPr>
        <w:t>32.122:</w:t>
        <w:tab/>
        <w:t xml:space="preserve">"Advanced Alarm Management </w:t>
      </w:r>
      <w:r>
        <w:rPr/>
        <w:t>Integration Reference Point (IRP)</w:t>
      </w:r>
      <w:r>
        <w:rPr>
          <w:lang w:eastAsia="zh-CN"/>
        </w:rPr>
        <w:t>: Information Service (IS)";</w:t>
      </w:r>
    </w:p>
    <w:p>
      <w:pPr>
        <w:pStyle w:val="B1"/>
        <w:rPr>
          <w:lang w:eastAsia="zh-CN"/>
        </w:rPr>
      </w:pPr>
      <w:r>
        <w:rPr>
          <w:lang w:eastAsia="zh-CN"/>
        </w:rPr>
        <w:t>32.126:</w:t>
        <w:tab/>
        <w:t>"Advanced Alarm Management (AAM) Integration Reference Point (IRP); Solution Set (SS) definitions".</w:t>
      </w:r>
    </w:p>
    <w:p>
      <w:pPr>
        <w:pStyle w:val="Normal"/>
        <w:rPr/>
      </w:pPr>
      <w:r>
        <w:rPr/>
        <w:t>The Itf-N interface is built up by a number of IRPs and a related Name Convention, which realize the functional capabilities over this interface. The basic structure of the IRPs is defined in 3GPP TS 32.150 [1].</w:t>
      </w:r>
    </w:p>
    <w:p>
      <w:pPr>
        <w:pStyle w:val="Normal"/>
        <w:rPr/>
      </w:pPr>
      <w:r>
        <w:rPr/>
        <w:t xml:space="preserve">IRPManagers (typically Network Management Systems) and IRPAgents (typically EMs or NEs) synchronize their data concerning alarms or configuration data. In </w:t>
      </w:r>
      <w:r>
        <w:rPr>
          <w:lang w:eastAsia="zh-CN"/>
        </w:rPr>
        <w:t xml:space="preserve">certain scenarios this synchronization is lost or not done. </w:t>
        <w:br/>
        <w:t>This IRP provides functionality to significantly reduce the amount of data which needs to be transferred in order to re-establish synchronization.</w:t>
      </w:r>
      <w:r>
        <w:br w:type="page"/>
      </w:r>
    </w:p>
    <w:p>
      <w:pPr>
        <w:pStyle w:val="Heading1"/>
        <w:ind w:left="1134" w:hanging="1134"/>
        <w:rPr>
          <w:lang w:eastAsia="zh-CN"/>
        </w:rPr>
      </w:pPr>
      <w:bookmarkStart w:id="8" w:name="__RefHeading___Toc193178225"/>
      <w:bookmarkEnd w:id="8"/>
      <w:r>
        <w:rPr>
          <w:lang w:eastAsia="zh-CN"/>
        </w:rPr>
        <w:t>1</w:t>
        <w:tab/>
        <w:t>Scope</w:t>
      </w:r>
    </w:p>
    <w:p>
      <w:pPr>
        <w:pStyle w:val="Normal"/>
        <w:rPr/>
      </w:pPr>
      <w:r>
        <w:rPr/>
        <w:t>The purpose of this set of specifications is to provide a mechanism enabling the IRP Manager to improve the information content of alarms, thereby contributing to reduce the time-to-repair. For this configurable rules for advanced alarm filtering are defined to reduce the number of alarms by applying such advanced alarm filtering.</w:t>
      </w:r>
    </w:p>
    <w:p>
      <w:pPr>
        <w:pStyle w:val="Normal"/>
        <w:rPr/>
      </w:pPr>
      <w:r>
        <w:rPr/>
        <w:t xml:space="preserve">The present document contains the Requirements of </w:t>
      </w:r>
      <w:r>
        <w:rPr>
          <w:lang w:eastAsia="zh-CN"/>
        </w:rPr>
        <w:t>Advanced Alarm Management (AAM) on Itf-N</w:t>
      </w:r>
      <w:r>
        <w:rPr>
          <w:b/>
          <w:lang w:eastAsia="zh-CN"/>
        </w:rPr>
        <w:t xml:space="preserve"> </w:t>
      </w:r>
      <w:r>
        <w:rPr/>
        <w:t xml:space="preserve">IRP. </w:t>
        <w:br/>
        <w:t xml:space="preserve">It defines, for the purpose of </w:t>
      </w:r>
      <w:r>
        <w:rPr>
          <w:lang w:eastAsia="zh-CN"/>
        </w:rPr>
        <w:t>AAM on Itf-N</w:t>
      </w:r>
      <w:r>
        <w:rPr/>
        <w:t>, the basic requirements to be fulfilled on Itf-N.</w:t>
      </w:r>
    </w:p>
    <w:p>
      <w:pPr>
        <w:pStyle w:val="Heading1"/>
        <w:ind w:left="1134" w:hanging="1134"/>
        <w:rPr/>
      </w:pPr>
      <w:bookmarkStart w:id="9" w:name="__RefHeading___Toc193178226"/>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32.150: "Telecommunication management; Integration Reference Point (IRP) Concept and definitions".</w:t>
      </w:r>
    </w:p>
    <w:p>
      <w:pPr>
        <w:pStyle w:val="Heading1"/>
        <w:ind w:left="1134" w:hanging="1134"/>
        <w:rPr/>
      </w:pPr>
      <w:bookmarkStart w:id="10" w:name="__RefHeading___Toc193178227"/>
      <w:bookmarkEnd w:id="10"/>
      <w:r>
        <w:rPr/>
        <w:t>3</w:t>
        <w:tab/>
        <w:t>Definitions and abbreviations</w:t>
      </w:r>
    </w:p>
    <w:p>
      <w:pPr>
        <w:pStyle w:val="Heading2"/>
        <w:rPr/>
      </w:pPr>
      <w:bookmarkStart w:id="11" w:name="__RefHeading___Toc193178228"/>
      <w:bookmarkEnd w:id="11"/>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32.150 [1].</w:t>
      </w:r>
    </w:p>
    <w:p>
      <w:pPr>
        <w:pStyle w:val="Normal"/>
        <w:rPr/>
      </w:pPr>
      <w:r>
        <w:rPr>
          <w:b/>
        </w:rPr>
        <w:t>IRPAgent:</w:t>
      </w:r>
      <w:r>
        <w:rPr/>
        <w:t xml:space="preserve"> See 3GPP TS 32.150 [1].</w:t>
      </w:r>
    </w:p>
    <w:p>
      <w:pPr>
        <w:pStyle w:val="Normal"/>
        <w:rPr/>
      </w:pPr>
      <w:r>
        <w:rPr>
          <w:b/>
        </w:rPr>
        <w:t>IRPManager:</w:t>
      </w:r>
      <w:r>
        <w:rPr/>
        <w:t xml:space="preserve"> See 3GPP TS 32.150 [1].</w:t>
      </w:r>
    </w:p>
    <w:p>
      <w:pPr>
        <w:pStyle w:val="Heading2"/>
        <w:rPr/>
      </w:pPr>
      <w:bookmarkStart w:id="12" w:name="__RefHeading___Toc193178229"/>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IRP</w:t>
        <w:tab/>
        <w:t>Integration Reference Point</w:t>
      </w:r>
    </w:p>
    <w:p>
      <w:pPr>
        <w:pStyle w:val="EW"/>
        <w:rPr/>
      </w:pPr>
      <w:r>
        <w:rPr/>
        <w:t>IS</w:t>
        <w:tab/>
        <w:t>Information Service</w:t>
      </w:r>
    </w:p>
    <w:p>
      <w:pPr>
        <w:pStyle w:val="EW"/>
        <w:rPr/>
      </w:pPr>
      <w:r>
        <w:rPr/>
        <w:t>Itf-N</w:t>
        <w:tab/>
        <w:t>Interface N</w:t>
      </w:r>
    </w:p>
    <w:p>
      <w:pPr>
        <w:pStyle w:val="EW"/>
        <w:rPr/>
      </w:pPr>
      <w:r>
        <w:rPr/>
        <w:t>NE</w:t>
        <w:tab/>
        <w:t>Network Element</w:t>
      </w:r>
    </w:p>
    <w:p>
      <w:pPr>
        <w:pStyle w:val="Heading1"/>
        <w:ind w:left="1134" w:hanging="1134"/>
        <w:rPr/>
      </w:pPr>
      <w:bookmarkStart w:id="13" w:name="__RefHeading___Toc193178230"/>
      <w:bookmarkEnd w:id="13"/>
      <w:r>
        <w:rPr/>
        <w:t>4</w:t>
        <w:tab/>
        <w:t xml:space="preserve">Requirements for AAM </w:t>
      </w:r>
      <w:r>
        <w:rPr>
          <w:lang w:eastAsia="zh-CN"/>
        </w:rPr>
        <w:t>on Itf-N</w:t>
      </w:r>
    </w:p>
    <w:p>
      <w:pPr>
        <w:pStyle w:val="Heading2"/>
        <w:rPr/>
      </w:pPr>
      <w:bookmarkStart w:id="14" w:name="__RefHeading___Toc193178231"/>
      <w:bookmarkEnd w:id="14"/>
      <w:r>
        <w:rPr/>
        <w:t>4.1</w:t>
        <w:tab/>
        <w:t>Concept</w:t>
      </w:r>
    </w:p>
    <w:p>
      <w:pPr>
        <w:pStyle w:val="Normal"/>
        <w:rPr/>
      </w:pPr>
      <w:r>
        <w:rPr/>
        <w:t xml:space="preserve">A single network fault may generate a large number of alarms over space and time. In a large and complex network, simultaneous network faults may occur, causing the network operator to be flooded with high volume of alarms.  </w:t>
        <w:br/>
        <w:t>The high volume of alarms, typically the one received by an IRPManager via the getAlarmList or alarm notifications of Alarm IRP specification, greatly inhibits the operator ability to quickly identify and locate the responsible network faults.</w:t>
      </w:r>
    </w:p>
    <w:p>
      <w:pPr>
        <w:pStyle w:val="Normal"/>
        <w:spacing w:before="0" w:after="0"/>
        <w:rPr/>
      </w:pPr>
      <w:r>
        <w:rPr/>
        <w:t xml:space="preserve">Therefore it is considered advantageous to have methods categorizing network alarms as insignificant or significant.  The word </w:t>
      </w:r>
      <w:bookmarkStart w:id="15" w:name="OLE_LINK2"/>
      <w:bookmarkStart w:id="16" w:name="OLE_LINK1"/>
      <w:r>
        <w:rPr/>
        <w:t xml:space="preserve">'insignificant' </w:t>
      </w:r>
      <w:bookmarkEnd w:id="15"/>
      <w:bookmarkEnd w:id="16"/>
      <w:r>
        <w:rPr/>
        <w:t>does not imply "low priority". In the context of this specification the words 'significant' and 'insignificant' have the following implications:</w:t>
      </w:r>
    </w:p>
    <w:p>
      <w:pPr>
        <w:pStyle w:val="Normal"/>
        <w:spacing w:before="0" w:after="0"/>
        <w:rPr/>
      </w:pPr>
      <w:r>
        <w:rPr/>
      </w:r>
    </w:p>
    <w:p>
      <w:pPr>
        <w:pStyle w:val="B1"/>
        <w:rPr/>
      </w:pPr>
      <w:r>
        <w:rPr/>
        <w:t>-</w:t>
        <w:tab/>
        <w:t>IRPAgent shall not report alarms categorized as insignificant.</w:t>
      </w:r>
    </w:p>
    <w:p>
      <w:pPr>
        <w:pStyle w:val="B1"/>
        <w:rPr/>
      </w:pPr>
      <w:r>
        <w:rPr/>
        <w:t>-</w:t>
        <w:tab/>
        <w:t xml:space="preserve">IRPAgent shall report all significant alarms. </w:t>
      </w:r>
    </w:p>
    <w:p>
      <w:pPr>
        <w:pStyle w:val="Normal"/>
        <w:rPr/>
      </w:pPr>
      <w:r>
        <w:rPr/>
        <w:t>Reporting only significant alarms and not reporting insignificant alarms would reduce network operator's time to locate network faults so that more time can be spent fixing them.</w:t>
      </w:r>
    </w:p>
    <w:p>
      <w:pPr>
        <w:pStyle w:val="Normal"/>
        <w:spacing w:before="0" w:after="0"/>
        <w:rPr/>
      </w:pPr>
      <w:r>
        <w:rPr/>
        <w:t>When reading the alarmList it can be advantageous to partition alarms in the alarmList into sets of alarms which might be caused by the same network fault.</w:t>
      </w:r>
    </w:p>
    <w:p>
      <w:pPr>
        <w:pStyle w:val="Normal"/>
        <w:spacing w:before="0" w:after="0"/>
        <w:rPr/>
      </w:pPr>
      <w:r>
        <w:rPr/>
      </w:r>
    </w:p>
    <w:p>
      <w:pPr>
        <w:pStyle w:val="Normal"/>
        <w:rPr/>
      </w:pPr>
      <w:r>
        <w:rPr/>
        <w:t xml:space="preserve">By assigning network operators to locate network faults based on alarms in such alarm partitions, rather than based on alarm severity, alarm type or reporting location, duplication of network operator effort (e.g. two network operators work on two different alarms and their resolutions lead to the same network faults) can be reduced or avoided  </w:t>
      </w:r>
    </w:p>
    <w:p>
      <w:pPr>
        <w:pStyle w:val="Heading2"/>
        <w:rPr/>
      </w:pPr>
      <w:bookmarkStart w:id="17" w:name="__RefHeading___Toc193178232"/>
      <w:bookmarkEnd w:id="17"/>
      <w:r>
        <w:rPr/>
        <w:t>4.2</w:t>
        <w:tab/>
        <w:t>General Requirements for AAM on Itf-N</w:t>
      </w:r>
    </w:p>
    <w:p>
      <w:pPr>
        <w:pStyle w:val="B1"/>
        <w:rPr/>
      </w:pPr>
      <w:r>
        <w:rPr/>
        <w:t>4.2.1</w:t>
        <w:tab/>
        <w:t xml:space="preserve">The IRPManager should be able to request the IRPAgent to </w:t>
        <w:br/>
        <w:t xml:space="preserve">a) categorize alarms as insignificant or significant </w:t>
        <w:br/>
        <w:t xml:space="preserve">and </w:t>
        <w:br/>
        <w:t xml:space="preserve">b) to act based on these categories, e.g. to discard if insignificant. </w:t>
        <w:br/>
        <w:t>The IRPManager should be able to cancel such requests.</w:t>
      </w:r>
    </w:p>
    <w:p>
      <w:pPr>
        <w:pStyle w:val="B1"/>
        <w:rPr/>
      </w:pPr>
      <w:r>
        <w:rPr/>
        <w:t>4.2.2</w:t>
        <w:tab/>
        <w:t>The standard should define some alarm categorization rules. The standard should also allow vendor to define their own alarm categorization rules.</w:t>
      </w:r>
    </w:p>
    <w:p>
      <w:pPr>
        <w:pStyle w:val="B1"/>
        <w:rPr/>
      </w:pPr>
      <w:r>
        <w:rPr/>
        <w:t>4.2.3</w:t>
        <w:tab/>
        <w:t>Possible alarm categorization rule(s) may depend for example on the type of alarm, the environment, the time of day, the type of network element, the alarm severity, the location, position in the containment tree and many more. No restriction is imposed in this regard.</w:t>
      </w:r>
    </w:p>
    <w:p>
      <w:pPr>
        <w:pStyle w:val="B1"/>
        <w:rPr/>
      </w:pPr>
      <w:r>
        <w:rPr/>
        <w:t>4.2.4</w:t>
        <w:tab/>
        <w:t>The IRPManager should be able to request the IRPAgent for the list of active categorization rules (i.e. standard defined and vendor defined).</w:t>
      </w:r>
    </w:p>
    <w:p>
      <w:pPr>
        <w:pStyle w:val="B1"/>
        <w:rPr/>
      </w:pPr>
      <w:r>
        <w:rPr/>
        <w:t>4.2.5</w:t>
        <w:tab/>
        <w:t>The IRP manager should be able to request the IRPAgent to apply the categorization rule(s) and to remove the insignificant alarms in the following situations:</w:t>
        <w:br/>
        <w:t xml:space="preserve">+ alarm notifications to be sent to any IRPManager </w:t>
        <w:br/>
        <w:t xml:space="preserve">+ advanced alarm management requests by this IRPManager to read the alarm list </w:t>
        <w:br/>
        <w:t>Certain types of categorization rules are only to be applied to read the alarm list. The term used for these rules is alarm partitioning rules.</w:t>
      </w:r>
      <w:r>
        <w:br w:type="page"/>
      </w:r>
    </w:p>
    <w:p>
      <w:pPr>
        <w:pStyle w:val="Heading8"/>
        <w:ind w:left="0" w:hanging="0"/>
        <w:rPr/>
      </w:pPr>
      <w:bookmarkStart w:id="18" w:name="__RefHeading___Toc193178233"/>
      <w:bookmarkEnd w:id="18"/>
      <w:r>
        <w:rPr/>
        <w:t xml:space="preserve">Annex </w:t>
      </w:r>
      <w:r>
        <w:rPr>
          <w:lang w:eastAsia="zh-CN"/>
        </w:rPr>
        <w:t>A (informative):</w:t>
        <w:br/>
      </w:r>
      <w:r>
        <w:rPr/>
        <w:t>Change history</w:t>
      </w:r>
    </w:p>
    <w:tbl>
      <w:tblPr>
        <w:tblW w:w="5000" w:type="pct"/>
        <w:jc w:val="left"/>
        <w:tblInd w:w="-47" w:type="dxa"/>
        <w:tblLayout w:type="fixed"/>
        <w:tblCellMar>
          <w:top w:w="0" w:type="dxa"/>
          <w:left w:w="40" w:type="dxa"/>
          <w:bottom w:w="0" w:type="dxa"/>
          <w:right w:w="40" w:type="dxa"/>
        </w:tblCellMar>
      </w:tblPr>
      <w:tblGrid>
        <w:gridCol w:w="1073"/>
        <w:gridCol w:w="789"/>
        <w:gridCol w:w="1237"/>
        <w:gridCol w:w="438"/>
        <w:gridCol w:w="275"/>
        <w:gridCol w:w="3624"/>
        <w:gridCol w:w="474"/>
        <w:gridCol w:w="613"/>
        <w:gridCol w:w="1115"/>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07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8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123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3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27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w:t>
            </w:r>
          </w:p>
        </w:tc>
        <w:tc>
          <w:tcPr>
            <w:tcW w:w="362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47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sz w:val="16"/>
                <w:szCs w:val="16"/>
                <w:lang w:eastAsia="ja-JP"/>
              </w:rPr>
              <w:t>Cat</w:t>
            </w:r>
          </w:p>
        </w:tc>
        <w:tc>
          <w:tcPr>
            <w:tcW w:w="61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111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1073" w:type="dxa"/>
            <w:tcBorders>
              <w:top w:val="single" w:sz="6" w:space="0" w:color="000000"/>
              <w:left w:val="single" w:sz="6" w:space="0" w:color="000000"/>
              <w:bottom w:val="single" w:sz="6" w:space="0" w:color="000000"/>
              <w:right w:val="single" w:sz="6" w:space="0" w:color="000000"/>
            </w:tcBorders>
          </w:tcPr>
          <w:p>
            <w:pPr>
              <w:pStyle w:val="TAL"/>
              <w:rPr/>
            </w:pPr>
            <w:r>
              <w:rPr>
                <w:bCs/>
                <w:sz w:val="16"/>
                <w:szCs w:val="16"/>
              </w:rPr>
              <w:t>May 2007</w:t>
            </w:r>
          </w:p>
        </w:tc>
        <w:tc>
          <w:tcPr>
            <w:tcW w:w="789"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SA_36</w:t>
            </w:r>
          </w:p>
        </w:tc>
        <w:tc>
          <w:tcPr>
            <w:tcW w:w="123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SP-070294</w:t>
            </w:r>
          </w:p>
        </w:tc>
        <w:tc>
          <w:tcPr>
            <w:tcW w:w="4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6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rPr>
              <w:t>Submitted to SA#36 for Information</w:t>
            </w:r>
          </w:p>
        </w:tc>
        <w:tc>
          <w:tcPr>
            <w:tcW w:w="47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13"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szCs w:val="16"/>
              </w:rPr>
              <w:t>--</w:t>
            </w:r>
          </w:p>
        </w:tc>
        <w:tc>
          <w:tcPr>
            <w:tcW w:w="1115"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rPr>
            </w:pPr>
            <w:r>
              <w:rPr>
                <w:color w:val="000000"/>
                <w:sz w:val="16"/>
                <w:szCs w:val="16"/>
              </w:rPr>
              <w:t>1.0.0</w:t>
            </w:r>
          </w:p>
        </w:tc>
      </w:tr>
      <w:tr>
        <w:trPr/>
        <w:tc>
          <w:tcPr>
            <w:tcW w:w="10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2008</w:t>
            </w:r>
          </w:p>
        </w:tc>
        <w:tc>
          <w:tcPr>
            <w:tcW w:w="78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bCs/>
                <w:sz w:val="16"/>
                <w:szCs w:val="16"/>
              </w:rPr>
              <w:t>SA_39</w:t>
            </w:r>
          </w:p>
        </w:tc>
        <w:tc>
          <w:tcPr>
            <w:tcW w:w="123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SP-080071</w:t>
            </w:r>
          </w:p>
        </w:tc>
        <w:tc>
          <w:tcPr>
            <w:tcW w:w="4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6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color w:val="000000"/>
                <w:sz w:val="16"/>
              </w:rPr>
              <w:t>Submitted to SA#39 for Approval</w:t>
            </w:r>
          </w:p>
        </w:tc>
        <w:tc>
          <w:tcPr>
            <w:tcW w:w="47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2.0.0</w:t>
            </w:r>
          </w:p>
        </w:tc>
        <w:tc>
          <w:tcPr>
            <w:tcW w:w="111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10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78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23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6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Rel-9 version (MCC)</w:t>
            </w:r>
          </w:p>
        </w:tc>
        <w:tc>
          <w:tcPr>
            <w:tcW w:w="47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c>
          <w:tcPr>
            <w:tcW w:w="111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10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78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123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6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Rel-10 version (MCC)</w:t>
            </w:r>
          </w:p>
        </w:tc>
        <w:tc>
          <w:tcPr>
            <w:tcW w:w="47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61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111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1073"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789"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37"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8"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624"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Rel-11 version (MCC</w:t>
            </w:r>
          </w:p>
        </w:tc>
        <w:tc>
          <w:tcPr>
            <w:tcW w:w="474"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13"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1115"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11.0.0</w:t>
            </w:r>
          </w:p>
        </w:tc>
      </w:tr>
      <w:tr>
        <w:trPr/>
        <w:tc>
          <w:tcPr>
            <w:tcW w:w="107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78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3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62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Rel-12 version (MCC</w:t>
            </w:r>
          </w:p>
        </w:tc>
        <w:tc>
          <w:tcPr>
            <w:tcW w:w="474"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1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1115"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12.0.0</w:t>
            </w:r>
          </w:p>
        </w:tc>
      </w:tr>
      <w:tr>
        <w:trPr/>
        <w:tc>
          <w:tcPr>
            <w:tcW w:w="107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78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123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62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474"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1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1115"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1073"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78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123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362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sz w:val="16"/>
                <w:szCs w:val="16"/>
              </w:rPr>
              <w:t>Promotion to Release 14 without technical change</w:t>
            </w:r>
          </w:p>
        </w:tc>
        <w:tc>
          <w:tcPr>
            <w:tcW w:w="474"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61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1115"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Webdings">
    <w:charset w:val="02"/>
    <w:family w:val="roman"/>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32.121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32.121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b/>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b/>
    </w:rPr>
  </w:style>
  <w:style w:type="character" w:styleId="WW8Num17z0">
    <w:name w:val="WW8Num17z0"/>
    <w:qFormat/>
    <w:rPr/>
  </w:style>
  <w:style w:type="character" w:styleId="WW8Num18z0">
    <w:name w:val="WW8Num18z0"/>
    <w:qFormat/>
    <w:rPr>
      <w:rFonts w:ascii="Symbol" w:hAnsi="Symbol" w:cs="Symbol"/>
    </w:rPr>
  </w:style>
  <w:style w:type="character" w:styleId="WW8Num20z0">
    <w:name w:val="WW8Num20z0"/>
    <w:qFormat/>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b/>
    </w:rPr>
  </w:style>
  <w:style w:type="character" w:styleId="WW8Num23z2">
    <w:name w:val="WW8Num23z2"/>
    <w:qFormat/>
    <w:rPr>
      <w:rFonts w:ascii="Webdings" w:hAnsi="Webdings" w:cs="Webdings"/>
      <w:b/>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
    <w:name w:val=" Char"/>
    <w:qFormat/>
    <w:rPr>
      <w:rFonts w:ascii="Arial" w:hAnsi="Arial" w:eastAsia="SimSun;宋体" w:cs="Arial"/>
      <w:sz w:val="36"/>
      <w:lang w:val="en-GB" w:bidi="ar-SA"/>
    </w:rPr>
  </w:style>
  <w:style w:type="character" w:styleId="TALCharChar">
    <w:name w:val="TAL Char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pde">
    <w:name w:val="cpde"/>
    <w:basedOn w:val="Normal"/>
    <w:qFormat/>
    <w:pPr>
      <w:tabs>
        <w:tab w:val="clear" w:pos="284"/>
        <w:tab w:val="left" w:pos="360" w:leader="none"/>
      </w:tabs>
      <w:spacing w:before="120" w:after="0"/>
      <w:ind w:left="360" w:hanging="360"/>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spacing w:before="0" w:after="0"/>
    </w:pPr>
    <w:rPr>
      <w:rFonts w:ascii="Courier New" w:hAnsi="Courier New" w:cs="Courier New"/>
      <w:lang w:val="en-US" w:eastAsia="en-US"/>
    </w:rPr>
  </w:style>
  <w:style w:type="paragraph" w:styleId="Pl1">
    <w:name w:val="pl"/>
    <w:basedOn w:val="Normal"/>
    <w:qFormat/>
    <w:pPr>
      <w:overflowPunct w:val="true"/>
      <w:autoSpaceDE w:val="true"/>
      <w:spacing w:before="100" w:after="100"/>
      <w:textAlignment w:val="auto"/>
    </w:pPr>
    <w:rPr>
      <w:rFonts w:eastAsia="Batang;바탕"/>
      <w:sz w:val="24"/>
      <w:szCs w:val="24"/>
      <w:lang w:val="en-US" w:eastAsia="ko-KR"/>
    </w:rPr>
  </w:style>
  <w:style w:type="paragraph" w:styleId="CommentSubject">
    <w:name w:val="Comment Subject"/>
    <w:basedOn w:val="CommentText"/>
    <w:next w:val="CommentText"/>
    <w:qFormat/>
    <w:pPr/>
    <w:rPr>
      <w:b/>
      <w:bCs/>
    </w:rPr>
  </w:style>
  <w:style w:type="paragraph" w:styleId="TALChar">
    <w:name w:val="TAL Char"/>
    <w:basedOn w:val="Normal"/>
    <w:qFormat/>
    <w:pPr>
      <w:keepNext w:val="true"/>
      <w:keepLines/>
      <w:overflowPunct w:val="true"/>
      <w:autoSpaceDE w:val="true"/>
      <w:spacing w:before="0" w:after="0"/>
      <w:textAlignment w:val="auto"/>
    </w:pPr>
    <w:rPr>
      <w:rFonts w:ascii="Arial" w:hAnsi="Arial" w:cs="Arial"/>
      <w:sz w:val="18"/>
    </w:rPr>
  </w:style>
  <w:style w:type="paragraph" w:styleId="INDENT2">
    <w:name w:val="INDENT2"/>
    <w:basedOn w:val="Normal"/>
    <w:qFormat/>
    <w:pPr>
      <w:numPr>
        <w:ilvl w:val="0"/>
        <w:numId w:val="6"/>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overflowPunct w:val="true"/>
      <w:autoSpaceDE w:val="true"/>
      <w:spacing w:before="0" w:after="0"/>
      <w:ind w:left="-142" w:hanging="0"/>
      <w:textAlignment w:val="auto"/>
    </w:pPr>
    <w:rPr>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lang w:val="en-US" w:eastAsia="zh-CN"/>
    </w:rPr>
  </w:style>
  <w:style w:type="paragraph" w:styleId="1">
    <w:name w:val="批注框文本1"/>
    <w:basedOn w:val="Normal"/>
    <w:qFormat/>
    <w:pPr>
      <w:overflowPunct w:val="true"/>
      <w:autoSpaceDE w:val="true"/>
      <w:textAlignment w:val="auto"/>
    </w:pPr>
    <w:rPr>
      <w:sz w:val="18"/>
      <w:szCs w:val="18"/>
    </w:rPr>
  </w:style>
  <w:style w:type="paragraph" w:styleId="Enumlev1">
    <w:name w:val="enumlev1"/>
    <w:basedOn w:val="Normal"/>
    <w:qFormat/>
    <w:pPr>
      <w:tabs>
        <w:tab w:val="clear" w:pos="284"/>
        <w:tab w:val="left" w:pos="397" w:leader="none"/>
      </w:tabs>
      <w:spacing w:before="86" w:after="0"/>
      <w:ind w:left="397" w:hanging="397"/>
      <w:jc w:val="both"/>
    </w:pPr>
    <w:rPr>
      <w:lang w:val="en-US" w:eastAsia="zh-CN"/>
    </w:rPr>
  </w:style>
  <w:style w:type="paragraph" w:styleId="IBL">
    <w:name w:val="IBL"/>
    <w:basedOn w:val="Normal"/>
    <w:qFormat/>
    <w:pPr>
      <w:tabs>
        <w:tab w:val="left" w:pos="284" w:leader="none"/>
      </w:tabs>
      <w:ind w:left="284" w:hanging="284"/>
    </w:pPr>
    <w:rPr/>
  </w:style>
  <w:style w:type="paragraph" w:styleId="11">
    <w:name w:val="批注主题1"/>
    <w:basedOn w:val="CommentText"/>
    <w:next w:val="CommentText"/>
    <w:qFormat/>
    <w:pPr>
      <w:overflowPunct w:val="true"/>
      <w:autoSpaceDE w:val="true"/>
      <w:textAlignment w:val="auto"/>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42" w:after="142"/>
      <w:textAlignment w:val="auto"/>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2020-07-09T16:00:00Z</dcterms:created>
  <dc:creator>MCC Support</dc:creator>
  <dc:description/>
  <cp:keywords>UMTS GSM management</cp:keywords>
  <dc:language>en-US</dc:language>
  <cp:lastModifiedBy>23.401_CR3602R2_(Rel-16)_5GS_Ph1, LTE_feMob-Core, </cp:lastModifiedBy>
  <cp:lastPrinted>2000-07-21T09:59:00Z</cp:lastPrinted>
  <dcterms:modified xsi:type="dcterms:W3CDTF">2020-07-09T16:00:00Z</dcterms:modified>
  <cp:revision>2</cp:revision>
  <dc:subject>Telecommunication management; Advanced Alarm Management (AAM) Integration Reference Point (IRP): Requirements (Release 16)</dc:subject>
  <dc:title>3GPP TS 32.121</dc:title>
</cp:coreProperties>
</file>